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0EA1C" w14:textId="77777777" w:rsidR="00C87685" w:rsidRPr="00E35D79" w:rsidRDefault="00C87685" w:rsidP="00E35D79">
      <w:pPr>
        <w:rPr>
          <w:rFonts w:asciiTheme="minorHAnsi" w:hAnsiTheme="minorHAnsi" w:cstheme="minorHAnsi"/>
        </w:rPr>
      </w:pPr>
    </w:p>
    <w:p w14:paraId="0F91F54A" w14:textId="77777777" w:rsidR="005F6958" w:rsidRPr="00E35D79" w:rsidRDefault="005F6958" w:rsidP="00E35D79">
      <w:pPr>
        <w:rPr>
          <w:rFonts w:asciiTheme="minorHAnsi" w:hAnsiTheme="minorHAnsi" w:cstheme="minorHAnsi"/>
        </w:rPr>
      </w:pPr>
    </w:p>
    <w:p w14:paraId="6D7BC570" w14:textId="77777777" w:rsidR="005F6958" w:rsidRPr="00E35D79" w:rsidRDefault="005F6958" w:rsidP="00E35D79">
      <w:pPr>
        <w:rPr>
          <w:rFonts w:asciiTheme="minorHAnsi" w:hAnsiTheme="minorHAnsi" w:cstheme="minorHAnsi"/>
        </w:rPr>
      </w:pPr>
    </w:p>
    <w:p w14:paraId="40524450" w14:textId="00DE0C3D" w:rsidR="005F6958" w:rsidRPr="00E35D79" w:rsidRDefault="006350C3" w:rsidP="004F5708">
      <w:pPr>
        <w:pStyle w:val="Title"/>
      </w:pPr>
      <w:bookmarkStart w:id="0" w:name="_Toc187936928"/>
      <w:r w:rsidRPr="00E35D79">
        <w:t>Consultation: Proposed amendments to the Poisons Standard – ACCS #</w:t>
      </w:r>
      <w:r w:rsidR="00751FE8" w:rsidRPr="00E35D79">
        <w:t>4</w:t>
      </w:r>
      <w:r w:rsidR="00FE4968">
        <w:t>0</w:t>
      </w:r>
      <w:r w:rsidRPr="00E35D79">
        <w:t xml:space="preserve"> and Joint ACMS-ACCS #</w:t>
      </w:r>
      <w:r w:rsidR="00751FE8" w:rsidRPr="00E35D79">
        <w:t>39</w:t>
      </w:r>
      <w:r w:rsidRPr="00E35D79">
        <w:t xml:space="preserve"> meetings, M</w:t>
      </w:r>
      <w:r w:rsidR="00751FE8" w:rsidRPr="00E35D79">
        <w:t>arch</w:t>
      </w:r>
      <w:r w:rsidRPr="00E35D79">
        <w:t xml:space="preserve"> 20</w:t>
      </w:r>
      <w:r w:rsidR="00751FE8" w:rsidRPr="00E35D79">
        <w:t>25</w:t>
      </w:r>
      <w:bookmarkEnd w:id="0"/>
    </w:p>
    <w:p w14:paraId="2F1376D2" w14:textId="489578F6" w:rsidR="005F6958" w:rsidRPr="00E35D79" w:rsidRDefault="00AF5B97" w:rsidP="00404481">
      <w:pPr>
        <w:pStyle w:val="Subtitle"/>
        <w:ind w:left="0"/>
      </w:pPr>
      <w:r w:rsidRPr="00404481">
        <w:t>17</w:t>
      </w:r>
      <w:r w:rsidR="006350C3" w:rsidRPr="00404481">
        <w:t xml:space="preserve"> </w:t>
      </w:r>
      <w:r w:rsidR="00847396" w:rsidRPr="00404481">
        <w:t>January 2025</w:t>
      </w:r>
    </w:p>
    <w:p w14:paraId="252349AB" w14:textId="77777777" w:rsidR="005F6958" w:rsidRPr="00E35D79" w:rsidRDefault="005F6958" w:rsidP="00E35D79">
      <w:pPr>
        <w:rPr>
          <w:rFonts w:asciiTheme="minorHAnsi" w:hAnsiTheme="minorHAnsi" w:cstheme="minorHAnsi"/>
        </w:rPr>
      </w:pPr>
      <w:r w:rsidRPr="00E35D79">
        <w:rPr>
          <w:rFonts w:asciiTheme="minorHAnsi" w:hAnsiTheme="minorHAnsi" w:cstheme="minorHAnsi"/>
        </w:rPr>
        <w:br w:type="page"/>
      </w:r>
    </w:p>
    <w:p w14:paraId="55CDE077" w14:textId="77777777" w:rsidR="00DD3815" w:rsidRPr="002E124F" w:rsidRDefault="00DD3815" w:rsidP="002E124F">
      <w:pPr>
        <w:rPr>
          <w:b/>
          <w:bCs/>
        </w:rPr>
      </w:pPr>
      <w:bookmarkStart w:id="1" w:name="_Toc126664137"/>
      <w:r w:rsidRPr="002E124F">
        <w:rPr>
          <w:b/>
          <w:bCs/>
        </w:rPr>
        <w:lastRenderedPageBreak/>
        <w:t>Copyright</w:t>
      </w:r>
      <w:bookmarkEnd w:id="1"/>
    </w:p>
    <w:p w14:paraId="562909AC" w14:textId="49CC0BB2" w:rsidR="0089410A" w:rsidRPr="00E35D79" w:rsidRDefault="00DD3815" w:rsidP="002E124F">
      <w:pPr>
        <w:rPr>
          <w:rFonts w:asciiTheme="minorHAnsi" w:hAnsiTheme="minorHAnsi" w:cstheme="minorHAnsi"/>
        </w:rPr>
      </w:pPr>
      <w:bookmarkStart w:id="2" w:name="_Toc126664138"/>
      <w:r w:rsidRPr="00E35D79">
        <w:rPr>
          <w:rFonts w:asciiTheme="minorHAnsi" w:hAnsiTheme="minorHAnsi" w:cstheme="minorHAnsi"/>
        </w:rPr>
        <w:t>© Commonwealth of Australia</w:t>
      </w:r>
      <w:r w:rsidR="00F35094" w:rsidRPr="00E35D79">
        <w:rPr>
          <w:rFonts w:asciiTheme="minorHAnsi" w:hAnsiTheme="minorHAnsi" w:cstheme="minorHAnsi"/>
        </w:rPr>
        <w:t xml:space="preserve"> </w:t>
      </w:r>
      <w:r w:rsidR="00A506C4" w:rsidRPr="00E35D79">
        <w:rPr>
          <w:rFonts w:asciiTheme="minorHAnsi" w:hAnsiTheme="minorHAnsi" w:cstheme="minorHAnsi"/>
        </w:rPr>
        <w:t>202</w:t>
      </w:r>
      <w:r w:rsidR="00847396" w:rsidRPr="00E35D79">
        <w:rPr>
          <w:rFonts w:asciiTheme="minorHAnsi" w:hAnsiTheme="minorHAnsi" w:cstheme="minorHAnsi"/>
        </w:rPr>
        <w:t>5</w:t>
      </w:r>
      <w:r w:rsidRPr="00E35D79">
        <w:rPr>
          <w:rFonts w:asciiTheme="minorHAnsi" w:hAnsiTheme="minorHAnsi" w:cstheme="minorHAnsi"/>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8" w:history="1">
        <w:r w:rsidR="00364838" w:rsidRPr="00364838">
          <w:rPr>
            <w:rStyle w:val="Hyperlink"/>
            <w:rFonts w:asciiTheme="minorHAnsi" w:hAnsiTheme="minorHAnsi" w:cstheme="minorHAnsi"/>
          </w:rPr>
          <w:t>tga.copyright@tga.gov.au</w:t>
        </w:r>
      </w:hyperlink>
      <w:r w:rsidRPr="00E35D79">
        <w:rPr>
          <w:rFonts w:asciiTheme="minorHAnsi" w:hAnsiTheme="minorHAnsi" w:cstheme="minorHAnsi"/>
        </w:rPr>
        <w:t>.</w:t>
      </w:r>
      <w:bookmarkEnd w:id="2"/>
    </w:p>
    <w:p w14:paraId="0ECE9FB5" w14:textId="77777777" w:rsidR="006350C3" w:rsidRPr="002E124F" w:rsidRDefault="006350C3" w:rsidP="002E124F">
      <w:pPr>
        <w:rPr>
          <w:rFonts w:asciiTheme="minorHAnsi" w:hAnsiTheme="minorHAnsi" w:cstheme="minorHAnsi"/>
          <w:b/>
          <w:bCs/>
        </w:rPr>
      </w:pPr>
      <w:bookmarkStart w:id="3" w:name="_Hlk139901247"/>
      <w:r w:rsidRPr="002E124F">
        <w:rPr>
          <w:rFonts w:asciiTheme="minorHAnsi" w:hAnsiTheme="minorHAnsi" w:cstheme="minorHAnsi"/>
          <w:b/>
          <w:bCs/>
        </w:rPr>
        <w:t>Confidentiality</w:t>
      </w:r>
    </w:p>
    <w:p w14:paraId="3D9C4570" w14:textId="0E5B7BCE" w:rsidR="006350C3" w:rsidRPr="00E35D79" w:rsidRDefault="006350C3" w:rsidP="002E124F">
      <w:pPr>
        <w:rPr>
          <w:rFonts w:asciiTheme="minorHAnsi" w:hAnsiTheme="minorHAnsi" w:cstheme="minorHAnsi"/>
        </w:rPr>
      </w:pPr>
      <w:r w:rsidRPr="00E35D79">
        <w:rPr>
          <w:rFonts w:asciiTheme="minorHAnsi" w:hAnsiTheme="minorHAnsi" w:cstheme="minorHAnsi"/>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End w:id="3"/>
    </w:p>
    <w:p w14:paraId="7F650085" w14:textId="77777777" w:rsidR="0089410A" w:rsidRPr="00E35D79" w:rsidRDefault="0089410A" w:rsidP="00E35D79">
      <w:pPr>
        <w:rPr>
          <w:rFonts w:asciiTheme="minorHAnsi" w:hAnsiTheme="minorHAnsi" w:cstheme="minorHAnsi"/>
        </w:rPr>
      </w:pPr>
      <w:r w:rsidRPr="00E35D79">
        <w:rPr>
          <w:rFonts w:asciiTheme="minorHAnsi" w:hAnsiTheme="minorHAnsi" w:cstheme="minorHAnsi"/>
        </w:rPr>
        <w:br w:type="page"/>
      </w:r>
    </w:p>
    <w:sdt>
      <w:sdtPr>
        <w:rPr>
          <w:rFonts w:ascii="Arial" w:eastAsiaTheme="minorHAnsi" w:hAnsi="Arial" w:cstheme="minorBidi"/>
          <w:color w:val="auto"/>
          <w:sz w:val="20"/>
          <w:szCs w:val="20"/>
          <w:lang w:val="en-AU"/>
        </w:rPr>
        <w:id w:val="-551161649"/>
        <w:docPartObj>
          <w:docPartGallery w:val="Table of Contents"/>
          <w:docPartUnique/>
        </w:docPartObj>
      </w:sdtPr>
      <w:sdtEndPr>
        <w:rPr>
          <w:b/>
          <w:bCs/>
          <w:noProof/>
        </w:rPr>
      </w:sdtEndPr>
      <w:sdtContent>
        <w:p w14:paraId="574BF3D9" w14:textId="7DC7A85E" w:rsidR="00DF307D" w:rsidRDefault="00DF307D">
          <w:pPr>
            <w:pStyle w:val="TOCHeading"/>
          </w:pPr>
          <w:r>
            <w:t>Table of Contents</w:t>
          </w:r>
        </w:p>
        <w:p w14:paraId="02C8D7CB" w14:textId="7F978418" w:rsidR="00935332" w:rsidRDefault="00DF307D">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87936928" w:history="1">
            <w:r w:rsidR="00935332" w:rsidRPr="00982985">
              <w:rPr>
                <w:rStyle w:val="Hyperlink"/>
                <w:noProof/>
              </w:rPr>
              <w:t>Consultation: Proposed amendments to the Poisons Standard – ACCS #40 and Joint ACMS-ACCS #39 meetings, March 2025</w:t>
            </w:r>
            <w:r w:rsidR="00935332">
              <w:rPr>
                <w:noProof/>
                <w:webHidden/>
              </w:rPr>
              <w:tab/>
            </w:r>
            <w:r w:rsidR="00935332">
              <w:rPr>
                <w:noProof/>
                <w:webHidden/>
              </w:rPr>
              <w:fldChar w:fldCharType="begin"/>
            </w:r>
            <w:r w:rsidR="00935332">
              <w:rPr>
                <w:noProof/>
                <w:webHidden/>
              </w:rPr>
              <w:instrText xml:space="preserve"> PAGEREF _Toc187936928 \h </w:instrText>
            </w:r>
            <w:r w:rsidR="00935332">
              <w:rPr>
                <w:noProof/>
                <w:webHidden/>
              </w:rPr>
            </w:r>
            <w:r w:rsidR="00935332">
              <w:rPr>
                <w:noProof/>
                <w:webHidden/>
              </w:rPr>
              <w:fldChar w:fldCharType="separate"/>
            </w:r>
            <w:r w:rsidR="00935332">
              <w:rPr>
                <w:noProof/>
                <w:webHidden/>
              </w:rPr>
              <w:t>1</w:t>
            </w:r>
            <w:r w:rsidR="00935332">
              <w:rPr>
                <w:noProof/>
                <w:webHidden/>
              </w:rPr>
              <w:fldChar w:fldCharType="end"/>
            </w:r>
          </w:hyperlink>
        </w:p>
        <w:p w14:paraId="6E0B3BF1" w14:textId="474EAE34" w:rsidR="00935332" w:rsidRDefault="00935332">
          <w:pPr>
            <w:pStyle w:val="TOC2"/>
            <w:rPr>
              <w:rFonts w:asciiTheme="minorHAnsi" w:eastAsiaTheme="minorEastAsia" w:hAnsiTheme="minorHAnsi" w:cstheme="minorBidi"/>
              <w:b w:val="0"/>
              <w:bCs w:val="0"/>
              <w:color w:val="auto"/>
              <w:kern w:val="2"/>
              <w:szCs w:val="24"/>
              <w:lang w:eastAsia="en-AU"/>
              <w14:ligatures w14:val="standardContextual"/>
            </w:rPr>
          </w:pPr>
          <w:hyperlink w:anchor="_Toc187936929" w:history="1">
            <w:r w:rsidRPr="00982985">
              <w:rPr>
                <w:rStyle w:val="Hyperlink"/>
              </w:rPr>
              <w:t>About this consultation</w:t>
            </w:r>
            <w:r>
              <w:rPr>
                <w:webHidden/>
              </w:rPr>
              <w:tab/>
            </w:r>
            <w:r>
              <w:rPr>
                <w:webHidden/>
              </w:rPr>
              <w:fldChar w:fldCharType="begin"/>
            </w:r>
            <w:r>
              <w:rPr>
                <w:webHidden/>
              </w:rPr>
              <w:instrText xml:space="preserve"> PAGEREF _Toc187936929 \h </w:instrText>
            </w:r>
            <w:r>
              <w:rPr>
                <w:webHidden/>
              </w:rPr>
            </w:r>
            <w:r>
              <w:rPr>
                <w:webHidden/>
              </w:rPr>
              <w:fldChar w:fldCharType="separate"/>
            </w:r>
            <w:r>
              <w:rPr>
                <w:webHidden/>
              </w:rPr>
              <w:t>4</w:t>
            </w:r>
            <w:r>
              <w:rPr>
                <w:webHidden/>
              </w:rPr>
              <w:fldChar w:fldCharType="end"/>
            </w:r>
          </w:hyperlink>
        </w:p>
        <w:p w14:paraId="40078B68" w14:textId="38F69525" w:rsidR="00935332" w:rsidRDefault="00935332">
          <w:pPr>
            <w:pStyle w:val="TOC2"/>
            <w:rPr>
              <w:rFonts w:asciiTheme="minorHAnsi" w:eastAsiaTheme="minorEastAsia" w:hAnsiTheme="minorHAnsi" w:cstheme="minorBidi"/>
              <w:b w:val="0"/>
              <w:bCs w:val="0"/>
              <w:color w:val="auto"/>
              <w:kern w:val="2"/>
              <w:szCs w:val="24"/>
              <w:lang w:eastAsia="en-AU"/>
              <w14:ligatures w14:val="standardContextual"/>
            </w:rPr>
          </w:pPr>
          <w:hyperlink w:anchor="_Toc187936930" w:history="1">
            <w:r w:rsidRPr="00982985">
              <w:rPr>
                <w:rStyle w:val="Hyperlink"/>
              </w:rPr>
              <w:t>Proposed amendments referred for scheduling advice to ACCS meeting #40</w:t>
            </w:r>
            <w:r>
              <w:rPr>
                <w:webHidden/>
              </w:rPr>
              <w:tab/>
            </w:r>
            <w:r>
              <w:rPr>
                <w:webHidden/>
              </w:rPr>
              <w:fldChar w:fldCharType="begin"/>
            </w:r>
            <w:r>
              <w:rPr>
                <w:webHidden/>
              </w:rPr>
              <w:instrText xml:space="preserve"> PAGEREF _Toc187936930 \h </w:instrText>
            </w:r>
            <w:r>
              <w:rPr>
                <w:webHidden/>
              </w:rPr>
            </w:r>
            <w:r>
              <w:rPr>
                <w:webHidden/>
              </w:rPr>
              <w:fldChar w:fldCharType="separate"/>
            </w:r>
            <w:r>
              <w:rPr>
                <w:webHidden/>
              </w:rPr>
              <w:t>5</w:t>
            </w:r>
            <w:r>
              <w:rPr>
                <w:webHidden/>
              </w:rPr>
              <w:fldChar w:fldCharType="end"/>
            </w:r>
          </w:hyperlink>
        </w:p>
        <w:p w14:paraId="7C7BF31D" w14:textId="1944A48D" w:rsidR="00935332" w:rsidRDefault="0093533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936931" w:history="1">
            <w:r w:rsidRPr="00982985">
              <w:rPr>
                <w:rStyle w:val="Hyperlink"/>
                <w:noProof/>
              </w:rPr>
              <w:t>Sodium hydroxide and potassium hydroxide</w:t>
            </w:r>
            <w:r>
              <w:rPr>
                <w:noProof/>
                <w:webHidden/>
              </w:rPr>
              <w:tab/>
            </w:r>
            <w:r>
              <w:rPr>
                <w:noProof/>
                <w:webHidden/>
              </w:rPr>
              <w:fldChar w:fldCharType="begin"/>
            </w:r>
            <w:r>
              <w:rPr>
                <w:noProof/>
                <w:webHidden/>
              </w:rPr>
              <w:instrText xml:space="preserve"> PAGEREF _Toc187936931 \h </w:instrText>
            </w:r>
            <w:r>
              <w:rPr>
                <w:noProof/>
                <w:webHidden/>
              </w:rPr>
            </w:r>
            <w:r>
              <w:rPr>
                <w:noProof/>
                <w:webHidden/>
              </w:rPr>
              <w:fldChar w:fldCharType="separate"/>
            </w:r>
            <w:r>
              <w:rPr>
                <w:noProof/>
                <w:webHidden/>
              </w:rPr>
              <w:t>5</w:t>
            </w:r>
            <w:r>
              <w:rPr>
                <w:noProof/>
                <w:webHidden/>
              </w:rPr>
              <w:fldChar w:fldCharType="end"/>
            </w:r>
          </w:hyperlink>
        </w:p>
        <w:p w14:paraId="3A2A93AD" w14:textId="49345115" w:rsidR="00935332" w:rsidRDefault="0093533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936932" w:history="1">
            <w:r w:rsidRPr="00982985">
              <w:rPr>
                <w:rStyle w:val="Hyperlink"/>
                <w:noProof/>
              </w:rPr>
              <w:t>Methyl ethyl ketone oxime</w:t>
            </w:r>
            <w:r>
              <w:rPr>
                <w:noProof/>
                <w:webHidden/>
              </w:rPr>
              <w:tab/>
            </w:r>
            <w:r>
              <w:rPr>
                <w:noProof/>
                <w:webHidden/>
              </w:rPr>
              <w:fldChar w:fldCharType="begin"/>
            </w:r>
            <w:r>
              <w:rPr>
                <w:noProof/>
                <w:webHidden/>
              </w:rPr>
              <w:instrText xml:space="preserve"> PAGEREF _Toc187936932 \h </w:instrText>
            </w:r>
            <w:r>
              <w:rPr>
                <w:noProof/>
                <w:webHidden/>
              </w:rPr>
            </w:r>
            <w:r>
              <w:rPr>
                <w:noProof/>
                <w:webHidden/>
              </w:rPr>
              <w:fldChar w:fldCharType="separate"/>
            </w:r>
            <w:r>
              <w:rPr>
                <w:noProof/>
                <w:webHidden/>
              </w:rPr>
              <w:t>11</w:t>
            </w:r>
            <w:r>
              <w:rPr>
                <w:noProof/>
                <w:webHidden/>
              </w:rPr>
              <w:fldChar w:fldCharType="end"/>
            </w:r>
          </w:hyperlink>
        </w:p>
        <w:p w14:paraId="0E701C4F" w14:textId="7D5CAD67" w:rsidR="00935332" w:rsidRDefault="0093533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936933" w:history="1">
            <w:r w:rsidRPr="00982985">
              <w:rPr>
                <w:rStyle w:val="Hyperlink"/>
                <w:noProof/>
              </w:rPr>
              <w:t>Cyanoacrylate esters</w:t>
            </w:r>
            <w:r>
              <w:rPr>
                <w:noProof/>
                <w:webHidden/>
              </w:rPr>
              <w:tab/>
            </w:r>
            <w:r>
              <w:rPr>
                <w:noProof/>
                <w:webHidden/>
              </w:rPr>
              <w:fldChar w:fldCharType="begin"/>
            </w:r>
            <w:r>
              <w:rPr>
                <w:noProof/>
                <w:webHidden/>
              </w:rPr>
              <w:instrText xml:space="preserve"> PAGEREF _Toc187936933 \h </w:instrText>
            </w:r>
            <w:r>
              <w:rPr>
                <w:noProof/>
                <w:webHidden/>
              </w:rPr>
            </w:r>
            <w:r>
              <w:rPr>
                <w:noProof/>
                <w:webHidden/>
              </w:rPr>
              <w:fldChar w:fldCharType="separate"/>
            </w:r>
            <w:r>
              <w:rPr>
                <w:noProof/>
                <w:webHidden/>
              </w:rPr>
              <w:t>15</w:t>
            </w:r>
            <w:r>
              <w:rPr>
                <w:noProof/>
                <w:webHidden/>
              </w:rPr>
              <w:fldChar w:fldCharType="end"/>
            </w:r>
          </w:hyperlink>
        </w:p>
        <w:p w14:paraId="7DFAA89C" w14:textId="1AEC5EA9" w:rsidR="00935332" w:rsidRDefault="0093533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936934" w:history="1">
            <w:r w:rsidRPr="00982985">
              <w:rPr>
                <w:rStyle w:val="Hyperlink"/>
                <w:noProof/>
              </w:rPr>
              <w:t>Acrylates and methacrylates based on bisphenol A (BPA)</w:t>
            </w:r>
            <w:r>
              <w:rPr>
                <w:noProof/>
                <w:webHidden/>
              </w:rPr>
              <w:tab/>
            </w:r>
            <w:r>
              <w:rPr>
                <w:noProof/>
                <w:webHidden/>
              </w:rPr>
              <w:fldChar w:fldCharType="begin"/>
            </w:r>
            <w:r>
              <w:rPr>
                <w:noProof/>
                <w:webHidden/>
              </w:rPr>
              <w:instrText xml:space="preserve"> PAGEREF _Toc187936934 \h </w:instrText>
            </w:r>
            <w:r>
              <w:rPr>
                <w:noProof/>
                <w:webHidden/>
              </w:rPr>
            </w:r>
            <w:r>
              <w:rPr>
                <w:noProof/>
                <w:webHidden/>
              </w:rPr>
              <w:fldChar w:fldCharType="separate"/>
            </w:r>
            <w:r>
              <w:rPr>
                <w:noProof/>
                <w:webHidden/>
              </w:rPr>
              <w:t>18</w:t>
            </w:r>
            <w:r>
              <w:rPr>
                <w:noProof/>
                <w:webHidden/>
              </w:rPr>
              <w:fldChar w:fldCharType="end"/>
            </w:r>
          </w:hyperlink>
        </w:p>
        <w:p w14:paraId="1423656E" w14:textId="11DBB7B2" w:rsidR="00935332" w:rsidRDefault="0093533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936935" w:history="1">
            <w:r w:rsidRPr="00982985">
              <w:rPr>
                <w:rStyle w:val="Hyperlink"/>
                <w:noProof/>
              </w:rPr>
              <w:t>Medium and Long Chain Alkyl Sulfates</w:t>
            </w:r>
            <w:r>
              <w:rPr>
                <w:noProof/>
                <w:webHidden/>
              </w:rPr>
              <w:tab/>
            </w:r>
            <w:r>
              <w:rPr>
                <w:noProof/>
                <w:webHidden/>
              </w:rPr>
              <w:fldChar w:fldCharType="begin"/>
            </w:r>
            <w:r>
              <w:rPr>
                <w:noProof/>
                <w:webHidden/>
              </w:rPr>
              <w:instrText xml:space="preserve"> PAGEREF _Toc187936935 \h </w:instrText>
            </w:r>
            <w:r>
              <w:rPr>
                <w:noProof/>
                <w:webHidden/>
              </w:rPr>
            </w:r>
            <w:r>
              <w:rPr>
                <w:noProof/>
                <w:webHidden/>
              </w:rPr>
              <w:fldChar w:fldCharType="separate"/>
            </w:r>
            <w:r>
              <w:rPr>
                <w:noProof/>
                <w:webHidden/>
              </w:rPr>
              <w:t>21</w:t>
            </w:r>
            <w:r>
              <w:rPr>
                <w:noProof/>
                <w:webHidden/>
              </w:rPr>
              <w:fldChar w:fldCharType="end"/>
            </w:r>
          </w:hyperlink>
        </w:p>
        <w:p w14:paraId="2CF6F112" w14:textId="1CE202B3" w:rsidR="00935332" w:rsidRDefault="00935332">
          <w:pPr>
            <w:pStyle w:val="TOC2"/>
            <w:rPr>
              <w:rFonts w:asciiTheme="minorHAnsi" w:eastAsiaTheme="minorEastAsia" w:hAnsiTheme="minorHAnsi" w:cstheme="minorBidi"/>
              <w:b w:val="0"/>
              <w:bCs w:val="0"/>
              <w:color w:val="auto"/>
              <w:kern w:val="2"/>
              <w:szCs w:val="24"/>
              <w:lang w:eastAsia="en-AU"/>
              <w14:ligatures w14:val="standardContextual"/>
            </w:rPr>
          </w:pPr>
          <w:hyperlink w:anchor="_Toc187936936" w:history="1">
            <w:r w:rsidRPr="00982985">
              <w:rPr>
                <w:rStyle w:val="Hyperlink"/>
              </w:rPr>
              <w:t>Proposed amendment referred for scheduling advice to Joint ACMS-ACCS meeting #39</w:t>
            </w:r>
            <w:r>
              <w:rPr>
                <w:webHidden/>
              </w:rPr>
              <w:tab/>
            </w:r>
            <w:r>
              <w:rPr>
                <w:webHidden/>
              </w:rPr>
              <w:fldChar w:fldCharType="begin"/>
            </w:r>
            <w:r>
              <w:rPr>
                <w:webHidden/>
              </w:rPr>
              <w:instrText xml:space="preserve"> PAGEREF _Toc187936936 \h </w:instrText>
            </w:r>
            <w:r>
              <w:rPr>
                <w:webHidden/>
              </w:rPr>
            </w:r>
            <w:r>
              <w:rPr>
                <w:webHidden/>
              </w:rPr>
              <w:fldChar w:fldCharType="separate"/>
            </w:r>
            <w:r>
              <w:rPr>
                <w:webHidden/>
              </w:rPr>
              <w:t>26</w:t>
            </w:r>
            <w:r>
              <w:rPr>
                <w:webHidden/>
              </w:rPr>
              <w:fldChar w:fldCharType="end"/>
            </w:r>
          </w:hyperlink>
        </w:p>
        <w:p w14:paraId="188B1DA7" w14:textId="3A4ADEDA" w:rsidR="00935332" w:rsidRDefault="0093533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936937" w:history="1">
            <w:r w:rsidRPr="00982985">
              <w:rPr>
                <w:rStyle w:val="Hyperlink"/>
                <w:noProof/>
              </w:rPr>
              <w:t>Chromium-DL-methionine (Chromium organic chelates)</w:t>
            </w:r>
            <w:r>
              <w:rPr>
                <w:noProof/>
                <w:webHidden/>
              </w:rPr>
              <w:tab/>
            </w:r>
            <w:r>
              <w:rPr>
                <w:noProof/>
                <w:webHidden/>
              </w:rPr>
              <w:fldChar w:fldCharType="begin"/>
            </w:r>
            <w:r>
              <w:rPr>
                <w:noProof/>
                <w:webHidden/>
              </w:rPr>
              <w:instrText xml:space="preserve"> PAGEREF _Toc187936937 \h </w:instrText>
            </w:r>
            <w:r>
              <w:rPr>
                <w:noProof/>
                <w:webHidden/>
              </w:rPr>
            </w:r>
            <w:r>
              <w:rPr>
                <w:noProof/>
                <w:webHidden/>
              </w:rPr>
              <w:fldChar w:fldCharType="separate"/>
            </w:r>
            <w:r>
              <w:rPr>
                <w:noProof/>
                <w:webHidden/>
              </w:rPr>
              <w:t>26</w:t>
            </w:r>
            <w:r>
              <w:rPr>
                <w:noProof/>
                <w:webHidden/>
              </w:rPr>
              <w:fldChar w:fldCharType="end"/>
            </w:r>
          </w:hyperlink>
        </w:p>
        <w:p w14:paraId="2BFD488A" w14:textId="30764552" w:rsidR="00935332" w:rsidRDefault="00935332">
          <w:pPr>
            <w:pStyle w:val="TOC2"/>
            <w:rPr>
              <w:rFonts w:asciiTheme="minorHAnsi" w:eastAsiaTheme="minorEastAsia" w:hAnsiTheme="minorHAnsi" w:cstheme="minorBidi"/>
              <w:b w:val="0"/>
              <w:bCs w:val="0"/>
              <w:color w:val="auto"/>
              <w:kern w:val="2"/>
              <w:szCs w:val="24"/>
              <w:lang w:eastAsia="en-AU"/>
              <w14:ligatures w14:val="standardContextual"/>
            </w:rPr>
          </w:pPr>
          <w:hyperlink w:anchor="_Toc187936938" w:history="1">
            <w:r w:rsidRPr="00982985">
              <w:rPr>
                <w:rStyle w:val="Hyperlink"/>
              </w:rPr>
              <w:t>How to respond</w:t>
            </w:r>
            <w:r>
              <w:rPr>
                <w:webHidden/>
              </w:rPr>
              <w:tab/>
            </w:r>
            <w:r>
              <w:rPr>
                <w:webHidden/>
              </w:rPr>
              <w:fldChar w:fldCharType="begin"/>
            </w:r>
            <w:r>
              <w:rPr>
                <w:webHidden/>
              </w:rPr>
              <w:instrText xml:space="preserve"> PAGEREF _Toc187936938 \h </w:instrText>
            </w:r>
            <w:r>
              <w:rPr>
                <w:webHidden/>
              </w:rPr>
            </w:r>
            <w:r>
              <w:rPr>
                <w:webHidden/>
              </w:rPr>
              <w:fldChar w:fldCharType="separate"/>
            </w:r>
            <w:r>
              <w:rPr>
                <w:webHidden/>
              </w:rPr>
              <w:t>29</w:t>
            </w:r>
            <w:r>
              <w:rPr>
                <w:webHidden/>
              </w:rPr>
              <w:fldChar w:fldCharType="end"/>
            </w:r>
          </w:hyperlink>
        </w:p>
        <w:p w14:paraId="2ED4AACE" w14:textId="5A5B6630" w:rsidR="00935332" w:rsidRDefault="00935332">
          <w:pPr>
            <w:pStyle w:val="TOC2"/>
            <w:rPr>
              <w:rFonts w:asciiTheme="minorHAnsi" w:eastAsiaTheme="minorEastAsia" w:hAnsiTheme="minorHAnsi" w:cstheme="minorBidi"/>
              <w:b w:val="0"/>
              <w:bCs w:val="0"/>
              <w:color w:val="auto"/>
              <w:kern w:val="2"/>
              <w:szCs w:val="24"/>
              <w:lang w:eastAsia="en-AU"/>
              <w14:ligatures w14:val="standardContextual"/>
            </w:rPr>
          </w:pPr>
          <w:hyperlink w:anchor="_Toc187936939" w:history="1">
            <w:r w:rsidRPr="00982985">
              <w:rPr>
                <w:rStyle w:val="Hyperlink"/>
              </w:rPr>
              <w:t>What will happen</w:t>
            </w:r>
            <w:r>
              <w:rPr>
                <w:webHidden/>
              </w:rPr>
              <w:tab/>
            </w:r>
            <w:r>
              <w:rPr>
                <w:webHidden/>
              </w:rPr>
              <w:fldChar w:fldCharType="begin"/>
            </w:r>
            <w:r>
              <w:rPr>
                <w:webHidden/>
              </w:rPr>
              <w:instrText xml:space="preserve"> PAGEREF _Toc187936939 \h </w:instrText>
            </w:r>
            <w:r>
              <w:rPr>
                <w:webHidden/>
              </w:rPr>
            </w:r>
            <w:r>
              <w:rPr>
                <w:webHidden/>
              </w:rPr>
              <w:fldChar w:fldCharType="separate"/>
            </w:r>
            <w:r>
              <w:rPr>
                <w:webHidden/>
              </w:rPr>
              <w:t>29</w:t>
            </w:r>
            <w:r>
              <w:rPr>
                <w:webHidden/>
              </w:rPr>
              <w:fldChar w:fldCharType="end"/>
            </w:r>
          </w:hyperlink>
        </w:p>
        <w:p w14:paraId="17D6BA47" w14:textId="2FA95E0E" w:rsidR="00DF307D" w:rsidRDefault="00DF307D">
          <w:r>
            <w:rPr>
              <w:b/>
              <w:bCs/>
              <w:noProof/>
            </w:rPr>
            <w:fldChar w:fldCharType="end"/>
          </w:r>
        </w:p>
      </w:sdtContent>
    </w:sdt>
    <w:p w14:paraId="6F848BBB" w14:textId="77777777" w:rsidR="0089410A" w:rsidRPr="00E35D79" w:rsidRDefault="0089410A" w:rsidP="00E35D79">
      <w:pPr>
        <w:rPr>
          <w:rFonts w:asciiTheme="minorHAnsi" w:hAnsiTheme="minorHAnsi" w:cstheme="minorHAnsi"/>
        </w:rPr>
      </w:pPr>
      <w:r w:rsidRPr="00E35D79">
        <w:rPr>
          <w:rFonts w:asciiTheme="minorHAnsi" w:hAnsiTheme="minorHAnsi" w:cstheme="minorHAnsi"/>
        </w:rPr>
        <w:br w:type="page"/>
      </w:r>
    </w:p>
    <w:p w14:paraId="4AF16D4F" w14:textId="13668565" w:rsidR="0089410A" w:rsidRPr="00E35D79" w:rsidRDefault="006350C3" w:rsidP="001815C2">
      <w:pPr>
        <w:pStyle w:val="Heading2"/>
      </w:pPr>
      <w:bookmarkStart w:id="4" w:name="_Toc187936929"/>
      <w:r w:rsidRPr="00E35D79">
        <w:lastRenderedPageBreak/>
        <w:t>About this consultation</w:t>
      </w:r>
      <w:bookmarkEnd w:id="4"/>
    </w:p>
    <w:p w14:paraId="43532028" w14:textId="77777777" w:rsidR="006350C3" w:rsidRPr="00E35D79" w:rsidRDefault="006350C3" w:rsidP="002E124F">
      <w:r w:rsidRPr="00E35D79">
        <w:t>Subdivision 3D.2 of the Therapeutic Goods Regulations 1990 (the Regulations) sets out the procedure to be followed where the Secretary receives an application under section 52EAA of the Therapeutic Goods Act 1989 (the Act)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481F2D43" w14:textId="0B536F99" w:rsidR="00AF5B97" w:rsidRPr="0042040F" w:rsidRDefault="006350C3">
      <w:r w:rsidRPr="00E35D79">
        <w:rPr>
          <w:noProof/>
        </w:rPr>
        <mc:AlternateContent>
          <mc:Choice Requires="wps">
            <w:drawing>
              <wp:anchor distT="0" distB="0" distL="114300" distR="114300" simplePos="0" relativeHeight="251659264" behindDoc="0" locked="0" layoutInCell="1" allowOverlap="1" wp14:anchorId="5502078C" wp14:editId="49E87AAC">
                <wp:simplePos x="0" y="0"/>
                <wp:positionH relativeFrom="margin">
                  <wp:posOffset>0</wp:posOffset>
                </wp:positionH>
                <wp:positionV relativeFrom="paragraph">
                  <wp:posOffset>1007110</wp:posOffset>
                </wp:positionV>
                <wp:extent cx="1828800" cy="1828800"/>
                <wp:effectExtent l="0" t="0" r="25400" b="1333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0B45BFCF" w14:textId="78D994B5" w:rsidR="006350C3" w:rsidRPr="00520CD5" w:rsidRDefault="006350C3" w:rsidP="006350C3">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9" w:history="1">
                              <w:r w:rsidRPr="00520CD5">
                                <w:rPr>
                                  <w:rStyle w:val="Hyperlink"/>
                                  <w:rFonts w:cs="Arial"/>
                                  <w:szCs w:val="18"/>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0" w:history="1">
                              <w:r w:rsidRPr="00520CD5">
                                <w:rPr>
                                  <w:rStyle w:val="Hyperlink"/>
                                  <w:rFonts w:cs="Arial"/>
                                  <w:szCs w:val="18"/>
                                </w:rPr>
                                <w:t>Advisory Committee on Medicines Scheduling (ACMS)</w:t>
                              </w:r>
                            </w:hyperlink>
                            <w:r w:rsidRPr="00520CD5">
                              <w:rPr>
                                <w:rFonts w:cs="Arial"/>
                                <w:szCs w:val="18"/>
                                <w:lang w:val="en"/>
                              </w:rPr>
                              <w:t xml:space="preserve">, </w:t>
                            </w:r>
                            <w:r w:rsidRPr="00520CD5">
                              <w:rPr>
                                <w:rFonts w:cs="Arial"/>
                                <w:szCs w:val="18"/>
                              </w:rPr>
                              <w:t>meeting of the</w:t>
                            </w:r>
                            <w:r w:rsidRPr="00520CD5">
                              <w:rPr>
                                <w:rFonts w:cs="Arial"/>
                                <w:szCs w:val="18"/>
                                <w:lang w:val="en"/>
                              </w:rPr>
                              <w:t xml:space="preserve"> </w:t>
                            </w:r>
                            <w:hyperlink r:id="rId11" w:history="1">
                              <w:r w:rsidRPr="00520CD5">
                                <w:rPr>
                                  <w:rStyle w:val="Hyperlink"/>
                                  <w:rFonts w:cs="Arial"/>
                                  <w:szCs w:val="18"/>
                                </w:rPr>
                                <w:t>Advisory Committee on Chemicals Scheduling (ACCS)</w:t>
                              </w:r>
                            </w:hyperlink>
                            <w:r w:rsidRPr="00520CD5">
                              <w:rPr>
                                <w:rFonts w:cs="Arial"/>
                                <w:szCs w:val="18"/>
                                <w:lang w:val="en"/>
                              </w:rPr>
                              <w:t xml:space="preserve">, </w:t>
                            </w:r>
                            <w:r w:rsidRPr="00520CD5">
                              <w:rPr>
                                <w:rFonts w:cs="Arial"/>
                                <w:szCs w:val="18"/>
                              </w:rPr>
                              <w:t>or a joint meeting of these two committees.</w:t>
                            </w:r>
                          </w:p>
                          <w:p w14:paraId="0DDC1276" w14:textId="73876D68" w:rsidR="006350C3" w:rsidRPr="00520CD5" w:rsidRDefault="006350C3" w:rsidP="006350C3">
                            <w:pPr>
                              <w:rPr>
                                <w:rFonts w:cs="Arial"/>
                                <w:b/>
                                <w:szCs w:val="18"/>
                                <w:lang w:val="en"/>
                              </w:rPr>
                            </w:pPr>
                            <w:r w:rsidRPr="00520CD5">
                              <w:rPr>
                                <w:rFonts w:cs="Arial"/>
                                <w:b/>
                                <w:szCs w:val="18"/>
                                <w:lang w:val="en"/>
                              </w:rPr>
                              <w:t xml:space="preserve">This consultation closes on </w:t>
                            </w:r>
                            <w:r w:rsidR="00AF5B97">
                              <w:rPr>
                                <w:rFonts w:cs="Arial"/>
                                <w:b/>
                                <w:szCs w:val="18"/>
                                <w:lang w:val="en"/>
                              </w:rPr>
                              <w:t>17</w:t>
                            </w:r>
                            <w:r w:rsidR="00847396">
                              <w:rPr>
                                <w:rFonts w:cs="Arial"/>
                                <w:b/>
                                <w:szCs w:val="18"/>
                                <w:lang w:val="en"/>
                              </w:rPr>
                              <w:t xml:space="preserve"> February 2025.</w:t>
                            </w:r>
                          </w:p>
                          <w:p w14:paraId="4EBCFD6D" w14:textId="77777777" w:rsidR="006350C3" w:rsidRPr="00520CD5" w:rsidRDefault="006350C3" w:rsidP="006350C3">
                            <w:pPr>
                              <w:rPr>
                                <w:rFonts w:cs="Arial"/>
                                <w:szCs w:val="18"/>
                              </w:rPr>
                            </w:pPr>
                            <w:r w:rsidRPr="00520CD5">
                              <w:rPr>
                                <w:rFonts w:cs="Arial"/>
                                <w:szCs w:val="18"/>
                              </w:rPr>
                              <w:t>We aim to provide documents in an accessible format. If you're having problems using this document, please contact </w:t>
                            </w:r>
                            <w:hyperlink r:id="rId12" w:history="1">
                              <w:r w:rsidRPr="00520CD5">
                                <w:rPr>
                                  <w:rStyle w:val="Hyperlink"/>
                                  <w:rFonts w:cs="Arial"/>
                                  <w:szCs w:val="18"/>
                                </w:rPr>
                                <w:t>medicines.scheduling@health.gov.au</w:t>
                              </w:r>
                            </w:hyperlink>
                            <w:r w:rsidRPr="00520CD5">
                              <w:rPr>
                                <w:rFonts w:cs="Arial"/>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02078C" id="_x0000_t202" coordsize="21600,21600" o:spt="202" path="m,l,21600r21600,l21600,xe">
                <v:stroke joinstyle="miter"/>
                <v:path gradientshapeok="t" o:connecttype="rect"/>
              </v:shapetype>
              <v:shape id="Text Box 5" o:spid="_x0000_s1026" type="#_x0000_t202" style="position:absolute;margin-left:0;margin-top:79.3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0B45BFCF" w14:textId="78D994B5" w:rsidR="006350C3" w:rsidRPr="00520CD5" w:rsidRDefault="006350C3" w:rsidP="006350C3">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13" w:history="1">
                        <w:r w:rsidRPr="00520CD5">
                          <w:rPr>
                            <w:rStyle w:val="Hyperlink"/>
                            <w:rFonts w:cs="Arial"/>
                            <w:szCs w:val="18"/>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4" w:history="1">
                        <w:r w:rsidRPr="00520CD5">
                          <w:rPr>
                            <w:rStyle w:val="Hyperlink"/>
                            <w:rFonts w:cs="Arial"/>
                            <w:szCs w:val="18"/>
                          </w:rPr>
                          <w:t>Advisory Committee on Medicines Scheduling (ACMS)</w:t>
                        </w:r>
                      </w:hyperlink>
                      <w:r w:rsidRPr="00520CD5">
                        <w:rPr>
                          <w:rFonts w:cs="Arial"/>
                          <w:szCs w:val="18"/>
                          <w:lang w:val="en"/>
                        </w:rPr>
                        <w:t xml:space="preserve">, </w:t>
                      </w:r>
                      <w:r w:rsidRPr="00520CD5">
                        <w:rPr>
                          <w:rFonts w:cs="Arial"/>
                          <w:szCs w:val="18"/>
                        </w:rPr>
                        <w:t>meeting of the</w:t>
                      </w:r>
                      <w:r w:rsidRPr="00520CD5">
                        <w:rPr>
                          <w:rFonts w:cs="Arial"/>
                          <w:szCs w:val="18"/>
                          <w:lang w:val="en"/>
                        </w:rPr>
                        <w:t xml:space="preserve"> </w:t>
                      </w:r>
                      <w:hyperlink r:id="rId15" w:history="1">
                        <w:r w:rsidRPr="00520CD5">
                          <w:rPr>
                            <w:rStyle w:val="Hyperlink"/>
                            <w:rFonts w:cs="Arial"/>
                            <w:szCs w:val="18"/>
                          </w:rPr>
                          <w:t>Advisory Committee on Chemicals Scheduling (ACCS)</w:t>
                        </w:r>
                      </w:hyperlink>
                      <w:r w:rsidRPr="00520CD5">
                        <w:rPr>
                          <w:rFonts w:cs="Arial"/>
                          <w:szCs w:val="18"/>
                          <w:lang w:val="en"/>
                        </w:rPr>
                        <w:t xml:space="preserve">, </w:t>
                      </w:r>
                      <w:r w:rsidRPr="00520CD5">
                        <w:rPr>
                          <w:rFonts w:cs="Arial"/>
                          <w:szCs w:val="18"/>
                        </w:rPr>
                        <w:t>or a joint meeting of these two committees.</w:t>
                      </w:r>
                    </w:p>
                    <w:p w14:paraId="0DDC1276" w14:textId="73876D68" w:rsidR="006350C3" w:rsidRPr="00520CD5" w:rsidRDefault="006350C3" w:rsidP="006350C3">
                      <w:pPr>
                        <w:rPr>
                          <w:rFonts w:cs="Arial"/>
                          <w:b/>
                          <w:szCs w:val="18"/>
                          <w:lang w:val="en"/>
                        </w:rPr>
                      </w:pPr>
                      <w:r w:rsidRPr="00520CD5">
                        <w:rPr>
                          <w:rFonts w:cs="Arial"/>
                          <w:b/>
                          <w:szCs w:val="18"/>
                          <w:lang w:val="en"/>
                        </w:rPr>
                        <w:t xml:space="preserve">This consultation closes on </w:t>
                      </w:r>
                      <w:r w:rsidR="00AF5B97">
                        <w:rPr>
                          <w:rFonts w:cs="Arial"/>
                          <w:b/>
                          <w:szCs w:val="18"/>
                          <w:lang w:val="en"/>
                        </w:rPr>
                        <w:t>17</w:t>
                      </w:r>
                      <w:r w:rsidR="00847396">
                        <w:rPr>
                          <w:rFonts w:cs="Arial"/>
                          <w:b/>
                          <w:szCs w:val="18"/>
                          <w:lang w:val="en"/>
                        </w:rPr>
                        <w:t xml:space="preserve"> February 2025.</w:t>
                      </w:r>
                    </w:p>
                    <w:p w14:paraId="4EBCFD6D" w14:textId="77777777" w:rsidR="006350C3" w:rsidRPr="00520CD5" w:rsidRDefault="006350C3" w:rsidP="006350C3">
                      <w:pPr>
                        <w:rPr>
                          <w:rFonts w:cs="Arial"/>
                          <w:szCs w:val="18"/>
                        </w:rPr>
                      </w:pPr>
                      <w:r w:rsidRPr="00520CD5">
                        <w:rPr>
                          <w:rFonts w:cs="Arial"/>
                          <w:szCs w:val="18"/>
                        </w:rPr>
                        <w:t>We aim to provide documents in an accessible format. If you're having problems using this document, please contact </w:t>
                      </w:r>
                      <w:hyperlink r:id="rId16" w:history="1">
                        <w:r w:rsidRPr="00520CD5">
                          <w:rPr>
                            <w:rStyle w:val="Hyperlink"/>
                            <w:rFonts w:cs="Arial"/>
                            <w:szCs w:val="18"/>
                          </w:rPr>
                          <w:t>medicines.scheduling@health.gov.au</w:t>
                        </w:r>
                      </w:hyperlink>
                      <w:r w:rsidRPr="00520CD5">
                        <w:rPr>
                          <w:rFonts w:cs="Arial"/>
                          <w:szCs w:val="18"/>
                        </w:rPr>
                        <w:t>.</w:t>
                      </w:r>
                    </w:p>
                  </w:txbxContent>
                </v:textbox>
                <w10:wrap type="square" anchorx="margin"/>
              </v:shape>
            </w:pict>
          </mc:Fallback>
        </mc:AlternateContent>
      </w:r>
      <w:r w:rsidRPr="00E35D79">
        <w:t xml:space="preserve">In accordance with regulation 42ZCZK of the Regulations, the Secretary invites public submissions on scheduling proposals referred to the </w:t>
      </w:r>
      <w:r w:rsidR="00A506C4" w:rsidRPr="00E35D79">
        <w:t>M</w:t>
      </w:r>
      <w:r w:rsidR="00364838">
        <w:t>arch</w:t>
      </w:r>
      <w:r w:rsidRPr="00E35D79">
        <w:t xml:space="preserve"> 20</w:t>
      </w:r>
      <w:r w:rsidR="00A506C4" w:rsidRPr="00E35D79">
        <w:t>25</w:t>
      </w:r>
      <w:r w:rsidRPr="00E35D79">
        <w:t xml:space="preserve"> meetings of the Advisory Committee on Chemicals Scheduling (ACCS)</w:t>
      </w:r>
      <w:r w:rsidR="00AF5B97">
        <w:t xml:space="preserve"> </w:t>
      </w:r>
      <w:r w:rsidRPr="00E35D79">
        <w:t xml:space="preserve">and </w:t>
      </w:r>
      <w:r w:rsidR="00847396" w:rsidRPr="00E35D79">
        <w:t>Advisory Committee on Medicines Scheduling (ACMS)</w:t>
      </w:r>
      <w:r w:rsidR="00D76B90" w:rsidRPr="00E35D79">
        <w:t xml:space="preserve"> and </w:t>
      </w:r>
      <w:r w:rsidR="00847396" w:rsidRPr="00E35D79">
        <w:t>ACCS</w:t>
      </w:r>
      <w:r w:rsidRPr="00E35D79">
        <w:t xml:space="preserve"> </w:t>
      </w:r>
      <w:r w:rsidR="00D76B90" w:rsidRPr="00E35D79">
        <w:t xml:space="preserve">in joint session </w:t>
      </w:r>
      <w:r w:rsidRPr="00E35D79">
        <w:t>(Joint ACMS-ACCS). Submissions must be received by close of business </w:t>
      </w:r>
      <w:r w:rsidR="00AF5B97" w:rsidRPr="00AF5B97">
        <w:t>17</w:t>
      </w:r>
      <w:r w:rsidR="00847396" w:rsidRPr="00AF5B97">
        <w:t> February 2025</w:t>
      </w:r>
      <w:r w:rsidRPr="00AF5B97">
        <w:t>.</w:t>
      </w:r>
      <w:bookmarkStart w:id="5" w:name="_Toc323739590"/>
      <w:bookmarkStart w:id="6" w:name="_Toc356305217"/>
      <w:r w:rsidR="00AF5B97">
        <w:rPr>
          <w:rFonts w:asciiTheme="minorHAnsi" w:hAnsiTheme="minorHAnsi" w:cstheme="minorHAnsi"/>
        </w:rPr>
        <w:br w:type="page"/>
      </w:r>
    </w:p>
    <w:p w14:paraId="03740943" w14:textId="436DCC27" w:rsidR="001C2075" w:rsidRPr="001815C2" w:rsidRDefault="001C2075" w:rsidP="001815C2">
      <w:pPr>
        <w:pStyle w:val="Heading2"/>
      </w:pPr>
      <w:bookmarkStart w:id="7" w:name="_Toc122614226"/>
      <w:bookmarkStart w:id="8" w:name="_Toc130227373"/>
      <w:bookmarkStart w:id="9" w:name="_Toc187936930"/>
      <w:bookmarkEnd w:id="5"/>
      <w:bookmarkEnd w:id="6"/>
      <w:r w:rsidRPr="001815C2">
        <w:lastRenderedPageBreak/>
        <w:t>Proposed amendment</w:t>
      </w:r>
      <w:r w:rsidR="0013658E" w:rsidRPr="001815C2">
        <w:t>s</w:t>
      </w:r>
      <w:r w:rsidRPr="001815C2">
        <w:t xml:space="preserve"> referred for scheduling advice to ACCS meeting #4</w:t>
      </w:r>
      <w:r w:rsidR="00FE4968">
        <w:t>0</w:t>
      </w:r>
      <w:bookmarkEnd w:id="9"/>
    </w:p>
    <w:p w14:paraId="1AE580DC" w14:textId="77777777" w:rsidR="00661EB0" w:rsidRPr="00E35D79" w:rsidRDefault="00661EB0" w:rsidP="001E1F50">
      <w:pPr>
        <w:pStyle w:val="Heading3"/>
      </w:pPr>
      <w:bookmarkStart w:id="10" w:name="_Toc187936931"/>
      <w:r w:rsidRPr="00E35D79">
        <w:t>Sodium hydroxide and potassium hydroxide</w:t>
      </w:r>
      <w:bookmarkEnd w:id="10"/>
    </w:p>
    <w:p w14:paraId="718D2819" w14:textId="77777777" w:rsidR="00661EB0" w:rsidRPr="001E16FD" w:rsidRDefault="00661EB0" w:rsidP="005870C8">
      <w:pPr>
        <w:pStyle w:val="Heading4"/>
      </w:pPr>
      <w:r w:rsidRPr="001E16FD">
        <w:t>Proposal</w:t>
      </w:r>
    </w:p>
    <w:p w14:paraId="56AE89EC" w14:textId="57D8B5A3" w:rsidR="00BE46E1" w:rsidRPr="00E35D79" w:rsidRDefault="001117F4" w:rsidP="005B10C8">
      <w:r w:rsidRPr="00E35D79">
        <w:t xml:space="preserve">The applicant proposed a new Schedule 7 entry and amendments to the Schedule 5 and 6 entries for sodium hydroxide and potassium hydroxide. The proposed amendments would </w:t>
      </w:r>
      <w:r w:rsidR="00BE46E1" w:rsidRPr="00E35D79">
        <w:t>classify:</w:t>
      </w:r>
    </w:p>
    <w:p w14:paraId="5D0748A5" w14:textId="2B7F7792" w:rsidR="00BE46E1" w:rsidRPr="00597812" w:rsidRDefault="001117F4" w:rsidP="00364838">
      <w:pPr>
        <w:pStyle w:val="ListParagraph"/>
      </w:pPr>
      <w:r w:rsidRPr="00597812">
        <w:t>high concentrations (</w:t>
      </w:r>
      <w:r w:rsidR="00BE46E1" w:rsidRPr="00597812">
        <w:t xml:space="preserve">greater than </w:t>
      </w:r>
      <w:r w:rsidRPr="00597812">
        <w:t>5%) and high pH (</w:t>
      </w:r>
      <w:r w:rsidR="00BE46E1" w:rsidRPr="00597812">
        <w:t>greater than</w:t>
      </w:r>
      <w:r w:rsidRPr="00597812">
        <w:t xml:space="preserve">12.5) preparations of sodium hydroxide and potassium hydroxide </w:t>
      </w:r>
      <w:r w:rsidR="00BE46E1" w:rsidRPr="00597812">
        <w:t>as</w:t>
      </w:r>
      <w:r w:rsidRPr="00597812">
        <w:t xml:space="preserve"> Dangerous poisons</w:t>
      </w:r>
      <w:r w:rsidR="00BE46E1" w:rsidRPr="00597812">
        <w:t xml:space="preserve"> (Schedule 7</w:t>
      </w:r>
      <w:r w:rsidRPr="00597812">
        <w:t>).</w:t>
      </w:r>
    </w:p>
    <w:p w14:paraId="2AF3B90F" w14:textId="74C15535" w:rsidR="00BE46E1" w:rsidRPr="00597812" w:rsidRDefault="00BE46E1" w:rsidP="00364838">
      <w:pPr>
        <w:pStyle w:val="ListParagraph"/>
      </w:pPr>
      <w:r w:rsidRPr="00597812">
        <w:t xml:space="preserve">preparations containing 5% or less of these substances and greater than pH 12.5 or preparations containing greater than 5% of these substances with a pH of 12.5 or less as Poisons (Schedule 6) </w:t>
      </w:r>
    </w:p>
    <w:p w14:paraId="3831CDE5" w14:textId="601F0AD3" w:rsidR="00BE46E1" w:rsidRPr="00E35D79" w:rsidRDefault="001117F4" w:rsidP="00364838">
      <w:pPr>
        <w:pStyle w:val="ListParagraph"/>
      </w:pPr>
      <w:r w:rsidRPr="00597812">
        <w:t xml:space="preserve">preparations containing 5% or less of the substances that are greater than pH 11.5, but less than or equal to pH 12.5 </w:t>
      </w:r>
      <w:r w:rsidR="00BE46E1" w:rsidRPr="00597812">
        <w:t>as Caution</w:t>
      </w:r>
      <w:r w:rsidRPr="00597812">
        <w:t xml:space="preserve"> </w:t>
      </w:r>
      <w:r w:rsidR="00BE46E1" w:rsidRPr="00597812">
        <w:t>(</w:t>
      </w:r>
      <w:r w:rsidRPr="00597812">
        <w:t>Schedule 5</w:t>
      </w:r>
      <w:r w:rsidR="00BE46E1" w:rsidRPr="00597812">
        <w:t>)</w:t>
      </w:r>
      <w:r w:rsidRPr="00597812">
        <w:t>.</w:t>
      </w:r>
    </w:p>
    <w:p w14:paraId="683E969B" w14:textId="30849146" w:rsidR="00BE46E1" w:rsidRPr="00E35D79" w:rsidRDefault="00BE46E1" w:rsidP="00E35D79">
      <w:pPr>
        <w:rPr>
          <w:rFonts w:asciiTheme="minorHAnsi" w:hAnsiTheme="minorHAnsi" w:cstheme="minorHAnsi"/>
        </w:rPr>
      </w:pPr>
      <w:r w:rsidRPr="00E35D79">
        <w:rPr>
          <w:rFonts w:asciiTheme="minorHAnsi" w:hAnsiTheme="minorHAnsi" w:cstheme="minorHAnsi"/>
        </w:rPr>
        <w:t>All preparations containing sodium hydroxide or potassium hydroxide in liquid or semi-solid food additive preparations for domestic use, with a pH greater than 11.5, will continue to</w:t>
      </w:r>
      <w:r w:rsidR="00385FD9" w:rsidRPr="00E35D79">
        <w:rPr>
          <w:rFonts w:asciiTheme="minorHAnsi" w:hAnsiTheme="minorHAnsi" w:cstheme="minorHAnsi"/>
        </w:rPr>
        <w:t xml:space="preserve"> be</w:t>
      </w:r>
      <w:r w:rsidRPr="00E35D79">
        <w:rPr>
          <w:rFonts w:asciiTheme="minorHAnsi" w:hAnsiTheme="minorHAnsi" w:cstheme="minorHAnsi"/>
        </w:rPr>
        <w:t xml:space="preserve"> </w:t>
      </w:r>
      <w:r w:rsidR="003777B5" w:rsidRPr="00E35D79">
        <w:rPr>
          <w:rFonts w:asciiTheme="minorHAnsi" w:hAnsiTheme="minorHAnsi" w:cstheme="minorHAnsi"/>
        </w:rPr>
        <w:t>considered as Prohibited substances (</w:t>
      </w:r>
      <w:r w:rsidRPr="00E35D79">
        <w:rPr>
          <w:rFonts w:asciiTheme="minorHAnsi" w:hAnsiTheme="minorHAnsi" w:cstheme="minorHAnsi"/>
        </w:rPr>
        <w:t>Schedule 10</w:t>
      </w:r>
      <w:r w:rsidR="003777B5" w:rsidRPr="00E35D79">
        <w:rPr>
          <w:rFonts w:asciiTheme="minorHAnsi" w:hAnsiTheme="minorHAnsi" w:cstheme="minorHAnsi"/>
        </w:rPr>
        <w:t>)</w:t>
      </w:r>
      <w:r w:rsidRPr="00E35D79">
        <w:rPr>
          <w:rFonts w:asciiTheme="minorHAnsi" w:hAnsiTheme="minorHAnsi" w:cstheme="minorHAnsi"/>
        </w:rPr>
        <w:t>.</w:t>
      </w:r>
    </w:p>
    <w:p w14:paraId="4A3A548F" w14:textId="041D58F7" w:rsidR="003777B5" w:rsidRPr="00E35D79" w:rsidRDefault="001117F4" w:rsidP="00E35D79">
      <w:pPr>
        <w:rPr>
          <w:rFonts w:asciiTheme="minorHAnsi" w:hAnsiTheme="minorHAnsi" w:cstheme="minorHAnsi"/>
        </w:rPr>
      </w:pPr>
      <w:r w:rsidRPr="00E35D79">
        <w:rPr>
          <w:rFonts w:asciiTheme="minorHAnsi" w:hAnsiTheme="minorHAnsi" w:cstheme="minorHAnsi"/>
        </w:rPr>
        <w:t>The applicant also proposed to create an Appendix J entry for both the substances requiring that Schedule 7 preparations only be supplied to a person who is appropriately authorised or licensed under the law of the jurisdiction where the person will receive the poison.</w:t>
      </w:r>
    </w:p>
    <w:p w14:paraId="21B5BAEC" w14:textId="6F6D4690" w:rsidR="00661EB0" w:rsidRPr="001E16FD" w:rsidRDefault="00661EB0" w:rsidP="005870C8">
      <w:pPr>
        <w:pStyle w:val="Heading4"/>
      </w:pPr>
      <w:r w:rsidRPr="001E16FD">
        <w:t>CAS Number</w:t>
      </w:r>
    </w:p>
    <w:p w14:paraId="33B9997E" w14:textId="77777777" w:rsidR="000263C7" w:rsidRPr="00E35D79" w:rsidRDefault="000263C7" w:rsidP="00E35D79">
      <w:pPr>
        <w:rPr>
          <w:rFonts w:asciiTheme="minorHAnsi" w:hAnsiTheme="minorHAnsi" w:cstheme="minorHAnsi"/>
        </w:rPr>
      </w:pPr>
      <w:r w:rsidRPr="00E35D79">
        <w:rPr>
          <w:rFonts w:asciiTheme="minorHAnsi" w:hAnsiTheme="minorHAnsi" w:cstheme="minorHAnsi"/>
        </w:rPr>
        <w:t>1310-73-2 (Sodium hydroxide)</w:t>
      </w:r>
    </w:p>
    <w:p w14:paraId="09B29685" w14:textId="72424705" w:rsidR="00661EB0" w:rsidRPr="00E35D79" w:rsidRDefault="000263C7" w:rsidP="00E35D79">
      <w:pPr>
        <w:rPr>
          <w:rFonts w:asciiTheme="minorHAnsi" w:hAnsiTheme="minorHAnsi" w:cstheme="minorHAnsi"/>
        </w:rPr>
      </w:pPr>
      <w:r w:rsidRPr="00E35D79">
        <w:rPr>
          <w:rFonts w:asciiTheme="minorHAnsi" w:hAnsiTheme="minorHAnsi" w:cstheme="minorHAnsi"/>
        </w:rPr>
        <w:t>1310-58-3 (Potassium hydroxide)</w:t>
      </w:r>
    </w:p>
    <w:p w14:paraId="23452AF5" w14:textId="77777777" w:rsidR="00661EB0" w:rsidRPr="001E16FD" w:rsidRDefault="00661EB0" w:rsidP="005870C8">
      <w:pPr>
        <w:pStyle w:val="Heading4"/>
      </w:pPr>
      <w:r w:rsidRPr="001E16FD">
        <w:t>Alternative names</w:t>
      </w:r>
    </w:p>
    <w:p w14:paraId="2F8DCD26"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Sodium hydroxide: Caustic Soda, White Caustic, Lye</w:t>
      </w:r>
    </w:p>
    <w:p w14:paraId="6E0403F8"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Potassium hydroxide: Caustic Potash, Potash, Lye</w:t>
      </w:r>
    </w:p>
    <w:p w14:paraId="2B1920C7" w14:textId="77777777" w:rsidR="00661EB0" w:rsidRPr="001E16FD" w:rsidRDefault="00661EB0" w:rsidP="005870C8">
      <w:pPr>
        <w:pStyle w:val="Heading4"/>
      </w:pPr>
      <w:r w:rsidRPr="001E16FD">
        <w:t>Applicant</w:t>
      </w:r>
    </w:p>
    <w:p w14:paraId="7E0B4A7B" w14:textId="7C3C3248" w:rsidR="00661EB0" w:rsidRPr="00E35D79" w:rsidRDefault="0013481F" w:rsidP="00E35D79">
      <w:pPr>
        <w:rPr>
          <w:rFonts w:asciiTheme="minorHAnsi" w:hAnsiTheme="minorHAnsi" w:cstheme="minorHAnsi"/>
        </w:rPr>
      </w:pPr>
      <w:r>
        <w:rPr>
          <w:rFonts w:asciiTheme="minorHAnsi" w:hAnsiTheme="minorHAnsi" w:cstheme="minorHAnsi"/>
        </w:rPr>
        <w:t>Private applicant</w:t>
      </w:r>
    </w:p>
    <w:p w14:paraId="123548DF" w14:textId="77777777" w:rsidR="00661EB0" w:rsidRPr="005870C8" w:rsidRDefault="00661EB0" w:rsidP="005870C8">
      <w:pPr>
        <w:pStyle w:val="Heading4"/>
      </w:pPr>
      <w:r w:rsidRPr="005870C8">
        <w:t>Proposed Scheduling</w:t>
      </w:r>
    </w:p>
    <w:p w14:paraId="6AF4D9E0" w14:textId="42731DD4" w:rsidR="007F2A29" w:rsidRPr="00E35D79" w:rsidRDefault="00661EB0" w:rsidP="00E35D79">
      <w:pPr>
        <w:rPr>
          <w:rFonts w:asciiTheme="minorHAnsi" w:hAnsiTheme="minorHAnsi" w:cstheme="minorHAnsi"/>
        </w:rPr>
      </w:pPr>
      <w:r w:rsidRPr="00E35D79">
        <w:rPr>
          <w:rFonts w:asciiTheme="minorHAnsi" w:hAnsiTheme="minorHAnsi" w:cstheme="minorHAnsi"/>
        </w:rPr>
        <w:t>Sodium hydroxide and potassium hydroxide are currently listed in Schedules 10, 6, and 5 of the Poisons Standard</w:t>
      </w:r>
      <w:r w:rsidR="003777B5" w:rsidRPr="00E35D79">
        <w:rPr>
          <w:rFonts w:asciiTheme="minorHAnsi" w:hAnsiTheme="minorHAnsi" w:cstheme="minorHAnsi"/>
        </w:rPr>
        <w:t>. These two substances in liquid or semi</w:t>
      </w:r>
      <w:r w:rsidR="003777B5" w:rsidRPr="00E35D79">
        <w:rPr>
          <w:rFonts w:ascii="Cambria Math" w:hAnsi="Cambria Math" w:cs="Cambria Math"/>
        </w:rPr>
        <w:t>‑</w:t>
      </w:r>
      <w:r w:rsidR="003777B5" w:rsidRPr="00E35D79">
        <w:rPr>
          <w:rFonts w:asciiTheme="minorHAnsi" w:hAnsiTheme="minorHAnsi" w:cstheme="minorHAnsi"/>
        </w:rPr>
        <w:t xml:space="preserve">solid food additive preparations for domestic use, when </w:t>
      </w:r>
      <w:r w:rsidR="00364838">
        <w:rPr>
          <w:rFonts w:asciiTheme="minorHAnsi" w:hAnsiTheme="minorHAnsi" w:cstheme="minorHAnsi"/>
        </w:rPr>
        <w:t xml:space="preserve">the </w:t>
      </w:r>
      <w:r w:rsidR="003777B5" w:rsidRPr="00E35D79">
        <w:rPr>
          <w:rFonts w:asciiTheme="minorHAnsi" w:hAnsiTheme="minorHAnsi" w:cstheme="minorHAnsi"/>
        </w:rPr>
        <w:t>pH is more than 11.5 are classified as Schedule 10. Preparations containing greater than 5% are listed as Poisons (Schedule 6) whilst preparations containing 5% or less of sodium hydroxide and potassium hydroxide that are greater than pH 11.5 are classified as Caution (Schedule 5). Preparations containing less than 5% of these substances with a pH less than 11.5 are exempt from scheduling.</w:t>
      </w:r>
      <w:r w:rsidRPr="00E35D79">
        <w:rPr>
          <w:rFonts w:asciiTheme="minorHAnsi" w:hAnsiTheme="minorHAnsi" w:cstheme="minorHAnsi"/>
        </w:rPr>
        <w:t xml:space="preserve"> </w:t>
      </w:r>
      <w:r w:rsidR="003777B5" w:rsidRPr="00E35D79">
        <w:rPr>
          <w:rFonts w:asciiTheme="minorHAnsi" w:hAnsiTheme="minorHAnsi" w:cstheme="minorHAnsi"/>
        </w:rPr>
        <w:t>Additionally, preparations containing sodium hydroxide and potassium hydroxide are also required to carry</w:t>
      </w:r>
      <w:r w:rsidR="007F2A29" w:rsidRPr="00E35D79">
        <w:rPr>
          <w:rFonts w:asciiTheme="minorHAnsi" w:hAnsiTheme="minorHAnsi" w:cstheme="minorHAnsi"/>
        </w:rPr>
        <w:t xml:space="preserve"> first aid instructions (Appendix E) and warning statements and safety directions (Appendix F).</w:t>
      </w:r>
    </w:p>
    <w:p w14:paraId="213953FA" w14:textId="1B063143" w:rsidR="00661EB0" w:rsidRPr="00E35D79" w:rsidRDefault="007F2A29" w:rsidP="00E35D79">
      <w:pPr>
        <w:rPr>
          <w:rFonts w:asciiTheme="minorHAnsi" w:hAnsiTheme="minorHAnsi" w:cstheme="minorHAnsi"/>
        </w:rPr>
      </w:pPr>
      <w:r w:rsidRPr="00E35D79">
        <w:rPr>
          <w:rFonts w:asciiTheme="minorHAnsi" w:hAnsiTheme="minorHAnsi" w:cstheme="minorHAnsi"/>
        </w:rPr>
        <w:lastRenderedPageBreak/>
        <w:t>The applicant has proposed to amend the current Poisons Standard with regards to sodium hydroxide and potassium hydroxide as follows</w:t>
      </w:r>
      <w:r w:rsidRPr="0060214D">
        <w:rPr>
          <w:rFonts w:asciiTheme="minorHAnsi" w:hAnsiTheme="minorHAnsi" w:cstheme="minorHAnsi"/>
          <w:vertAlign w:val="superscript"/>
        </w:rPr>
        <w:footnoteReference w:id="1"/>
      </w:r>
      <w:r w:rsidRPr="00E35D79">
        <w:rPr>
          <w:rFonts w:asciiTheme="minorHAnsi" w:hAnsiTheme="minorHAnsi" w:cstheme="minorHAnsi"/>
        </w:rPr>
        <w:t>.</w:t>
      </w:r>
    </w:p>
    <w:p w14:paraId="417E3B7D" w14:textId="5C79F30B" w:rsidR="007F2A29" w:rsidRPr="0060214D" w:rsidRDefault="007F2A29" w:rsidP="00A049C2">
      <w:pPr>
        <w:ind w:left="284"/>
        <w:rPr>
          <w:rFonts w:asciiTheme="minorHAnsi" w:hAnsiTheme="minorHAnsi" w:cstheme="minorHAnsi"/>
          <w:b/>
          <w:bCs/>
        </w:rPr>
      </w:pPr>
      <w:r w:rsidRPr="0060214D">
        <w:rPr>
          <w:rFonts w:asciiTheme="minorHAnsi" w:hAnsiTheme="minorHAnsi" w:cstheme="minorHAnsi"/>
          <w:b/>
          <w:bCs/>
        </w:rPr>
        <w:t>Schedule 10</w:t>
      </w:r>
    </w:p>
    <w:p w14:paraId="5CE6E7AE" w14:textId="76C1BE7E" w:rsidR="007F2A29" w:rsidRPr="00E35D79" w:rsidRDefault="007F2A29" w:rsidP="00404481">
      <w:pPr>
        <w:ind w:left="567"/>
        <w:rPr>
          <w:rFonts w:asciiTheme="minorHAnsi" w:hAnsiTheme="minorHAnsi" w:cstheme="minorHAnsi"/>
        </w:rPr>
      </w:pPr>
      <w:r w:rsidRPr="00E35D79">
        <w:rPr>
          <w:rFonts w:asciiTheme="minorHAnsi" w:hAnsiTheme="minorHAnsi" w:cstheme="minorHAnsi"/>
        </w:rPr>
        <w:t>SODIUM HYDROXIDE (excluding its salts and derivatives), in liquid or semi</w:t>
      </w:r>
      <w:r w:rsidRPr="00E35D79">
        <w:rPr>
          <w:rFonts w:ascii="Cambria Math" w:hAnsi="Cambria Math" w:cs="Cambria Math"/>
        </w:rPr>
        <w:t>‑</w:t>
      </w:r>
      <w:r w:rsidRPr="00E35D79">
        <w:rPr>
          <w:rFonts w:asciiTheme="minorHAnsi" w:hAnsiTheme="minorHAnsi" w:cstheme="minorHAnsi"/>
        </w:rPr>
        <w:t>solid food additive preparations, for domestic use, the pH of which is more than 11.5.</w:t>
      </w:r>
    </w:p>
    <w:p w14:paraId="6857BA05" w14:textId="5DBB2954" w:rsidR="007F2A29" w:rsidRPr="00E35D79" w:rsidRDefault="007F2A29" w:rsidP="00404481">
      <w:pPr>
        <w:ind w:left="567"/>
        <w:rPr>
          <w:rFonts w:asciiTheme="minorHAnsi" w:hAnsiTheme="minorHAnsi" w:cstheme="minorHAnsi"/>
        </w:rPr>
      </w:pPr>
      <w:r w:rsidRPr="00E35D79">
        <w:rPr>
          <w:rFonts w:asciiTheme="minorHAnsi" w:hAnsiTheme="minorHAnsi" w:cstheme="minorHAnsi"/>
        </w:rPr>
        <w:t>POTASSIUM HYDROXIDE (excluding its salts and derivatives), in liquid or semi</w:t>
      </w:r>
      <w:r w:rsidRPr="00E35D79">
        <w:rPr>
          <w:rFonts w:ascii="Cambria Math" w:hAnsi="Cambria Math" w:cs="Cambria Math"/>
        </w:rPr>
        <w:t>‑</w:t>
      </w:r>
      <w:r w:rsidRPr="00E35D79">
        <w:rPr>
          <w:rFonts w:asciiTheme="minorHAnsi" w:hAnsiTheme="minorHAnsi" w:cstheme="minorHAnsi"/>
        </w:rPr>
        <w:t>solid food additive preparations, for domestic use, the pH of which is more than 11.5.</w:t>
      </w:r>
    </w:p>
    <w:p w14:paraId="55C8BAC4" w14:textId="18413DF0" w:rsidR="007F2A29" w:rsidRPr="00A049C2" w:rsidRDefault="007F2A29" w:rsidP="00A049C2">
      <w:pPr>
        <w:ind w:left="284"/>
        <w:rPr>
          <w:rFonts w:asciiTheme="minorHAnsi" w:hAnsiTheme="minorHAnsi" w:cstheme="minorHAnsi"/>
          <w:b/>
          <w:bCs/>
        </w:rPr>
      </w:pPr>
      <w:r w:rsidRPr="00A049C2">
        <w:rPr>
          <w:rFonts w:asciiTheme="minorHAnsi" w:hAnsiTheme="minorHAnsi" w:cstheme="minorHAnsi"/>
          <w:b/>
          <w:bCs/>
        </w:rPr>
        <w:t>Schedule 7 – New entries</w:t>
      </w:r>
    </w:p>
    <w:p w14:paraId="10B1CFD7" w14:textId="77777777" w:rsidR="007F2A29" w:rsidRPr="00060997" w:rsidRDefault="007F2A29" w:rsidP="00404481">
      <w:pPr>
        <w:ind w:left="567"/>
        <w:rPr>
          <w:rFonts w:asciiTheme="minorHAnsi" w:hAnsiTheme="minorHAnsi" w:cstheme="minorHAnsi"/>
          <w:color w:val="00B050"/>
          <w:u w:val="single"/>
        </w:rPr>
      </w:pPr>
      <w:r w:rsidRPr="00060997">
        <w:rPr>
          <w:rFonts w:asciiTheme="minorHAnsi" w:hAnsiTheme="minorHAnsi" w:cstheme="minorHAnsi"/>
          <w:color w:val="00B050"/>
          <w:u w:val="single"/>
        </w:rPr>
        <w:t>SODIUM HYDROXIDE (excluding its salts and derivatives), in preparations greater than 5%:</w:t>
      </w:r>
    </w:p>
    <w:p w14:paraId="107F2E65" w14:textId="013D9AFA" w:rsidR="007F2A29" w:rsidRPr="003568B7" w:rsidRDefault="007F2A29" w:rsidP="00404481">
      <w:pPr>
        <w:pStyle w:val="ListParagraph"/>
        <w:numPr>
          <w:ilvl w:val="0"/>
          <w:numId w:val="18"/>
        </w:numPr>
        <w:ind w:left="1276" w:hanging="425"/>
      </w:pPr>
      <w:r w:rsidRPr="003568B7">
        <w:t>in solid formulations, the pH of which in a 500 g/L aqueous solution or mixture is more than 12.5</w:t>
      </w:r>
      <w:r w:rsidR="00565899" w:rsidRPr="003568B7">
        <w:t>;</w:t>
      </w:r>
      <w:r w:rsidRPr="003568B7">
        <w:t xml:space="preserve"> or</w:t>
      </w:r>
    </w:p>
    <w:p w14:paraId="7A239082" w14:textId="5AD41C58" w:rsidR="007F2A29" w:rsidRPr="003568B7" w:rsidRDefault="007F2A29" w:rsidP="00404481">
      <w:pPr>
        <w:pStyle w:val="ListParagraph"/>
        <w:numPr>
          <w:ilvl w:val="0"/>
          <w:numId w:val="18"/>
        </w:numPr>
        <w:ind w:left="1276" w:hanging="425"/>
      </w:pPr>
      <w:r w:rsidRPr="003568B7">
        <w:t>in liquid or semi-solid formulations, the pH of which is more than 12.5</w:t>
      </w:r>
      <w:r w:rsidR="00060997" w:rsidRPr="003568B7">
        <w:t>.</w:t>
      </w:r>
    </w:p>
    <w:p w14:paraId="416BD7CB" w14:textId="77777777" w:rsidR="007F2A29" w:rsidRPr="00060997" w:rsidRDefault="007F2A29" w:rsidP="00404481">
      <w:pPr>
        <w:ind w:left="567"/>
        <w:rPr>
          <w:rFonts w:asciiTheme="minorHAnsi" w:hAnsiTheme="minorHAnsi" w:cstheme="minorHAnsi"/>
          <w:color w:val="00B050"/>
          <w:u w:val="single"/>
        </w:rPr>
      </w:pPr>
      <w:r w:rsidRPr="00060997">
        <w:rPr>
          <w:rFonts w:asciiTheme="minorHAnsi" w:hAnsiTheme="minorHAnsi" w:cstheme="minorHAnsi"/>
          <w:color w:val="00B050"/>
          <w:u w:val="single"/>
        </w:rPr>
        <w:t>POTASSIUM HYDROXIDE (excluding its salts and derivatives), in preparations greater than 5%:</w:t>
      </w:r>
    </w:p>
    <w:p w14:paraId="6142574B" w14:textId="53DCDD5B" w:rsidR="007F2A29" w:rsidRPr="002B5A5F" w:rsidRDefault="007F2A29" w:rsidP="00404481">
      <w:pPr>
        <w:pStyle w:val="ListParagraph"/>
        <w:numPr>
          <w:ilvl w:val="0"/>
          <w:numId w:val="19"/>
        </w:numPr>
        <w:ind w:left="1276" w:hanging="425"/>
      </w:pPr>
      <w:r w:rsidRPr="002B5A5F">
        <w:t>in solid formulations, the pH of which in a 500 g/L aqueous solution or mixture is more than 12.5 or</w:t>
      </w:r>
    </w:p>
    <w:p w14:paraId="491BBC33" w14:textId="1557D39C" w:rsidR="007F2A29" w:rsidRPr="005F62A6" w:rsidRDefault="007F2A29" w:rsidP="00404481">
      <w:pPr>
        <w:pStyle w:val="ListParagraph"/>
        <w:numPr>
          <w:ilvl w:val="0"/>
          <w:numId w:val="19"/>
        </w:numPr>
        <w:ind w:left="1276" w:hanging="425"/>
      </w:pPr>
      <w:r w:rsidRPr="002B5A5F">
        <w:t>in liquid or semi-solid formulations, the pH of which is more than 12.5</w:t>
      </w:r>
      <w:r w:rsidR="00060997" w:rsidRPr="002B5A5F">
        <w:t>.</w:t>
      </w:r>
    </w:p>
    <w:p w14:paraId="480FD634" w14:textId="56B69FDB" w:rsidR="007F2A29" w:rsidRPr="00A049C2" w:rsidRDefault="007F2A29" w:rsidP="00A049C2">
      <w:pPr>
        <w:ind w:left="284"/>
        <w:rPr>
          <w:rFonts w:asciiTheme="minorHAnsi" w:hAnsiTheme="minorHAnsi" w:cstheme="minorHAnsi"/>
          <w:b/>
          <w:bCs/>
        </w:rPr>
      </w:pPr>
      <w:r w:rsidRPr="00A049C2">
        <w:rPr>
          <w:rFonts w:asciiTheme="minorHAnsi" w:hAnsiTheme="minorHAnsi" w:cstheme="minorHAnsi"/>
          <w:b/>
          <w:bCs/>
        </w:rPr>
        <w:t>Schedule 6 – Amend entries</w:t>
      </w:r>
    </w:p>
    <w:p w14:paraId="22997564" w14:textId="77777777" w:rsidR="007F2A29" w:rsidRPr="00E35D79" w:rsidRDefault="007F2A29" w:rsidP="00404481">
      <w:pPr>
        <w:ind w:firstLine="567"/>
        <w:rPr>
          <w:rFonts w:asciiTheme="minorHAnsi" w:hAnsiTheme="minorHAnsi" w:cstheme="minorHAnsi"/>
        </w:rPr>
      </w:pPr>
      <w:r w:rsidRPr="00E35D79">
        <w:rPr>
          <w:rFonts w:asciiTheme="minorHAnsi" w:hAnsiTheme="minorHAnsi" w:cstheme="minorHAnsi"/>
        </w:rPr>
        <w:t>SODIUM HYDROXIDE (excluding its salts and derivatives) except:</w:t>
      </w:r>
    </w:p>
    <w:p w14:paraId="74393167" w14:textId="5F0382C0" w:rsidR="007F2A29" w:rsidRPr="003568B7" w:rsidRDefault="007F2A29" w:rsidP="00404481">
      <w:pPr>
        <w:pStyle w:val="ListParagraph"/>
        <w:numPr>
          <w:ilvl w:val="0"/>
          <w:numId w:val="20"/>
        </w:numPr>
        <w:ind w:left="1276" w:hanging="425"/>
      </w:pPr>
      <w:r w:rsidRPr="003568B7">
        <w:t xml:space="preserve">when included in Schedule 5 </w:t>
      </w:r>
      <w:r w:rsidRPr="002B5A5F">
        <w:rPr>
          <w:color w:val="00B050"/>
          <w:u w:val="single"/>
        </w:rPr>
        <w:t>or</w:t>
      </w:r>
      <w:r w:rsidRPr="002B5A5F">
        <w:rPr>
          <w:u w:val="single"/>
        </w:rPr>
        <w:t xml:space="preserve"> </w:t>
      </w:r>
      <w:r w:rsidRPr="002B5A5F">
        <w:rPr>
          <w:color w:val="00B050"/>
          <w:u w:val="single"/>
        </w:rPr>
        <w:t>Schedule 7</w:t>
      </w:r>
      <w:r w:rsidRPr="003568B7">
        <w:t xml:space="preserve"> or Schedule 10; or</w:t>
      </w:r>
    </w:p>
    <w:p w14:paraId="51291F79" w14:textId="1F6A8A5C" w:rsidR="007F2A29" w:rsidRPr="003568B7" w:rsidRDefault="007F2A29" w:rsidP="00404481">
      <w:pPr>
        <w:pStyle w:val="ListParagraph"/>
        <w:numPr>
          <w:ilvl w:val="0"/>
          <w:numId w:val="20"/>
        </w:numPr>
        <w:ind w:left="1276" w:hanging="425"/>
      </w:pPr>
      <w:r w:rsidRPr="003568B7">
        <w:t>in preparations containing 5% or less of sodium hydroxide being:</w:t>
      </w:r>
    </w:p>
    <w:p w14:paraId="31A943E4" w14:textId="42D5950E" w:rsidR="007F2A29" w:rsidRPr="00E51F82" w:rsidRDefault="007F2A29" w:rsidP="00404481">
      <w:pPr>
        <w:pStyle w:val="ListParagraph"/>
        <w:numPr>
          <w:ilvl w:val="0"/>
          <w:numId w:val="21"/>
        </w:numPr>
        <w:ind w:left="1843" w:hanging="425"/>
      </w:pPr>
      <w:r w:rsidRPr="00E51F82">
        <w:t xml:space="preserve">solid preparations, the pH of which in a </w:t>
      </w:r>
      <w:r w:rsidRPr="00EB3707">
        <w:rPr>
          <w:strike/>
          <w:color w:val="FF0000"/>
        </w:rPr>
        <w:t>10</w:t>
      </w:r>
      <w:r w:rsidRPr="002B5A5F">
        <w:rPr>
          <w:color w:val="00B050"/>
          <w:u w:val="single"/>
        </w:rPr>
        <w:t>500</w:t>
      </w:r>
      <w:r w:rsidRPr="00EB3707">
        <w:rPr>
          <w:color w:val="00B050"/>
        </w:rPr>
        <w:t xml:space="preserve"> </w:t>
      </w:r>
      <w:r w:rsidRPr="00E51F82">
        <w:t>g/L aqueous solution is 11.5 or less; or</w:t>
      </w:r>
    </w:p>
    <w:p w14:paraId="459E60FD" w14:textId="4FA9C8BA" w:rsidR="007F2A29" w:rsidRPr="00E51F82" w:rsidRDefault="007F2A29" w:rsidP="00404481">
      <w:pPr>
        <w:pStyle w:val="ListParagraph"/>
        <w:numPr>
          <w:ilvl w:val="0"/>
          <w:numId w:val="21"/>
        </w:numPr>
        <w:ind w:left="1843" w:hanging="425"/>
      </w:pPr>
      <w:r w:rsidRPr="00E51F82">
        <w:t>liquid or semi-solid preparations, the pH of which is 11.5 or less.</w:t>
      </w:r>
    </w:p>
    <w:p w14:paraId="56FAAD80" w14:textId="77777777" w:rsidR="007F2A29" w:rsidRPr="00E35D79" w:rsidRDefault="007F2A29" w:rsidP="00DA5F15">
      <w:pPr>
        <w:ind w:left="284"/>
        <w:rPr>
          <w:rFonts w:asciiTheme="minorHAnsi" w:hAnsiTheme="minorHAnsi" w:cstheme="minorHAnsi"/>
        </w:rPr>
      </w:pPr>
      <w:r w:rsidRPr="00E35D79">
        <w:rPr>
          <w:rFonts w:asciiTheme="minorHAnsi" w:hAnsiTheme="minorHAnsi" w:cstheme="minorHAnsi"/>
        </w:rPr>
        <w:t>POTASSIUM HYDROXIDE (excluding its salts and derivatives) except:</w:t>
      </w:r>
    </w:p>
    <w:p w14:paraId="69DEF4AB" w14:textId="152DCE4D" w:rsidR="007F2A29" w:rsidRPr="00DA5F15" w:rsidRDefault="007F2A29" w:rsidP="008D06A5">
      <w:pPr>
        <w:pStyle w:val="ListParagraph"/>
        <w:numPr>
          <w:ilvl w:val="0"/>
          <w:numId w:val="22"/>
        </w:numPr>
        <w:ind w:left="1276" w:hanging="425"/>
      </w:pPr>
      <w:r w:rsidRPr="00DA5F15">
        <w:t xml:space="preserve">when included in Schedule 5 </w:t>
      </w:r>
      <w:r w:rsidRPr="002B5A5F">
        <w:rPr>
          <w:color w:val="00B050"/>
          <w:u w:val="single"/>
        </w:rPr>
        <w:t>or Schedule 7</w:t>
      </w:r>
      <w:r w:rsidRPr="00DA5F15">
        <w:t xml:space="preserve"> or Schedule 10; or</w:t>
      </w:r>
    </w:p>
    <w:p w14:paraId="295D36EA" w14:textId="2F82D782" w:rsidR="007F2A29" w:rsidRPr="00DA5F15" w:rsidRDefault="007F2A29" w:rsidP="008D06A5">
      <w:pPr>
        <w:pStyle w:val="ListParagraph"/>
        <w:numPr>
          <w:ilvl w:val="0"/>
          <w:numId w:val="22"/>
        </w:numPr>
        <w:ind w:left="1276" w:hanging="425"/>
      </w:pPr>
      <w:r w:rsidRPr="00DA5F15">
        <w:t>in preparations containing 5% or less of sodium hydroxide being:</w:t>
      </w:r>
    </w:p>
    <w:p w14:paraId="78106CF8" w14:textId="3A77B537" w:rsidR="007F2A29" w:rsidRPr="00DA5F15" w:rsidRDefault="007F2A29" w:rsidP="008D06A5">
      <w:pPr>
        <w:pStyle w:val="ListParagraph"/>
        <w:numPr>
          <w:ilvl w:val="0"/>
          <w:numId w:val="23"/>
        </w:numPr>
        <w:ind w:left="1843" w:hanging="425"/>
      </w:pPr>
      <w:r w:rsidRPr="00DA5F15">
        <w:t xml:space="preserve">solid preparations, the pH of which in a </w:t>
      </w:r>
      <w:r w:rsidRPr="00DA5F15">
        <w:rPr>
          <w:strike/>
          <w:color w:val="FF0000"/>
        </w:rPr>
        <w:t>10</w:t>
      </w:r>
      <w:r w:rsidRPr="002B5A5F">
        <w:rPr>
          <w:color w:val="00B050"/>
          <w:u w:val="single"/>
        </w:rPr>
        <w:t>500</w:t>
      </w:r>
      <w:r w:rsidRPr="00DA5F15">
        <w:t xml:space="preserve"> g/L aqueous solution is 11.5 or less; or</w:t>
      </w:r>
    </w:p>
    <w:p w14:paraId="29316E9D" w14:textId="5499D7B5" w:rsidR="007F2A29" w:rsidRPr="00DA5F15" w:rsidRDefault="007F2A29" w:rsidP="008D06A5">
      <w:pPr>
        <w:pStyle w:val="ListParagraph"/>
        <w:numPr>
          <w:ilvl w:val="0"/>
          <w:numId w:val="23"/>
        </w:numPr>
        <w:ind w:left="1843" w:hanging="425"/>
      </w:pPr>
      <w:r w:rsidRPr="00DA5F15">
        <w:t>liquid or semi-solid preparations, the pH of which is 11.5 or less.</w:t>
      </w:r>
    </w:p>
    <w:p w14:paraId="686D5513" w14:textId="4FC9E6D8" w:rsidR="007F2A29" w:rsidRPr="002B5A5F" w:rsidRDefault="007F2A29" w:rsidP="002B5A5F">
      <w:pPr>
        <w:ind w:firstLine="284"/>
        <w:rPr>
          <w:rFonts w:asciiTheme="minorHAnsi" w:hAnsiTheme="minorHAnsi" w:cstheme="minorHAnsi"/>
          <w:b/>
          <w:bCs/>
        </w:rPr>
      </w:pPr>
      <w:r w:rsidRPr="002B5A5F">
        <w:rPr>
          <w:rFonts w:asciiTheme="minorHAnsi" w:hAnsiTheme="minorHAnsi" w:cstheme="minorHAnsi"/>
          <w:b/>
          <w:bCs/>
        </w:rPr>
        <w:t>Schedule 5 – Amend entries</w:t>
      </w:r>
    </w:p>
    <w:p w14:paraId="4565A427"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SODIUM HYDROXIDE (excluding its salts and derivatives) in preparations containing 5% or less of sodium hydroxide being:</w:t>
      </w:r>
    </w:p>
    <w:p w14:paraId="6757355F" w14:textId="77723CB5" w:rsidR="007F2A29" w:rsidRPr="00090A1C" w:rsidRDefault="007F2A29" w:rsidP="006E0DB1">
      <w:pPr>
        <w:pStyle w:val="ListParagraph"/>
        <w:numPr>
          <w:ilvl w:val="0"/>
          <w:numId w:val="24"/>
        </w:numPr>
        <w:ind w:left="1276" w:hanging="425"/>
      </w:pPr>
      <w:r w:rsidRPr="00090A1C">
        <w:t xml:space="preserve">solid preparations, the pH of which in a </w:t>
      </w:r>
      <w:r w:rsidRPr="00E45469">
        <w:rPr>
          <w:strike/>
          <w:color w:val="FF0000"/>
        </w:rPr>
        <w:t>10</w:t>
      </w:r>
      <w:r w:rsidRPr="00E45469">
        <w:rPr>
          <w:color w:val="00B050"/>
          <w:u w:val="single"/>
        </w:rPr>
        <w:t>500 g/L</w:t>
      </w:r>
      <w:r w:rsidRPr="00090A1C">
        <w:t xml:space="preserve"> aqueous solution </w:t>
      </w:r>
      <w:r w:rsidRPr="00E45469">
        <w:rPr>
          <w:color w:val="00B050"/>
          <w:u w:val="single"/>
        </w:rPr>
        <w:t>or mixture</w:t>
      </w:r>
      <w:r w:rsidRPr="00090A1C">
        <w:t xml:space="preserve"> is more than 11.5 </w:t>
      </w:r>
      <w:r w:rsidRPr="00E45469">
        <w:rPr>
          <w:color w:val="00B050"/>
          <w:u w:val="single"/>
        </w:rPr>
        <w:t>but equal to or less than 12.5</w:t>
      </w:r>
      <w:r w:rsidRPr="00090A1C">
        <w:t>; or</w:t>
      </w:r>
    </w:p>
    <w:p w14:paraId="17A7691D" w14:textId="277028E6" w:rsidR="007F2A29" w:rsidRPr="00090A1C" w:rsidRDefault="007F2A29" w:rsidP="006E0DB1">
      <w:pPr>
        <w:pStyle w:val="ListParagraph"/>
        <w:numPr>
          <w:ilvl w:val="0"/>
          <w:numId w:val="24"/>
        </w:numPr>
        <w:ind w:left="1276" w:hanging="425"/>
      </w:pPr>
      <w:r w:rsidRPr="00090A1C">
        <w:t xml:space="preserve">liquid or semi-solid preparations, the pH of which is more than 11.5 </w:t>
      </w:r>
      <w:r w:rsidRPr="00E45469">
        <w:rPr>
          <w:color w:val="00B050"/>
          <w:u w:val="single"/>
        </w:rPr>
        <w:t>but equal to or less than 12.5</w:t>
      </w:r>
      <w:r w:rsidRPr="00090A1C">
        <w:t xml:space="preserve"> except in food additive preparations for domestic use.</w:t>
      </w:r>
    </w:p>
    <w:p w14:paraId="17A52796" w14:textId="77777777" w:rsidR="009175E2" w:rsidRDefault="009175E2">
      <w:pPr>
        <w:rPr>
          <w:rFonts w:asciiTheme="minorHAnsi" w:hAnsiTheme="minorHAnsi" w:cstheme="minorHAnsi"/>
        </w:rPr>
      </w:pPr>
      <w:r>
        <w:rPr>
          <w:rFonts w:asciiTheme="minorHAnsi" w:hAnsiTheme="minorHAnsi" w:cstheme="minorHAnsi"/>
        </w:rPr>
        <w:br w:type="page"/>
      </w:r>
    </w:p>
    <w:p w14:paraId="0C782AB8" w14:textId="363B2FCA" w:rsidR="007F2A29" w:rsidRPr="00E35D79" w:rsidRDefault="007F2A29" w:rsidP="006E0DB1">
      <w:pPr>
        <w:ind w:left="567"/>
        <w:rPr>
          <w:rFonts w:asciiTheme="minorHAnsi" w:hAnsiTheme="minorHAnsi" w:cstheme="minorHAnsi"/>
        </w:rPr>
      </w:pPr>
      <w:r w:rsidRPr="00E35D79">
        <w:rPr>
          <w:rFonts w:asciiTheme="minorHAnsi" w:hAnsiTheme="minorHAnsi" w:cstheme="minorHAnsi"/>
        </w:rPr>
        <w:lastRenderedPageBreak/>
        <w:t>POTASSIUM HYDROXIDE (excluding its salts and derivatives) in preparations containing 5% or less of potassium hydroxide being:</w:t>
      </w:r>
    </w:p>
    <w:p w14:paraId="790B9C9F" w14:textId="469DE086" w:rsidR="007F2A29" w:rsidRPr="00090A1C" w:rsidRDefault="007F2A29" w:rsidP="006E0DB1">
      <w:pPr>
        <w:pStyle w:val="ListParagraph"/>
        <w:numPr>
          <w:ilvl w:val="0"/>
          <w:numId w:val="25"/>
        </w:numPr>
        <w:ind w:left="1276" w:hanging="425"/>
      </w:pPr>
      <w:r w:rsidRPr="00090A1C">
        <w:t xml:space="preserve">solid preparations, the pH of which in a </w:t>
      </w:r>
      <w:r w:rsidRPr="00E45469">
        <w:rPr>
          <w:strike/>
          <w:color w:val="FF0000"/>
        </w:rPr>
        <w:t>10</w:t>
      </w:r>
      <w:r w:rsidRPr="00E45469">
        <w:rPr>
          <w:color w:val="00B050"/>
          <w:u w:val="single"/>
        </w:rPr>
        <w:t>500 g/L</w:t>
      </w:r>
      <w:r w:rsidRPr="00090A1C">
        <w:t xml:space="preserve"> aqueous solution </w:t>
      </w:r>
      <w:r w:rsidRPr="00E45469">
        <w:rPr>
          <w:color w:val="00B050"/>
          <w:u w:val="single"/>
        </w:rPr>
        <w:t>or mixture</w:t>
      </w:r>
      <w:r w:rsidRPr="00090A1C">
        <w:t xml:space="preserve"> is more than 11.5 </w:t>
      </w:r>
      <w:r w:rsidRPr="00E45469">
        <w:rPr>
          <w:color w:val="00B050"/>
          <w:u w:val="single"/>
        </w:rPr>
        <w:t>but equal to or less than 12.5</w:t>
      </w:r>
      <w:r w:rsidRPr="00090A1C">
        <w:t>; or</w:t>
      </w:r>
    </w:p>
    <w:p w14:paraId="4D84806A" w14:textId="2D26AFE1" w:rsidR="007F2A29" w:rsidRPr="00090A1C" w:rsidRDefault="007F2A29" w:rsidP="006E0DB1">
      <w:pPr>
        <w:pStyle w:val="ListParagraph"/>
        <w:numPr>
          <w:ilvl w:val="0"/>
          <w:numId w:val="25"/>
        </w:numPr>
        <w:ind w:left="1276" w:hanging="425"/>
      </w:pPr>
      <w:r w:rsidRPr="00090A1C">
        <w:t xml:space="preserve">liquid or semi-solid preparations, the pH of which is more than 11.5 </w:t>
      </w:r>
      <w:r w:rsidRPr="00E45469">
        <w:rPr>
          <w:color w:val="00B050"/>
          <w:u w:val="single"/>
        </w:rPr>
        <w:t>but equal to or less than 12.5</w:t>
      </w:r>
      <w:r w:rsidRPr="00090A1C">
        <w:t xml:space="preserve"> except in food additive preparations for domestic use.</w:t>
      </w:r>
    </w:p>
    <w:p w14:paraId="6F3F37B3" w14:textId="77777777" w:rsidR="007F2A29" w:rsidRPr="00090A1C" w:rsidRDefault="007F2A29" w:rsidP="00843531">
      <w:pPr>
        <w:ind w:left="284"/>
        <w:rPr>
          <w:rFonts w:asciiTheme="minorHAnsi" w:hAnsiTheme="minorHAnsi" w:cstheme="minorHAnsi"/>
          <w:b/>
          <w:bCs/>
        </w:rPr>
      </w:pPr>
      <w:r w:rsidRPr="00090A1C">
        <w:rPr>
          <w:rFonts w:asciiTheme="minorHAnsi" w:hAnsiTheme="minorHAnsi" w:cstheme="minorHAnsi"/>
          <w:b/>
          <w:bCs/>
        </w:rPr>
        <w:t>Index</w:t>
      </w:r>
    </w:p>
    <w:p w14:paraId="6748BC05"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SODIUM HYDROXIDE</w:t>
      </w:r>
    </w:p>
    <w:p w14:paraId="6C61FE87"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cross reference: CAS No. 1310-73-2, LYE WATER</w:t>
      </w:r>
    </w:p>
    <w:p w14:paraId="066E84C5"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Schedule 10</w:t>
      </w:r>
    </w:p>
    <w:p w14:paraId="76207778" w14:textId="0D197F3C" w:rsidR="00312D1E" w:rsidRPr="00E35D79" w:rsidRDefault="00312D1E" w:rsidP="006E0DB1">
      <w:pPr>
        <w:ind w:left="567"/>
        <w:rPr>
          <w:rFonts w:asciiTheme="minorHAnsi" w:hAnsiTheme="minorHAnsi" w:cstheme="minorHAnsi"/>
        </w:rPr>
      </w:pPr>
      <w:r w:rsidRPr="00E45469">
        <w:rPr>
          <w:rFonts w:asciiTheme="minorHAnsi" w:eastAsia="Cambria" w:hAnsiTheme="minorHAnsi" w:cstheme="minorHAnsi"/>
          <w:color w:val="00B050"/>
          <w:szCs w:val="21"/>
          <w:u w:val="single"/>
          <w:lang w:eastAsia="en-AU"/>
        </w:rPr>
        <w:t>Schedule 7</w:t>
      </w:r>
    </w:p>
    <w:p w14:paraId="58E839A1"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Schedule 6</w:t>
      </w:r>
    </w:p>
    <w:p w14:paraId="5FF7BAF1"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Schedule 5</w:t>
      </w:r>
    </w:p>
    <w:p w14:paraId="3DCB8724"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Appendix E, clause 3</w:t>
      </w:r>
    </w:p>
    <w:p w14:paraId="440C56E1"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Appendix F, clause 4</w:t>
      </w:r>
    </w:p>
    <w:p w14:paraId="286DD7AC" w14:textId="77777777" w:rsidR="007F2A29" w:rsidRPr="00E45469" w:rsidRDefault="007F2A29" w:rsidP="006E0DB1">
      <w:pPr>
        <w:ind w:left="567"/>
        <w:rPr>
          <w:rFonts w:asciiTheme="minorHAnsi" w:eastAsia="Cambria" w:hAnsiTheme="minorHAnsi" w:cstheme="minorHAnsi"/>
          <w:color w:val="00B050"/>
          <w:szCs w:val="21"/>
          <w:u w:val="single"/>
          <w:lang w:eastAsia="en-AU"/>
        </w:rPr>
      </w:pPr>
      <w:r w:rsidRPr="00E45469">
        <w:rPr>
          <w:rFonts w:asciiTheme="minorHAnsi" w:eastAsia="Cambria" w:hAnsiTheme="minorHAnsi" w:cstheme="minorHAnsi"/>
          <w:color w:val="00B050"/>
          <w:szCs w:val="21"/>
          <w:u w:val="single"/>
          <w:lang w:eastAsia="en-AU"/>
        </w:rPr>
        <w:t>Appendix J, clause 1</w:t>
      </w:r>
    </w:p>
    <w:p w14:paraId="18F7A479"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POTASSIUM HYDROXIDE</w:t>
      </w:r>
    </w:p>
    <w:p w14:paraId="6F6D7844"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cross reference: CAS No. 1310-58-3</w:t>
      </w:r>
    </w:p>
    <w:p w14:paraId="55ABBF63"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Schedule 10</w:t>
      </w:r>
    </w:p>
    <w:p w14:paraId="66ED7E5E" w14:textId="4015C25A" w:rsidR="00312D1E" w:rsidRPr="00E45469" w:rsidRDefault="00312D1E" w:rsidP="006E0DB1">
      <w:pPr>
        <w:ind w:left="567"/>
        <w:rPr>
          <w:rFonts w:asciiTheme="minorHAnsi" w:eastAsia="Cambria" w:hAnsiTheme="minorHAnsi" w:cstheme="minorHAnsi"/>
          <w:color w:val="00B050"/>
          <w:szCs w:val="21"/>
          <w:u w:val="single"/>
          <w:lang w:eastAsia="en-AU"/>
        </w:rPr>
      </w:pPr>
      <w:r w:rsidRPr="00E45469">
        <w:rPr>
          <w:rFonts w:asciiTheme="minorHAnsi" w:eastAsia="Cambria" w:hAnsiTheme="minorHAnsi" w:cstheme="minorHAnsi"/>
          <w:color w:val="00B050"/>
          <w:szCs w:val="21"/>
          <w:u w:val="single"/>
          <w:lang w:eastAsia="en-AU"/>
        </w:rPr>
        <w:t>Schedule 7</w:t>
      </w:r>
    </w:p>
    <w:p w14:paraId="38DA2E61"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Schedule 6</w:t>
      </w:r>
    </w:p>
    <w:p w14:paraId="25320AEB"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Schedule 5</w:t>
      </w:r>
    </w:p>
    <w:p w14:paraId="0BD99E62"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Appendix E, clause 3</w:t>
      </w:r>
    </w:p>
    <w:p w14:paraId="369DD43E" w14:textId="77777777" w:rsidR="007F2A29" w:rsidRPr="00E35D79" w:rsidRDefault="007F2A29" w:rsidP="006E0DB1">
      <w:pPr>
        <w:ind w:left="567"/>
        <w:rPr>
          <w:rFonts w:asciiTheme="minorHAnsi" w:hAnsiTheme="minorHAnsi" w:cstheme="minorHAnsi"/>
        </w:rPr>
      </w:pPr>
      <w:r w:rsidRPr="00E35D79">
        <w:rPr>
          <w:rFonts w:asciiTheme="minorHAnsi" w:hAnsiTheme="minorHAnsi" w:cstheme="minorHAnsi"/>
        </w:rPr>
        <w:t>Appendix F, clause 4</w:t>
      </w:r>
    </w:p>
    <w:p w14:paraId="5FE422AB" w14:textId="77777777" w:rsidR="007F2A29" w:rsidRPr="00E45469" w:rsidRDefault="007F2A29" w:rsidP="006E0DB1">
      <w:pPr>
        <w:ind w:left="567"/>
        <w:rPr>
          <w:rFonts w:asciiTheme="minorHAnsi" w:eastAsia="Cambria" w:hAnsiTheme="minorHAnsi" w:cstheme="minorHAnsi"/>
          <w:color w:val="00B050"/>
          <w:szCs w:val="21"/>
          <w:u w:val="single"/>
          <w:lang w:eastAsia="en-AU"/>
        </w:rPr>
      </w:pPr>
      <w:r w:rsidRPr="00E45469">
        <w:rPr>
          <w:rFonts w:asciiTheme="minorHAnsi" w:eastAsia="Cambria" w:hAnsiTheme="minorHAnsi" w:cstheme="minorHAnsi"/>
          <w:color w:val="00B050"/>
          <w:szCs w:val="21"/>
          <w:u w:val="single"/>
          <w:lang w:eastAsia="en-AU"/>
        </w:rPr>
        <w:t>Appendix J, clause 1</w:t>
      </w:r>
    </w:p>
    <w:p w14:paraId="73E46B7B" w14:textId="77777777" w:rsidR="004F0809" w:rsidRDefault="004F0809" w:rsidP="006E0DB1">
      <w:pPr>
        <w:ind w:left="284"/>
        <w:rPr>
          <w:rFonts w:asciiTheme="minorHAnsi" w:hAnsiTheme="minorHAnsi" w:cstheme="minorHAnsi"/>
          <w:b/>
          <w:bCs/>
        </w:rPr>
      </w:pPr>
      <w:bookmarkStart w:id="11" w:name="_Hlk187921489"/>
    </w:p>
    <w:p w14:paraId="5BF03712" w14:textId="2FCA0311" w:rsidR="00661EB0" w:rsidRPr="00E35D79" w:rsidRDefault="00661EB0" w:rsidP="006E0DB1">
      <w:pPr>
        <w:ind w:left="284"/>
        <w:rPr>
          <w:rFonts w:asciiTheme="minorHAnsi" w:hAnsiTheme="minorHAnsi" w:cstheme="minorHAnsi"/>
        </w:rPr>
      </w:pPr>
      <w:r w:rsidRPr="00E45469">
        <w:rPr>
          <w:rFonts w:asciiTheme="minorHAnsi" w:hAnsiTheme="minorHAnsi" w:cstheme="minorHAnsi"/>
          <w:b/>
          <w:bCs/>
        </w:rPr>
        <w:t>Appendix E, Clause 3</w:t>
      </w:r>
      <w:r w:rsidRPr="00E35D79">
        <w:rPr>
          <w:rFonts w:asciiTheme="minorHAnsi" w:hAnsiTheme="minorHAnsi" w:cstheme="minorHAnsi"/>
        </w:rPr>
        <w:t xml:space="preserve"> – Poisons that must be labelled with first aid instructions</w:t>
      </w: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5528"/>
        <w:gridCol w:w="2127"/>
      </w:tblGrid>
      <w:tr w:rsidR="00661EB0" w:rsidRPr="00E35D79" w14:paraId="50C7DA03" w14:textId="77777777" w:rsidTr="007C4C0A">
        <w:trPr>
          <w:tblHeader/>
        </w:trPr>
        <w:tc>
          <w:tcPr>
            <w:tcW w:w="8364" w:type="dxa"/>
            <w:gridSpan w:val="3"/>
            <w:tcBorders>
              <w:top w:val="single" w:sz="12" w:space="0" w:color="auto"/>
            </w:tcBorders>
            <w:shd w:val="clear" w:color="auto" w:fill="auto"/>
          </w:tcPr>
          <w:p w14:paraId="297D8E46"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Poisons that must be labelled with first aid instructions</w:t>
            </w:r>
          </w:p>
        </w:tc>
      </w:tr>
      <w:tr w:rsidR="00661EB0" w:rsidRPr="00E35D79" w14:paraId="1FAB9133" w14:textId="77777777" w:rsidTr="007C4C0A">
        <w:trPr>
          <w:tblHeader/>
        </w:trPr>
        <w:tc>
          <w:tcPr>
            <w:tcW w:w="709" w:type="dxa"/>
            <w:tcBorders>
              <w:top w:val="nil"/>
              <w:bottom w:val="single" w:sz="12" w:space="0" w:color="auto"/>
            </w:tcBorders>
            <w:shd w:val="clear" w:color="auto" w:fill="auto"/>
          </w:tcPr>
          <w:p w14:paraId="1E0382F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Item</w:t>
            </w:r>
          </w:p>
        </w:tc>
        <w:tc>
          <w:tcPr>
            <w:tcW w:w="5528" w:type="dxa"/>
            <w:tcBorders>
              <w:top w:val="nil"/>
              <w:bottom w:val="single" w:sz="12" w:space="0" w:color="auto"/>
            </w:tcBorders>
            <w:shd w:val="clear" w:color="auto" w:fill="auto"/>
          </w:tcPr>
          <w:p w14:paraId="07C47B27"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Column 1</w:t>
            </w:r>
            <w:r w:rsidRPr="00E45469">
              <w:rPr>
                <w:rFonts w:asciiTheme="minorHAnsi" w:hAnsiTheme="minorHAnsi" w:cstheme="minorHAnsi"/>
                <w:b/>
                <w:bCs/>
                <w:sz w:val="20"/>
                <w:szCs w:val="20"/>
              </w:rPr>
              <w:br/>
              <w:t>Poison</w:t>
            </w:r>
          </w:p>
        </w:tc>
        <w:tc>
          <w:tcPr>
            <w:tcW w:w="2127" w:type="dxa"/>
            <w:tcBorders>
              <w:top w:val="nil"/>
              <w:bottom w:val="single" w:sz="12" w:space="0" w:color="auto"/>
            </w:tcBorders>
            <w:shd w:val="clear" w:color="auto" w:fill="auto"/>
          </w:tcPr>
          <w:p w14:paraId="17B541D7"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Column 2</w:t>
            </w:r>
            <w:r w:rsidRPr="00E45469">
              <w:rPr>
                <w:rFonts w:asciiTheme="minorHAnsi" w:hAnsiTheme="minorHAnsi" w:cstheme="minorHAnsi"/>
                <w:b/>
                <w:bCs/>
                <w:sz w:val="20"/>
                <w:szCs w:val="20"/>
              </w:rPr>
              <w:br/>
              <w:t>Statement code</w:t>
            </w:r>
          </w:p>
        </w:tc>
      </w:tr>
      <w:tr w:rsidR="00661EB0" w:rsidRPr="00E35D79" w14:paraId="4EB382C7" w14:textId="77777777" w:rsidTr="0013481F">
        <w:tc>
          <w:tcPr>
            <w:tcW w:w="709" w:type="dxa"/>
            <w:tcBorders>
              <w:top w:val="single" w:sz="12" w:space="0" w:color="auto"/>
              <w:bottom w:val="single" w:sz="4" w:space="0" w:color="auto"/>
            </w:tcBorders>
            <w:shd w:val="clear" w:color="auto" w:fill="auto"/>
          </w:tcPr>
          <w:p w14:paraId="13EE1EEE"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263</w:t>
            </w:r>
          </w:p>
        </w:tc>
        <w:tc>
          <w:tcPr>
            <w:tcW w:w="5528" w:type="dxa"/>
            <w:tcBorders>
              <w:top w:val="single" w:sz="12" w:space="0" w:color="auto"/>
              <w:bottom w:val="single" w:sz="4" w:space="0" w:color="auto"/>
            </w:tcBorders>
            <w:shd w:val="clear" w:color="auto" w:fill="auto"/>
          </w:tcPr>
          <w:p w14:paraId="31255C4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POTASSIUM HYDROXIDE</w:t>
            </w:r>
          </w:p>
        </w:tc>
        <w:tc>
          <w:tcPr>
            <w:tcW w:w="2127" w:type="dxa"/>
            <w:tcBorders>
              <w:top w:val="single" w:sz="12" w:space="0" w:color="auto"/>
              <w:bottom w:val="single" w:sz="4" w:space="0" w:color="auto"/>
            </w:tcBorders>
            <w:shd w:val="clear" w:color="auto" w:fill="auto"/>
          </w:tcPr>
          <w:p w14:paraId="015255D5"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A, G3, E2, S1</w:t>
            </w:r>
          </w:p>
        </w:tc>
      </w:tr>
      <w:tr w:rsidR="00661EB0" w:rsidRPr="00E35D79" w14:paraId="74C6E626" w14:textId="77777777" w:rsidTr="0013481F">
        <w:tc>
          <w:tcPr>
            <w:tcW w:w="709" w:type="dxa"/>
            <w:tcBorders>
              <w:top w:val="single" w:sz="4" w:space="0" w:color="auto"/>
            </w:tcBorders>
            <w:shd w:val="clear" w:color="auto" w:fill="auto"/>
          </w:tcPr>
          <w:p w14:paraId="57ACE130"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295</w:t>
            </w:r>
          </w:p>
        </w:tc>
        <w:tc>
          <w:tcPr>
            <w:tcW w:w="5528" w:type="dxa"/>
            <w:tcBorders>
              <w:top w:val="single" w:sz="4" w:space="0" w:color="auto"/>
            </w:tcBorders>
            <w:shd w:val="clear" w:color="auto" w:fill="auto"/>
          </w:tcPr>
          <w:p w14:paraId="1E47CC06"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SODIUM HYDROXIDE</w:t>
            </w:r>
          </w:p>
        </w:tc>
        <w:tc>
          <w:tcPr>
            <w:tcW w:w="2127" w:type="dxa"/>
            <w:tcBorders>
              <w:top w:val="single" w:sz="4" w:space="0" w:color="auto"/>
            </w:tcBorders>
            <w:shd w:val="clear" w:color="auto" w:fill="auto"/>
          </w:tcPr>
          <w:p w14:paraId="436AD700"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A, G3, E2, S1</w:t>
            </w:r>
          </w:p>
        </w:tc>
      </w:tr>
      <w:bookmarkEnd w:id="11"/>
    </w:tbl>
    <w:p w14:paraId="7C434144" w14:textId="77777777" w:rsidR="00103704" w:rsidRPr="00E35D79" w:rsidRDefault="00103704" w:rsidP="00E35D79">
      <w:pPr>
        <w:rPr>
          <w:rFonts w:asciiTheme="minorHAnsi" w:hAnsiTheme="minorHAnsi" w:cstheme="minorHAnsi"/>
        </w:rPr>
      </w:pPr>
    </w:p>
    <w:tbl>
      <w:tblPr>
        <w:tblW w:w="850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1176"/>
        <w:gridCol w:w="1319"/>
        <w:gridCol w:w="5357"/>
      </w:tblGrid>
      <w:tr w:rsidR="00661EB0" w:rsidRPr="00E35D79" w14:paraId="682553CC" w14:textId="77777777" w:rsidTr="007C4C0A">
        <w:trPr>
          <w:tblHeader/>
        </w:trPr>
        <w:tc>
          <w:tcPr>
            <w:tcW w:w="8505" w:type="dxa"/>
            <w:gridSpan w:val="4"/>
            <w:tcBorders>
              <w:top w:val="single" w:sz="12" w:space="0" w:color="auto"/>
              <w:bottom w:val="single" w:sz="6" w:space="0" w:color="auto"/>
            </w:tcBorders>
            <w:shd w:val="clear" w:color="auto" w:fill="auto"/>
          </w:tcPr>
          <w:p w14:paraId="5A4D7243" w14:textId="77777777" w:rsidR="00661EB0" w:rsidRPr="00E45469" w:rsidRDefault="00661EB0" w:rsidP="00E35D79">
            <w:pPr>
              <w:rPr>
                <w:rFonts w:asciiTheme="minorHAnsi" w:hAnsiTheme="minorHAnsi" w:cstheme="minorHAnsi"/>
                <w:b/>
                <w:bCs/>
              </w:rPr>
            </w:pPr>
            <w:bookmarkStart w:id="12" w:name="_Hlk187921504"/>
            <w:r w:rsidRPr="00E45469">
              <w:rPr>
                <w:rFonts w:asciiTheme="minorHAnsi" w:hAnsiTheme="minorHAnsi" w:cstheme="minorHAnsi"/>
                <w:b/>
                <w:bCs/>
              </w:rPr>
              <w:t>Standard statements for first aid instructions</w:t>
            </w:r>
          </w:p>
        </w:tc>
      </w:tr>
      <w:tr w:rsidR="00661EB0" w:rsidRPr="00E35D79" w14:paraId="3488B793" w14:textId="77777777" w:rsidTr="007C4C0A">
        <w:trPr>
          <w:tblHeader/>
        </w:trPr>
        <w:tc>
          <w:tcPr>
            <w:tcW w:w="653" w:type="dxa"/>
            <w:tcBorders>
              <w:top w:val="single" w:sz="6" w:space="0" w:color="auto"/>
              <w:bottom w:val="single" w:sz="12" w:space="0" w:color="auto"/>
            </w:tcBorders>
            <w:shd w:val="clear" w:color="auto" w:fill="auto"/>
          </w:tcPr>
          <w:p w14:paraId="7B0CA2AE"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Item</w:t>
            </w:r>
          </w:p>
        </w:tc>
        <w:tc>
          <w:tcPr>
            <w:tcW w:w="1176" w:type="dxa"/>
            <w:tcBorders>
              <w:top w:val="single" w:sz="6" w:space="0" w:color="auto"/>
              <w:bottom w:val="single" w:sz="12" w:space="0" w:color="auto"/>
            </w:tcBorders>
            <w:shd w:val="clear" w:color="auto" w:fill="auto"/>
          </w:tcPr>
          <w:p w14:paraId="2EC9EACB"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Column 1</w:t>
            </w:r>
            <w:r w:rsidRPr="00E35D79">
              <w:rPr>
                <w:rFonts w:asciiTheme="minorHAnsi" w:hAnsiTheme="minorHAnsi" w:cstheme="minorHAnsi"/>
              </w:rPr>
              <w:br/>
              <w:t>Category</w:t>
            </w:r>
          </w:p>
        </w:tc>
        <w:tc>
          <w:tcPr>
            <w:tcW w:w="1319" w:type="dxa"/>
            <w:tcBorders>
              <w:top w:val="single" w:sz="6" w:space="0" w:color="auto"/>
              <w:bottom w:val="single" w:sz="12" w:space="0" w:color="auto"/>
            </w:tcBorders>
          </w:tcPr>
          <w:p w14:paraId="134131B6" w14:textId="77777777" w:rsidR="00661EB0" w:rsidRPr="00E45469" w:rsidRDefault="00661EB0" w:rsidP="00E35D79">
            <w:pPr>
              <w:rPr>
                <w:rFonts w:asciiTheme="minorHAnsi" w:hAnsiTheme="minorHAnsi" w:cstheme="minorHAnsi"/>
                <w:b/>
                <w:bCs/>
              </w:rPr>
            </w:pPr>
            <w:r w:rsidRPr="00E45469">
              <w:rPr>
                <w:rFonts w:asciiTheme="minorHAnsi" w:hAnsiTheme="minorHAnsi" w:cstheme="minorHAnsi"/>
                <w:b/>
                <w:bCs/>
              </w:rPr>
              <w:t>Column 2</w:t>
            </w:r>
            <w:r w:rsidRPr="00E45469">
              <w:rPr>
                <w:rFonts w:asciiTheme="minorHAnsi" w:hAnsiTheme="minorHAnsi" w:cstheme="minorHAnsi"/>
                <w:b/>
                <w:bCs/>
              </w:rPr>
              <w:br/>
              <w:t>Statement code</w:t>
            </w:r>
          </w:p>
        </w:tc>
        <w:tc>
          <w:tcPr>
            <w:tcW w:w="5357" w:type="dxa"/>
            <w:tcBorders>
              <w:top w:val="single" w:sz="6" w:space="0" w:color="auto"/>
              <w:bottom w:val="single" w:sz="12" w:space="0" w:color="auto"/>
            </w:tcBorders>
            <w:shd w:val="clear" w:color="auto" w:fill="auto"/>
          </w:tcPr>
          <w:p w14:paraId="471CBCED" w14:textId="77777777" w:rsidR="00661EB0" w:rsidRPr="00E45469" w:rsidRDefault="00661EB0" w:rsidP="00E35D79">
            <w:pPr>
              <w:rPr>
                <w:rFonts w:asciiTheme="minorHAnsi" w:hAnsiTheme="minorHAnsi" w:cstheme="minorHAnsi"/>
                <w:b/>
                <w:bCs/>
              </w:rPr>
            </w:pPr>
            <w:r w:rsidRPr="00E45469">
              <w:rPr>
                <w:rFonts w:asciiTheme="minorHAnsi" w:hAnsiTheme="minorHAnsi" w:cstheme="minorHAnsi"/>
                <w:b/>
                <w:bCs/>
              </w:rPr>
              <w:t>Column 3</w:t>
            </w:r>
            <w:r w:rsidRPr="00E45469">
              <w:rPr>
                <w:rFonts w:asciiTheme="minorHAnsi" w:hAnsiTheme="minorHAnsi" w:cstheme="minorHAnsi"/>
                <w:b/>
                <w:bCs/>
              </w:rPr>
              <w:br/>
              <w:t>Statement</w:t>
            </w:r>
          </w:p>
        </w:tc>
      </w:tr>
      <w:tr w:rsidR="00661EB0" w:rsidRPr="00E35D79" w14:paraId="34C7830E" w14:textId="77777777" w:rsidTr="0013481F">
        <w:tc>
          <w:tcPr>
            <w:tcW w:w="653" w:type="dxa"/>
            <w:tcBorders>
              <w:top w:val="single" w:sz="12" w:space="0" w:color="auto"/>
              <w:bottom w:val="single" w:sz="4" w:space="0" w:color="auto"/>
            </w:tcBorders>
            <w:shd w:val="clear" w:color="auto" w:fill="auto"/>
          </w:tcPr>
          <w:p w14:paraId="7BF75652"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1</w:t>
            </w:r>
          </w:p>
        </w:tc>
        <w:tc>
          <w:tcPr>
            <w:tcW w:w="1176" w:type="dxa"/>
            <w:tcBorders>
              <w:top w:val="single" w:sz="12" w:space="0" w:color="auto"/>
              <w:bottom w:val="single" w:sz="4" w:space="0" w:color="auto"/>
            </w:tcBorders>
            <w:shd w:val="clear" w:color="auto" w:fill="auto"/>
          </w:tcPr>
          <w:p w14:paraId="5AB77269"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Basic</w:t>
            </w:r>
          </w:p>
        </w:tc>
        <w:tc>
          <w:tcPr>
            <w:tcW w:w="1319" w:type="dxa"/>
            <w:tcBorders>
              <w:top w:val="single" w:sz="12" w:space="0" w:color="auto"/>
              <w:bottom w:val="single" w:sz="4" w:space="0" w:color="auto"/>
            </w:tcBorders>
          </w:tcPr>
          <w:p w14:paraId="4AAD1244"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A</w:t>
            </w:r>
          </w:p>
        </w:tc>
        <w:tc>
          <w:tcPr>
            <w:tcW w:w="5357" w:type="dxa"/>
            <w:tcBorders>
              <w:top w:val="single" w:sz="12" w:space="0" w:color="auto"/>
              <w:bottom w:val="single" w:sz="4" w:space="0" w:color="auto"/>
            </w:tcBorders>
            <w:shd w:val="clear" w:color="auto" w:fill="auto"/>
          </w:tcPr>
          <w:p w14:paraId="6CA298A9"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For advice, contact a Poisons Information Centre (e.g. phone Australia 13 11 26; New Zealand 0800 764 766) or a doctor (at once).</w:t>
            </w:r>
          </w:p>
        </w:tc>
      </w:tr>
      <w:tr w:rsidR="00661EB0" w:rsidRPr="00E35D79" w14:paraId="48B199D5" w14:textId="77777777" w:rsidTr="0013481F">
        <w:tc>
          <w:tcPr>
            <w:tcW w:w="653" w:type="dxa"/>
            <w:tcBorders>
              <w:top w:val="single" w:sz="4" w:space="0" w:color="auto"/>
              <w:bottom w:val="single" w:sz="4" w:space="0" w:color="auto"/>
            </w:tcBorders>
            <w:shd w:val="clear" w:color="auto" w:fill="auto"/>
          </w:tcPr>
          <w:p w14:paraId="64FB8D12"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5</w:t>
            </w:r>
          </w:p>
        </w:tc>
        <w:tc>
          <w:tcPr>
            <w:tcW w:w="1176" w:type="dxa"/>
            <w:tcBorders>
              <w:top w:val="single" w:sz="4" w:space="0" w:color="auto"/>
              <w:bottom w:val="single" w:sz="4" w:space="0" w:color="auto"/>
            </w:tcBorders>
            <w:shd w:val="clear" w:color="auto" w:fill="auto"/>
          </w:tcPr>
          <w:p w14:paraId="215FD557"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General</w:t>
            </w:r>
          </w:p>
        </w:tc>
        <w:tc>
          <w:tcPr>
            <w:tcW w:w="1319" w:type="dxa"/>
            <w:tcBorders>
              <w:top w:val="single" w:sz="4" w:space="0" w:color="auto"/>
              <w:bottom w:val="single" w:sz="4" w:space="0" w:color="auto"/>
            </w:tcBorders>
          </w:tcPr>
          <w:p w14:paraId="7488305C"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G3</w:t>
            </w:r>
          </w:p>
        </w:tc>
        <w:tc>
          <w:tcPr>
            <w:tcW w:w="5357" w:type="dxa"/>
            <w:tcBorders>
              <w:top w:val="single" w:sz="4" w:space="0" w:color="auto"/>
              <w:bottom w:val="single" w:sz="4" w:space="0" w:color="auto"/>
            </w:tcBorders>
            <w:shd w:val="clear" w:color="auto" w:fill="auto"/>
          </w:tcPr>
          <w:p w14:paraId="27B43DBF"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If swallowed, do NOT induce vomiting.</w:t>
            </w:r>
          </w:p>
        </w:tc>
      </w:tr>
      <w:tr w:rsidR="00661EB0" w:rsidRPr="00E35D79" w14:paraId="6DA0772D" w14:textId="77777777" w:rsidTr="0013481F">
        <w:tc>
          <w:tcPr>
            <w:tcW w:w="653" w:type="dxa"/>
            <w:tcBorders>
              <w:top w:val="single" w:sz="4" w:space="0" w:color="auto"/>
              <w:bottom w:val="single" w:sz="4" w:space="0" w:color="auto"/>
            </w:tcBorders>
            <w:shd w:val="clear" w:color="auto" w:fill="auto"/>
          </w:tcPr>
          <w:p w14:paraId="60676B3A"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lastRenderedPageBreak/>
              <w:t>10</w:t>
            </w:r>
          </w:p>
        </w:tc>
        <w:tc>
          <w:tcPr>
            <w:tcW w:w="1176" w:type="dxa"/>
            <w:tcBorders>
              <w:top w:val="single" w:sz="4" w:space="0" w:color="auto"/>
              <w:bottom w:val="single" w:sz="4" w:space="0" w:color="auto"/>
            </w:tcBorders>
            <w:shd w:val="clear" w:color="auto" w:fill="auto"/>
          </w:tcPr>
          <w:p w14:paraId="7A896AA8"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Eyes</w:t>
            </w:r>
          </w:p>
        </w:tc>
        <w:tc>
          <w:tcPr>
            <w:tcW w:w="1319" w:type="dxa"/>
            <w:tcBorders>
              <w:top w:val="single" w:sz="4" w:space="0" w:color="auto"/>
              <w:bottom w:val="single" w:sz="4" w:space="0" w:color="auto"/>
            </w:tcBorders>
          </w:tcPr>
          <w:p w14:paraId="04CDA007"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E2</w:t>
            </w:r>
          </w:p>
        </w:tc>
        <w:tc>
          <w:tcPr>
            <w:tcW w:w="5357" w:type="dxa"/>
            <w:tcBorders>
              <w:top w:val="single" w:sz="4" w:space="0" w:color="auto"/>
              <w:bottom w:val="single" w:sz="4" w:space="0" w:color="auto"/>
            </w:tcBorders>
            <w:shd w:val="clear" w:color="auto" w:fill="auto"/>
          </w:tcPr>
          <w:p w14:paraId="5F80DCB8"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If in eyes, hold eyelids apart and flush the eye continuously with running water. Continue flushing until advised to stop by a Poisons Information Centre (e.g. phone Australia 13 11 26; New Zealand 0800 764 766) or a doctor, or for at least 15 minutes.</w:t>
            </w:r>
          </w:p>
        </w:tc>
      </w:tr>
      <w:tr w:rsidR="00661EB0" w:rsidRPr="00E35D79" w14:paraId="6FC14223" w14:textId="77777777" w:rsidTr="0013481F">
        <w:tc>
          <w:tcPr>
            <w:tcW w:w="653" w:type="dxa"/>
            <w:tcBorders>
              <w:top w:val="single" w:sz="4" w:space="0" w:color="auto"/>
              <w:bottom w:val="single" w:sz="12" w:space="0" w:color="auto"/>
            </w:tcBorders>
            <w:shd w:val="clear" w:color="auto" w:fill="auto"/>
          </w:tcPr>
          <w:p w14:paraId="4008EE9C"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13</w:t>
            </w:r>
          </w:p>
        </w:tc>
        <w:tc>
          <w:tcPr>
            <w:tcW w:w="1176" w:type="dxa"/>
            <w:tcBorders>
              <w:top w:val="single" w:sz="4" w:space="0" w:color="auto"/>
              <w:bottom w:val="single" w:sz="12" w:space="0" w:color="auto"/>
            </w:tcBorders>
            <w:shd w:val="clear" w:color="auto" w:fill="auto"/>
          </w:tcPr>
          <w:p w14:paraId="31B6BADA"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Skin</w:t>
            </w:r>
          </w:p>
        </w:tc>
        <w:tc>
          <w:tcPr>
            <w:tcW w:w="1319" w:type="dxa"/>
            <w:tcBorders>
              <w:top w:val="single" w:sz="4" w:space="0" w:color="auto"/>
              <w:bottom w:val="single" w:sz="12" w:space="0" w:color="auto"/>
            </w:tcBorders>
          </w:tcPr>
          <w:p w14:paraId="4A2B116A"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S1</w:t>
            </w:r>
          </w:p>
        </w:tc>
        <w:tc>
          <w:tcPr>
            <w:tcW w:w="5357" w:type="dxa"/>
            <w:tcBorders>
              <w:top w:val="single" w:sz="4" w:space="0" w:color="auto"/>
              <w:bottom w:val="single" w:sz="12" w:space="0" w:color="auto"/>
            </w:tcBorders>
            <w:shd w:val="clear" w:color="auto" w:fill="auto"/>
          </w:tcPr>
          <w:p w14:paraId="7147EFA3" w14:textId="77777777" w:rsidR="00661EB0" w:rsidRPr="00E35D79" w:rsidRDefault="00661EB0" w:rsidP="00E35D79">
            <w:pPr>
              <w:rPr>
                <w:rFonts w:asciiTheme="minorHAnsi" w:hAnsiTheme="minorHAnsi" w:cstheme="minorHAnsi"/>
              </w:rPr>
            </w:pPr>
            <w:r w:rsidRPr="00E35D79">
              <w:rPr>
                <w:rFonts w:asciiTheme="minorHAnsi" w:hAnsiTheme="minorHAnsi" w:cstheme="minorHAnsi"/>
              </w:rPr>
              <w:t>If skin or hair contact occurs, remove contaminated clothing and flush skin and hair with running water.</w:t>
            </w:r>
          </w:p>
        </w:tc>
      </w:tr>
      <w:bookmarkEnd w:id="12"/>
    </w:tbl>
    <w:p w14:paraId="641337B7" w14:textId="77777777" w:rsidR="00661EB0" w:rsidRPr="00E35D79" w:rsidRDefault="00661EB0" w:rsidP="00E35D79">
      <w:pPr>
        <w:rPr>
          <w:rFonts w:asciiTheme="minorHAnsi" w:hAnsiTheme="minorHAnsi" w:cstheme="minorHAnsi"/>
        </w:rPr>
      </w:pPr>
    </w:p>
    <w:p w14:paraId="504D6330" w14:textId="77777777" w:rsidR="00661EB0" w:rsidRPr="00E35D79" w:rsidRDefault="00661EB0" w:rsidP="006E0DB1">
      <w:pPr>
        <w:ind w:left="284"/>
        <w:rPr>
          <w:rFonts w:asciiTheme="minorHAnsi" w:hAnsiTheme="minorHAnsi" w:cstheme="minorHAnsi"/>
        </w:rPr>
      </w:pPr>
      <w:bookmarkStart w:id="13" w:name="_Hlk187921538"/>
      <w:r w:rsidRPr="00E45469">
        <w:rPr>
          <w:rFonts w:asciiTheme="minorHAnsi" w:hAnsiTheme="minorHAnsi" w:cstheme="minorHAnsi"/>
          <w:b/>
          <w:bCs/>
        </w:rPr>
        <w:t>Appendix F, Clause 4</w:t>
      </w:r>
      <w:r w:rsidRPr="00E35D79">
        <w:rPr>
          <w:rFonts w:asciiTheme="minorHAnsi" w:hAnsiTheme="minorHAnsi" w:cstheme="minorHAnsi"/>
        </w:rPr>
        <w:t xml:space="preserve"> – Warning statements and general safety directions for poisons</w:t>
      </w:r>
    </w:p>
    <w:tbl>
      <w:tblPr>
        <w:tblStyle w:val="TableGrid"/>
        <w:tblW w:w="8547" w:type="dxa"/>
        <w:tblInd w:w="66"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51"/>
        <w:gridCol w:w="4961"/>
        <w:gridCol w:w="1418"/>
        <w:gridCol w:w="1417"/>
      </w:tblGrid>
      <w:tr w:rsidR="00661EB0" w:rsidRPr="00E35D79" w14:paraId="763756D5" w14:textId="77777777" w:rsidTr="007C4C0A">
        <w:trPr>
          <w:tblHeader/>
        </w:trPr>
        <w:tc>
          <w:tcPr>
            <w:tcW w:w="8547" w:type="dxa"/>
            <w:gridSpan w:val="4"/>
            <w:tcBorders>
              <w:top w:val="single" w:sz="12" w:space="0" w:color="auto"/>
              <w:bottom w:val="single" w:sz="2" w:space="0" w:color="auto"/>
            </w:tcBorders>
            <w:shd w:val="clear" w:color="auto" w:fill="auto"/>
          </w:tcPr>
          <w:p w14:paraId="43E2FE01"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Poisons that must be labelled with warning statements and safety directions</w:t>
            </w:r>
          </w:p>
        </w:tc>
      </w:tr>
      <w:tr w:rsidR="00661EB0" w:rsidRPr="00E35D79" w14:paraId="1A21E832" w14:textId="77777777" w:rsidTr="007C4C0A">
        <w:trPr>
          <w:tblHeader/>
        </w:trPr>
        <w:tc>
          <w:tcPr>
            <w:tcW w:w="751" w:type="dxa"/>
            <w:tcBorders>
              <w:top w:val="single" w:sz="2" w:space="0" w:color="auto"/>
              <w:bottom w:val="single" w:sz="12" w:space="0" w:color="auto"/>
            </w:tcBorders>
          </w:tcPr>
          <w:p w14:paraId="440B2DD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Item</w:t>
            </w:r>
          </w:p>
        </w:tc>
        <w:tc>
          <w:tcPr>
            <w:tcW w:w="4961" w:type="dxa"/>
            <w:tcBorders>
              <w:top w:val="single" w:sz="2" w:space="0" w:color="auto"/>
              <w:bottom w:val="single" w:sz="12" w:space="0" w:color="auto"/>
            </w:tcBorders>
            <w:shd w:val="clear" w:color="auto" w:fill="auto"/>
          </w:tcPr>
          <w:p w14:paraId="7BEAE36D"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Column 1</w:t>
            </w:r>
            <w:r w:rsidRPr="00E45469">
              <w:rPr>
                <w:rFonts w:asciiTheme="minorHAnsi" w:hAnsiTheme="minorHAnsi" w:cstheme="minorHAnsi"/>
                <w:b/>
                <w:bCs/>
                <w:sz w:val="20"/>
                <w:szCs w:val="20"/>
              </w:rPr>
              <w:br/>
              <w:t>Poison</w:t>
            </w:r>
          </w:p>
        </w:tc>
        <w:tc>
          <w:tcPr>
            <w:tcW w:w="1418" w:type="dxa"/>
            <w:tcBorders>
              <w:top w:val="single" w:sz="2" w:space="0" w:color="auto"/>
              <w:bottom w:val="single" w:sz="12" w:space="0" w:color="auto"/>
            </w:tcBorders>
            <w:shd w:val="clear" w:color="auto" w:fill="auto"/>
          </w:tcPr>
          <w:p w14:paraId="7D23C7A0"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Column 2</w:t>
            </w:r>
            <w:r w:rsidRPr="00E45469">
              <w:rPr>
                <w:rFonts w:asciiTheme="minorHAnsi" w:hAnsiTheme="minorHAnsi" w:cstheme="minorHAnsi"/>
                <w:b/>
                <w:bCs/>
                <w:sz w:val="20"/>
                <w:szCs w:val="20"/>
              </w:rPr>
              <w:br/>
              <w:t>Warning statement item number</w:t>
            </w:r>
          </w:p>
        </w:tc>
        <w:tc>
          <w:tcPr>
            <w:tcW w:w="1417" w:type="dxa"/>
            <w:tcBorders>
              <w:top w:val="single" w:sz="2" w:space="0" w:color="auto"/>
              <w:bottom w:val="single" w:sz="12" w:space="0" w:color="auto"/>
            </w:tcBorders>
            <w:shd w:val="clear" w:color="auto" w:fill="auto"/>
          </w:tcPr>
          <w:p w14:paraId="60AE4F37"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Column 3</w:t>
            </w:r>
            <w:r w:rsidRPr="00E45469">
              <w:rPr>
                <w:rFonts w:asciiTheme="minorHAnsi" w:hAnsiTheme="minorHAnsi" w:cstheme="minorHAnsi"/>
                <w:b/>
                <w:bCs/>
                <w:sz w:val="20"/>
                <w:szCs w:val="20"/>
              </w:rPr>
              <w:br/>
              <w:t>Safety direction item number</w:t>
            </w:r>
          </w:p>
        </w:tc>
      </w:tr>
      <w:tr w:rsidR="00661EB0" w:rsidRPr="00E35D79" w14:paraId="68E964BE" w14:textId="77777777" w:rsidTr="0013481F">
        <w:tc>
          <w:tcPr>
            <w:tcW w:w="751" w:type="dxa"/>
            <w:tcBorders>
              <w:top w:val="single" w:sz="12" w:space="0" w:color="auto"/>
              <w:bottom w:val="single" w:sz="4" w:space="0" w:color="auto"/>
            </w:tcBorders>
          </w:tcPr>
          <w:p w14:paraId="21D57944"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292</w:t>
            </w:r>
          </w:p>
        </w:tc>
        <w:tc>
          <w:tcPr>
            <w:tcW w:w="4961" w:type="dxa"/>
            <w:tcBorders>
              <w:top w:val="single" w:sz="12" w:space="0" w:color="auto"/>
              <w:bottom w:val="single" w:sz="4" w:space="0" w:color="auto"/>
            </w:tcBorders>
            <w:shd w:val="clear" w:color="auto" w:fill="auto"/>
            <w:vAlign w:val="center"/>
          </w:tcPr>
          <w:p w14:paraId="1599FAE6"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POTASSIUM HYDROXIDE—in preparations containing 0.5% or less of potassium hydroxide</w:t>
            </w:r>
          </w:p>
        </w:tc>
        <w:tc>
          <w:tcPr>
            <w:tcW w:w="1418" w:type="dxa"/>
            <w:tcBorders>
              <w:top w:val="single" w:sz="12" w:space="0" w:color="auto"/>
              <w:bottom w:val="single" w:sz="4" w:space="0" w:color="auto"/>
            </w:tcBorders>
            <w:shd w:val="clear" w:color="auto" w:fill="auto"/>
          </w:tcPr>
          <w:p w14:paraId="4F3B112F"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5</w:t>
            </w:r>
          </w:p>
        </w:tc>
        <w:tc>
          <w:tcPr>
            <w:tcW w:w="1417" w:type="dxa"/>
            <w:tcBorders>
              <w:top w:val="single" w:sz="12" w:space="0" w:color="auto"/>
              <w:bottom w:val="single" w:sz="4" w:space="0" w:color="auto"/>
            </w:tcBorders>
            <w:shd w:val="clear" w:color="auto" w:fill="auto"/>
          </w:tcPr>
          <w:p w14:paraId="280F2ACB"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1, 4, 6</w:t>
            </w:r>
          </w:p>
        </w:tc>
      </w:tr>
      <w:tr w:rsidR="00661EB0" w:rsidRPr="00E35D79" w14:paraId="39551B61" w14:textId="77777777" w:rsidTr="0013481F">
        <w:tc>
          <w:tcPr>
            <w:tcW w:w="751" w:type="dxa"/>
            <w:tcBorders>
              <w:top w:val="single" w:sz="4" w:space="0" w:color="auto"/>
              <w:bottom w:val="single" w:sz="4" w:space="0" w:color="auto"/>
            </w:tcBorders>
          </w:tcPr>
          <w:p w14:paraId="5CCAB34D"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293</w:t>
            </w:r>
          </w:p>
        </w:tc>
        <w:tc>
          <w:tcPr>
            <w:tcW w:w="4961" w:type="dxa"/>
            <w:tcBorders>
              <w:top w:val="single" w:sz="4" w:space="0" w:color="auto"/>
              <w:bottom w:val="single" w:sz="4" w:space="0" w:color="auto"/>
            </w:tcBorders>
            <w:shd w:val="clear" w:color="auto" w:fill="auto"/>
            <w:vAlign w:val="center"/>
          </w:tcPr>
          <w:p w14:paraId="674D687D"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POTASSIUM HYDROXIDE—in solid preparations containing more than 0.5% of potassium hydroxide</w:t>
            </w:r>
          </w:p>
        </w:tc>
        <w:tc>
          <w:tcPr>
            <w:tcW w:w="1418" w:type="dxa"/>
            <w:tcBorders>
              <w:top w:val="single" w:sz="4" w:space="0" w:color="auto"/>
              <w:bottom w:val="single" w:sz="4" w:space="0" w:color="auto"/>
            </w:tcBorders>
            <w:shd w:val="clear" w:color="auto" w:fill="auto"/>
          </w:tcPr>
          <w:p w14:paraId="1FAE633F"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2, 10, 78</w:t>
            </w:r>
          </w:p>
        </w:tc>
        <w:tc>
          <w:tcPr>
            <w:tcW w:w="1417" w:type="dxa"/>
            <w:tcBorders>
              <w:top w:val="single" w:sz="4" w:space="0" w:color="auto"/>
              <w:bottom w:val="single" w:sz="4" w:space="0" w:color="auto"/>
            </w:tcBorders>
            <w:shd w:val="clear" w:color="auto" w:fill="auto"/>
          </w:tcPr>
          <w:p w14:paraId="00222794"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3, 5, 28</w:t>
            </w:r>
          </w:p>
        </w:tc>
      </w:tr>
      <w:tr w:rsidR="00661EB0" w:rsidRPr="00E35D79" w14:paraId="102C842F" w14:textId="77777777" w:rsidTr="0013481F">
        <w:tc>
          <w:tcPr>
            <w:tcW w:w="751" w:type="dxa"/>
            <w:tcBorders>
              <w:top w:val="single" w:sz="4" w:space="0" w:color="auto"/>
              <w:bottom w:val="single" w:sz="4" w:space="0" w:color="auto"/>
            </w:tcBorders>
          </w:tcPr>
          <w:p w14:paraId="11081E13"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294</w:t>
            </w:r>
          </w:p>
        </w:tc>
        <w:tc>
          <w:tcPr>
            <w:tcW w:w="4961" w:type="dxa"/>
            <w:tcBorders>
              <w:top w:val="single" w:sz="4" w:space="0" w:color="auto"/>
              <w:bottom w:val="single" w:sz="4" w:space="0" w:color="auto"/>
            </w:tcBorders>
            <w:shd w:val="clear" w:color="auto" w:fill="auto"/>
            <w:vAlign w:val="center"/>
          </w:tcPr>
          <w:p w14:paraId="7F768BD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POTASSIUM HYDROXIDE—in liquid preparations containing more than 0.5% of potassium hydroxide</w:t>
            </w:r>
          </w:p>
        </w:tc>
        <w:tc>
          <w:tcPr>
            <w:tcW w:w="1418" w:type="dxa"/>
            <w:tcBorders>
              <w:top w:val="single" w:sz="4" w:space="0" w:color="auto"/>
              <w:bottom w:val="single" w:sz="4" w:space="0" w:color="auto"/>
            </w:tcBorders>
            <w:shd w:val="clear" w:color="auto" w:fill="auto"/>
          </w:tcPr>
          <w:p w14:paraId="01E018F2"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2, 10, 78</w:t>
            </w:r>
          </w:p>
        </w:tc>
        <w:tc>
          <w:tcPr>
            <w:tcW w:w="1417" w:type="dxa"/>
            <w:tcBorders>
              <w:top w:val="single" w:sz="4" w:space="0" w:color="auto"/>
              <w:bottom w:val="single" w:sz="4" w:space="0" w:color="auto"/>
            </w:tcBorders>
            <w:shd w:val="clear" w:color="auto" w:fill="auto"/>
          </w:tcPr>
          <w:p w14:paraId="0D299B03"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3, 5</w:t>
            </w:r>
          </w:p>
        </w:tc>
      </w:tr>
      <w:tr w:rsidR="00661EB0" w:rsidRPr="00E35D79" w14:paraId="3ECA4431" w14:textId="77777777" w:rsidTr="0013481F">
        <w:tc>
          <w:tcPr>
            <w:tcW w:w="751" w:type="dxa"/>
            <w:tcBorders>
              <w:top w:val="single" w:sz="4" w:space="0" w:color="auto"/>
              <w:bottom w:val="single" w:sz="4" w:space="0" w:color="auto"/>
            </w:tcBorders>
          </w:tcPr>
          <w:p w14:paraId="16D7AB20"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319</w:t>
            </w:r>
          </w:p>
        </w:tc>
        <w:tc>
          <w:tcPr>
            <w:tcW w:w="4961" w:type="dxa"/>
            <w:tcBorders>
              <w:top w:val="single" w:sz="4" w:space="0" w:color="auto"/>
              <w:bottom w:val="single" w:sz="4" w:space="0" w:color="auto"/>
            </w:tcBorders>
            <w:shd w:val="clear" w:color="auto" w:fill="auto"/>
            <w:vAlign w:val="center"/>
          </w:tcPr>
          <w:p w14:paraId="6ACCADB9"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SODIUM HYDROXIDE—in preparations containing 0.5% or less of sodium hydroxide</w:t>
            </w:r>
          </w:p>
        </w:tc>
        <w:tc>
          <w:tcPr>
            <w:tcW w:w="1418" w:type="dxa"/>
            <w:tcBorders>
              <w:top w:val="single" w:sz="4" w:space="0" w:color="auto"/>
              <w:bottom w:val="single" w:sz="4" w:space="0" w:color="auto"/>
            </w:tcBorders>
            <w:shd w:val="clear" w:color="auto" w:fill="auto"/>
          </w:tcPr>
          <w:p w14:paraId="49317227"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5</w:t>
            </w:r>
          </w:p>
        </w:tc>
        <w:tc>
          <w:tcPr>
            <w:tcW w:w="1417" w:type="dxa"/>
            <w:tcBorders>
              <w:top w:val="single" w:sz="4" w:space="0" w:color="auto"/>
              <w:bottom w:val="single" w:sz="4" w:space="0" w:color="auto"/>
            </w:tcBorders>
            <w:shd w:val="clear" w:color="auto" w:fill="auto"/>
          </w:tcPr>
          <w:p w14:paraId="08F51F9B"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1, 4, 6</w:t>
            </w:r>
          </w:p>
        </w:tc>
      </w:tr>
      <w:tr w:rsidR="00661EB0" w:rsidRPr="00E35D79" w14:paraId="6B726C01" w14:textId="77777777" w:rsidTr="0013481F">
        <w:tc>
          <w:tcPr>
            <w:tcW w:w="751" w:type="dxa"/>
            <w:tcBorders>
              <w:top w:val="single" w:sz="4" w:space="0" w:color="auto"/>
              <w:bottom w:val="single" w:sz="4" w:space="0" w:color="auto"/>
            </w:tcBorders>
          </w:tcPr>
          <w:p w14:paraId="70A6DF31"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320</w:t>
            </w:r>
          </w:p>
        </w:tc>
        <w:tc>
          <w:tcPr>
            <w:tcW w:w="4961" w:type="dxa"/>
            <w:tcBorders>
              <w:top w:val="single" w:sz="4" w:space="0" w:color="auto"/>
              <w:bottom w:val="single" w:sz="4" w:space="0" w:color="auto"/>
            </w:tcBorders>
            <w:shd w:val="clear" w:color="auto" w:fill="auto"/>
            <w:vAlign w:val="center"/>
          </w:tcPr>
          <w:p w14:paraId="4CCD615F"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SODIUM HYDROXIDE—in solid preparations containing more than 0.5% of sodium hydroxide</w:t>
            </w:r>
          </w:p>
        </w:tc>
        <w:tc>
          <w:tcPr>
            <w:tcW w:w="1418" w:type="dxa"/>
            <w:tcBorders>
              <w:top w:val="single" w:sz="4" w:space="0" w:color="auto"/>
              <w:bottom w:val="single" w:sz="4" w:space="0" w:color="auto"/>
            </w:tcBorders>
            <w:shd w:val="clear" w:color="auto" w:fill="auto"/>
          </w:tcPr>
          <w:p w14:paraId="7E1D5C0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2, 10, 78</w:t>
            </w:r>
          </w:p>
        </w:tc>
        <w:tc>
          <w:tcPr>
            <w:tcW w:w="1417" w:type="dxa"/>
            <w:tcBorders>
              <w:top w:val="single" w:sz="4" w:space="0" w:color="auto"/>
              <w:bottom w:val="single" w:sz="4" w:space="0" w:color="auto"/>
            </w:tcBorders>
            <w:shd w:val="clear" w:color="auto" w:fill="auto"/>
          </w:tcPr>
          <w:p w14:paraId="4760E65E"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3, 5, 28</w:t>
            </w:r>
          </w:p>
        </w:tc>
      </w:tr>
      <w:tr w:rsidR="00661EB0" w:rsidRPr="00E35D79" w14:paraId="70904B29" w14:textId="77777777" w:rsidTr="0013481F">
        <w:tc>
          <w:tcPr>
            <w:tcW w:w="751" w:type="dxa"/>
            <w:tcBorders>
              <w:top w:val="single" w:sz="4" w:space="0" w:color="auto"/>
            </w:tcBorders>
          </w:tcPr>
          <w:p w14:paraId="1FA6439F"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321</w:t>
            </w:r>
          </w:p>
        </w:tc>
        <w:tc>
          <w:tcPr>
            <w:tcW w:w="4961" w:type="dxa"/>
            <w:tcBorders>
              <w:top w:val="single" w:sz="4" w:space="0" w:color="auto"/>
            </w:tcBorders>
            <w:shd w:val="clear" w:color="auto" w:fill="auto"/>
            <w:vAlign w:val="center"/>
          </w:tcPr>
          <w:p w14:paraId="487CFBE9"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SODIUM HYDROXIDE—in liquid preparations containing more than 0.5% of sodium hydroxide</w:t>
            </w:r>
          </w:p>
        </w:tc>
        <w:tc>
          <w:tcPr>
            <w:tcW w:w="1418" w:type="dxa"/>
            <w:tcBorders>
              <w:top w:val="single" w:sz="4" w:space="0" w:color="auto"/>
            </w:tcBorders>
            <w:shd w:val="clear" w:color="auto" w:fill="auto"/>
          </w:tcPr>
          <w:p w14:paraId="7DD8E89E"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2, 10, 78</w:t>
            </w:r>
          </w:p>
        </w:tc>
        <w:tc>
          <w:tcPr>
            <w:tcW w:w="1417" w:type="dxa"/>
            <w:tcBorders>
              <w:top w:val="single" w:sz="4" w:space="0" w:color="auto"/>
            </w:tcBorders>
            <w:shd w:val="clear" w:color="auto" w:fill="auto"/>
          </w:tcPr>
          <w:p w14:paraId="0560E07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3, 5</w:t>
            </w:r>
          </w:p>
        </w:tc>
      </w:tr>
    </w:tbl>
    <w:p w14:paraId="6AA04F7D" w14:textId="77777777" w:rsidR="00661EB0" w:rsidRPr="00E35D79" w:rsidRDefault="00661EB0" w:rsidP="00E35D79">
      <w:pPr>
        <w:rPr>
          <w:rFonts w:asciiTheme="minorHAnsi" w:hAnsiTheme="minorHAnsi" w:cstheme="minorHAnsi"/>
        </w:rPr>
      </w:pPr>
    </w:p>
    <w:tbl>
      <w:tblPr>
        <w:tblStyle w:val="TableGrid"/>
        <w:tblW w:w="0" w:type="auto"/>
        <w:tblInd w:w="108" w:type="dxa"/>
        <w:tblBorders>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709"/>
        <w:gridCol w:w="7677"/>
      </w:tblGrid>
      <w:tr w:rsidR="00661EB0" w:rsidRPr="00E35D79" w14:paraId="2DACD992" w14:textId="77777777" w:rsidTr="007C4C0A">
        <w:trPr>
          <w:tblHeader/>
        </w:trPr>
        <w:tc>
          <w:tcPr>
            <w:tcW w:w="8386" w:type="dxa"/>
            <w:gridSpan w:val="2"/>
            <w:tcBorders>
              <w:top w:val="single" w:sz="12" w:space="0" w:color="auto"/>
              <w:bottom w:val="single" w:sz="6" w:space="0" w:color="auto"/>
            </w:tcBorders>
            <w:shd w:val="clear" w:color="auto" w:fill="auto"/>
          </w:tcPr>
          <w:p w14:paraId="23166852"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Warning statements</w:t>
            </w:r>
          </w:p>
        </w:tc>
      </w:tr>
      <w:tr w:rsidR="00661EB0" w:rsidRPr="00E35D79" w14:paraId="797F1CE0" w14:textId="77777777" w:rsidTr="007C4C0A">
        <w:trPr>
          <w:tblHeader/>
        </w:trPr>
        <w:tc>
          <w:tcPr>
            <w:tcW w:w="709" w:type="dxa"/>
            <w:tcBorders>
              <w:top w:val="single" w:sz="6" w:space="0" w:color="auto"/>
              <w:bottom w:val="single" w:sz="12" w:space="0" w:color="auto"/>
            </w:tcBorders>
            <w:shd w:val="clear" w:color="auto" w:fill="auto"/>
          </w:tcPr>
          <w:p w14:paraId="5B239054"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Item</w:t>
            </w:r>
          </w:p>
        </w:tc>
        <w:tc>
          <w:tcPr>
            <w:tcW w:w="7677" w:type="dxa"/>
            <w:tcBorders>
              <w:top w:val="single" w:sz="6" w:space="0" w:color="auto"/>
              <w:bottom w:val="single" w:sz="12" w:space="0" w:color="auto"/>
            </w:tcBorders>
            <w:shd w:val="clear" w:color="auto" w:fill="auto"/>
          </w:tcPr>
          <w:p w14:paraId="7E64BBA1"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 xml:space="preserve">Column 1 </w:t>
            </w:r>
            <w:r w:rsidRPr="00E45469">
              <w:rPr>
                <w:rFonts w:asciiTheme="minorHAnsi" w:hAnsiTheme="minorHAnsi" w:cstheme="minorHAnsi"/>
                <w:b/>
                <w:bCs/>
                <w:sz w:val="20"/>
                <w:szCs w:val="20"/>
              </w:rPr>
              <w:br/>
              <w:t>Warning statement</w:t>
            </w:r>
          </w:p>
        </w:tc>
      </w:tr>
      <w:tr w:rsidR="00661EB0" w:rsidRPr="00E35D79" w14:paraId="678E3F81" w14:textId="77777777" w:rsidTr="0013481F">
        <w:tc>
          <w:tcPr>
            <w:tcW w:w="709" w:type="dxa"/>
            <w:tcBorders>
              <w:top w:val="single" w:sz="12" w:space="0" w:color="auto"/>
              <w:bottom w:val="single" w:sz="4" w:space="0" w:color="auto"/>
            </w:tcBorders>
            <w:shd w:val="clear" w:color="auto" w:fill="auto"/>
          </w:tcPr>
          <w:p w14:paraId="1C83B44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w:t>
            </w:r>
          </w:p>
        </w:tc>
        <w:tc>
          <w:tcPr>
            <w:tcW w:w="7677" w:type="dxa"/>
            <w:tcBorders>
              <w:top w:val="single" w:sz="12" w:space="0" w:color="auto"/>
              <w:bottom w:val="single" w:sz="4" w:space="0" w:color="auto"/>
            </w:tcBorders>
            <w:shd w:val="clear" w:color="auto" w:fill="auto"/>
          </w:tcPr>
          <w:p w14:paraId="03A8388E"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Corrosive.</w:t>
            </w:r>
          </w:p>
        </w:tc>
      </w:tr>
      <w:tr w:rsidR="00661EB0" w:rsidRPr="00E35D79" w14:paraId="663B95FD" w14:textId="77777777" w:rsidTr="0013481F">
        <w:tc>
          <w:tcPr>
            <w:tcW w:w="709" w:type="dxa"/>
            <w:tcBorders>
              <w:top w:val="single" w:sz="4" w:space="0" w:color="auto"/>
              <w:bottom w:val="single" w:sz="4" w:space="0" w:color="auto"/>
            </w:tcBorders>
            <w:shd w:val="clear" w:color="auto" w:fill="auto"/>
          </w:tcPr>
          <w:p w14:paraId="5727203D"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5</w:t>
            </w:r>
          </w:p>
        </w:tc>
        <w:tc>
          <w:tcPr>
            <w:tcW w:w="7677" w:type="dxa"/>
            <w:tcBorders>
              <w:top w:val="single" w:sz="4" w:space="0" w:color="auto"/>
              <w:bottom w:val="single" w:sz="4" w:space="0" w:color="auto"/>
            </w:tcBorders>
            <w:shd w:val="clear" w:color="auto" w:fill="auto"/>
          </w:tcPr>
          <w:p w14:paraId="130C9EF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Irritant.</w:t>
            </w:r>
          </w:p>
        </w:tc>
      </w:tr>
      <w:tr w:rsidR="00661EB0" w:rsidRPr="00E35D79" w14:paraId="575E3C7E" w14:textId="77777777" w:rsidTr="0013481F">
        <w:tc>
          <w:tcPr>
            <w:tcW w:w="709" w:type="dxa"/>
            <w:tcBorders>
              <w:top w:val="single" w:sz="4" w:space="0" w:color="auto"/>
              <w:bottom w:val="single" w:sz="4" w:space="0" w:color="auto"/>
            </w:tcBorders>
            <w:shd w:val="clear" w:color="auto" w:fill="auto"/>
          </w:tcPr>
          <w:p w14:paraId="16F5FB75"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10</w:t>
            </w:r>
          </w:p>
        </w:tc>
        <w:tc>
          <w:tcPr>
            <w:tcW w:w="7677" w:type="dxa"/>
            <w:tcBorders>
              <w:top w:val="single" w:sz="4" w:space="0" w:color="auto"/>
              <w:bottom w:val="single" w:sz="4" w:space="0" w:color="auto"/>
            </w:tcBorders>
            <w:shd w:val="clear" w:color="auto" w:fill="auto"/>
          </w:tcPr>
          <w:p w14:paraId="75BC643C"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May produce severe burns.</w:t>
            </w:r>
          </w:p>
        </w:tc>
      </w:tr>
      <w:tr w:rsidR="00661EB0" w:rsidRPr="00E35D79" w14:paraId="1E86EB69" w14:textId="77777777" w:rsidTr="0013481F">
        <w:tc>
          <w:tcPr>
            <w:tcW w:w="709" w:type="dxa"/>
            <w:tcBorders>
              <w:top w:val="single" w:sz="4" w:space="0" w:color="auto"/>
            </w:tcBorders>
            <w:shd w:val="clear" w:color="auto" w:fill="auto"/>
          </w:tcPr>
          <w:p w14:paraId="5543A0C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78</w:t>
            </w:r>
          </w:p>
        </w:tc>
        <w:tc>
          <w:tcPr>
            <w:tcW w:w="7677" w:type="dxa"/>
            <w:tcBorders>
              <w:top w:val="single" w:sz="4" w:space="0" w:color="auto"/>
            </w:tcBorders>
            <w:shd w:val="clear" w:color="auto" w:fill="auto"/>
          </w:tcPr>
          <w:p w14:paraId="1E7C3842"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Attacks skin and eyes.</w:t>
            </w:r>
          </w:p>
        </w:tc>
      </w:tr>
    </w:tbl>
    <w:p w14:paraId="3901CDCC" w14:textId="77777777" w:rsidR="00661EB0" w:rsidRPr="00E35D79" w:rsidRDefault="00661EB0" w:rsidP="00E35D79">
      <w:pPr>
        <w:rPr>
          <w:rFonts w:asciiTheme="minorHAnsi" w:hAnsiTheme="minorHAnsi" w:cstheme="minorHAnsi"/>
        </w:rPr>
      </w:pPr>
    </w:p>
    <w:tbl>
      <w:tblPr>
        <w:tblStyle w:val="TableGrid"/>
        <w:tblW w:w="0" w:type="auto"/>
        <w:tblInd w:w="108" w:type="dxa"/>
        <w:tblBorders>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702"/>
        <w:gridCol w:w="7719"/>
      </w:tblGrid>
      <w:tr w:rsidR="00661EB0" w:rsidRPr="00E35D79" w14:paraId="74659DEA" w14:textId="77777777" w:rsidTr="007C4C0A">
        <w:trPr>
          <w:tblHeader/>
        </w:trPr>
        <w:tc>
          <w:tcPr>
            <w:tcW w:w="8421" w:type="dxa"/>
            <w:gridSpan w:val="2"/>
            <w:tcBorders>
              <w:top w:val="single" w:sz="12" w:space="0" w:color="auto"/>
              <w:bottom w:val="single" w:sz="6" w:space="0" w:color="auto"/>
            </w:tcBorders>
            <w:shd w:val="clear" w:color="auto" w:fill="auto"/>
          </w:tcPr>
          <w:p w14:paraId="1540DCDC"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Safety directions</w:t>
            </w:r>
          </w:p>
        </w:tc>
      </w:tr>
      <w:tr w:rsidR="00661EB0" w:rsidRPr="00E35D79" w14:paraId="2A75022E" w14:textId="77777777" w:rsidTr="0013481F">
        <w:trPr>
          <w:tblHeader/>
        </w:trPr>
        <w:tc>
          <w:tcPr>
            <w:tcW w:w="702" w:type="dxa"/>
            <w:tcBorders>
              <w:top w:val="single" w:sz="6" w:space="0" w:color="auto"/>
              <w:bottom w:val="single" w:sz="4" w:space="0" w:color="auto"/>
            </w:tcBorders>
            <w:shd w:val="clear" w:color="auto" w:fill="auto"/>
          </w:tcPr>
          <w:p w14:paraId="79680A79"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Item</w:t>
            </w:r>
          </w:p>
        </w:tc>
        <w:tc>
          <w:tcPr>
            <w:tcW w:w="7719" w:type="dxa"/>
            <w:tcBorders>
              <w:top w:val="single" w:sz="6" w:space="0" w:color="auto"/>
              <w:bottom w:val="single" w:sz="4" w:space="0" w:color="auto"/>
            </w:tcBorders>
            <w:shd w:val="clear" w:color="auto" w:fill="auto"/>
          </w:tcPr>
          <w:p w14:paraId="2766B686" w14:textId="77777777" w:rsidR="00661EB0" w:rsidRPr="00E45469" w:rsidRDefault="00661EB0" w:rsidP="00E35D79">
            <w:pPr>
              <w:rPr>
                <w:rFonts w:asciiTheme="minorHAnsi" w:hAnsiTheme="minorHAnsi" w:cstheme="minorHAnsi"/>
                <w:b/>
                <w:bCs/>
                <w:sz w:val="20"/>
                <w:szCs w:val="20"/>
              </w:rPr>
            </w:pPr>
            <w:r w:rsidRPr="00E45469">
              <w:rPr>
                <w:rFonts w:asciiTheme="minorHAnsi" w:hAnsiTheme="minorHAnsi" w:cstheme="minorHAnsi"/>
                <w:b/>
                <w:bCs/>
                <w:sz w:val="20"/>
                <w:szCs w:val="20"/>
              </w:rPr>
              <w:t>Column 1</w:t>
            </w:r>
            <w:r w:rsidRPr="00E45469">
              <w:rPr>
                <w:rFonts w:asciiTheme="minorHAnsi" w:hAnsiTheme="minorHAnsi" w:cstheme="minorHAnsi"/>
                <w:b/>
                <w:bCs/>
                <w:sz w:val="20"/>
                <w:szCs w:val="20"/>
              </w:rPr>
              <w:br/>
              <w:t>Safety direction</w:t>
            </w:r>
          </w:p>
        </w:tc>
      </w:tr>
      <w:tr w:rsidR="00661EB0" w:rsidRPr="00E35D79" w14:paraId="62BA2637" w14:textId="77777777" w:rsidTr="0013481F">
        <w:tc>
          <w:tcPr>
            <w:tcW w:w="702" w:type="dxa"/>
            <w:tcBorders>
              <w:top w:val="single" w:sz="4" w:space="0" w:color="auto"/>
              <w:bottom w:val="single" w:sz="4" w:space="0" w:color="auto"/>
            </w:tcBorders>
            <w:shd w:val="clear" w:color="auto" w:fill="auto"/>
          </w:tcPr>
          <w:p w14:paraId="65E16DD5"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1</w:t>
            </w:r>
          </w:p>
        </w:tc>
        <w:tc>
          <w:tcPr>
            <w:tcW w:w="7719" w:type="dxa"/>
            <w:tcBorders>
              <w:top w:val="single" w:sz="4" w:space="0" w:color="auto"/>
              <w:bottom w:val="single" w:sz="4" w:space="0" w:color="auto"/>
            </w:tcBorders>
            <w:shd w:val="clear" w:color="auto" w:fill="auto"/>
          </w:tcPr>
          <w:p w14:paraId="143F7D64"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Avoid contact with eyes.</w:t>
            </w:r>
          </w:p>
        </w:tc>
      </w:tr>
      <w:tr w:rsidR="00661EB0" w:rsidRPr="00E35D79" w14:paraId="0F56BBEC" w14:textId="77777777" w:rsidTr="0013481F">
        <w:tc>
          <w:tcPr>
            <w:tcW w:w="702" w:type="dxa"/>
            <w:tcBorders>
              <w:top w:val="single" w:sz="4" w:space="0" w:color="auto"/>
              <w:bottom w:val="single" w:sz="4" w:space="0" w:color="auto"/>
            </w:tcBorders>
            <w:shd w:val="clear" w:color="auto" w:fill="auto"/>
          </w:tcPr>
          <w:p w14:paraId="1A58F15C"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3</w:t>
            </w:r>
          </w:p>
        </w:tc>
        <w:tc>
          <w:tcPr>
            <w:tcW w:w="7719" w:type="dxa"/>
            <w:tcBorders>
              <w:top w:val="single" w:sz="4" w:space="0" w:color="auto"/>
              <w:bottom w:val="single" w:sz="4" w:space="0" w:color="auto"/>
            </w:tcBorders>
            <w:shd w:val="clear" w:color="auto" w:fill="auto"/>
          </w:tcPr>
          <w:p w14:paraId="6130270B"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Wear eye protection when mixing or using.</w:t>
            </w:r>
          </w:p>
        </w:tc>
      </w:tr>
      <w:tr w:rsidR="00661EB0" w:rsidRPr="00E35D79" w14:paraId="1EAF3003" w14:textId="77777777" w:rsidTr="0013481F">
        <w:tc>
          <w:tcPr>
            <w:tcW w:w="702" w:type="dxa"/>
            <w:tcBorders>
              <w:top w:val="single" w:sz="4" w:space="0" w:color="auto"/>
              <w:bottom w:val="single" w:sz="4" w:space="0" w:color="auto"/>
            </w:tcBorders>
            <w:shd w:val="clear" w:color="auto" w:fill="auto"/>
          </w:tcPr>
          <w:p w14:paraId="0D7407EE"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4</w:t>
            </w:r>
          </w:p>
        </w:tc>
        <w:tc>
          <w:tcPr>
            <w:tcW w:w="7719" w:type="dxa"/>
            <w:tcBorders>
              <w:top w:val="single" w:sz="4" w:space="0" w:color="auto"/>
              <w:bottom w:val="single" w:sz="4" w:space="0" w:color="auto"/>
            </w:tcBorders>
            <w:shd w:val="clear" w:color="auto" w:fill="auto"/>
          </w:tcPr>
          <w:p w14:paraId="3760FBF8"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Avoid contact with skin.</w:t>
            </w:r>
          </w:p>
        </w:tc>
      </w:tr>
      <w:tr w:rsidR="00661EB0" w:rsidRPr="00E35D79" w14:paraId="7DC0BA5B" w14:textId="77777777" w:rsidTr="0013481F">
        <w:tc>
          <w:tcPr>
            <w:tcW w:w="702" w:type="dxa"/>
            <w:tcBorders>
              <w:top w:val="single" w:sz="4" w:space="0" w:color="auto"/>
              <w:bottom w:val="single" w:sz="4" w:space="0" w:color="auto"/>
            </w:tcBorders>
            <w:shd w:val="clear" w:color="auto" w:fill="auto"/>
          </w:tcPr>
          <w:p w14:paraId="41D1B18A"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5</w:t>
            </w:r>
          </w:p>
        </w:tc>
        <w:tc>
          <w:tcPr>
            <w:tcW w:w="7719" w:type="dxa"/>
            <w:tcBorders>
              <w:top w:val="single" w:sz="4" w:space="0" w:color="auto"/>
              <w:bottom w:val="single" w:sz="4" w:space="0" w:color="auto"/>
            </w:tcBorders>
            <w:shd w:val="clear" w:color="auto" w:fill="auto"/>
          </w:tcPr>
          <w:p w14:paraId="2494DBCB"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Wear protective gloves when mixing or using.</w:t>
            </w:r>
          </w:p>
        </w:tc>
      </w:tr>
      <w:tr w:rsidR="00661EB0" w:rsidRPr="00E35D79" w14:paraId="2E52EB90" w14:textId="77777777" w:rsidTr="0013481F">
        <w:tc>
          <w:tcPr>
            <w:tcW w:w="702" w:type="dxa"/>
            <w:tcBorders>
              <w:top w:val="single" w:sz="4" w:space="0" w:color="auto"/>
              <w:bottom w:val="single" w:sz="4" w:space="0" w:color="auto"/>
            </w:tcBorders>
            <w:shd w:val="clear" w:color="auto" w:fill="auto"/>
          </w:tcPr>
          <w:p w14:paraId="65BA3D6D"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6</w:t>
            </w:r>
          </w:p>
        </w:tc>
        <w:tc>
          <w:tcPr>
            <w:tcW w:w="7719" w:type="dxa"/>
            <w:tcBorders>
              <w:top w:val="single" w:sz="4" w:space="0" w:color="auto"/>
              <w:bottom w:val="single" w:sz="4" w:space="0" w:color="auto"/>
            </w:tcBorders>
            <w:shd w:val="clear" w:color="auto" w:fill="auto"/>
          </w:tcPr>
          <w:p w14:paraId="34D36EEB"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Wash hands after use.</w:t>
            </w:r>
          </w:p>
        </w:tc>
      </w:tr>
      <w:tr w:rsidR="00661EB0" w:rsidRPr="00E35D79" w14:paraId="53F0F4D5" w14:textId="77777777" w:rsidTr="0013481F">
        <w:tc>
          <w:tcPr>
            <w:tcW w:w="702" w:type="dxa"/>
            <w:tcBorders>
              <w:top w:val="single" w:sz="4" w:space="0" w:color="auto"/>
              <w:bottom w:val="single" w:sz="12" w:space="0" w:color="auto"/>
            </w:tcBorders>
            <w:shd w:val="clear" w:color="auto" w:fill="auto"/>
          </w:tcPr>
          <w:p w14:paraId="3E23C403"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28</w:t>
            </w:r>
          </w:p>
        </w:tc>
        <w:tc>
          <w:tcPr>
            <w:tcW w:w="7719" w:type="dxa"/>
            <w:tcBorders>
              <w:top w:val="single" w:sz="4" w:space="0" w:color="auto"/>
              <w:bottom w:val="single" w:sz="12" w:space="0" w:color="auto"/>
            </w:tcBorders>
            <w:shd w:val="clear" w:color="auto" w:fill="auto"/>
          </w:tcPr>
          <w:p w14:paraId="7D23729D" w14:textId="77777777" w:rsidR="00661EB0" w:rsidRPr="00E35D79" w:rsidRDefault="00661EB0" w:rsidP="00E35D79">
            <w:pPr>
              <w:rPr>
                <w:rFonts w:asciiTheme="minorHAnsi" w:hAnsiTheme="minorHAnsi" w:cstheme="minorHAnsi"/>
                <w:sz w:val="20"/>
                <w:szCs w:val="20"/>
              </w:rPr>
            </w:pPr>
            <w:r w:rsidRPr="00E35D79">
              <w:rPr>
                <w:rFonts w:asciiTheme="minorHAnsi" w:hAnsiTheme="minorHAnsi" w:cstheme="minorHAnsi"/>
                <w:sz w:val="20"/>
                <w:szCs w:val="20"/>
              </w:rPr>
              <w:t>Do not mix with hot water.</w:t>
            </w:r>
          </w:p>
        </w:tc>
      </w:tr>
      <w:bookmarkEnd w:id="13"/>
    </w:tbl>
    <w:p w14:paraId="5DED7CB3" w14:textId="77777777" w:rsidR="00661EB0" w:rsidRPr="00E35D79" w:rsidRDefault="00661EB0" w:rsidP="00E35D79">
      <w:pPr>
        <w:rPr>
          <w:rFonts w:asciiTheme="minorHAnsi" w:hAnsiTheme="minorHAnsi" w:cstheme="minorHAnsi"/>
        </w:rPr>
      </w:pPr>
    </w:p>
    <w:p w14:paraId="16D10DF3" w14:textId="77777777" w:rsidR="00383371" w:rsidRDefault="00383371">
      <w:pPr>
        <w:rPr>
          <w:rFonts w:asciiTheme="minorHAnsi" w:hAnsiTheme="minorHAnsi" w:cstheme="minorHAnsi"/>
          <w:b/>
          <w:bCs/>
        </w:rPr>
      </w:pPr>
      <w:r>
        <w:rPr>
          <w:rFonts w:asciiTheme="minorHAnsi" w:hAnsiTheme="minorHAnsi" w:cstheme="minorHAnsi"/>
          <w:b/>
          <w:bCs/>
        </w:rPr>
        <w:br w:type="page"/>
      </w:r>
    </w:p>
    <w:p w14:paraId="4861C1EB" w14:textId="49CB498A" w:rsidR="00661EB0" w:rsidRPr="00E35D79" w:rsidRDefault="00661EB0" w:rsidP="006E0DB1">
      <w:pPr>
        <w:ind w:left="284"/>
        <w:rPr>
          <w:rFonts w:asciiTheme="minorHAnsi" w:hAnsiTheme="minorHAnsi" w:cstheme="minorHAnsi"/>
        </w:rPr>
      </w:pPr>
      <w:r w:rsidRPr="00E45469">
        <w:rPr>
          <w:rFonts w:asciiTheme="minorHAnsi" w:hAnsiTheme="minorHAnsi" w:cstheme="minorHAnsi"/>
          <w:b/>
          <w:bCs/>
        </w:rPr>
        <w:lastRenderedPageBreak/>
        <w:t>Appendix J, clause 1</w:t>
      </w:r>
      <w:r w:rsidRPr="00E35D79">
        <w:rPr>
          <w:rFonts w:asciiTheme="minorHAnsi" w:hAnsiTheme="minorHAnsi" w:cstheme="minorHAnsi"/>
        </w:rPr>
        <w:t xml:space="preserve"> – Conditions for availability and use of certain poisons included in Schedule</w:t>
      </w:r>
      <w:r w:rsidR="006E0DB1">
        <w:rPr>
          <w:rFonts w:asciiTheme="minorHAnsi" w:hAnsiTheme="minorHAnsi" w:cstheme="minorHAnsi"/>
        </w:rPr>
        <w:t> </w:t>
      </w:r>
      <w:r w:rsidRPr="00E35D79">
        <w:rPr>
          <w:rFonts w:asciiTheme="minorHAnsi" w:hAnsiTheme="minorHAnsi" w:cstheme="minorHAnsi"/>
        </w:rPr>
        <w:t>7</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227"/>
        <w:gridCol w:w="1371"/>
      </w:tblGrid>
      <w:tr w:rsidR="00661EB0" w:rsidRPr="00E35D79" w14:paraId="2056BC60" w14:textId="77777777" w:rsidTr="007C4C0A">
        <w:trPr>
          <w:tblHeader/>
        </w:trPr>
        <w:tc>
          <w:tcPr>
            <w:tcW w:w="8312" w:type="dxa"/>
            <w:gridSpan w:val="3"/>
            <w:tcBorders>
              <w:top w:val="single" w:sz="12" w:space="0" w:color="auto"/>
              <w:bottom w:val="single" w:sz="6" w:space="0" w:color="auto"/>
            </w:tcBorders>
            <w:shd w:val="clear" w:color="auto" w:fill="auto"/>
          </w:tcPr>
          <w:p w14:paraId="69594270" w14:textId="77777777" w:rsidR="00661EB0" w:rsidRPr="00E45469" w:rsidRDefault="00661EB0" w:rsidP="00E35D79">
            <w:pPr>
              <w:rPr>
                <w:rFonts w:asciiTheme="minorHAnsi" w:hAnsiTheme="minorHAnsi" w:cstheme="minorHAnsi"/>
                <w:b/>
                <w:bCs/>
              </w:rPr>
            </w:pPr>
            <w:r w:rsidRPr="00E45469">
              <w:rPr>
                <w:rFonts w:asciiTheme="minorHAnsi" w:hAnsiTheme="minorHAnsi" w:cstheme="minorHAnsi"/>
                <w:b/>
                <w:bCs/>
              </w:rPr>
              <w:t>Conditions for supply of certain poisons included in Schedule 7</w:t>
            </w:r>
          </w:p>
        </w:tc>
      </w:tr>
      <w:tr w:rsidR="00661EB0" w:rsidRPr="00E35D79" w14:paraId="5D69F5BC" w14:textId="77777777" w:rsidTr="007C4C0A">
        <w:trPr>
          <w:tblHeader/>
        </w:trPr>
        <w:tc>
          <w:tcPr>
            <w:tcW w:w="714" w:type="dxa"/>
            <w:tcBorders>
              <w:top w:val="single" w:sz="6" w:space="0" w:color="auto"/>
              <w:bottom w:val="single" w:sz="12" w:space="0" w:color="auto"/>
            </w:tcBorders>
            <w:shd w:val="clear" w:color="auto" w:fill="auto"/>
          </w:tcPr>
          <w:p w14:paraId="3A8561C1" w14:textId="77777777" w:rsidR="00661EB0" w:rsidRPr="00E45469" w:rsidRDefault="00661EB0" w:rsidP="00E35D79">
            <w:pPr>
              <w:rPr>
                <w:rFonts w:asciiTheme="minorHAnsi" w:hAnsiTheme="minorHAnsi" w:cstheme="minorHAnsi"/>
                <w:b/>
                <w:bCs/>
              </w:rPr>
            </w:pPr>
            <w:r w:rsidRPr="00E45469">
              <w:rPr>
                <w:rFonts w:asciiTheme="minorHAnsi" w:hAnsiTheme="minorHAnsi" w:cstheme="minorHAnsi"/>
                <w:b/>
                <w:bCs/>
              </w:rPr>
              <w:t>Item</w:t>
            </w:r>
          </w:p>
        </w:tc>
        <w:tc>
          <w:tcPr>
            <w:tcW w:w="6227" w:type="dxa"/>
            <w:tcBorders>
              <w:top w:val="single" w:sz="6" w:space="0" w:color="auto"/>
              <w:bottom w:val="single" w:sz="12" w:space="0" w:color="auto"/>
            </w:tcBorders>
            <w:shd w:val="clear" w:color="auto" w:fill="auto"/>
          </w:tcPr>
          <w:p w14:paraId="2A03E967" w14:textId="77777777" w:rsidR="00661EB0" w:rsidRPr="00E45469" w:rsidRDefault="00661EB0" w:rsidP="00E35D79">
            <w:pPr>
              <w:rPr>
                <w:rFonts w:asciiTheme="minorHAnsi" w:hAnsiTheme="minorHAnsi" w:cstheme="minorHAnsi"/>
                <w:b/>
                <w:bCs/>
              </w:rPr>
            </w:pPr>
            <w:r w:rsidRPr="00E45469">
              <w:rPr>
                <w:rFonts w:asciiTheme="minorHAnsi" w:hAnsiTheme="minorHAnsi" w:cstheme="minorHAnsi"/>
                <w:b/>
                <w:bCs/>
              </w:rPr>
              <w:t>Column 1</w:t>
            </w:r>
            <w:r w:rsidRPr="00E45469">
              <w:rPr>
                <w:rFonts w:asciiTheme="minorHAnsi" w:hAnsiTheme="minorHAnsi" w:cstheme="minorHAnsi"/>
                <w:b/>
                <w:bCs/>
              </w:rPr>
              <w:br/>
              <w:t>Poison</w:t>
            </w:r>
          </w:p>
        </w:tc>
        <w:tc>
          <w:tcPr>
            <w:tcW w:w="1371" w:type="dxa"/>
            <w:tcBorders>
              <w:top w:val="single" w:sz="6" w:space="0" w:color="auto"/>
              <w:bottom w:val="single" w:sz="12" w:space="0" w:color="auto"/>
            </w:tcBorders>
            <w:shd w:val="clear" w:color="auto" w:fill="auto"/>
          </w:tcPr>
          <w:p w14:paraId="731DE869" w14:textId="77777777" w:rsidR="00661EB0" w:rsidRPr="00E45469" w:rsidRDefault="00661EB0" w:rsidP="00E35D79">
            <w:pPr>
              <w:rPr>
                <w:rFonts w:asciiTheme="minorHAnsi" w:hAnsiTheme="minorHAnsi" w:cstheme="minorHAnsi"/>
                <w:b/>
                <w:bCs/>
              </w:rPr>
            </w:pPr>
            <w:r w:rsidRPr="00E45469">
              <w:rPr>
                <w:rFonts w:asciiTheme="minorHAnsi" w:hAnsiTheme="minorHAnsi" w:cstheme="minorHAnsi"/>
                <w:b/>
                <w:bCs/>
              </w:rPr>
              <w:t>Column 2</w:t>
            </w:r>
            <w:r w:rsidRPr="00E45469">
              <w:rPr>
                <w:rFonts w:asciiTheme="minorHAnsi" w:hAnsiTheme="minorHAnsi" w:cstheme="minorHAnsi"/>
                <w:b/>
                <w:bCs/>
              </w:rPr>
              <w:br/>
              <w:t>Condition</w:t>
            </w:r>
          </w:p>
        </w:tc>
      </w:tr>
      <w:tr w:rsidR="00661EB0" w:rsidRPr="00E35D79" w14:paraId="0EBD9D7B" w14:textId="77777777" w:rsidTr="007C4C0A">
        <w:tc>
          <w:tcPr>
            <w:tcW w:w="714" w:type="dxa"/>
            <w:tcBorders>
              <w:top w:val="single" w:sz="12" w:space="0" w:color="auto"/>
              <w:bottom w:val="single" w:sz="2" w:space="0" w:color="auto"/>
            </w:tcBorders>
            <w:shd w:val="clear" w:color="auto" w:fill="auto"/>
          </w:tcPr>
          <w:p w14:paraId="45051539" w14:textId="77777777" w:rsidR="00661EB0" w:rsidRPr="00E45469" w:rsidRDefault="00661EB0" w:rsidP="00E35D79">
            <w:pPr>
              <w:rPr>
                <w:rFonts w:asciiTheme="minorHAnsi" w:hAnsiTheme="minorHAnsi" w:cstheme="minorHAnsi"/>
                <w:color w:val="00B050"/>
                <w:u w:val="single"/>
              </w:rPr>
            </w:pPr>
            <w:r w:rsidRPr="00E45469">
              <w:rPr>
                <w:rFonts w:asciiTheme="minorHAnsi" w:hAnsiTheme="minorHAnsi" w:cstheme="minorHAnsi"/>
                <w:color w:val="00B050"/>
                <w:u w:val="single"/>
              </w:rPr>
              <w:t>70</w:t>
            </w:r>
          </w:p>
        </w:tc>
        <w:tc>
          <w:tcPr>
            <w:tcW w:w="6227" w:type="dxa"/>
            <w:tcBorders>
              <w:top w:val="single" w:sz="12" w:space="0" w:color="auto"/>
              <w:bottom w:val="single" w:sz="2" w:space="0" w:color="auto"/>
            </w:tcBorders>
            <w:shd w:val="clear" w:color="auto" w:fill="auto"/>
          </w:tcPr>
          <w:p w14:paraId="6F0C0312" w14:textId="77777777" w:rsidR="00661EB0" w:rsidRPr="00E45469" w:rsidRDefault="00661EB0" w:rsidP="00E35D79">
            <w:pPr>
              <w:rPr>
                <w:rFonts w:asciiTheme="minorHAnsi" w:hAnsiTheme="minorHAnsi" w:cstheme="minorHAnsi"/>
                <w:color w:val="00B050"/>
                <w:u w:val="single"/>
              </w:rPr>
            </w:pPr>
            <w:r w:rsidRPr="00E45469">
              <w:rPr>
                <w:rFonts w:asciiTheme="minorHAnsi" w:hAnsiTheme="minorHAnsi" w:cstheme="minorHAnsi"/>
                <w:color w:val="00B050"/>
                <w:u w:val="single"/>
              </w:rPr>
              <w:t>POTASSIUM HYDROXIDE</w:t>
            </w:r>
          </w:p>
        </w:tc>
        <w:tc>
          <w:tcPr>
            <w:tcW w:w="1371" w:type="dxa"/>
            <w:tcBorders>
              <w:top w:val="single" w:sz="12" w:space="0" w:color="auto"/>
              <w:bottom w:val="single" w:sz="2" w:space="0" w:color="auto"/>
            </w:tcBorders>
            <w:shd w:val="clear" w:color="auto" w:fill="auto"/>
          </w:tcPr>
          <w:p w14:paraId="3ADEC1CD" w14:textId="77777777" w:rsidR="00661EB0" w:rsidRPr="00E35D79" w:rsidRDefault="00661EB0" w:rsidP="00E35D79">
            <w:pPr>
              <w:rPr>
                <w:rFonts w:asciiTheme="minorHAnsi" w:hAnsiTheme="minorHAnsi" w:cstheme="minorHAnsi"/>
              </w:rPr>
            </w:pPr>
          </w:p>
        </w:tc>
      </w:tr>
      <w:tr w:rsidR="00661EB0" w:rsidRPr="00E35D79" w14:paraId="63316530" w14:textId="77777777" w:rsidTr="007C4C0A">
        <w:tc>
          <w:tcPr>
            <w:tcW w:w="714" w:type="dxa"/>
            <w:tcBorders>
              <w:top w:val="single" w:sz="2" w:space="0" w:color="auto"/>
              <w:bottom w:val="single" w:sz="2" w:space="0" w:color="auto"/>
            </w:tcBorders>
            <w:shd w:val="clear" w:color="auto" w:fill="auto"/>
          </w:tcPr>
          <w:p w14:paraId="1B4F4084" w14:textId="77777777" w:rsidR="00661EB0" w:rsidRPr="00E45469" w:rsidRDefault="00661EB0" w:rsidP="00E35D79">
            <w:pPr>
              <w:rPr>
                <w:rFonts w:asciiTheme="minorHAnsi" w:hAnsiTheme="minorHAnsi" w:cstheme="minorHAnsi"/>
                <w:color w:val="00B050"/>
                <w:u w:val="single"/>
              </w:rPr>
            </w:pPr>
            <w:r w:rsidRPr="00E45469">
              <w:rPr>
                <w:rFonts w:asciiTheme="minorHAnsi" w:hAnsiTheme="minorHAnsi" w:cstheme="minorHAnsi"/>
                <w:color w:val="00B050"/>
                <w:u w:val="single"/>
              </w:rPr>
              <w:t>72</w:t>
            </w:r>
          </w:p>
        </w:tc>
        <w:tc>
          <w:tcPr>
            <w:tcW w:w="6227" w:type="dxa"/>
            <w:tcBorders>
              <w:top w:val="single" w:sz="2" w:space="0" w:color="auto"/>
              <w:bottom w:val="single" w:sz="2" w:space="0" w:color="auto"/>
            </w:tcBorders>
            <w:shd w:val="clear" w:color="auto" w:fill="auto"/>
          </w:tcPr>
          <w:p w14:paraId="4A6AD0B5" w14:textId="77777777" w:rsidR="00661EB0" w:rsidRPr="00E45469" w:rsidRDefault="00661EB0" w:rsidP="00E35D79">
            <w:pPr>
              <w:rPr>
                <w:rFonts w:asciiTheme="minorHAnsi" w:hAnsiTheme="minorHAnsi" w:cstheme="minorHAnsi"/>
                <w:color w:val="00B050"/>
                <w:u w:val="single"/>
              </w:rPr>
            </w:pPr>
            <w:r w:rsidRPr="00E45469">
              <w:rPr>
                <w:rFonts w:asciiTheme="minorHAnsi" w:hAnsiTheme="minorHAnsi" w:cstheme="minorHAnsi"/>
                <w:color w:val="00B050"/>
                <w:u w:val="single"/>
              </w:rPr>
              <w:t>SODIUM HYDROXIDE</w:t>
            </w:r>
          </w:p>
        </w:tc>
        <w:tc>
          <w:tcPr>
            <w:tcW w:w="1371" w:type="dxa"/>
            <w:tcBorders>
              <w:top w:val="single" w:sz="2" w:space="0" w:color="auto"/>
              <w:bottom w:val="single" w:sz="2" w:space="0" w:color="auto"/>
            </w:tcBorders>
            <w:shd w:val="clear" w:color="auto" w:fill="auto"/>
          </w:tcPr>
          <w:p w14:paraId="7ED597E7" w14:textId="77777777" w:rsidR="00661EB0" w:rsidRPr="00E35D79" w:rsidRDefault="00661EB0" w:rsidP="00E35D79">
            <w:pPr>
              <w:rPr>
                <w:rFonts w:asciiTheme="minorHAnsi" w:hAnsiTheme="minorHAnsi" w:cstheme="minorHAnsi"/>
              </w:rPr>
            </w:pPr>
          </w:p>
        </w:tc>
      </w:tr>
    </w:tbl>
    <w:p w14:paraId="7903CE68" w14:textId="77777777" w:rsidR="00661EB0" w:rsidRPr="005870C8" w:rsidRDefault="00661EB0" w:rsidP="005870C8">
      <w:pPr>
        <w:pStyle w:val="Heading4"/>
      </w:pPr>
      <w:r w:rsidRPr="005870C8">
        <w:t>Background</w:t>
      </w:r>
    </w:p>
    <w:p w14:paraId="1CD808DD" w14:textId="002FF956" w:rsidR="001117F4" w:rsidRPr="00E35D79" w:rsidRDefault="001117F4" w:rsidP="00E35D79">
      <w:pPr>
        <w:rPr>
          <w:rFonts w:asciiTheme="minorHAnsi" w:hAnsiTheme="minorHAnsi" w:cstheme="minorHAnsi"/>
        </w:rPr>
      </w:pPr>
      <w:r w:rsidRPr="00E35D79">
        <w:rPr>
          <w:rFonts w:asciiTheme="minorHAnsi" w:hAnsiTheme="minorHAnsi" w:cstheme="minorHAnsi"/>
        </w:rPr>
        <w:t>Sodium hydroxide and potassium hydroxide are relatively cheap, strong alkalis that are used in chemical engineering, industry and manufacturing processes including production of soap and sanitisers. As consumer products, sodium hydroxide and potassium hydroxide are commonly used in cleaning and degreasing agents. Commercial cleaners, such as dishwashing powders and degreasers often have higher levels of alkalis such as sodium hydroxide and potassium hydroxide. Both substances are also widely used to adjust pH in industrial and food processes, and cleaning of aquariums and pools.</w:t>
      </w:r>
    </w:p>
    <w:p w14:paraId="3F00320F" w14:textId="08B060B0" w:rsidR="00661EB0" w:rsidRDefault="001117F4" w:rsidP="00E35D79">
      <w:pPr>
        <w:rPr>
          <w:rFonts w:asciiTheme="minorHAnsi" w:hAnsiTheme="minorHAnsi" w:cstheme="minorHAnsi"/>
        </w:rPr>
      </w:pPr>
      <w:r w:rsidRPr="00E35D79">
        <w:rPr>
          <w:rFonts w:asciiTheme="minorHAnsi" w:hAnsiTheme="minorHAnsi" w:cstheme="minorHAnsi"/>
        </w:rPr>
        <w:t>Most formulated cleaners for domestic use contain with low concentrations (</w:t>
      </w:r>
      <w:r w:rsidR="00052614" w:rsidRPr="00E35D79">
        <w:rPr>
          <w:rFonts w:asciiTheme="minorHAnsi" w:hAnsiTheme="minorHAnsi" w:cstheme="minorHAnsi"/>
        </w:rPr>
        <w:t xml:space="preserve">less than </w:t>
      </w:r>
      <w:r w:rsidRPr="00E35D79">
        <w:rPr>
          <w:rFonts w:asciiTheme="minorHAnsi" w:hAnsiTheme="minorHAnsi" w:cstheme="minorHAnsi"/>
        </w:rPr>
        <w:t xml:space="preserve">1%) of sodium and/or potassium hydroxide. However, domestic drain cleaners, as well as other commercial cleaners, can contain </w:t>
      </w:r>
      <w:r w:rsidR="00364838">
        <w:rPr>
          <w:rFonts w:asciiTheme="minorHAnsi" w:hAnsiTheme="minorHAnsi" w:cstheme="minorHAnsi"/>
        </w:rPr>
        <w:t xml:space="preserve">these substances in high concentrations and </w:t>
      </w:r>
      <w:r w:rsidRPr="00E35D79">
        <w:rPr>
          <w:rFonts w:asciiTheme="minorHAnsi" w:hAnsiTheme="minorHAnsi" w:cstheme="minorHAnsi"/>
        </w:rPr>
        <w:t>high pH. Sodium and potassium hydroxide in concentrations greater than 5% with a pH greater than 12.5 pose a high risk of harm when they come in contact with any human tissue including the skin, eyes and mucous membranes as they can cause caustic burns.</w:t>
      </w:r>
    </w:p>
    <w:p w14:paraId="6CA0DA09" w14:textId="77777777" w:rsidR="00D309FD" w:rsidRPr="005870C8" w:rsidRDefault="00D309FD" w:rsidP="00D309FD">
      <w:pPr>
        <w:pStyle w:val="Heading4"/>
      </w:pPr>
      <w:r w:rsidRPr="005870C8">
        <w:t>Summary of applicant’s reasons for the proposal</w:t>
      </w:r>
    </w:p>
    <w:p w14:paraId="71D971B2" w14:textId="77777777" w:rsidR="00D309FD" w:rsidRDefault="00D309FD" w:rsidP="00364838">
      <w:pPr>
        <w:pStyle w:val="ListParagraph"/>
      </w:pPr>
      <w:r w:rsidRPr="00E35D79">
        <w:t>Exposures to sodium hydroxide or potassium hydroxide can cause severe irreversible injury with lifelong morbidity and can result in death.</w:t>
      </w:r>
    </w:p>
    <w:p w14:paraId="72BFCF9E" w14:textId="1576A8B0" w:rsidR="00D309FD" w:rsidRDefault="00D309FD" w:rsidP="00364838">
      <w:pPr>
        <w:pStyle w:val="ListParagraph"/>
      </w:pPr>
      <w:r w:rsidRPr="00E35D79">
        <w:t>Unlike many other poisons, there is no antidote to a caustic exposure, only mitigation. For young children who ingest caustic agents, oesophageal scarring requires management with repeated surgical procedures including endoscopic dilatations and, at times, oesophageal resection, interposition or bypass with colonic transplanted material (which are not without risk).</w:t>
      </w:r>
    </w:p>
    <w:p w14:paraId="67BE19A9" w14:textId="38C86724" w:rsidR="00D309FD" w:rsidRPr="00E35D79" w:rsidRDefault="00D309FD" w:rsidP="00364838">
      <w:pPr>
        <w:pStyle w:val="ListParagraph"/>
      </w:pPr>
      <w:r w:rsidRPr="00E35D79">
        <w:t>There have been persistent incidences of severe caustic injuries due to a range of products, predominantly domestic, that contain significant amounts of these caustic chemicals. Data from the NSW, Victorian and Queensland Poisons Information Centres (PIC) shows 756 cases of exposure to products containing greater than 5% sodium hydroxide or potassium hydroxide in the period from January 2022 to December 2023, of which 487 were unintentional exposures in the home. There were also 224 unintentional exposure incidents in the workplace. Over the past 20 years there have been 4 reported fatalities in Queensland associated with ingestion of highly caustic domestic consumer products, which occurred in children 1-10 years of age.</w:t>
      </w:r>
    </w:p>
    <w:p w14:paraId="52F9B2B3" w14:textId="77777777" w:rsidR="00052614" w:rsidRPr="00E35D79" w:rsidRDefault="00052614" w:rsidP="00364838">
      <w:pPr>
        <w:pStyle w:val="ListParagraph"/>
      </w:pPr>
      <w:r w:rsidRPr="00E35D79">
        <w:t>Previous scheduling changes which restricted access to alkali dishwashing detergents and food additive products (lye water) has resulted in a decrease in the severity of injury, demonstrating the effectiveness of such restrictions.</w:t>
      </w:r>
    </w:p>
    <w:p w14:paraId="7F9B8DBA" w14:textId="316D3FE3" w:rsidR="001117F4" w:rsidRPr="00E35D79" w:rsidRDefault="001117F4" w:rsidP="00364838">
      <w:pPr>
        <w:pStyle w:val="ListParagraph"/>
      </w:pPr>
      <w:r w:rsidRPr="00E35D79">
        <w:t xml:space="preserve">Sodium hydroxide </w:t>
      </w:r>
      <w:r w:rsidR="00364838">
        <w:t>and</w:t>
      </w:r>
      <w:r w:rsidRPr="00E35D79">
        <w:t xml:space="preserve"> potassium hydroxide are also causing serious harm in deliberate self-poisoning exposures. Reducing access to highly toxic substances has also been demonstrated as an effective method of reducing harm from </w:t>
      </w:r>
      <w:r w:rsidR="00052614" w:rsidRPr="00E35D79">
        <w:t>deliberate self-poisoning</w:t>
      </w:r>
      <w:r w:rsidRPr="00E35D79">
        <w:t>.</w:t>
      </w:r>
    </w:p>
    <w:p w14:paraId="7DCFB664" w14:textId="718611BE" w:rsidR="00661EB0" w:rsidRPr="00E35D79" w:rsidRDefault="001117F4" w:rsidP="00364838">
      <w:pPr>
        <w:pStyle w:val="ListParagraph"/>
      </w:pPr>
      <w:r w:rsidRPr="00E35D79">
        <w:t>The proposal would align the scheduling of these substances in Australia with access restrictions currently in place in the United Kingdom.</w:t>
      </w:r>
    </w:p>
    <w:p w14:paraId="24950C72" w14:textId="77777777" w:rsidR="00661EB0" w:rsidRPr="005870C8" w:rsidRDefault="00661EB0" w:rsidP="005870C8">
      <w:pPr>
        <w:pStyle w:val="Heading4"/>
      </w:pPr>
      <w:r w:rsidRPr="005870C8">
        <w:lastRenderedPageBreak/>
        <w:t>Key uses / expected use</w:t>
      </w:r>
    </w:p>
    <w:p w14:paraId="050B3D78" w14:textId="1F6847D4" w:rsidR="00661EB0" w:rsidRPr="00E35D79" w:rsidRDefault="00661EB0" w:rsidP="00E35D79">
      <w:pPr>
        <w:rPr>
          <w:rFonts w:asciiTheme="minorHAnsi" w:hAnsiTheme="minorHAnsi" w:cstheme="minorHAnsi"/>
        </w:rPr>
      </w:pPr>
      <w:r w:rsidRPr="00E35D79">
        <w:rPr>
          <w:rFonts w:asciiTheme="minorHAnsi" w:hAnsiTheme="minorHAnsi" w:cstheme="minorHAnsi"/>
        </w:rPr>
        <w:t>Medicines, domestic, agriculture, industrial use, and food manufacturing</w:t>
      </w:r>
      <w:r w:rsidR="00052614" w:rsidRPr="00E35D79">
        <w:rPr>
          <w:rFonts w:asciiTheme="minorHAnsi" w:hAnsiTheme="minorHAnsi" w:cstheme="minorHAnsi"/>
        </w:rPr>
        <w:t>.</w:t>
      </w:r>
    </w:p>
    <w:p w14:paraId="1B41E615" w14:textId="77777777" w:rsidR="00661EB0" w:rsidRPr="005870C8" w:rsidRDefault="00661EB0" w:rsidP="005870C8">
      <w:pPr>
        <w:pStyle w:val="Heading4"/>
      </w:pPr>
      <w:r w:rsidRPr="005870C8">
        <w:t>Australian regulations</w:t>
      </w:r>
    </w:p>
    <w:p w14:paraId="4A248407" w14:textId="77777777" w:rsidR="00661EB0" w:rsidRPr="00E35D79" w:rsidRDefault="00661EB0" w:rsidP="00364838">
      <w:pPr>
        <w:pStyle w:val="ListParagraph"/>
      </w:pPr>
      <w:r w:rsidRPr="00E35D79">
        <w:t xml:space="preserve">According to the </w:t>
      </w:r>
      <w:hyperlink r:id="rId17" w:history="1">
        <w:r w:rsidRPr="00E35D79">
          <w:rPr>
            <w:rStyle w:val="Hyperlink"/>
            <w:rFonts w:asciiTheme="minorHAnsi" w:hAnsiTheme="minorHAnsi" w:cstheme="minorHAnsi"/>
            <w:szCs w:val="20"/>
          </w:rPr>
          <w:t>TGA Ingredient Database</w:t>
        </w:r>
      </w:hyperlink>
      <w:r w:rsidRPr="00E35D79">
        <w:t>, sodium hydroxide is:</w:t>
      </w:r>
    </w:p>
    <w:p w14:paraId="75E9D68F" w14:textId="50496387" w:rsidR="00661EB0" w:rsidRPr="00E35D79" w:rsidRDefault="001117F4" w:rsidP="006A247D">
      <w:pPr>
        <w:pStyle w:val="ListBullet2"/>
      </w:pPr>
      <w:r w:rsidRPr="00E35D79">
        <w:t>a</w:t>
      </w:r>
      <w:r w:rsidR="00661EB0" w:rsidRPr="00E35D79">
        <w:t>vailable for use as an Active Ingredient in: Biologicals, Prescription Medicines</w:t>
      </w:r>
    </w:p>
    <w:p w14:paraId="26D919DF" w14:textId="2A7C1E77" w:rsidR="00661EB0" w:rsidRPr="00E35D79" w:rsidRDefault="001117F4" w:rsidP="006A247D">
      <w:pPr>
        <w:pStyle w:val="ListBullet2"/>
      </w:pPr>
      <w:r w:rsidRPr="00E35D79">
        <w:t>a</w:t>
      </w:r>
      <w:r w:rsidR="00661EB0" w:rsidRPr="00E35D79">
        <w:t>vailable for use as an Excipient Ingredient in: Biologicals, Devices, Export Only, Listed Medicines, Over the Counter, Prescription Medicines</w:t>
      </w:r>
    </w:p>
    <w:p w14:paraId="71C24578" w14:textId="3E9E2CAF" w:rsidR="00661EB0" w:rsidRPr="00E35D79" w:rsidRDefault="001117F4" w:rsidP="006A247D">
      <w:pPr>
        <w:pStyle w:val="ListBullet2"/>
      </w:pPr>
      <w:r w:rsidRPr="00E35D79">
        <w:t>n</w:t>
      </w:r>
      <w:r w:rsidR="00661EB0" w:rsidRPr="00E35D79">
        <w:t>ot available as an Equivalent Ingredient in any application</w:t>
      </w:r>
      <w:r w:rsidR="00052614" w:rsidRPr="00E35D79">
        <w:t>.</w:t>
      </w:r>
    </w:p>
    <w:p w14:paraId="44EFF50B" w14:textId="61D45034" w:rsidR="00661EB0" w:rsidRPr="00E35D79" w:rsidRDefault="009976B0" w:rsidP="00364838">
      <w:pPr>
        <w:pStyle w:val="ListParagraph"/>
      </w:pPr>
      <w:r w:rsidRPr="00E35D79">
        <w:t>P</w:t>
      </w:r>
      <w:r w:rsidR="00661EB0" w:rsidRPr="00E35D79">
        <w:t>otassium hydroxide is:</w:t>
      </w:r>
    </w:p>
    <w:p w14:paraId="449888ED" w14:textId="2915B960" w:rsidR="00661EB0" w:rsidRPr="00E35D79" w:rsidRDefault="001117F4" w:rsidP="006A247D">
      <w:pPr>
        <w:pStyle w:val="ListBullet2"/>
      </w:pPr>
      <w:r w:rsidRPr="00E35D79">
        <w:t>a</w:t>
      </w:r>
      <w:r w:rsidR="00661EB0" w:rsidRPr="00E35D79">
        <w:t>vailable for use as an Active Ingredient in: Biologicals, Export Only, Over the Counter, Prescription Medicines</w:t>
      </w:r>
    </w:p>
    <w:p w14:paraId="2AC9D573" w14:textId="41757396" w:rsidR="00661EB0" w:rsidRPr="00E35D79" w:rsidRDefault="001117F4" w:rsidP="006A247D">
      <w:pPr>
        <w:pStyle w:val="ListBullet2"/>
      </w:pPr>
      <w:r w:rsidRPr="00E35D79">
        <w:t>a</w:t>
      </w:r>
      <w:r w:rsidR="00661EB0" w:rsidRPr="00E35D79">
        <w:t>vailable for use as an Excipient Ingredient in: Biologicals, Devices, Export Only, Listed Medicines, Over the Counter, Prescription Medicines</w:t>
      </w:r>
    </w:p>
    <w:p w14:paraId="1C0E5F17" w14:textId="55251DCC" w:rsidR="00661EB0" w:rsidRPr="00E35D79" w:rsidRDefault="001117F4" w:rsidP="006A247D">
      <w:pPr>
        <w:pStyle w:val="ListBullet2"/>
      </w:pPr>
      <w:r w:rsidRPr="00E35D79">
        <w:t>n</w:t>
      </w:r>
      <w:r w:rsidR="00661EB0" w:rsidRPr="00E35D79">
        <w:t>ot available as an Equivalent Ingredient in any application</w:t>
      </w:r>
      <w:r w:rsidR="00052614" w:rsidRPr="00E35D79">
        <w:t>.</w:t>
      </w:r>
    </w:p>
    <w:p w14:paraId="6E62C5AD" w14:textId="1D2F6A65" w:rsidR="00661EB0" w:rsidRPr="00E35D79" w:rsidRDefault="00661EB0" w:rsidP="00364838">
      <w:pPr>
        <w:pStyle w:val="ListParagraph"/>
      </w:pPr>
      <w:r w:rsidRPr="00E35D79">
        <w:t xml:space="preserve">As of 10 </w:t>
      </w:r>
      <w:r w:rsidR="009976B0" w:rsidRPr="00E35D79">
        <w:t>January 2025</w:t>
      </w:r>
      <w:r w:rsidRPr="00E35D79">
        <w:t xml:space="preserve">, there </w:t>
      </w:r>
      <w:r w:rsidR="005E439F" w:rsidRPr="00E35D79">
        <w:t xml:space="preserve">was </w:t>
      </w:r>
      <w:r w:rsidRPr="00E35D79">
        <w:t xml:space="preserve">1 medicine currently active on the </w:t>
      </w:r>
      <w:hyperlink r:id="rId18" w:history="1">
        <w:r w:rsidRPr="00E35D79">
          <w:rPr>
            <w:rStyle w:val="Hyperlink"/>
            <w:rFonts w:asciiTheme="minorHAnsi" w:hAnsiTheme="minorHAnsi" w:cstheme="minorHAnsi"/>
            <w:szCs w:val="20"/>
          </w:rPr>
          <w:t>Australian Register of Therapeutic Goods (ARTG)</w:t>
        </w:r>
      </w:hyperlink>
      <w:r w:rsidRPr="00E35D79">
        <w:t xml:space="preserve"> that contains sodium hydroxide as an active ingredient, which is a prescription medicine. There are no medicines currently active on the ARTG that contain potassium hydroxide.</w:t>
      </w:r>
    </w:p>
    <w:p w14:paraId="5E467342" w14:textId="77777777" w:rsidR="00661EB0" w:rsidRDefault="00661EB0" w:rsidP="00364838">
      <w:pPr>
        <w:pStyle w:val="ListParagraph"/>
      </w:pPr>
      <w:r w:rsidRPr="00E35D79">
        <w:t xml:space="preserve">According to the </w:t>
      </w:r>
      <w:hyperlink r:id="rId19" w:history="1">
        <w:r w:rsidRPr="00E35D79">
          <w:rPr>
            <w:rStyle w:val="Hyperlink"/>
            <w:rFonts w:asciiTheme="minorHAnsi" w:hAnsiTheme="minorHAnsi" w:cstheme="minorHAnsi"/>
            <w:szCs w:val="20"/>
          </w:rPr>
          <w:t>Therapeutic Goods (Permissible Ingredients) Determination</w:t>
        </w:r>
      </w:hyperlink>
      <w:r w:rsidRPr="00E35D79">
        <w:t xml:space="preserve"> No.3 of 2024, potassium hydroxide and sodium hydroxide are permitted to be included in listed medicines as follows:</w:t>
      </w:r>
    </w:p>
    <w:tbl>
      <w:tblPr>
        <w:tblStyle w:val="TableTGAblue"/>
        <w:tblW w:w="0" w:type="auto"/>
        <w:tblInd w:w="274" w:type="dxa"/>
        <w:tblLayout w:type="fixed"/>
        <w:tblLook w:val="04A0" w:firstRow="1" w:lastRow="0" w:firstColumn="1" w:lastColumn="0" w:noHBand="0" w:noVBand="1"/>
      </w:tblPr>
      <w:tblGrid>
        <w:gridCol w:w="992"/>
        <w:gridCol w:w="1843"/>
        <w:gridCol w:w="1134"/>
        <w:gridCol w:w="4763"/>
      </w:tblGrid>
      <w:tr w:rsidR="00987701" w:rsidRPr="00E35D79" w14:paraId="7C93F0DA" w14:textId="77777777" w:rsidTr="005B065D">
        <w:trPr>
          <w:cnfStyle w:val="100000000000" w:firstRow="1" w:lastRow="0" w:firstColumn="0" w:lastColumn="0" w:oddVBand="0" w:evenVBand="0" w:oddHBand="0" w:evenHBand="0" w:firstRowFirstColumn="0" w:firstRowLastColumn="0" w:lastRowFirstColumn="0" w:lastRowLastColumn="0"/>
          <w:cantSplit w:val="0"/>
          <w:trHeight w:val="554"/>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9794096" w14:textId="77777777" w:rsidR="00987701" w:rsidRPr="00E35D79" w:rsidRDefault="00987701" w:rsidP="00364838">
            <w:pPr>
              <w:rPr>
                <w:rFonts w:asciiTheme="minorHAnsi" w:hAnsiTheme="minorHAnsi" w:cstheme="minorHAnsi"/>
                <w:sz w:val="20"/>
                <w:szCs w:val="20"/>
              </w:rPr>
            </w:pPr>
            <w:r w:rsidRPr="00E35D79">
              <w:rPr>
                <w:rFonts w:asciiTheme="minorHAnsi" w:hAnsiTheme="minorHAnsi" w:cstheme="minorHAnsi"/>
                <w:sz w:val="20"/>
                <w:szCs w:val="20"/>
              </w:rPr>
              <w:t>Item</w:t>
            </w:r>
          </w:p>
        </w:tc>
        <w:tc>
          <w:tcPr>
            <w:tcW w:w="1843" w:type="dxa"/>
            <w:vAlign w:val="center"/>
          </w:tcPr>
          <w:p w14:paraId="2BAF73AA" w14:textId="77777777" w:rsidR="00987701" w:rsidRPr="00E35D79" w:rsidRDefault="00987701" w:rsidP="0036483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5D79">
              <w:rPr>
                <w:rFonts w:asciiTheme="minorHAnsi" w:hAnsiTheme="minorHAnsi" w:cstheme="minorHAnsi"/>
                <w:sz w:val="20"/>
                <w:szCs w:val="20"/>
              </w:rPr>
              <w:t>Ingredient name</w:t>
            </w:r>
          </w:p>
        </w:tc>
        <w:tc>
          <w:tcPr>
            <w:tcW w:w="1134" w:type="dxa"/>
            <w:vAlign w:val="center"/>
          </w:tcPr>
          <w:p w14:paraId="04F50AF1" w14:textId="77777777" w:rsidR="00987701" w:rsidRPr="00E35D79" w:rsidRDefault="00987701" w:rsidP="0036483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5D79">
              <w:rPr>
                <w:rFonts w:asciiTheme="minorHAnsi" w:hAnsiTheme="minorHAnsi" w:cstheme="minorHAnsi"/>
                <w:sz w:val="20"/>
                <w:szCs w:val="20"/>
              </w:rPr>
              <w:t>Purpose</w:t>
            </w:r>
          </w:p>
        </w:tc>
        <w:tc>
          <w:tcPr>
            <w:tcW w:w="4763" w:type="dxa"/>
            <w:vAlign w:val="center"/>
          </w:tcPr>
          <w:p w14:paraId="47B16C48" w14:textId="77777777" w:rsidR="00987701" w:rsidRPr="00E35D79" w:rsidRDefault="00987701" w:rsidP="0036483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5D79">
              <w:rPr>
                <w:rFonts w:asciiTheme="minorHAnsi" w:hAnsiTheme="minorHAnsi" w:cstheme="minorHAnsi"/>
                <w:sz w:val="20"/>
                <w:szCs w:val="20"/>
              </w:rPr>
              <w:t>Specific requirements</w:t>
            </w:r>
          </w:p>
        </w:tc>
      </w:tr>
      <w:tr w:rsidR="00987701" w:rsidRPr="00E35D79" w14:paraId="4BDE7D01" w14:textId="77777777" w:rsidTr="005B065D">
        <w:trPr>
          <w:cantSplit w:val="0"/>
          <w:trHeight w:val="1674"/>
        </w:trPr>
        <w:tc>
          <w:tcPr>
            <w:cnfStyle w:val="001000000000" w:firstRow="0" w:lastRow="0" w:firstColumn="1" w:lastColumn="0" w:oddVBand="0" w:evenVBand="0" w:oddHBand="0" w:evenHBand="0" w:firstRowFirstColumn="0" w:firstRowLastColumn="0" w:lastRowFirstColumn="0" w:lastRowLastColumn="0"/>
            <w:tcW w:w="992" w:type="dxa"/>
          </w:tcPr>
          <w:p w14:paraId="528BCE36" w14:textId="77777777" w:rsidR="00987701" w:rsidRPr="00050810" w:rsidRDefault="00987701" w:rsidP="00AF5B97">
            <w:pPr>
              <w:keepNext/>
              <w:rPr>
                <w:rFonts w:asciiTheme="minorHAnsi" w:hAnsiTheme="minorHAnsi" w:cstheme="minorHAnsi"/>
                <w:sz w:val="20"/>
                <w:szCs w:val="20"/>
              </w:rPr>
            </w:pPr>
            <w:r w:rsidRPr="00050810">
              <w:rPr>
                <w:rFonts w:asciiTheme="minorHAnsi" w:hAnsiTheme="minorHAnsi" w:cstheme="minorHAnsi"/>
                <w:sz w:val="20"/>
                <w:szCs w:val="20"/>
              </w:rPr>
              <w:t>4090</w:t>
            </w:r>
          </w:p>
        </w:tc>
        <w:tc>
          <w:tcPr>
            <w:tcW w:w="1843" w:type="dxa"/>
          </w:tcPr>
          <w:p w14:paraId="5872C090"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POTASSIUM HYDROXIDE</w:t>
            </w:r>
          </w:p>
        </w:tc>
        <w:tc>
          <w:tcPr>
            <w:tcW w:w="1134" w:type="dxa"/>
          </w:tcPr>
          <w:p w14:paraId="45523113"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E</w:t>
            </w:r>
          </w:p>
        </w:tc>
        <w:tc>
          <w:tcPr>
            <w:tcW w:w="4763" w:type="dxa"/>
          </w:tcPr>
          <w:p w14:paraId="7D317ACB"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The concentration in the medicine must be no more than 5%.</w:t>
            </w:r>
          </w:p>
          <w:p w14:paraId="6E40B63A"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When used in a solid preparation, the pH of a 10 g/L aqueous solution must not be more than 11.5.</w:t>
            </w:r>
          </w:p>
          <w:p w14:paraId="439BD245"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When used in a liquid or a semi-solid preparation, the pH of the preparation must not exceed 11.5.</w:t>
            </w:r>
          </w:p>
        </w:tc>
      </w:tr>
      <w:tr w:rsidR="00987701" w:rsidRPr="00E35D79" w14:paraId="0CD4C44A" w14:textId="77777777" w:rsidTr="005B065D">
        <w:trPr>
          <w:cantSplit w:val="0"/>
          <w:trHeight w:val="1542"/>
        </w:trPr>
        <w:tc>
          <w:tcPr>
            <w:cnfStyle w:val="001000000000" w:firstRow="0" w:lastRow="0" w:firstColumn="1" w:lastColumn="0" w:oddVBand="0" w:evenVBand="0" w:oddHBand="0" w:evenHBand="0" w:firstRowFirstColumn="0" w:firstRowLastColumn="0" w:lastRowFirstColumn="0" w:lastRowLastColumn="0"/>
            <w:tcW w:w="992" w:type="dxa"/>
          </w:tcPr>
          <w:p w14:paraId="316E6455" w14:textId="77777777" w:rsidR="00987701" w:rsidRPr="00050810" w:rsidRDefault="00987701" w:rsidP="00AF5B97">
            <w:pPr>
              <w:keepNext/>
              <w:rPr>
                <w:rFonts w:asciiTheme="minorHAnsi" w:hAnsiTheme="minorHAnsi" w:cstheme="minorHAnsi"/>
                <w:sz w:val="20"/>
                <w:szCs w:val="20"/>
              </w:rPr>
            </w:pPr>
            <w:r w:rsidRPr="00050810">
              <w:rPr>
                <w:rFonts w:asciiTheme="minorHAnsi" w:hAnsiTheme="minorHAnsi" w:cstheme="minorHAnsi"/>
                <w:sz w:val="20"/>
                <w:szCs w:val="20"/>
              </w:rPr>
              <w:t>4587</w:t>
            </w:r>
          </w:p>
        </w:tc>
        <w:tc>
          <w:tcPr>
            <w:tcW w:w="1843" w:type="dxa"/>
          </w:tcPr>
          <w:p w14:paraId="730BE9F7"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SODIUM HYDROXIDE</w:t>
            </w:r>
          </w:p>
        </w:tc>
        <w:tc>
          <w:tcPr>
            <w:tcW w:w="1134" w:type="dxa"/>
          </w:tcPr>
          <w:p w14:paraId="2B1BA7CF"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E</w:t>
            </w:r>
          </w:p>
        </w:tc>
        <w:tc>
          <w:tcPr>
            <w:tcW w:w="4763" w:type="dxa"/>
          </w:tcPr>
          <w:p w14:paraId="5F018C6F"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The concentration of sodium hydroxide in the medicine must not be more than 5%.</w:t>
            </w:r>
          </w:p>
          <w:p w14:paraId="59756F2A"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When used in a solid preparation, the pH of a 10 g/L aqueous solution must not be more than 11.5.</w:t>
            </w:r>
          </w:p>
          <w:p w14:paraId="09368D3B" w14:textId="77777777" w:rsidR="00987701" w:rsidRPr="00050810" w:rsidRDefault="00987701" w:rsidP="00AF5B97">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0810">
              <w:rPr>
                <w:rFonts w:asciiTheme="minorHAnsi" w:hAnsiTheme="minorHAnsi" w:cstheme="minorHAnsi"/>
                <w:sz w:val="20"/>
                <w:szCs w:val="20"/>
              </w:rPr>
              <w:t>When used in a liquid or a semi-solid preparation, the pH of the preparation must not exceed 11.5.</w:t>
            </w:r>
          </w:p>
        </w:tc>
      </w:tr>
      <w:tr w:rsidR="00987701" w:rsidRPr="00E35D79" w14:paraId="5CBC7544" w14:textId="77777777" w:rsidTr="005B065D">
        <w:trPr>
          <w:cantSplit w:val="0"/>
          <w:trHeight w:val="686"/>
        </w:trPr>
        <w:tc>
          <w:tcPr>
            <w:cnfStyle w:val="001000000000" w:firstRow="0" w:lastRow="0" w:firstColumn="1" w:lastColumn="0" w:oddVBand="0" w:evenVBand="0" w:oddHBand="0" w:evenHBand="0" w:firstRowFirstColumn="0" w:firstRowLastColumn="0" w:lastRowFirstColumn="0" w:lastRowLastColumn="0"/>
            <w:tcW w:w="8732" w:type="dxa"/>
            <w:gridSpan w:val="4"/>
          </w:tcPr>
          <w:p w14:paraId="597AF2AB" w14:textId="77777777" w:rsidR="00987701" w:rsidRPr="00050810" w:rsidRDefault="00987701" w:rsidP="00AF5B97">
            <w:pPr>
              <w:keepNext/>
              <w:rPr>
                <w:rFonts w:asciiTheme="minorHAnsi" w:hAnsiTheme="minorHAnsi" w:cstheme="minorHAnsi"/>
                <w:sz w:val="20"/>
                <w:szCs w:val="20"/>
              </w:rPr>
            </w:pPr>
            <w:r w:rsidRPr="00050810">
              <w:rPr>
                <w:rFonts w:asciiTheme="minorHAnsi" w:hAnsiTheme="minorHAnsi" w:cstheme="minorHAnsi"/>
                <w:sz w:val="20"/>
                <w:szCs w:val="20"/>
              </w:rPr>
              <w:t>E = excipient for a medicine meaning an ingredient that is not an active ingredient or a homoeopathic preparation ingredient.</w:t>
            </w:r>
          </w:p>
        </w:tc>
      </w:tr>
    </w:tbl>
    <w:p w14:paraId="3426CE4D" w14:textId="77777777" w:rsidR="00987701" w:rsidRDefault="00987701" w:rsidP="00AF5B97">
      <w:pPr>
        <w:keepNext/>
      </w:pPr>
    </w:p>
    <w:p w14:paraId="12D571CA" w14:textId="6E8A9994" w:rsidR="00987701" w:rsidRDefault="00987701" w:rsidP="00AF5B97">
      <w:pPr>
        <w:pStyle w:val="ListParagraph"/>
      </w:pPr>
      <w:r w:rsidRPr="00E35D79">
        <w:t xml:space="preserve">The </w:t>
      </w:r>
      <w:hyperlink r:id="rId20" w:history="1">
        <w:r w:rsidRPr="00050810">
          <w:rPr>
            <w:rStyle w:val="Hyperlink"/>
            <w:rFonts w:asciiTheme="minorHAnsi" w:hAnsiTheme="minorHAnsi" w:cstheme="minorHAnsi"/>
            <w:szCs w:val="20"/>
          </w:rPr>
          <w:t>TGA prescribing medicines in pregnancy database</w:t>
        </w:r>
      </w:hyperlink>
      <w:r w:rsidRPr="00E35D79">
        <w:t xml:space="preserve"> does not classify sodium hydroxide or potassium hydroxide.</w:t>
      </w:r>
    </w:p>
    <w:p w14:paraId="193E1C33" w14:textId="1FA666C9" w:rsidR="00987701" w:rsidRDefault="00987701" w:rsidP="00364838">
      <w:pPr>
        <w:pStyle w:val="ListParagraph"/>
      </w:pPr>
      <w:r w:rsidRPr="00E35D79">
        <w:t xml:space="preserve">There are no warning statements pertaining to sodium hydroxide or potassium hydroxide in the </w:t>
      </w:r>
      <w:hyperlink r:id="rId21" w:history="1">
        <w:r w:rsidRPr="00E35D79">
          <w:rPr>
            <w:rStyle w:val="Hyperlink"/>
            <w:rFonts w:asciiTheme="minorHAnsi" w:hAnsiTheme="minorHAnsi" w:cstheme="minorHAnsi"/>
            <w:szCs w:val="20"/>
          </w:rPr>
          <w:t>Therapeutic Goods (Medicines Advisory Statements) Specification 2021</w:t>
        </w:r>
      </w:hyperlink>
      <w:r>
        <w:t>.</w:t>
      </w:r>
    </w:p>
    <w:p w14:paraId="26E73F19" w14:textId="7562B61A" w:rsidR="00987701" w:rsidRDefault="00987701" w:rsidP="00364838">
      <w:pPr>
        <w:pStyle w:val="ListParagraph"/>
      </w:pPr>
      <w:r w:rsidRPr="00E35D79">
        <w:lastRenderedPageBreak/>
        <w:t xml:space="preserve">As of 10 January 2025, there were 9 reports of adverse events for products containing sodium hydroxide as an active ingredient on the </w:t>
      </w:r>
      <w:hyperlink r:id="rId22" w:history="1">
        <w:r w:rsidRPr="00E35D79">
          <w:rPr>
            <w:rStyle w:val="Hyperlink"/>
            <w:rFonts w:asciiTheme="minorHAnsi" w:hAnsiTheme="minorHAnsi" w:cstheme="minorHAnsi"/>
            <w:szCs w:val="20"/>
          </w:rPr>
          <w:t>Database of Adverse Event Notifications (DAEN)</w:t>
        </w:r>
      </w:hyperlink>
      <w:r w:rsidRPr="00E35D79">
        <w:t>, with 6 reports where sodium hydroxide was the single suspected medicine. There were no reports of deaths associated with sodium hydroxide use. There were no reported adverse events for products containing potassium hydroxide as an active ingredient on the DAEN.</w:t>
      </w:r>
    </w:p>
    <w:p w14:paraId="660514EA" w14:textId="1803879C" w:rsidR="00987701" w:rsidRDefault="00987701" w:rsidP="00364838">
      <w:pPr>
        <w:pStyle w:val="ListParagraph"/>
      </w:pPr>
      <w:r w:rsidRPr="00E35D79">
        <w:t xml:space="preserve">As of 10 January 2025, there were 41 products containing sodium hydroxide, and 8 products containing potassium hydroxide, as an active ingredient/constituent or scheduled substance listed on the </w:t>
      </w:r>
      <w:hyperlink r:id="rId23" w:history="1">
        <w:r w:rsidRPr="00E35D79">
          <w:rPr>
            <w:rStyle w:val="Hyperlink"/>
            <w:rFonts w:asciiTheme="minorHAnsi" w:hAnsiTheme="minorHAnsi" w:cstheme="minorHAnsi"/>
            <w:szCs w:val="20"/>
          </w:rPr>
          <w:t>Public Chemical Registration Information System Search (PubCRIS)</w:t>
        </w:r>
      </w:hyperlink>
      <w:r w:rsidRPr="00E35D79">
        <w:t>.</w:t>
      </w:r>
    </w:p>
    <w:p w14:paraId="31E56BE1" w14:textId="7CEFC587" w:rsidR="00987701" w:rsidRDefault="00987701" w:rsidP="00364838">
      <w:pPr>
        <w:pStyle w:val="ListParagraph"/>
      </w:pPr>
      <w:r w:rsidRPr="00E35D79">
        <w:t xml:space="preserve">During 2009-2019 there were no adverse experiences recorded for sodium hydroxide or potassium hydroxide in the </w:t>
      </w:r>
      <w:hyperlink r:id="rId24" w:history="1">
        <w:r w:rsidRPr="00E35D79">
          <w:rPr>
            <w:rStyle w:val="Hyperlink"/>
            <w:rFonts w:asciiTheme="minorHAnsi" w:hAnsiTheme="minorHAnsi" w:cstheme="minorHAnsi"/>
            <w:szCs w:val="20"/>
          </w:rPr>
          <w:t>APVMA Adverse Experience Reporting Program</w:t>
        </w:r>
      </w:hyperlink>
      <w:r w:rsidRPr="00E35D79">
        <w:t xml:space="preserve"> database (AERP).</w:t>
      </w:r>
    </w:p>
    <w:p w14:paraId="52BFAD86" w14:textId="602F01B2" w:rsidR="00987701" w:rsidRDefault="00987701" w:rsidP="00364838">
      <w:pPr>
        <w:pStyle w:val="ListParagraph"/>
      </w:pPr>
      <w:r w:rsidRPr="00E35D79">
        <w:t xml:space="preserve">Sodium hydroxide and potassium hydroxide are listed on the </w:t>
      </w:r>
      <w:hyperlink r:id="rId25" w:history="1">
        <w:r w:rsidRPr="00E35D79">
          <w:rPr>
            <w:rStyle w:val="Hyperlink"/>
            <w:rFonts w:asciiTheme="minorHAnsi" w:hAnsiTheme="minorHAnsi" w:cstheme="minorHAnsi"/>
            <w:szCs w:val="20"/>
          </w:rPr>
          <w:t>Australian Inventory of Industrial Chemicals (AICIS)</w:t>
        </w:r>
      </w:hyperlink>
      <w:r w:rsidRPr="00E35D79">
        <w:t>.</w:t>
      </w:r>
    </w:p>
    <w:p w14:paraId="165C1243" w14:textId="49D5281F" w:rsidR="00780201" w:rsidRDefault="004B4293" w:rsidP="004B4293">
      <w:pPr>
        <w:pStyle w:val="Heading4"/>
      </w:pPr>
      <w:r w:rsidRPr="00A54AAD">
        <w:t>International regulations</w:t>
      </w:r>
    </w:p>
    <w:p w14:paraId="63A4B894" w14:textId="34D3B06F" w:rsidR="004B4293" w:rsidRPr="004B4293" w:rsidRDefault="004B4293" w:rsidP="00364838">
      <w:pPr>
        <w:pStyle w:val="ListParagraph"/>
      </w:pPr>
      <w:r w:rsidRPr="00A247F5">
        <w:t xml:space="preserve">Sodium hydroxide and potassium hydroxide are listed in the </w:t>
      </w:r>
      <w:hyperlink r:id="rId26" w:history="1">
        <w:r w:rsidRPr="00A247F5">
          <w:rPr>
            <w:rStyle w:val="Hyperlink"/>
          </w:rPr>
          <w:t>United States Environmental Protection Agency’s (US EPA) Office of Pesticides Programs</w:t>
        </w:r>
      </w:hyperlink>
      <w:r w:rsidRPr="00A247F5">
        <w:t xml:space="preserve"> as an approved active constituent, with sodium hydroxide currently undergoing a registration review. Neither substance are approved drugs in the US according to the </w:t>
      </w:r>
      <w:hyperlink r:id="rId27" w:history="1">
        <w:r w:rsidRPr="00A247F5">
          <w:rPr>
            <w:rStyle w:val="Hyperlink"/>
          </w:rPr>
          <w:t>United States Food and Drug Administration Approved Drug Products Database (Drugs@FDA)</w:t>
        </w:r>
      </w:hyperlink>
      <w:r w:rsidRPr="00A247F5">
        <w:t xml:space="preserve">, though both are listed on the </w:t>
      </w:r>
      <w:hyperlink r:id="rId28" w:history="1">
        <w:r w:rsidRPr="00A247F5">
          <w:rPr>
            <w:rStyle w:val="Hyperlink"/>
          </w:rPr>
          <w:t>FDA's Global Substance Registration System</w:t>
        </w:r>
      </w:hyperlink>
      <w:r w:rsidRPr="00A247F5">
        <w:t>.</w:t>
      </w:r>
    </w:p>
    <w:p w14:paraId="0A00F30E" w14:textId="72DA3737" w:rsidR="009976B0" w:rsidRPr="00A247F5" w:rsidRDefault="00661EB0" w:rsidP="00364838">
      <w:pPr>
        <w:pStyle w:val="ListParagraph"/>
      </w:pPr>
      <w:r w:rsidRPr="00A247F5">
        <w:t xml:space="preserve">The </w:t>
      </w:r>
      <w:hyperlink r:id="rId29" w:history="1">
        <w:r w:rsidRPr="00A247F5">
          <w:rPr>
            <w:rStyle w:val="Hyperlink"/>
          </w:rPr>
          <w:t>European Chemicals Agency (ECHA)</w:t>
        </w:r>
      </w:hyperlink>
      <w:r w:rsidRPr="00A247F5">
        <w:t xml:space="preserve"> includes a corrosive hazard classification for sodium hydroxide and potassium hydroxide, </w:t>
      </w:r>
      <w:r w:rsidR="009976B0" w:rsidRPr="00A247F5">
        <w:t>but</w:t>
      </w:r>
      <w:r w:rsidRPr="00A247F5">
        <w:t xml:space="preserve"> a health hazard classification for the latter only.</w:t>
      </w:r>
    </w:p>
    <w:p w14:paraId="4A8911BC" w14:textId="71EF724D" w:rsidR="00661EB0" w:rsidRPr="00A247F5" w:rsidRDefault="00661EB0" w:rsidP="00364838">
      <w:pPr>
        <w:pStyle w:val="ListParagraph"/>
      </w:pPr>
      <w:r w:rsidRPr="00A247F5">
        <w:t xml:space="preserve">Both sodium and potassium hydroxide are listed on the </w:t>
      </w:r>
      <w:hyperlink r:id="rId30" w:history="1">
        <w:r w:rsidRPr="00A247F5">
          <w:rPr>
            <w:rStyle w:val="Hyperlink"/>
          </w:rPr>
          <w:t>European Commission database for information on cosmetic substances and ingredients database</w:t>
        </w:r>
      </w:hyperlink>
      <w:r w:rsidRPr="00A247F5">
        <w:t xml:space="preserve"> as a buffering and denaturant.</w:t>
      </w:r>
    </w:p>
    <w:p w14:paraId="077A2521" w14:textId="77777777" w:rsidR="00661EB0" w:rsidRPr="00A247F5" w:rsidRDefault="00661EB0" w:rsidP="00364838">
      <w:pPr>
        <w:pStyle w:val="ListParagraph"/>
      </w:pPr>
      <w:r w:rsidRPr="00A247F5">
        <w:t xml:space="preserve">The United Kingdom’s </w:t>
      </w:r>
      <w:hyperlink r:id="rId31" w:history="1">
        <w:r w:rsidRPr="00A247F5">
          <w:rPr>
            <w:rStyle w:val="Hyperlink"/>
          </w:rPr>
          <w:t>Medicines &amp; Healthcare products Regulatory Agency (MHRA)</w:t>
        </w:r>
      </w:hyperlink>
      <w:r w:rsidRPr="00A247F5">
        <w:t xml:space="preserve"> lists 23 medicines containing sodium hydroxide as an active ingredient and 10 medicines containing potassium hydroxide.</w:t>
      </w:r>
    </w:p>
    <w:p w14:paraId="010A47BF" w14:textId="5A4B885C" w:rsidR="00C36723" w:rsidRPr="00A247F5" w:rsidRDefault="00C36723" w:rsidP="00364838">
      <w:pPr>
        <w:pStyle w:val="ListParagraph"/>
      </w:pPr>
      <w:r w:rsidRPr="00A247F5">
        <w:t>In New Zealand, sodium hydroxide and potassium hydroxide are approved with controls for chemical use according to the New Zealand Inventory of Chemicals (NZIoC). Sodium hydroxide is classified for general sale according to the New Zealand Medicines and Medical Devices Safety Authority (MedSafe), whilst potassium hydroxide is not classified in the database.</w:t>
      </w:r>
    </w:p>
    <w:p w14:paraId="02BC698F" w14:textId="4038491F" w:rsidR="00F5034C" w:rsidRPr="00E35D79" w:rsidRDefault="00661EB0" w:rsidP="00364838">
      <w:pPr>
        <w:pStyle w:val="ListParagraph"/>
      </w:pPr>
      <w:hyperlink r:id="rId32" w:history="1">
        <w:r w:rsidRPr="00A247F5">
          <w:rPr>
            <w:rStyle w:val="Hyperlink"/>
          </w:rPr>
          <w:t>Canada’s Pest Management Regulation Agency</w:t>
        </w:r>
      </w:hyperlink>
      <w:r w:rsidRPr="00A247F5">
        <w:t xml:space="preserve"> allows sodium hydroxide and potassium hydroxide for use as a hard-surface disinfectant. Both substances are available in only over-the-counter products according to the </w:t>
      </w:r>
      <w:hyperlink r:id="rId33" w:history="1">
        <w:r w:rsidRPr="00A247F5">
          <w:rPr>
            <w:rStyle w:val="Hyperlink"/>
          </w:rPr>
          <w:t>Canadian (Health Canada) Drug Product Database</w:t>
        </w:r>
      </w:hyperlink>
      <w:r w:rsidRPr="00A247F5">
        <w:t>, though there are currently no medical products containing potassium hydroxide registered on the database.</w:t>
      </w:r>
    </w:p>
    <w:p w14:paraId="6AD7DC04" w14:textId="47155427" w:rsidR="00465FDC" w:rsidRPr="00D84287" w:rsidRDefault="00465FDC" w:rsidP="00D84287">
      <w:pPr>
        <w:pStyle w:val="Heading3"/>
      </w:pPr>
      <w:bookmarkStart w:id="14" w:name="_Toc187936932"/>
      <w:r w:rsidRPr="00D84287">
        <w:t>Methyl ethyl keto</w:t>
      </w:r>
      <w:r w:rsidR="000443FF" w:rsidRPr="00D84287">
        <w:t>ne o</w:t>
      </w:r>
      <w:r w:rsidRPr="00D84287">
        <w:t>xime</w:t>
      </w:r>
      <w:bookmarkEnd w:id="7"/>
      <w:bookmarkEnd w:id="8"/>
      <w:bookmarkEnd w:id="14"/>
    </w:p>
    <w:p w14:paraId="4B7F6932" w14:textId="77777777" w:rsidR="0078402B" w:rsidRPr="00E35D79" w:rsidRDefault="0078402B" w:rsidP="00FD4275">
      <w:pPr>
        <w:pStyle w:val="Heading4"/>
      </w:pPr>
      <w:bookmarkStart w:id="15" w:name="_Toc122614227"/>
      <w:bookmarkStart w:id="16" w:name="_Toc130227374"/>
      <w:r w:rsidRPr="00E35D79">
        <w:t>Proposal</w:t>
      </w:r>
    </w:p>
    <w:p w14:paraId="1F69F88C" w14:textId="2D246361" w:rsidR="00F5034C" w:rsidRPr="00E35D79" w:rsidRDefault="0078402B" w:rsidP="00E35D79">
      <w:pPr>
        <w:rPr>
          <w:rFonts w:asciiTheme="minorHAnsi" w:hAnsiTheme="minorHAnsi" w:cstheme="minorHAnsi"/>
        </w:rPr>
      </w:pPr>
      <w:r w:rsidRPr="00E35D79">
        <w:rPr>
          <w:rFonts w:asciiTheme="minorHAnsi" w:hAnsiTheme="minorHAnsi" w:cstheme="minorHAnsi"/>
        </w:rPr>
        <w:t xml:space="preserve">The applicant proposed to amend the current scheduling of methyl ethyl ketone oxime (MEKO) such that preparations containing more than 0.1% MEKO are classified as Poison (Schedule 6) substance. </w:t>
      </w:r>
      <w:r w:rsidR="00F5034C" w:rsidRPr="00E35D79">
        <w:rPr>
          <w:rFonts w:asciiTheme="minorHAnsi" w:hAnsiTheme="minorHAnsi" w:cstheme="minorHAnsi"/>
        </w:rPr>
        <w:t>These preparations will also be required to carry additional warning statements and safety directions regarding potential for inhalation carcinogenicity and need to avoid breathing vapours of MEKO.</w:t>
      </w:r>
    </w:p>
    <w:p w14:paraId="26C72D40" w14:textId="05DAABD6" w:rsidR="0078402B" w:rsidRPr="00FD4275" w:rsidRDefault="0078402B" w:rsidP="00FD4275">
      <w:pPr>
        <w:pStyle w:val="Heading4"/>
      </w:pPr>
      <w:r w:rsidRPr="00FD4275">
        <w:t>CAS Number</w:t>
      </w:r>
    </w:p>
    <w:p w14:paraId="421FB901"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96-29-7</w:t>
      </w:r>
    </w:p>
    <w:p w14:paraId="56094383" w14:textId="77777777" w:rsidR="0078402B" w:rsidRPr="00E35D79" w:rsidRDefault="0078402B" w:rsidP="00FD4275">
      <w:pPr>
        <w:pStyle w:val="Heading4"/>
      </w:pPr>
      <w:r w:rsidRPr="00E35D79">
        <w:lastRenderedPageBreak/>
        <w:t>Alternative names</w:t>
      </w:r>
    </w:p>
    <w:p w14:paraId="3C6FE4DD"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2-Butanone, oxime</w:t>
      </w:r>
    </w:p>
    <w:p w14:paraId="2BABB7D2"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Methyl ethyl ketoxime</w:t>
      </w:r>
    </w:p>
    <w:p w14:paraId="75B7BC57" w14:textId="77777777" w:rsidR="0078402B" w:rsidRPr="00FD4275" w:rsidRDefault="0078402B" w:rsidP="00FD4275">
      <w:pPr>
        <w:pStyle w:val="Heading4"/>
      </w:pPr>
      <w:r w:rsidRPr="00FD4275">
        <w:t>Applicant</w:t>
      </w:r>
    </w:p>
    <w:p w14:paraId="24C159A2"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 xml:space="preserve">Private applicant </w:t>
      </w:r>
    </w:p>
    <w:p w14:paraId="2898516D" w14:textId="77777777" w:rsidR="0078402B" w:rsidRPr="00FD4275" w:rsidRDefault="0078402B" w:rsidP="00FD4275">
      <w:pPr>
        <w:pStyle w:val="Heading4"/>
      </w:pPr>
      <w:r w:rsidRPr="00FD4275">
        <w:t>Proposed Scheduling</w:t>
      </w:r>
    </w:p>
    <w:p w14:paraId="0B5B6EC5" w14:textId="494D9CE2" w:rsidR="0078402B" w:rsidRPr="00E35D79" w:rsidRDefault="0078402B" w:rsidP="00E35D79">
      <w:pPr>
        <w:rPr>
          <w:rFonts w:asciiTheme="minorHAnsi" w:hAnsiTheme="minorHAnsi" w:cstheme="minorHAnsi"/>
        </w:rPr>
      </w:pPr>
      <w:r w:rsidRPr="00E35D79">
        <w:rPr>
          <w:rFonts w:asciiTheme="minorHAnsi" w:hAnsiTheme="minorHAnsi" w:cstheme="minorHAnsi"/>
        </w:rPr>
        <w:t xml:space="preserve">Currently, MEKO is a classified as a Schedule 6 substance except for </w:t>
      </w:r>
      <w:r w:rsidR="00F21D4B" w:rsidRPr="00E35D79">
        <w:rPr>
          <w:rFonts w:asciiTheme="minorHAnsi" w:hAnsiTheme="minorHAnsi" w:cstheme="minorHAnsi"/>
        </w:rPr>
        <w:t xml:space="preserve">silicone adhesives or sealants </w:t>
      </w:r>
      <w:r w:rsidR="00F21D4B">
        <w:rPr>
          <w:rFonts w:asciiTheme="minorHAnsi" w:hAnsiTheme="minorHAnsi" w:cstheme="minorHAnsi"/>
        </w:rPr>
        <w:t xml:space="preserve">containing </w:t>
      </w:r>
      <w:r w:rsidRPr="00E35D79">
        <w:rPr>
          <w:rFonts w:asciiTheme="minorHAnsi" w:hAnsiTheme="minorHAnsi" w:cstheme="minorHAnsi"/>
        </w:rPr>
        <w:t xml:space="preserve">less than 2.5% </w:t>
      </w:r>
      <w:r w:rsidR="00F21D4B">
        <w:rPr>
          <w:rFonts w:asciiTheme="minorHAnsi" w:hAnsiTheme="minorHAnsi" w:cstheme="minorHAnsi"/>
        </w:rPr>
        <w:t xml:space="preserve">MEKO </w:t>
      </w:r>
      <w:r w:rsidR="002A293B">
        <w:rPr>
          <w:rFonts w:asciiTheme="minorHAnsi" w:hAnsiTheme="minorHAnsi" w:cstheme="minorHAnsi"/>
        </w:rPr>
        <w:t xml:space="preserve">or </w:t>
      </w:r>
      <w:r w:rsidRPr="00E35D79">
        <w:rPr>
          <w:rFonts w:asciiTheme="minorHAnsi" w:hAnsiTheme="minorHAnsi" w:cstheme="minorHAnsi"/>
        </w:rPr>
        <w:t>less than 1% in all other preparations. MEKO is also listed in Appendix E (first aid instructions) and Appendix F (warning statements and general safety directions) of the Poisons Standard. The applicant’s proposed amendments to the Poisons Standard are</w:t>
      </w:r>
      <w:r w:rsidR="00F5034C" w:rsidRPr="002A293B">
        <w:rPr>
          <w:rFonts w:asciiTheme="minorHAnsi" w:hAnsiTheme="minorHAnsi" w:cstheme="minorHAnsi"/>
          <w:vertAlign w:val="superscript"/>
        </w:rPr>
        <w:footnoteReference w:id="2"/>
      </w:r>
      <w:r w:rsidRPr="00E35D79">
        <w:rPr>
          <w:rFonts w:asciiTheme="minorHAnsi" w:hAnsiTheme="minorHAnsi" w:cstheme="minorHAnsi"/>
        </w:rPr>
        <w:t>:</w:t>
      </w:r>
    </w:p>
    <w:p w14:paraId="4DB52DFE" w14:textId="77777777" w:rsidR="0078402B" w:rsidRPr="002A293B" w:rsidRDefault="0078402B" w:rsidP="00D05072">
      <w:pPr>
        <w:ind w:left="284"/>
        <w:rPr>
          <w:rFonts w:asciiTheme="minorHAnsi" w:hAnsiTheme="minorHAnsi" w:cstheme="minorHAnsi"/>
          <w:b/>
          <w:bCs/>
        </w:rPr>
      </w:pPr>
      <w:r w:rsidRPr="002A293B">
        <w:rPr>
          <w:rFonts w:asciiTheme="minorHAnsi" w:hAnsiTheme="minorHAnsi" w:cstheme="minorHAnsi"/>
          <w:b/>
          <w:bCs/>
        </w:rPr>
        <w:t>Schedule 6 – Amend Entry</w:t>
      </w:r>
    </w:p>
    <w:p w14:paraId="3AB24C7B" w14:textId="77777777" w:rsidR="0078402B" w:rsidRPr="00E35D79" w:rsidRDefault="0078402B" w:rsidP="00F944DA">
      <w:pPr>
        <w:ind w:left="567"/>
        <w:rPr>
          <w:rFonts w:asciiTheme="minorHAnsi" w:hAnsiTheme="minorHAnsi" w:cstheme="minorHAnsi"/>
        </w:rPr>
      </w:pPr>
      <w:r w:rsidRPr="00E35D79">
        <w:rPr>
          <w:rFonts w:asciiTheme="minorHAnsi" w:hAnsiTheme="minorHAnsi" w:cstheme="minorHAnsi"/>
        </w:rPr>
        <w:t xml:space="preserve">METHYL ETHYL KETONE OXIME </w:t>
      </w:r>
      <w:r w:rsidRPr="00D05072">
        <w:rPr>
          <w:rFonts w:asciiTheme="minorHAnsi" w:hAnsiTheme="minorHAnsi" w:cstheme="minorHAnsi"/>
          <w:color w:val="00B050"/>
          <w:u w:val="single"/>
        </w:rPr>
        <w:t>except preparations containing less than 0.1 % methyl ethyl ketone oxime.</w:t>
      </w:r>
    </w:p>
    <w:p w14:paraId="3AD9A439" w14:textId="5234E19D" w:rsidR="00F5034C" w:rsidRPr="00D05072" w:rsidRDefault="0078402B" w:rsidP="00F944DA">
      <w:pPr>
        <w:ind w:left="1276" w:hanging="425"/>
        <w:rPr>
          <w:rFonts w:asciiTheme="minorHAnsi" w:hAnsiTheme="minorHAnsi" w:cstheme="minorHAnsi"/>
          <w:strike/>
          <w:color w:val="FF0000"/>
        </w:rPr>
      </w:pPr>
      <w:r w:rsidRPr="00D05072">
        <w:rPr>
          <w:rFonts w:asciiTheme="minorHAnsi" w:hAnsiTheme="minorHAnsi" w:cstheme="minorHAnsi"/>
          <w:strike/>
          <w:color w:val="FF0000"/>
        </w:rPr>
        <w:t xml:space="preserve">(a) </w:t>
      </w:r>
      <w:r w:rsidR="00671E23" w:rsidRPr="00D05072">
        <w:rPr>
          <w:rFonts w:asciiTheme="minorHAnsi" w:hAnsiTheme="minorHAnsi" w:cstheme="minorHAnsi"/>
          <w:strike/>
          <w:color w:val="FF0000"/>
        </w:rPr>
        <w:tab/>
      </w:r>
      <w:r w:rsidRPr="00D05072">
        <w:rPr>
          <w:rFonts w:asciiTheme="minorHAnsi" w:hAnsiTheme="minorHAnsi" w:cstheme="minorHAnsi"/>
          <w:strike/>
          <w:color w:val="FF0000"/>
        </w:rPr>
        <w:t>in viscous silicone adhesives or viscous silicone sealants containing 2.5% or less of methyl ethyl ketone oxime; or</w:t>
      </w:r>
    </w:p>
    <w:p w14:paraId="035C5BFB" w14:textId="3758790F" w:rsidR="0078402B" w:rsidRPr="00D05072" w:rsidRDefault="0078402B" w:rsidP="00F944DA">
      <w:pPr>
        <w:ind w:left="1276" w:hanging="425"/>
        <w:rPr>
          <w:rFonts w:asciiTheme="minorHAnsi" w:hAnsiTheme="minorHAnsi" w:cstheme="minorHAnsi"/>
          <w:strike/>
          <w:color w:val="FF0000"/>
        </w:rPr>
      </w:pPr>
      <w:r w:rsidRPr="00D05072">
        <w:rPr>
          <w:rFonts w:asciiTheme="minorHAnsi" w:hAnsiTheme="minorHAnsi" w:cstheme="minorHAnsi"/>
          <w:strike/>
          <w:color w:val="FF0000"/>
        </w:rPr>
        <w:t>(b)</w:t>
      </w:r>
      <w:r w:rsidR="00671E23" w:rsidRPr="00D05072">
        <w:rPr>
          <w:rFonts w:asciiTheme="minorHAnsi" w:hAnsiTheme="minorHAnsi" w:cstheme="minorHAnsi"/>
          <w:strike/>
          <w:color w:val="FF0000"/>
        </w:rPr>
        <w:tab/>
      </w:r>
      <w:r w:rsidRPr="00D05072">
        <w:rPr>
          <w:rFonts w:asciiTheme="minorHAnsi" w:hAnsiTheme="minorHAnsi" w:cstheme="minorHAnsi"/>
          <w:strike/>
          <w:color w:val="FF0000"/>
        </w:rPr>
        <w:t>in other preparations containing 1% or less of methyl ethyl ketone oxime</w:t>
      </w:r>
      <w:r w:rsidR="00671E23" w:rsidRPr="00D05072">
        <w:rPr>
          <w:rFonts w:asciiTheme="minorHAnsi" w:hAnsiTheme="minorHAnsi" w:cstheme="minorHAnsi"/>
          <w:strike/>
          <w:color w:val="FF0000"/>
        </w:rPr>
        <w:t>.</w:t>
      </w:r>
      <w:r w:rsidRPr="00D05072">
        <w:rPr>
          <w:rFonts w:asciiTheme="minorHAnsi" w:hAnsiTheme="minorHAnsi" w:cstheme="minorHAnsi"/>
          <w:strike/>
          <w:color w:val="FF0000"/>
        </w:rPr>
        <w:t xml:space="preserve"> </w:t>
      </w:r>
    </w:p>
    <w:p w14:paraId="09415C84" w14:textId="4A5A091F" w:rsidR="0078402B" w:rsidRPr="00D05072" w:rsidRDefault="0078402B" w:rsidP="00D05072">
      <w:pPr>
        <w:ind w:left="284"/>
        <w:rPr>
          <w:rFonts w:asciiTheme="minorHAnsi" w:hAnsiTheme="minorHAnsi" w:cstheme="minorHAnsi"/>
          <w:b/>
          <w:bCs/>
        </w:rPr>
      </w:pPr>
      <w:r w:rsidRPr="00D05072">
        <w:rPr>
          <w:rFonts w:asciiTheme="minorHAnsi" w:hAnsiTheme="minorHAnsi" w:cstheme="minorHAnsi"/>
          <w:b/>
          <w:bCs/>
        </w:rPr>
        <w:t>Index</w:t>
      </w:r>
    </w:p>
    <w:p w14:paraId="2B86ED80" w14:textId="77777777" w:rsidR="0078402B" w:rsidRPr="00E35D79" w:rsidRDefault="0078402B" w:rsidP="00F944DA">
      <w:pPr>
        <w:ind w:left="567"/>
        <w:rPr>
          <w:rFonts w:asciiTheme="minorHAnsi" w:hAnsiTheme="minorHAnsi" w:cstheme="minorHAnsi"/>
        </w:rPr>
      </w:pPr>
      <w:r w:rsidRPr="00E35D79">
        <w:rPr>
          <w:rFonts w:asciiTheme="minorHAnsi" w:hAnsiTheme="minorHAnsi" w:cstheme="minorHAnsi"/>
        </w:rPr>
        <w:t>METHYL ETHYL KETONE OXIME</w:t>
      </w:r>
    </w:p>
    <w:p w14:paraId="72520E28" w14:textId="77777777" w:rsidR="0078402B" w:rsidRPr="00E35D79" w:rsidRDefault="0078402B" w:rsidP="00F944DA">
      <w:pPr>
        <w:ind w:left="567"/>
        <w:rPr>
          <w:rFonts w:asciiTheme="minorHAnsi" w:hAnsiTheme="minorHAnsi" w:cstheme="minorHAnsi"/>
        </w:rPr>
      </w:pPr>
      <w:r w:rsidRPr="00E35D79">
        <w:rPr>
          <w:rFonts w:asciiTheme="minorHAnsi" w:hAnsiTheme="minorHAnsi" w:cstheme="minorHAnsi"/>
        </w:rPr>
        <w:t>Appendix E, Clause 3</w:t>
      </w:r>
    </w:p>
    <w:p w14:paraId="50F5F962" w14:textId="77777777" w:rsidR="0078402B" w:rsidRPr="00E35D79" w:rsidRDefault="0078402B" w:rsidP="00F944DA">
      <w:pPr>
        <w:ind w:left="567"/>
        <w:rPr>
          <w:rFonts w:asciiTheme="minorHAnsi" w:hAnsiTheme="minorHAnsi" w:cstheme="minorHAnsi"/>
        </w:rPr>
      </w:pPr>
      <w:r w:rsidRPr="00E35D79">
        <w:rPr>
          <w:rFonts w:asciiTheme="minorHAnsi" w:hAnsiTheme="minorHAnsi" w:cstheme="minorHAnsi"/>
        </w:rPr>
        <w:t>Appendix F, Clause 4</w:t>
      </w:r>
    </w:p>
    <w:p w14:paraId="7E3E6621" w14:textId="4969372F" w:rsidR="0078402B" w:rsidRPr="00E35D79" w:rsidRDefault="0078402B" w:rsidP="00F944DA">
      <w:pPr>
        <w:ind w:left="284"/>
        <w:rPr>
          <w:rFonts w:asciiTheme="minorHAnsi" w:hAnsiTheme="minorHAnsi" w:cstheme="minorHAnsi"/>
        </w:rPr>
      </w:pPr>
      <w:r w:rsidRPr="00FD1DD0">
        <w:rPr>
          <w:rFonts w:asciiTheme="minorHAnsi" w:hAnsiTheme="minorHAnsi" w:cstheme="minorHAnsi"/>
          <w:b/>
          <w:bCs/>
        </w:rPr>
        <w:t>Appendix E, clause 3</w:t>
      </w:r>
      <w:r w:rsidRPr="00E35D79">
        <w:rPr>
          <w:rFonts w:asciiTheme="minorHAnsi" w:hAnsiTheme="minorHAnsi" w:cstheme="minorHAnsi"/>
        </w:rPr>
        <w:t xml:space="preserve"> –</w:t>
      </w:r>
      <w:r w:rsidR="00F944DA">
        <w:rPr>
          <w:rFonts w:asciiTheme="minorHAnsi" w:hAnsiTheme="minorHAnsi" w:cstheme="minorHAnsi"/>
        </w:rPr>
        <w:t xml:space="preserve"> </w:t>
      </w:r>
      <w:r w:rsidRPr="00E35D79">
        <w:rPr>
          <w:rFonts w:asciiTheme="minorHAnsi" w:hAnsiTheme="minorHAnsi" w:cstheme="minorHAnsi"/>
        </w:rPr>
        <w:t xml:space="preserve">First aid instructions for poisons </w:t>
      </w:r>
    </w:p>
    <w:tbl>
      <w:tblPr>
        <w:tblW w:w="9210" w:type="dxa"/>
        <w:tblInd w:w="-6" w:type="dxa"/>
        <w:tblCellMar>
          <w:left w:w="0" w:type="dxa"/>
          <w:right w:w="0" w:type="dxa"/>
        </w:tblCellMar>
        <w:tblLook w:val="04A0" w:firstRow="1" w:lastRow="0" w:firstColumn="1" w:lastColumn="0" w:noHBand="0" w:noVBand="1"/>
      </w:tblPr>
      <w:tblGrid>
        <w:gridCol w:w="673"/>
        <w:gridCol w:w="3142"/>
        <w:gridCol w:w="5395"/>
      </w:tblGrid>
      <w:tr w:rsidR="0078402B" w:rsidRPr="00E35D79" w14:paraId="1CDCC5EF" w14:textId="77777777" w:rsidTr="007C77EE">
        <w:trPr>
          <w:cantSplit/>
          <w:trHeight w:val="641"/>
        </w:trPr>
        <w:tc>
          <w:tcPr>
            <w:tcW w:w="673" w:type="dxa"/>
            <w:tcBorders>
              <w:top w:val="single" w:sz="8" w:space="0" w:color="auto"/>
              <w:left w:val="single" w:sz="8" w:space="0" w:color="auto"/>
              <w:bottom w:val="single" w:sz="8" w:space="0" w:color="auto"/>
              <w:right w:val="single" w:sz="8" w:space="0" w:color="auto"/>
            </w:tcBorders>
            <w:shd w:val="clear" w:color="auto" w:fill="006DA7"/>
            <w:tcMar>
              <w:top w:w="0" w:type="dxa"/>
              <w:left w:w="108" w:type="dxa"/>
              <w:bottom w:w="0" w:type="dxa"/>
              <w:right w:w="108" w:type="dxa"/>
            </w:tcMar>
            <w:vAlign w:val="center"/>
            <w:hideMark/>
          </w:tcPr>
          <w:p w14:paraId="3AE0FD0B" w14:textId="77777777" w:rsidR="0078402B" w:rsidRPr="007C77EE" w:rsidRDefault="0078402B" w:rsidP="00E35D79">
            <w:pPr>
              <w:rPr>
                <w:rFonts w:asciiTheme="minorHAnsi" w:hAnsiTheme="minorHAnsi" w:cstheme="minorHAnsi"/>
                <w:b/>
                <w:bCs/>
                <w:color w:val="FFFFFF" w:themeColor="background1"/>
              </w:rPr>
            </w:pPr>
            <w:r w:rsidRPr="007C77EE">
              <w:rPr>
                <w:rFonts w:asciiTheme="minorHAnsi" w:hAnsiTheme="minorHAnsi" w:cstheme="minorHAnsi"/>
                <w:b/>
                <w:bCs/>
                <w:color w:val="FFFFFF" w:themeColor="background1"/>
              </w:rPr>
              <w:t>Item</w:t>
            </w:r>
          </w:p>
        </w:tc>
        <w:tc>
          <w:tcPr>
            <w:tcW w:w="3142" w:type="dxa"/>
            <w:tcBorders>
              <w:top w:val="single" w:sz="8" w:space="0" w:color="auto"/>
              <w:left w:val="nil"/>
              <w:bottom w:val="single" w:sz="8" w:space="0" w:color="auto"/>
              <w:right w:val="single" w:sz="8" w:space="0" w:color="auto"/>
            </w:tcBorders>
            <w:shd w:val="clear" w:color="auto" w:fill="006DA7"/>
            <w:tcMar>
              <w:top w:w="0" w:type="dxa"/>
              <w:left w:w="108" w:type="dxa"/>
              <w:bottom w:w="0" w:type="dxa"/>
              <w:right w:w="108" w:type="dxa"/>
            </w:tcMar>
            <w:vAlign w:val="center"/>
            <w:hideMark/>
          </w:tcPr>
          <w:p w14:paraId="64586EFA" w14:textId="77777777" w:rsidR="0078402B" w:rsidRPr="007C77EE" w:rsidRDefault="0078402B" w:rsidP="00E35D79">
            <w:pPr>
              <w:rPr>
                <w:rFonts w:asciiTheme="minorHAnsi" w:hAnsiTheme="minorHAnsi" w:cstheme="minorHAnsi"/>
                <w:b/>
                <w:bCs/>
                <w:color w:val="FFFFFF" w:themeColor="background1"/>
              </w:rPr>
            </w:pPr>
            <w:r w:rsidRPr="007C77EE">
              <w:rPr>
                <w:rFonts w:asciiTheme="minorHAnsi" w:hAnsiTheme="minorHAnsi" w:cstheme="minorHAnsi"/>
                <w:b/>
                <w:bCs/>
                <w:color w:val="FFFFFF" w:themeColor="background1"/>
              </w:rPr>
              <w:t>Poison</w:t>
            </w:r>
          </w:p>
        </w:tc>
        <w:tc>
          <w:tcPr>
            <w:tcW w:w="5395" w:type="dxa"/>
            <w:tcBorders>
              <w:top w:val="single" w:sz="8" w:space="0" w:color="auto"/>
              <w:left w:val="nil"/>
              <w:bottom w:val="single" w:sz="8" w:space="0" w:color="auto"/>
              <w:right w:val="single" w:sz="8" w:space="0" w:color="auto"/>
            </w:tcBorders>
            <w:shd w:val="clear" w:color="auto" w:fill="006DA7"/>
            <w:tcMar>
              <w:top w:w="0" w:type="dxa"/>
              <w:left w:w="108" w:type="dxa"/>
              <w:bottom w:w="0" w:type="dxa"/>
              <w:right w:w="108" w:type="dxa"/>
            </w:tcMar>
            <w:vAlign w:val="center"/>
            <w:hideMark/>
          </w:tcPr>
          <w:p w14:paraId="2FA660D0" w14:textId="77777777" w:rsidR="0078402B" w:rsidRPr="007C77EE" w:rsidRDefault="0078402B" w:rsidP="00E35D79">
            <w:pPr>
              <w:rPr>
                <w:rFonts w:asciiTheme="minorHAnsi" w:hAnsiTheme="minorHAnsi" w:cstheme="minorHAnsi"/>
                <w:b/>
                <w:bCs/>
                <w:color w:val="FFFFFF" w:themeColor="background1"/>
              </w:rPr>
            </w:pPr>
            <w:r w:rsidRPr="007C77EE">
              <w:rPr>
                <w:rFonts w:asciiTheme="minorHAnsi" w:hAnsiTheme="minorHAnsi" w:cstheme="minorHAnsi"/>
                <w:b/>
                <w:bCs/>
                <w:color w:val="FFFFFF" w:themeColor="background1"/>
              </w:rPr>
              <w:t>Statement code (and statement)</w:t>
            </w:r>
          </w:p>
        </w:tc>
      </w:tr>
      <w:tr w:rsidR="0078402B" w:rsidRPr="00E35D79" w14:paraId="3976B1CF" w14:textId="77777777" w:rsidTr="0078402B">
        <w:trPr>
          <w:cantSplit/>
          <w:trHeight w:val="268"/>
        </w:trPr>
        <w:tc>
          <w:tcPr>
            <w:tcW w:w="6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22868"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199</w:t>
            </w:r>
          </w:p>
        </w:tc>
        <w:tc>
          <w:tcPr>
            <w:tcW w:w="31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F4FBAA"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METHYL ETHYL KETONE OXIME</w:t>
            </w:r>
          </w:p>
        </w:tc>
        <w:tc>
          <w:tcPr>
            <w:tcW w:w="5395" w:type="dxa"/>
            <w:tcBorders>
              <w:top w:val="nil"/>
              <w:left w:val="nil"/>
              <w:bottom w:val="single" w:sz="8" w:space="0" w:color="auto"/>
              <w:right w:val="single" w:sz="8" w:space="0" w:color="auto"/>
            </w:tcBorders>
            <w:tcMar>
              <w:top w:w="0" w:type="dxa"/>
              <w:left w:w="108" w:type="dxa"/>
              <w:bottom w:w="0" w:type="dxa"/>
              <w:right w:w="108" w:type="dxa"/>
            </w:tcMar>
            <w:hideMark/>
          </w:tcPr>
          <w:p w14:paraId="78679972"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A – For advice, contact a Poisons Information Centre (e.g. phone Australia 13 11 26; New Zealand 0800 764 766) or a doctor (at once).</w:t>
            </w:r>
          </w:p>
        </w:tc>
      </w:tr>
      <w:tr w:rsidR="0078402B" w:rsidRPr="00E35D79" w14:paraId="3B383F51" w14:textId="77777777" w:rsidTr="0078402B">
        <w:trPr>
          <w:cantSplit/>
          <w:trHeight w:val="404"/>
        </w:trPr>
        <w:tc>
          <w:tcPr>
            <w:tcW w:w="0" w:type="auto"/>
            <w:vMerge/>
            <w:tcBorders>
              <w:top w:val="nil"/>
              <w:left w:val="single" w:sz="8" w:space="0" w:color="auto"/>
              <w:bottom w:val="single" w:sz="8" w:space="0" w:color="auto"/>
              <w:right w:val="single" w:sz="8" w:space="0" w:color="auto"/>
            </w:tcBorders>
            <w:vAlign w:val="center"/>
            <w:hideMark/>
          </w:tcPr>
          <w:p w14:paraId="199034BC" w14:textId="77777777" w:rsidR="0078402B" w:rsidRPr="00E35D79" w:rsidRDefault="0078402B" w:rsidP="00E35D79">
            <w:pPr>
              <w:rPr>
                <w:rFonts w:asciiTheme="minorHAnsi" w:hAnsiTheme="minorHAnsi" w:cstheme="minorHAnsi"/>
              </w:rPr>
            </w:pPr>
          </w:p>
        </w:tc>
        <w:tc>
          <w:tcPr>
            <w:tcW w:w="0" w:type="auto"/>
            <w:vMerge/>
            <w:tcBorders>
              <w:top w:val="nil"/>
              <w:left w:val="nil"/>
              <w:bottom w:val="single" w:sz="8" w:space="0" w:color="auto"/>
              <w:right w:val="single" w:sz="8" w:space="0" w:color="auto"/>
            </w:tcBorders>
            <w:vAlign w:val="center"/>
            <w:hideMark/>
          </w:tcPr>
          <w:p w14:paraId="4C43BE4D" w14:textId="77777777" w:rsidR="0078402B" w:rsidRPr="00E35D79" w:rsidRDefault="0078402B" w:rsidP="00E35D79">
            <w:pPr>
              <w:rPr>
                <w:rFonts w:asciiTheme="minorHAnsi" w:hAnsiTheme="minorHAnsi" w:cstheme="minorHAnsi"/>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hideMark/>
          </w:tcPr>
          <w:p w14:paraId="5DE87E0A"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E1 – If in eyes wash out immediately with water.</w:t>
            </w:r>
          </w:p>
        </w:tc>
      </w:tr>
      <w:tr w:rsidR="0078402B" w:rsidRPr="00E35D79" w14:paraId="127AFB0D" w14:textId="77777777" w:rsidTr="0078402B">
        <w:trPr>
          <w:cantSplit/>
          <w:trHeight w:val="394"/>
        </w:trPr>
        <w:tc>
          <w:tcPr>
            <w:tcW w:w="0" w:type="auto"/>
            <w:vMerge/>
            <w:tcBorders>
              <w:top w:val="nil"/>
              <w:left w:val="single" w:sz="8" w:space="0" w:color="auto"/>
              <w:bottom w:val="single" w:sz="8" w:space="0" w:color="auto"/>
              <w:right w:val="single" w:sz="8" w:space="0" w:color="auto"/>
            </w:tcBorders>
            <w:vAlign w:val="center"/>
            <w:hideMark/>
          </w:tcPr>
          <w:p w14:paraId="77E1DFAA" w14:textId="77777777" w:rsidR="0078402B" w:rsidRPr="00E35D79" w:rsidRDefault="0078402B" w:rsidP="00E35D79">
            <w:pPr>
              <w:rPr>
                <w:rFonts w:asciiTheme="minorHAnsi" w:hAnsiTheme="minorHAnsi" w:cstheme="minorHAnsi"/>
              </w:rPr>
            </w:pPr>
          </w:p>
        </w:tc>
        <w:tc>
          <w:tcPr>
            <w:tcW w:w="0" w:type="auto"/>
            <w:vMerge/>
            <w:tcBorders>
              <w:top w:val="nil"/>
              <w:left w:val="nil"/>
              <w:bottom w:val="single" w:sz="8" w:space="0" w:color="auto"/>
              <w:right w:val="single" w:sz="8" w:space="0" w:color="auto"/>
            </w:tcBorders>
            <w:vAlign w:val="center"/>
            <w:hideMark/>
          </w:tcPr>
          <w:p w14:paraId="2F4E6369" w14:textId="77777777" w:rsidR="0078402B" w:rsidRPr="00E35D79" w:rsidRDefault="0078402B" w:rsidP="00E35D79">
            <w:pPr>
              <w:rPr>
                <w:rFonts w:asciiTheme="minorHAnsi" w:hAnsiTheme="minorHAnsi" w:cstheme="minorHAnsi"/>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hideMark/>
          </w:tcPr>
          <w:p w14:paraId="6D488749"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S1 – If skin or hair contact occurs, remove contaminated clothing and flush skin and hair with running water.</w:t>
            </w:r>
          </w:p>
        </w:tc>
      </w:tr>
    </w:tbl>
    <w:p w14:paraId="286920E9" w14:textId="77777777" w:rsidR="00103704" w:rsidRDefault="00103704" w:rsidP="00F944DA">
      <w:pPr>
        <w:ind w:left="284"/>
        <w:rPr>
          <w:rFonts w:asciiTheme="minorHAnsi" w:hAnsiTheme="minorHAnsi" w:cstheme="minorHAnsi"/>
          <w:b/>
          <w:bCs/>
        </w:rPr>
      </w:pPr>
    </w:p>
    <w:p w14:paraId="71DDA9E0" w14:textId="77777777" w:rsidR="009175E2" w:rsidRDefault="009175E2">
      <w:pPr>
        <w:rPr>
          <w:rFonts w:asciiTheme="minorHAnsi" w:hAnsiTheme="minorHAnsi" w:cstheme="minorHAnsi"/>
          <w:b/>
          <w:bCs/>
        </w:rPr>
      </w:pPr>
      <w:r>
        <w:rPr>
          <w:rFonts w:asciiTheme="minorHAnsi" w:hAnsiTheme="minorHAnsi" w:cstheme="minorHAnsi"/>
          <w:b/>
          <w:bCs/>
        </w:rPr>
        <w:br w:type="page"/>
      </w:r>
    </w:p>
    <w:p w14:paraId="2FCECCDB" w14:textId="05323310" w:rsidR="0078402B" w:rsidRPr="00E35D79" w:rsidRDefault="0078402B" w:rsidP="00F944DA">
      <w:pPr>
        <w:ind w:left="284"/>
        <w:rPr>
          <w:rFonts w:asciiTheme="minorHAnsi" w:hAnsiTheme="minorHAnsi" w:cstheme="minorHAnsi"/>
        </w:rPr>
      </w:pPr>
      <w:r w:rsidRPr="00D23577">
        <w:rPr>
          <w:rFonts w:asciiTheme="minorHAnsi" w:hAnsiTheme="minorHAnsi" w:cstheme="minorHAnsi"/>
          <w:b/>
          <w:bCs/>
        </w:rPr>
        <w:lastRenderedPageBreak/>
        <w:t>Appendix F, clause 4</w:t>
      </w:r>
      <w:r w:rsidRPr="00E35D79">
        <w:rPr>
          <w:rFonts w:asciiTheme="minorHAnsi" w:hAnsiTheme="minorHAnsi" w:cstheme="minorHAnsi"/>
        </w:rPr>
        <w:t xml:space="preserve"> –</w:t>
      </w:r>
      <w:r w:rsidR="00F944DA">
        <w:rPr>
          <w:rFonts w:asciiTheme="minorHAnsi" w:hAnsiTheme="minorHAnsi" w:cstheme="minorHAnsi"/>
        </w:rPr>
        <w:t xml:space="preserve"> </w:t>
      </w:r>
      <w:r w:rsidRPr="00E35D79">
        <w:rPr>
          <w:rFonts w:asciiTheme="minorHAnsi" w:hAnsiTheme="minorHAnsi" w:cstheme="minorHAnsi"/>
        </w:rPr>
        <w:t>Warning statement</w:t>
      </w:r>
      <w:r w:rsidR="00F944DA">
        <w:rPr>
          <w:rFonts w:asciiTheme="minorHAnsi" w:hAnsiTheme="minorHAnsi" w:cstheme="minorHAnsi"/>
        </w:rPr>
        <w:t>s</w:t>
      </w:r>
      <w:r w:rsidRPr="00E35D79">
        <w:rPr>
          <w:rFonts w:asciiTheme="minorHAnsi" w:hAnsiTheme="minorHAnsi" w:cstheme="minorHAnsi"/>
        </w:rPr>
        <w:t xml:space="preserve"> and safety direction</w:t>
      </w:r>
      <w:r w:rsidR="00F944DA">
        <w:rPr>
          <w:rFonts w:asciiTheme="minorHAnsi" w:hAnsiTheme="minorHAnsi" w:cstheme="minorHAnsi"/>
        </w:rPr>
        <w:t>s</w:t>
      </w:r>
    </w:p>
    <w:tbl>
      <w:tblPr>
        <w:tblpPr w:leftFromText="180" w:rightFromText="180" w:vertAnchor="text"/>
        <w:tblW w:w="9293" w:type="dxa"/>
        <w:tblCellMar>
          <w:left w:w="0" w:type="dxa"/>
          <w:right w:w="0" w:type="dxa"/>
        </w:tblCellMar>
        <w:tblLook w:val="04A0" w:firstRow="1" w:lastRow="0" w:firstColumn="1" w:lastColumn="0" w:noHBand="0" w:noVBand="1"/>
      </w:tblPr>
      <w:tblGrid>
        <w:gridCol w:w="628"/>
        <w:gridCol w:w="1770"/>
        <w:gridCol w:w="3234"/>
        <w:gridCol w:w="3661"/>
      </w:tblGrid>
      <w:tr w:rsidR="0078402B" w:rsidRPr="00E35D79" w14:paraId="21D15696" w14:textId="77777777" w:rsidTr="00103704">
        <w:trPr>
          <w:cantSplit/>
          <w:tblHeader/>
        </w:trPr>
        <w:tc>
          <w:tcPr>
            <w:tcW w:w="557" w:type="dxa"/>
            <w:tcBorders>
              <w:top w:val="single" w:sz="8" w:space="0" w:color="auto"/>
              <w:left w:val="single" w:sz="8" w:space="0" w:color="auto"/>
              <w:bottom w:val="single" w:sz="8" w:space="0" w:color="auto"/>
              <w:right w:val="single" w:sz="8" w:space="0" w:color="auto"/>
            </w:tcBorders>
            <w:shd w:val="clear" w:color="auto" w:fill="006DA7"/>
            <w:tcMar>
              <w:top w:w="0" w:type="dxa"/>
              <w:left w:w="108" w:type="dxa"/>
              <w:bottom w:w="0" w:type="dxa"/>
              <w:right w:w="108" w:type="dxa"/>
            </w:tcMar>
            <w:vAlign w:val="center"/>
            <w:hideMark/>
          </w:tcPr>
          <w:p w14:paraId="2B95B02C" w14:textId="77777777" w:rsidR="0078402B" w:rsidRPr="007C77EE" w:rsidRDefault="0078402B" w:rsidP="00E35D79">
            <w:pPr>
              <w:rPr>
                <w:rFonts w:asciiTheme="minorHAnsi" w:hAnsiTheme="minorHAnsi" w:cstheme="minorHAnsi"/>
                <w:b/>
                <w:bCs/>
                <w:color w:val="FFFFFF" w:themeColor="background1"/>
              </w:rPr>
            </w:pPr>
            <w:r w:rsidRPr="007C77EE">
              <w:rPr>
                <w:rFonts w:asciiTheme="minorHAnsi" w:hAnsiTheme="minorHAnsi" w:cstheme="minorHAnsi"/>
                <w:b/>
                <w:bCs/>
                <w:color w:val="FFFFFF" w:themeColor="background1"/>
              </w:rPr>
              <w:t>Item</w:t>
            </w:r>
          </w:p>
        </w:tc>
        <w:tc>
          <w:tcPr>
            <w:tcW w:w="1779" w:type="dxa"/>
            <w:tcBorders>
              <w:top w:val="single" w:sz="8" w:space="0" w:color="auto"/>
              <w:left w:val="nil"/>
              <w:bottom w:val="single" w:sz="8" w:space="0" w:color="auto"/>
              <w:right w:val="single" w:sz="8" w:space="0" w:color="auto"/>
            </w:tcBorders>
            <w:shd w:val="clear" w:color="auto" w:fill="006DA7"/>
            <w:tcMar>
              <w:top w:w="0" w:type="dxa"/>
              <w:left w:w="108" w:type="dxa"/>
              <w:bottom w:w="0" w:type="dxa"/>
              <w:right w:w="108" w:type="dxa"/>
            </w:tcMar>
            <w:vAlign w:val="center"/>
            <w:hideMark/>
          </w:tcPr>
          <w:p w14:paraId="28944DD2" w14:textId="77777777" w:rsidR="0078402B" w:rsidRPr="007C77EE" w:rsidRDefault="0078402B" w:rsidP="00E35D79">
            <w:pPr>
              <w:rPr>
                <w:rFonts w:asciiTheme="minorHAnsi" w:hAnsiTheme="minorHAnsi" w:cstheme="minorHAnsi"/>
                <w:b/>
                <w:bCs/>
                <w:color w:val="FFFFFF" w:themeColor="background1"/>
              </w:rPr>
            </w:pPr>
            <w:r w:rsidRPr="007C77EE">
              <w:rPr>
                <w:rFonts w:asciiTheme="minorHAnsi" w:hAnsiTheme="minorHAnsi" w:cstheme="minorHAnsi"/>
                <w:b/>
                <w:bCs/>
                <w:color w:val="FFFFFF" w:themeColor="background1"/>
              </w:rPr>
              <w:t>Poison</w:t>
            </w:r>
          </w:p>
        </w:tc>
        <w:tc>
          <w:tcPr>
            <w:tcW w:w="3261" w:type="dxa"/>
            <w:tcBorders>
              <w:top w:val="single" w:sz="8" w:space="0" w:color="auto"/>
              <w:left w:val="nil"/>
              <w:bottom w:val="single" w:sz="8" w:space="0" w:color="auto"/>
              <w:right w:val="single" w:sz="8" w:space="0" w:color="auto"/>
            </w:tcBorders>
            <w:shd w:val="clear" w:color="auto" w:fill="006DA7"/>
            <w:tcMar>
              <w:top w:w="0" w:type="dxa"/>
              <w:left w:w="108" w:type="dxa"/>
              <w:bottom w:w="0" w:type="dxa"/>
              <w:right w:w="108" w:type="dxa"/>
            </w:tcMar>
            <w:vAlign w:val="center"/>
            <w:hideMark/>
          </w:tcPr>
          <w:p w14:paraId="5C7A2FDA" w14:textId="2B12D279" w:rsidR="0078402B" w:rsidRPr="007C77EE" w:rsidRDefault="0078402B" w:rsidP="00E35D79">
            <w:pPr>
              <w:rPr>
                <w:rFonts w:asciiTheme="minorHAnsi" w:hAnsiTheme="minorHAnsi" w:cstheme="minorHAnsi"/>
                <w:b/>
                <w:bCs/>
                <w:color w:val="FFFFFF" w:themeColor="background1"/>
              </w:rPr>
            </w:pPr>
            <w:r w:rsidRPr="007C77EE">
              <w:rPr>
                <w:rFonts w:asciiTheme="minorHAnsi" w:hAnsiTheme="minorHAnsi" w:cstheme="minorHAnsi"/>
                <w:b/>
                <w:bCs/>
                <w:color w:val="FFFFFF" w:themeColor="background1"/>
              </w:rPr>
              <w:t xml:space="preserve">Warning statement item number and statement </w:t>
            </w:r>
          </w:p>
        </w:tc>
        <w:tc>
          <w:tcPr>
            <w:tcW w:w="3696" w:type="dxa"/>
            <w:tcBorders>
              <w:top w:val="single" w:sz="8" w:space="0" w:color="auto"/>
              <w:left w:val="nil"/>
              <w:bottom w:val="single" w:sz="8" w:space="0" w:color="auto"/>
              <w:right w:val="single" w:sz="8" w:space="0" w:color="auto"/>
            </w:tcBorders>
            <w:shd w:val="clear" w:color="auto" w:fill="006DA7"/>
            <w:tcMar>
              <w:top w:w="0" w:type="dxa"/>
              <w:left w:w="108" w:type="dxa"/>
              <w:bottom w:w="0" w:type="dxa"/>
              <w:right w:w="108" w:type="dxa"/>
            </w:tcMar>
            <w:vAlign w:val="center"/>
            <w:hideMark/>
          </w:tcPr>
          <w:p w14:paraId="568AB1BC" w14:textId="73A4D319" w:rsidR="0078402B" w:rsidRPr="007C77EE" w:rsidRDefault="0078402B" w:rsidP="00E35D79">
            <w:pPr>
              <w:rPr>
                <w:rFonts w:asciiTheme="minorHAnsi" w:hAnsiTheme="minorHAnsi" w:cstheme="minorHAnsi"/>
                <w:b/>
                <w:bCs/>
                <w:color w:val="FFFFFF" w:themeColor="background1"/>
              </w:rPr>
            </w:pPr>
            <w:r w:rsidRPr="007C77EE">
              <w:rPr>
                <w:rFonts w:asciiTheme="minorHAnsi" w:hAnsiTheme="minorHAnsi" w:cstheme="minorHAnsi"/>
                <w:b/>
                <w:bCs/>
                <w:color w:val="FFFFFF" w:themeColor="background1"/>
              </w:rPr>
              <w:t xml:space="preserve">Safety direction item number and statement </w:t>
            </w:r>
          </w:p>
        </w:tc>
      </w:tr>
      <w:tr w:rsidR="0078402B" w:rsidRPr="00E35D79" w14:paraId="2810C8D5" w14:textId="77777777" w:rsidTr="0013481F">
        <w:trPr>
          <w:cantSplit/>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F3716F"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213</w:t>
            </w:r>
          </w:p>
        </w:tc>
        <w:tc>
          <w:tcPr>
            <w:tcW w:w="1779" w:type="dxa"/>
            <w:tcBorders>
              <w:top w:val="nil"/>
              <w:left w:val="nil"/>
              <w:bottom w:val="single" w:sz="4" w:space="0" w:color="auto"/>
              <w:right w:val="single" w:sz="8" w:space="0" w:color="auto"/>
            </w:tcBorders>
            <w:tcMar>
              <w:top w:w="0" w:type="dxa"/>
              <w:left w:w="108" w:type="dxa"/>
              <w:bottom w:w="0" w:type="dxa"/>
              <w:right w:w="108" w:type="dxa"/>
            </w:tcMar>
            <w:hideMark/>
          </w:tcPr>
          <w:p w14:paraId="7453B152"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 xml:space="preserve">METHYL ETHYL KETONE OXIME - </w:t>
            </w:r>
            <w:r w:rsidRPr="007C77EE">
              <w:rPr>
                <w:rFonts w:asciiTheme="minorHAnsi" w:hAnsiTheme="minorHAnsi" w:cstheme="minorHAnsi"/>
                <w:color w:val="00B050"/>
                <w:u w:val="single"/>
              </w:rPr>
              <w:t>except for adhesives and sealants containing less than 2.5% methyl ethyl ketone oxime</w:t>
            </w:r>
          </w:p>
        </w:tc>
        <w:tc>
          <w:tcPr>
            <w:tcW w:w="3261" w:type="dxa"/>
            <w:tcBorders>
              <w:top w:val="nil"/>
              <w:left w:val="nil"/>
              <w:bottom w:val="single" w:sz="4" w:space="0" w:color="auto"/>
              <w:right w:val="single" w:sz="8" w:space="0" w:color="auto"/>
            </w:tcBorders>
            <w:tcMar>
              <w:top w:w="0" w:type="dxa"/>
              <w:left w:w="108" w:type="dxa"/>
              <w:bottom w:w="0" w:type="dxa"/>
              <w:right w:w="108" w:type="dxa"/>
            </w:tcMar>
            <w:hideMark/>
          </w:tcPr>
          <w:p w14:paraId="49C69CB0"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 xml:space="preserve">5 – irritant </w:t>
            </w:r>
          </w:p>
          <w:p w14:paraId="6375D631" w14:textId="77777777" w:rsidR="0078402B" w:rsidRPr="007C77EE" w:rsidRDefault="0078402B" w:rsidP="00E35D79">
            <w:pPr>
              <w:rPr>
                <w:rFonts w:asciiTheme="minorHAnsi" w:hAnsiTheme="minorHAnsi" w:cstheme="minorHAnsi"/>
                <w:color w:val="00B050"/>
                <w:u w:val="single"/>
              </w:rPr>
            </w:pPr>
            <w:r w:rsidRPr="007C77EE">
              <w:rPr>
                <w:rFonts w:asciiTheme="minorHAnsi" w:hAnsiTheme="minorHAnsi" w:cstheme="minorHAnsi"/>
                <w:color w:val="00B050"/>
                <w:u w:val="single"/>
              </w:rPr>
              <w:t xml:space="preserve">6 – May cause cancer. </w:t>
            </w:r>
          </w:p>
          <w:p w14:paraId="3AA6EFDE" w14:textId="77777777" w:rsidR="0078402B" w:rsidRPr="00E35D79" w:rsidRDefault="0078402B" w:rsidP="00E35D79">
            <w:pPr>
              <w:rPr>
                <w:rFonts w:asciiTheme="minorHAnsi" w:hAnsiTheme="minorHAnsi" w:cstheme="minorHAnsi"/>
              </w:rPr>
            </w:pPr>
            <w:r w:rsidRPr="007C77EE">
              <w:rPr>
                <w:rFonts w:asciiTheme="minorHAnsi" w:hAnsiTheme="minorHAnsi" w:cstheme="minorHAnsi"/>
                <w:color w:val="00B050"/>
                <w:u w:val="single"/>
              </w:rPr>
              <w:t>12 – Vapour is harmful to health on prolonged exposure</w:t>
            </w:r>
          </w:p>
          <w:p w14:paraId="314CD7DD"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28 – (Over) (Repeated) exposure may cause sensitisation</w:t>
            </w:r>
          </w:p>
        </w:tc>
        <w:tc>
          <w:tcPr>
            <w:tcW w:w="3696" w:type="dxa"/>
            <w:tcBorders>
              <w:top w:val="nil"/>
              <w:left w:val="nil"/>
              <w:bottom w:val="single" w:sz="4" w:space="0" w:color="auto"/>
              <w:right w:val="single" w:sz="8" w:space="0" w:color="auto"/>
            </w:tcBorders>
            <w:tcMar>
              <w:top w:w="0" w:type="dxa"/>
              <w:left w:w="108" w:type="dxa"/>
              <w:bottom w:w="0" w:type="dxa"/>
              <w:right w:w="108" w:type="dxa"/>
            </w:tcMar>
            <w:hideMark/>
          </w:tcPr>
          <w:p w14:paraId="6C02064F"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1 – Avoid contact with eyes</w:t>
            </w:r>
          </w:p>
          <w:p w14:paraId="24B8FA6A"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4 – Avoid contact with skin</w:t>
            </w:r>
          </w:p>
          <w:p w14:paraId="676B75C5" w14:textId="77777777" w:rsidR="0078402B" w:rsidRPr="007C77EE" w:rsidRDefault="0078402B" w:rsidP="00E35D79">
            <w:pPr>
              <w:rPr>
                <w:rFonts w:asciiTheme="minorHAnsi" w:hAnsiTheme="minorHAnsi" w:cstheme="minorHAnsi"/>
                <w:color w:val="00B050"/>
                <w:u w:val="single"/>
              </w:rPr>
            </w:pPr>
            <w:r w:rsidRPr="007C77EE">
              <w:rPr>
                <w:rFonts w:asciiTheme="minorHAnsi" w:hAnsiTheme="minorHAnsi" w:cstheme="minorHAnsi"/>
                <w:color w:val="00B050"/>
                <w:u w:val="single"/>
              </w:rPr>
              <w:t>8 – Avoid breathing vapour</w:t>
            </w:r>
          </w:p>
          <w:p w14:paraId="2091E86D" w14:textId="77777777" w:rsidR="0078402B" w:rsidRPr="007C77EE" w:rsidRDefault="0078402B" w:rsidP="00E35D79">
            <w:pPr>
              <w:rPr>
                <w:rFonts w:asciiTheme="minorHAnsi" w:hAnsiTheme="minorHAnsi" w:cstheme="minorHAnsi"/>
                <w:color w:val="00B050"/>
                <w:u w:val="single"/>
              </w:rPr>
            </w:pPr>
            <w:r w:rsidRPr="007C77EE">
              <w:rPr>
                <w:rFonts w:asciiTheme="minorHAnsi" w:hAnsiTheme="minorHAnsi" w:cstheme="minorHAnsi"/>
                <w:color w:val="00B050"/>
                <w:u w:val="single"/>
              </w:rPr>
              <w:t xml:space="preserve">9 – Use only in well-ventilated area </w:t>
            </w:r>
          </w:p>
          <w:p w14:paraId="188E599E" w14:textId="77777777" w:rsidR="0078402B" w:rsidRPr="00E35D79" w:rsidRDefault="0078402B" w:rsidP="00E35D79">
            <w:pPr>
              <w:rPr>
                <w:rFonts w:asciiTheme="minorHAnsi" w:hAnsiTheme="minorHAnsi" w:cstheme="minorHAnsi"/>
              </w:rPr>
            </w:pPr>
            <w:r w:rsidRPr="007C77EE">
              <w:rPr>
                <w:rFonts w:asciiTheme="minorHAnsi" w:hAnsiTheme="minorHAnsi" w:cstheme="minorHAnsi"/>
                <w:color w:val="00B050"/>
                <w:u w:val="single"/>
              </w:rPr>
              <w:t>10 – Ensure adequate ventilation when using</w:t>
            </w:r>
          </w:p>
        </w:tc>
      </w:tr>
      <w:tr w:rsidR="0078402B" w:rsidRPr="00E35D79" w14:paraId="101A5398" w14:textId="77777777" w:rsidTr="0013481F">
        <w:trPr>
          <w:cantSplit/>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F56354" w14:textId="77777777" w:rsidR="0078402B" w:rsidRPr="00E35D79" w:rsidRDefault="0078402B" w:rsidP="00E35D79">
            <w:pPr>
              <w:rPr>
                <w:rFonts w:asciiTheme="minorHAnsi" w:hAnsiTheme="minorHAnsi" w:cstheme="minorHAnsi"/>
              </w:rPr>
            </w:pPr>
            <w:r w:rsidRPr="00F944DA">
              <w:rPr>
                <w:rFonts w:asciiTheme="minorHAnsi" w:hAnsiTheme="minorHAnsi" w:cstheme="minorHAnsi"/>
                <w:color w:val="00B050"/>
              </w:rPr>
              <w:t>214</w:t>
            </w:r>
          </w:p>
        </w:tc>
        <w:tc>
          <w:tcPr>
            <w:tcW w:w="17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F06017"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 xml:space="preserve">METHYL ETHYL KETONE OXIME </w:t>
            </w:r>
            <w:r w:rsidRPr="007C77EE">
              <w:rPr>
                <w:rFonts w:asciiTheme="minorHAnsi" w:hAnsiTheme="minorHAnsi" w:cstheme="minorHAnsi"/>
                <w:color w:val="00B050"/>
                <w:u w:val="single"/>
              </w:rPr>
              <w:t>- adhesives and sealants containing less than 2.5% methyl ethyl ketone oxime</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A30C46"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 xml:space="preserve">5 – irritant </w:t>
            </w:r>
          </w:p>
          <w:p w14:paraId="481AC2EE" w14:textId="77777777" w:rsidR="0078402B" w:rsidRPr="007C77EE" w:rsidRDefault="0078402B" w:rsidP="00E35D79">
            <w:pPr>
              <w:rPr>
                <w:rFonts w:asciiTheme="minorHAnsi" w:hAnsiTheme="minorHAnsi" w:cstheme="minorHAnsi"/>
                <w:color w:val="00B050"/>
                <w:u w:val="single"/>
              </w:rPr>
            </w:pPr>
            <w:r w:rsidRPr="007C77EE">
              <w:rPr>
                <w:rFonts w:asciiTheme="minorHAnsi" w:hAnsiTheme="minorHAnsi" w:cstheme="minorHAnsi"/>
                <w:color w:val="00B050"/>
                <w:u w:val="single"/>
              </w:rPr>
              <w:t>6 – May cause cancer</w:t>
            </w:r>
          </w:p>
          <w:p w14:paraId="45B4F4B6" w14:textId="77777777" w:rsidR="0078402B" w:rsidRPr="00E35D79" w:rsidRDefault="0078402B" w:rsidP="00E35D79">
            <w:pPr>
              <w:rPr>
                <w:rFonts w:asciiTheme="minorHAnsi" w:hAnsiTheme="minorHAnsi" w:cstheme="minorHAnsi"/>
              </w:rPr>
            </w:pPr>
            <w:r w:rsidRPr="007C77EE">
              <w:rPr>
                <w:rFonts w:asciiTheme="minorHAnsi" w:hAnsiTheme="minorHAnsi" w:cstheme="minorHAnsi"/>
                <w:color w:val="00B050"/>
                <w:u w:val="single"/>
              </w:rPr>
              <w:t>12 – Vapour is harmful to health on prolonged exposure</w:t>
            </w:r>
            <w:r w:rsidRPr="00E35D79">
              <w:rPr>
                <w:rFonts w:asciiTheme="minorHAnsi" w:hAnsiTheme="minorHAnsi" w:cstheme="minorHAnsi"/>
              </w:rPr>
              <w:t xml:space="preserve">  </w:t>
            </w:r>
          </w:p>
          <w:p w14:paraId="49ED1E53" w14:textId="79997FED" w:rsidR="0078402B" w:rsidRPr="00E35D79" w:rsidRDefault="0078402B" w:rsidP="00E35D79">
            <w:pPr>
              <w:rPr>
                <w:rFonts w:asciiTheme="minorHAnsi" w:hAnsiTheme="minorHAnsi" w:cstheme="minorHAnsi"/>
              </w:rPr>
            </w:pPr>
            <w:r w:rsidRPr="007C77EE">
              <w:rPr>
                <w:rFonts w:asciiTheme="minorHAnsi" w:hAnsiTheme="minorHAnsi" w:cstheme="minorHAnsi"/>
                <w:strike/>
                <w:color w:val="FF0000"/>
              </w:rPr>
              <w:t>28 – (Over) (Repeated) exposure may cause sensitisation</w:t>
            </w:r>
          </w:p>
        </w:tc>
        <w:tc>
          <w:tcPr>
            <w:tcW w:w="36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B14127"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1 – Avoid contact with eyes</w:t>
            </w:r>
          </w:p>
          <w:p w14:paraId="331D3755" w14:textId="77777777" w:rsidR="0078402B" w:rsidRPr="00E35D79" w:rsidRDefault="0078402B" w:rsidP="00E35D79">
            <w:pPr>
              <w:rPr>
                <w:rFonts w:asciiTheme="minorHAnsi" w:hAnsiTheme="minorHAnsi" w:cstheme="minorHAnsi"/>
              </w:rPr>
            </w:pPr>
            <w:r w:rsidRPr="00E35D79">
              <w:rPr>
                <w:rFonts w:asciiTheme="minorHAnsi" w:hAnsiTheme="minorHAnsi" w:cstheme="minorHAnsi"/>
              </w:rPr>
              <w:t>4 – Avoid contact with skin</w:t>
            </w:r>
          </w:p>
          <w:p w14:paraId="02E07A45" w14:textId="77777777" w:rsidR="0078402B" w:rsidRPr="007C77EE" w:rsidRDefault="0078402B" w:rsidP="00E35D79">
            <w:pPr>
              <w:rPr>
                <w:rFonts w:asciiTheme="minorHAnsi" w:hAnsiTheme="minorHAnsi" w:cstheme="minorHAnsi"/>
                <w:color w:val="00B050"/>
                <w:u w:val="single"/>
              </w:rPr>
            </w:pPr>
            <w:r w:rsidRPr="007C77EE">
              <w:rPr>
                <w:rFonts w:asciiTheme="minorHAnsi" w:hAnsiTheme="minorHAnsi" w:cstheme="minorHAnsi"/>
                <w:color w:val="00B050"/>
                <w:u w:val="single"/>
              </w:rPr>
              <w:t>8 – Avoid breathing vapour</w:t>
            </w:r>
          </w:p>
          <w:p w14:paraId="78BF59FE" w14:textId="77777777" w:rsidR="0078402B" w:rsidRPr="007C77EE" w:rsidRDefault="0078402B" w:rsidP="00E35D79">
            <w:pPr>
              <w:rPr>
                <w:rFonts w:asciiTheme="minorHAnsi" w:hAnsiTheme="minorHAnsi" w:cstheme="minorHAnsi"/>
                <w:color w:val="00B050"/>
                <w:u w:val="single"/>
              </w:rPr>
            </w:pPr>
            <w:r w:rsidRPr="007C77EE">
              <w:rPr>
                <w:rFonts w:asciiTheme="minorHAnsi" w:hAnsiTheme="minorHAnsi" w:cstheme="minorHAnsi"/>
                <w:color w:val="00B050"/>
                <w:u w:val="single"/>
              </w:rPr>
              <w:t xml:space="preserve">9 – Use only in well-ventilated area </w:t>
            </w:r>
          </w:p>
          <w:p w14:paraId="08C1DBCF" w14:textId="1B3AF825" w:rsidR="0078402B" w:rsidRPr="00E35D79" w:rsidRDefault="0078402B" w:rsidP="00E35D79">
            <w:pPr>
              <w:rPr>
                <w:rFonts w:asciiTheme="minorHAnsi" w:hAnsiTheme="minorHAnsi" w:cstheme="minorHAnsi"/>
              </w:rPr>
            </w:pPr>
            <w:r w:rsidRPr="007C77EE">
              <w:rPr>
                <w:rFonts w:asciiTheme="minorHAnsi" w:hAnsiTheme="minorHAnsi" w:cstheme="minorHAnsi"/>
                <w:color w:val="00B050"/>
                <w:u w:val="single"/>
              </w:rPr>
              <w:t>10 – Ensure adequate ventilation when using</w:t>
            </w:r>
          </w:p>
        </w:tc>
      </w:tr>
    </w:tbl>
    <w:p w14:paraId="7AA5319A" w14:textId="58DC5BFD" w:rsidR="0078402B" w:rsidRPr="00E35D79" w:rsidRDefault="0078402B" w:rsidP="00FD4275">
      <w:pPr>
        <w:pStyle w:val="Heading4"/>
      </w:pPr>
      <w:r w:rsidRPr="00E35D79">
        <w:t>Background</w:t>
      </w:r>
    </w:p>
    <w:p w14:paraId="2E6CEA4A" w14:textId="51581426" w:rsidR="0078402B" w:rsidRPr="00E35D79" w:rsidRDefault="0078402B" w:rsidP="00E35D79">
      <w:pPr>
        <w:rPr>
          <w:rFonts w:asciiTheme="minorHAnsi" w:hAnsiTheme="minorHAnsi" w:cstheme="minorHAnsi"/>
        </w:rPr>
      </w:pPr>
      <w:r w:rsidRPr="00E35D79">
        <w:rPr>
          <w:rFonts w:asciiTheme="minorHAnsi" w:hAnsiTheme="minorHAnsi" w:cstheme="minorHAnsi"/>
        </w:rPr>
        <w:t>MEKO is a widely used</w:t>
      </w:r>
      <w:r w:rsidR="0064556E" w:rsidRPr="00E35D79">
        <w:rPr>
          <w:rFonts w:asciiTheme="minorHAnsi" w:hAnsiTheme="minorHAnsi" w:cstheme="minorHAnsi"/>
        </w:rPr>
        <w:t xml:space="preserve"> as</w:t>
      </w:r>
      <w:r w:rsidRPr="00E35D79">
        <w:rPr>
          <w:rFonts w:asciiTheme="minorHAnsi" w:hAnsiTheme="minorHAnsi" w:cstheme="minorHAnsi"/>
        </w:rPr>
        <w:t xml:space="preserve"> curing and anti-skinning agent in paints, varnishes, stains, finishes, coatings, adhesives, and sealants. In Australia, MEKO containing primers, stains, varnishes and sealants are widely available from hardware stores and online.</w:t>
      </w:r>
    </w:p>
    <w:p w14:paraId="2364F0C7" w14:textId="1C90FEEF" w:rsidR="0078402B" w:rsidRPr="00E35D79" w:rsidRDefault="0078402B" w:rsidP="00E35D79">
      <w:pPr>
        <w:rPr>
          <w:rFonts w:asciiTheme="minorHAnsi" w:hAnsiTheme="minorHAnsi" w:cstheme="minorHAnsi"/>
        </w:rPr>
      </w:pPr>
      <w:r w:rsidRPr="00E35D79">
        <w:rPr>
          <w:rFonts w:asciiTheme="minorHAnsi" w:hAnsiTheme="minorHAnsi" w:cstheme="minorHAnsi"/>
        </w:rPr>
        <w:t xml:space="preserve">Currently, MEKO is a classified as a Schedule 6 substance except for less than 2.5% in silicone adhesives or sealants or less than 1% in all other preparations. MEKO products are required to carry warning statements and first aid instructions regarding eye and skin irritation. There is no requirement regarding </w:t>
      </w:r>
      <w:r w:rsidR="00364838">
        <w:rPr>
          <w:rFonts w:asciiTheme="minorHAnsi" w:hAnsiTheme="minorHAnsi" w:cstheme="minorHAnsi"/>
        </w:rPr>
        <w:t xml:space="preserve">for warning statements regarding </w:t>
      </w:r>
      <w:r w:rsidRPr="00E35D79">
        <w:rPr>
          <w:rFonts w:asciiTheme="minorHAnsi" w:hAnsiTheme="minorHAnsi" w:cstheme="minorHAnsi"/>
        </w:rPr>
        <w:t>its inhalation toxicity or carcinogenic potential.</w:t>
      </w:r>
    </w:p>
    <w:p w14:paraId="7275B83D" w14:textId="77777777" w:rsidR="0078402B" w:rsidRPr="007C77EE" w:rsidRDefault="0078402B" w:rsidP="007C77EE">
      <w:pPr>
        <w:pStyle w:val="Heading4"/>
      </w:pPr>
      <w:r w:rsidRPr="007C77EE">
        <w:t>Summary of applicant’s reasons for the proposal</w:t>
      </w:r>
    </w:p>
    <w:p w14:paraId="2929F3F9" w14:textId="6924B662" w:rsidR="0078402B" w:rsidRPr="00E35D79" w:rsidRDefault="0078402B" w:rsidP="00364838">
      <w:pPr>
        <w:pStyle w:val="ListParagraph"/>
      </w:pPr>
      <w:r w:rsidRPr="00E35D79">
        <w:t>MEKO is present in silicone sealants, paints and adhesives widely available in Australia from hardware stores. The chemical is slowly released from sealants, adhesives or paints over several days.</w:t>
      </w:r>
    </w:p>
    <w:p w14:paraId="49815C04" w14:textId="6515C5FC" w:rsidR="0078402B" w:rsidRPr="00E35D79" w:rsidRDefault="0078402B" w:rsidP="00364838">
      <w:pPr>
        <w:pStyle w:val="ListParagraph"/>
      </w:pPr>
      <w:r w:rsidRPr="00E35D79">
        <w:t xml:space="preserve">MEKO is </w:t>
      </w:r>
      <w:r w:rsidR="00364838">
        <w:t xml:space="preserve">categorised as a </w:t>
      </w:r>
      <w:r w:rsidRPr="00E35D79">
        <w:t xml:space="preserve">Category 1b Cancer Inhalation hazard and </w:t>
      </w:r>
      <w:r w:rsidR="00364838">
        <w:t>may</w:t>
      </w:r>
      <w:r w:rsidRPr="00E35D79">
        <w:t xml:space="preserve"> cause serious health </w:t>
      </w:r>
      <w:r w:rsidR="00364838">
        <w:t>effects</w:t>
      </w:r>
      <w:r w:rsidRPr="00E35D79">
        <w:t xml:space="preserve"> when present in silicon sealants, adhesives and paints at concentrations greater than 0.1%</w:t>
      </w:r>
      <w:r w:rsidR="00364838">
        <w:t>.</w:t>
      </w:r>
    </w:p>
    <w:p w14:paraId="4AB22499" w14:textId="69C88196" w:rsidR="0078402B" w:rsidRPr="00E35D79" w:rsidRDefault="0078402B" w:rsidP="00364838">
      <w:pPr>
        <w:pStyle w:val="ListParagraph"/>
      </w:pPr>
      <w:r w:rsidRPr="00E35D79">
        <w:t>In the European Union, use of MEKO is restricted to only professional users in the EU since March 2022. Preparations containing more than 0.1% MEKO is not allowed for public use</w:t>
      </w:r>
      <w:r w:rsidR="00364838">
        <w:t xml:space="preserve">, for example, </w:t>
      </w:r>
      <w:r w:rsidRPr="00E35D79">
        <w:t>silicone resin sealants with MEKO.</w:t>
      </w:r>
    </w:p>
    <w:p w14:paraId="2F32D881" w14:textId="2067048A" w:rsidR="0078402B" w:rsidRPr="00E35D79" w:rsidRDefault="0078402B" w:rsidP="00364838">
      <w:pPr>
        <w:pStyle w:val="ListParagraph"/>
      </w:pPr>
      <w:r w:rsidRPr="00E35D79">
        <w:t>An evaluation of MEKO by AICIS (</w:t>
      </w:r>
      <w:hyperlink r:id="rId34" w:tgtFrame="_blank" w:tooltip="https://cdnservices.industrialchemicals.gov.au/statements/EVA00125%20-%20Evaluation%20Statement%20-%2014%20December%202023.pdf" w:history="1">
        <w:r w:rsidRPr="00E35D79">
          <w:rPr>
            <w:rStyle w:val="Hyperlink"/>
            <w:rFonts w:asciiTheme="minorHAnsi" w:hAnsiTheme="minorHAnsi" w:cstheme="minorHAnsi"/>
            <w:szCs w:val="20"/>
          </w:rPr>
          <w:t>evaluation statement</w:t>
        </w:r>
      </w:hyperlink>
      <w:r w:rsidRPr="00E35D79">
        <w:t xml:space="preserve">, December 2023) found sufficient evidence that MEKO has carcinogenic effects in animals and the relevance to humans could not be ruled out. The report noted that the Australian public may be exposed to the chemical by inhaling aerosols or vapours from DIY products and adverse health effect can occur under from infrequent domestic use. The </w:t>
      </w:r>
      <w:r w:rsidR="00F13055">
        <w:t>evaluation</w:t>
      </w:r>
      <w:r w:rsidR="00F13055" w:rsidRPr="00E35D79">
        <w:t xml:space="preserve"> </w:t>
      </w:r>
      <w:r w:rsidRPr="00E35D79">
        <w:t xml:space="preserve">recommended that </w:t>
      </w:r>
      <w:r w:rsidR="00F13055">
        <w:t xml:space="preserve">the potential risks could be managed through amending the labelling requirements to provide safety directions on </w:t>
      </w:r>
      <w:r w:rsidRPr="00E35D79">
        <w:t>adequate ventilation</w:t>
      </w:r>
      <w:r w:rsidR="00F13055">
        <w:t>, and through consideration of the concentration cutoffs that exempt the substance from scheduling</w:t>
      </w:r>
      <w:r w:rsidRPr="00E35D79">
        <w:t>.</w:t>
      </w:r>
    </w:p>
    <w:p w14:paraId="4CA88BF4" w14:textId="0C18ED61" w:rsidR="0078402B" w:rsidRPr="00E35D79" w:rsidRDefault="0078402B" w:rsidP="00FD4275">
      <w:pPr>
        <w:pStyle w:val="Heading4"/>
      </w:pPr>
      <w:r w:rsidRPr="00E35D79">
        <w:lastRenderedPageBreak/>
        <w:t>Key uses/ expected use</w:t>
      </w:r>
    </w:p>
    <w:p w14:paraId="07169ACB" w14:textId="77777777" w:rsidR="0064556E" w:rsidRPr="00E35D79" w:rsidRDefault="0078402B" w:rsidP="00364838">
      <w:pPr>
        <w:pStyle w:val="ListParagraph"/>
      </w:pPr>
      <w:r w:rsidRPr="00E35D79">
        <w:t>Silicon sealants, paints and adhesives (domestic and industrial use).</w:t>
      </w:r>
    </w:p>
    <w:p w14:paraId="5885D237" w14:textId="3E819EFE" w:rsidR="005B4818" w:rsidRPr="00E35D79" w:rsidRDefault="005B4818" w:rsidP="005B4818">
      <w:pPr>
        <w:pStyle w:val="Heading4"/>
      </w:pPr>
      <w:r w:rsidRPr="00E35D79">
        <w:t>Australian regulations</w:t>
      </w:r>
    </w:p>
    <w:p w14:paraId="20DE7B72" w14:textId="77777777" w:rsidR="005B4818" w:rsidRPr="00E35D79" w:rsidRDefault="005B4818" w:rsidP="00364838">
      <w:pPr>
        <w:pStyle w:val="ListParagraph"/>
      </w:pPr>
      <w:r w:rsidRPr="00E35D79">
        <w:t xml:space="preserve">MEKO is not listed in as an active ingredient in the </w:t>
      </w:r>
      <w:hyperlink r:id="rId35" w:history="1">
        <w:r w:rsidRPr="00E35D79">
          <w:rPr>
            <w:rStyle w:val="Hyperlink"/>
            <w:rFonts w:asciiTheme="minorHAnsi" w:hAnsiTheme="minorHAnsi" w:cstheme="minorHAnsi"/>
            <w:szCs w:val="20"/>
          </w:rPr>
          <w:t>TGA Ingredient Database</w:t>
        </w:r>
      </w:hyperlink>
      <w:r w:rsidRPr="00E35D79">
        <w:t xml:space="preserve">. </w:t>
      </w:r>
    </w:p>
    <w:p w14:paraId="12329ABC" w14:textId="77777777" w:rsidR="005B4818" w:rsidRPr="005B4818" w:rsidRDefault="005B4818" w:rsidP="00364838">
      <w:pPr>
        <w:pStyle w:val="ListParagraph"/>
      </w:pPr>
      <w:r w:rsidRPr="00E35D79">
        <w:t xml:space="preserve">As of 14 November 2024, there were no products containing MEKO as an active ingredient or scheduled substance listed on the </w:t>
      </w:r>
      <w:hyperlink r:id="rId36" w:history="1">
        <w:r w:rsidRPr="00E35D79">
          <w:rPr>
            <w:rStyle w:val="Hyperlink"/>
            <w:rFonts w:asciiTheme="minorHAnsi" w:hAnsiTheme="minorHAnsi" w:cstheme="minorHAnsi"/>
            <w:szCs w:val="20"/>
          </w:rPr>
          <w:t>Public Chemical Registration Information System Search (PubCRIS)</w:t>
        </w:r>
      </w:hyperlink>
      <w:r w:rsidRPr="00E35D79">
        <w:t>.</w:t>
      </w:r>
      <w:r w:rsidRPr="005B4818">
        <w:rPr>
          <w:rFonts w:asciiTheme="minorHAnsi" w:hAnsiTheme="minorHAnsi" w:cstheme="minorHAnsi"/>
          <w:szCs w:val="20"/>
        </w:rPr>
        <w:t xml:space="preserve"> </w:t>
      </w:r>
    </w:p>
    <w:p w14:paraId="15390FD7" w14:textId="005B7794" w:rsidR="0064556E" w:rsidRPr="00E35D79" w:rsidRDefault="005B4818" w:rsidP="00364838">
      <w:pPr>
        <w:pStyle w:val="ListParagraph"/>
      </w:pPr>
      <w:r>
        <w:t xml:space="preserve">MEKO is </w:t>
      </w:r>
      <w:r w:rsidRPr="00E35D79">
        <w:t xml:space="preserve">listed on the </w:t>
      </w:r>
      <w:hyperlink r:id="rId37" w:history="1">
        <w:r w:rsidRPr="00E35D79">
          <w:rPr>
            <w:rStyle w:val="Hyperlink"/>
            <w:rFonts w:asciiTheme="minorHAnsi" w:hAnsiTheme="minorHAnsi" w:cstheme="minorHAnsi"/>
            <w:szCs w:val="20"/>
          </w:rPr>
          <w:t>Australian Inventory of Industrial Chemicals Inventory</w:t>
        </w:r>
      </w:hyperlink>
      <w:r w:rsidRPr="00E35D79">
        <w:t xml:space="preserve"> for chemicals being manufactured or imported into Australia for industrial use. </w:t>
      </w:r>
      <w:r w:rsidR="0064556E" w:rsidRPr="00E35D79">
        <w:t xml:space="preserve"> </w:t>
      </w:r>
    </w:p>
    <w:p w14:paraId="49215810" w14:textId="4C9C6A43" w:rsidR="0064556E" w:rsidRPr="00E35D79" w:rsidRDefault="0064556E" w:rsidP="00FD4275">
      <w:pPr>
        <w:pStyle w:val="Heading4"/>
      </w:pPr>
      <w:r w:rsidRPr="00E35D79">
        <w:t>International regulations</w:t>
      </w:r>
    </w:p>
    <w:p w14:paraId="1F3C370E" w14:textId="19F5DCDC" w:rsidR="0064556E" w:rsidRPr="00E35D79" w:rsidRDefault="005210E4" w:rsidP="00364838">
      <w:pPr>
        <w:pStyle w:val="ListParagraph"/>
      </w:pPr>
      <w:r w:rsidRPr="00E35D79">
        <w:t xml:space="preserve">MEKO is listed as Carcinogenic class 2 in the </w:t>
      </w:r>
      <w:hyperlink r:id="rId38" w:history="1">
        <w:r w:rsidR="00010AB8" w:rsidRPr="00E35D79">
          <w:rPr>
            <w:rStyle w:val="Hyperlink"/>
            <w:rFonts w:asciiTheme="minorHAnsi" w:hAnsiTheme="minorHAnsi" w:cstheme="minorHAnsi"/>
            <w:szCs w:val="20"/>
          </w:rPr>
          <w:t>European Commission database for information on cosmetic substances and ingredients database</w:t>
        </w:r>
      </w:hyperlink>
      <w:r w:rsidRPr="00E35D79">
        <w:t xml:space="preserve">. </w:t>
      </w:r>
      <w:r w:rsidR="0064556E" w:rsidRPr="00E35D79">
        <w:t>In European Union, products containing ≥0.1% of MEKO cannot be sold to the public</w:t>
      </w:r>
      <w:r w:rsidR="00010AB8" w:rsidRPr="001B278B">
        <w:rPr>
          <w:vertAlign w:val="superscript"/>
        </w:rPr>
        <w:footnoteReference w:id="3"/>
      </w:r>
      <w:r w:rsidR="00010AB8" w:rsidRPr="001B278B">
        <w:rPr>
          <w:vertAlign w:val="superscript"/>
        </w:rPr>
        <w:t>,</w:t>
      </w:r>
      <w:r w:rsidR="00010AB8" w:rsidRPr="001B278B">
        <w:rPr>
          <w:vertAlign w:val="superscript"/>
        </w:rPr>
        <w:footnoteReference w:id="4"/>
      </w:r>
      <w:r w:rsidRPr="00E35D79">
        <w:t>.</w:t>
      </w:r>
    </w:p>
    <w:p w14:paraId="27983ADF" w14:textId="7F980DC4" w:rsidR="0064556E" w:rsidRPr="00E35D79" w:rsidRDefault="0064556E" w:rsidP="00364838">
      <w:pPr>
        <w:pStyle w:val="ListParagraph"/>
      </w:pPr>
      <w:r w:rsidRPr="00E35D79">
        <w:t>Canada’s current Code of Practice recommends reducing the concentration of MEKO in interior and dual use consumer alkyd paints and coating products to the lowest level feasible and to increase ventilation in the work area during and after painting. The limitation of the concentration is 0.0032-0.55% in paints and 0.2-0.42% in sealants</w:t>
      </w:r>
      <w:r w:rsidR="00010AB8" w:rsidRPr="001B278B">
        <w:rPr>
          <w:vertAlign w:val="superscript"/>
        </w:rPr>
        <w:footnoteReference w:id="5"/>
      </w:r>
      <w:r w:rsidRPr="00E35D79">
        <w:t xml:space="preserve">. </w:t>
      </w:r>
      <w:r w:rsidR="005210E4" w:rsidRPr="00E35D79">
        <w:t>Workplace exposure limits to MEKO have been set at 0.3 ppm in Germany and 10 ppm in the USA</w:t>
      </w:r>
      <w:r w:rsidR="00010AB8" w:rsidRPr="001B278B">
        <w:rPr>
          <w:vertAlign w:val="superscript"/>
        </w:rPr>
        <w:footnoteReference w:id="6"/>
      </w:r>
      <w:r w:rsidR="005210E4" w:rsidRPr="00E35D79">
        <w:t>.</w:t>
      </w:r>
    </w:p>
    <w:p w14:paraId="124499B5" w14:textId="77777777" w:rsidR="00E2291B" w:rsidRDefault="00E2291B" w:rsidP="00364838">
      <w:pPr>
        <w:pStyle w:val="ListParagraph"/>
      </w:pPr>
      <w:r w:rsidRPr="00E35D79">
        <w:t>In New Zealand and ASEAN countries, cosmetic products are prohibited from containing MEKO</w:t>
      </w:r>
      <w:r w:rsidRPr="001B278B">
        <w:rPr>
          <w:vertAlign w:val="superscript"/>
        </w:rPr>
        <w:footnoteReference w:id="7"/>
      </w:r>
      <w:r w:rsidRPr="001B278B">
        <w:rPr>
          <w:vertAlign w:val="superscript"/>
        </w:rPr>
        <w:t>,</w:t>
      </w:r>
      <w:r w:rsidRPr="001B278B">
        <w:rPr>
          <w:vertAlign w:val="superscript"/>
        </w:rPr>
        <w:footnoteReference w:id="8"/>
      </w:r>
      <w:r w:rsidRPr="00E35D79">
        <w:t>.</w:t>
      </w:r>
    </w:p>
    <w:p w14:paraId="5143343C" w14:textId="438E8A37" w:rsidR="001B278B" w:rsidRDefault="00E2291B" w:rsidP="00364838">
      <w:pPr>
        <w:pStyle w:val="ListParagraph"/>
      </w:pPr>
      <w:r w:rsidRPr="00E35D79">
        <w:rPr>
          <w:rFonts w:asciiTheme="minorHAnsi" w:hAnsiTheme="minorHAnsi" w:cstheme="minorHAnsi"/>
          <w:szCs w:val="20"/>
        </w:rPr>
        <w:t xml:space="preserve">According to the </w:t>
      </w:r>
      <w:hyperlink r:id="rId39" w:tgtFrame="_blank" w:tooltip="https://www.ajcsd.org/chrip_search/cmpinfdsp?cid=c005-148-23a&amp;bcptn=1&amp;shmd=0&amp;txnumsh=&amp;ltnumtp=1&amp;ltnummh=0&amp;txnmsh=ynv0yw5vbmugb3hpbwu=&amp;ltnmtp=&amp;ltnmmh=1&amp;txnmsh1=&amp;ltnmtp1=&amp;txnmsh2=&amp;ltnmtp2=&amp;txnmsh3=&amp;ltnmtp3=&amp;txmlsh=&amp;ltmlmh=0&amp;ltscdp=0&amp;ltpgctst=10&amp;rbdp=0&amp;txscsml=&amp;t" w:history="1">
        <w:r w:rsidRPr="00E35D79">
          <w:rPr>
            <w:rStyle w:val="Hyperlink"/>
            <w:rFonts w:asciiTheme="minorHAnsi" w:hAnsiTheme="minorHAnsi" w:cstheme="minorHAnsi"/>
            <w:szCs w:val="20"/>
          </w:rPr>
          <w:t>ASEAN-Japan Chemical Safety Database</w:t>
        </w:r>
      </w:hyperlink>
      <w:r w:rsidRPr="00E35D79">
        <w:rPr>
          <w:rFonts w:asciiTheme="minorHAnsi" w:hAnsiTheme="minorHAnsi" w:cstheme="minorHAnsi"/>
          <w:szCs w:val="20"/>
        </w:rPr>
        <w:t>, in ASEAN countries and Japan, products containing more than 0.1% MEKO are required to carry statements regarding skin irritation and workers must wear PPE.</w:t>
      </w:r>
    </w:p>
    <w:p w14:paraId="4AAF6CFE" w14:textId="32A252EC" w:rsidR="0064556E" w:rsidRPr="00E35D79" w:rsidRDefault="0064556E" w:rsidP="00364838">
      <w:pPr>
        <w:pStyle w:val="ListParagraph"/>
      </w:pPr>
      <w:r w:rsidRPr="00E35D79">
        <w:t xml:space="preserve">In New Zealand, the Environmental Protection Authority </w:t>
      </w:r>
      <w:r w:rsidR="005210E4" w:rsidRPr="00E35D79">
        <w:t xml:space="preserve">has </w:t>
      </w:r>
      <w:r w:rsidRPr="00E35D79">
        <w:t>classified MEKO in Category 4</w:t>
      </w:r>
      <w:r w:rsidR="005210E4" w:rsidRPr="00E35D79">
        <w:t xml:space="preserve"> hazard for a</w:t>
      </w:r>
      <w:r w:rsidRPr="00E35D79">
        <w:t xml:space="preserve">cute inhalation toxicity and </w:t>
      </w:r>
      <w:r w:rsidR="005210E4" w:rsidRPr="00E35D79">
        <w:t xml:space="preserve">in </w:t>
      </w:r>
      <w:r w:rsidRPr="00E35D79">
        <w:t>Category 1</w:t>
      </w:r>
      <w:r w:rsidR="005210E4" w:rsidRPr="00E35D79">
        <w:t xml:space="preserve"> for c</w:t>
      </w:r>
      <w:r w:rsidRPr="00E35D79">
        <w:t>arcinogenicity</w:t>
      </w:r>
      <w:r w:rsidR="00010AB8" w:rsidRPr="00E35D79">
        <w:footnoteReference w:id="9"/>
      </w:r>
      <w:r w:rsidRPr="00E35D79">
        <w:t>.</w:t>
      </w:r>
      <w:r w:rsidR="005210E4" w:rsidRPr="00E35D79">
        <w:t xml:space="preserve"> The</w:t>
      </w:r>
      <w:r w:rsidRPr="00E35D79">
        <w:t xml:space="preserve"> </w:t>
      </w:r>
      <w:hyperlink r:id="rId40" w:history="1">
        <w:r w:rsidR="005210E4" w:rsidRPr="00E35D79">
          <w:rPr>
            <w:rStyle w:val="Hyperlink"/>
            <w:rFonts w:asciiTheme="minorHAnsi" w:hAnsiTheme="minorHAnsi" w:cstheme="minorHAnsi"/>
            <w:szCs w:val="20"/>
          </w:rPr>
          <w:t>New Zealand Inventory of Chemicals (NZIoC)</w:t>
        </w:r>
      </w:hyperlink>
      <w:r w:rsidR="005210E4" w:rsidRPr="00E35D79">
        <w:t xml:space="preserve"> </w:t>
      </w:r>
      <w:r w:rsidRPr="00E35D79">
        <w:t xml:space="preserve"> </w:t>
      </w:r>
      <w:r w:rsidR="005210E4" w:rsidRPr="00E35D79">
        <w:t>provides that MEKO cannot be used as</w:t>
      </w:r>
      <w:r w:rsidRPr="00E35D79">
        <w:t xml:space="preserve"> a pesticide or a veterinary medicine, but </w:t>
      </w:r>
      <w:r w:rsidR="005210E4" w:rsidRPr="00E35D79">
        <w:t>can</w:t>
      </w:r>
      <w:r w:rsidRPr="00E35D79">
        <w:t xml:space="preserve"> be used in the formulation of pesticide</w:t>
      </w:r>
      <w:r w:rsidR="005210E4" w:rsidRPr="00E35D79">
        <w:t xml:space="preserve">s, veterinary medicines, </w:t>
      </w:r>
      <w:r w:rsidRPr="00E35D79">
        <w:t>antifouling paint</w:t>
      </w:r>
      <w:r w:rsidR="005210E4" w:rsidRPr="00E35D79">
        <w:t>s</w:t>
      </w:r>
      <w:r w:rsidR="00010AB8" w:rsidRPr="00E35D79">
        <w:t xml:space="preserve"> or</w:t>
      </w:r>
      <w:r w:rsidRPr="00E35D79">
        <w:t xml:space="preserve"> timber treatment preservative</w:t>
      </w:r>
      <w:r w:rsidR="005210E4" w:rsidRPr="00E35D79">
        <w:t>s</w:t>
      </w:r>
      <w:r w:rsidRPr="00E35D79">
        <w:t>.</w:t>
      </w:r>
      <w:bookmarkStart w:id="17" w:name="_Hlk187697569"/>
    </w:p>
    <w:bookmarkEnd w:id="15"/>
    <w:bookmarkEnd w:id="16"/>
    <w:bookmarkEnd w:id="17"/>
    <w:p w14:paraId="661BCC5C" w14:textId="77777777" w:rsidR="0013481F" w:rsidRDefault="0013481F">
      <w:pPr>
        <w:rPr>
          <w:rFonts w:eastAsia="Times New Roman" w:cs="Times New Roman"/>
          <w:b/>
          <w:bCs/>
          <w:color w:val="001871"/>
          <w:sz w:val="32"/>
          <w:szCs w:val="32"/>
        </w:rPr>
      </w:pPr>
      <w:r>
        <w:br w:type="page"/>
      </w:r>
    </w:p>
    <w:p w14:paraId="558E9580" w14:textId="2B25D9A8" w:rsidR="00757257" w:rsidRPr="00D84287" w:rsidRDefault="00757257" w:rsidP="00D84287">
      <w:pPr>
        <w:pStyle w:val="Heading3"/>
      </w:pPr>
      <w:bookmarkStart w:id="18" w:name="_Toc187936933"/>
      <w:r w:rsidRPr="00D84287">
        <w:lastRenderedPageBreak/>
        <w:t>Cyanoacrylate esters</w:t>
      </w:r>
      <w:bookmarkEnd w:id="18"/>
    </w:p>
    <w:p w14:paraId="5A0A2D29" w14:textId="77777777" w:rsidR="00757257" w:rsidRPr="00E35D79" w:rsidRDefault="00757257" w:rsidP="0035553D">
      <w:pPr>
        <w:pStyle w:val="Heading4"/>
      </w:pPr>
      <w:r w:rsidRPr="00E35D79">
        <w:t>Proposal</w:t>
      </w:r>
    </w:p>
    <w:p w14:paraId="537359AE" w14:textId="0FD9600F" w:rsidR="00757257" w:rsidRPr="00E35D79" w:rsidRDefault="00757257" w:rsidP="00E35D79">
      <w:pPr>
        <w:rPr>
          <w:rFonts w:asciiTheme="minorHAnsi" w:hAnsiTheme="minorHAnsi" w:cstheme="minorHAnsi"/>
        </w:rPr>
      </w:pPr>
      <w:r w:rsidRPr="00E35D79">
        <w:rPr>
          <w:rFonts w:asciiTheme="minorHAnsi" w:hAnsiTheme="minorHAnsi" w:cstheme="minorHAnsi"/>
        </w:rPr>
        <w:t xml:space="preserve">The </w:t>
      </w:r>
      <w:r w:rsidR="00CB65A7">
        <w:rPr>
          <w:rFonts w:asciiTheme="minorHAnsi" w:hAnsiTheme="minorHAnsi" w:cstheme="minorHAnsi"/>
        </w:rPr>
        <w:t>Department of Health and Aged Care</w:t>
      </w:r>
      <w:r w:rsidRPr="00E35D79">
        <w:rPr>
          <w:rFonts w:asciiTheme="minorHAnsi" w:hAnsiTheme="minorHAnsi" w:cstheme="minorHAnsi"/>
        </w:rPr>
        <w:t xml:space="preserve"> </w:t>
      </w:r>
      <w:r w:rsidR="0013658E" w:rsidRPr="00E35D79">
        <w:rPr>
          <w:rFonts w:asciiTheme="minorHAnsi" w:hAnsiTheme="minorHAnsi" w:cstheme="minorHAnsi"/>
        </w:rPr>
        <w:t xml:space="preserve">has </w:t>
      </w:r>
      <w:r w:rsidRPr="00E35D79">
        <w:rPr>
          <w:rFonts w:asciiTheme="minorHAnsi" w:hAnsiTheme="minorHAnsi" w:cstheme="minorHAnsi"/>
        </w:rPr>
        <w:t xml:space="preserve">proposed </w:t>
      </w:r>
      <w:r w:rsidR="0013658E" w:rsidRPr="00E35D79">
        <w:rPr>
          <w:rFonts w:asciiTheme="minorHAnsi" w:hAnsiTheme="minorHAnsi" w:cstheme="minorHAnsi"/>
        </w:rPr>
        <w:t xml:space="preserve">creating a Dangerous poisons (Schedule 7) entry for eyelash adhesives containing cyanoacrylate esters </w:t>
      </w:r>
      <w:r w:rsidR="00594E98" w:rsidRPr="00E35D79">
        <w:rPr>
          <w:rFonts w:asciiTheme="minorHAnsi" w:hAnsiTheme="minorHAnsi" w:cstheme="minorHAnsi"/>
        </w:rPr>
        <w:t xml:space="preserve">to restrict </w:t>
      </w:r>
      <w:r w:rsidR="00C8491D">
        <w:rPr>
          <w:rFonts w:asciiTheme="minorHAnsi" w:hAnsiTheme="minorHAnsi" w:cstheme="minorHAnsi"/>
        </w:rPr>
        <w:t xml:space="preserve">their </w:t>
      </w:r>
      <w:r w:rsidR="00594E98" w:rsidRPr="00E35D79">
        <w:rPr>
          <w:rFonts w:asciiTheme="minorHAnsi" w:hAnsiTheme="minorHAnsi" w:cstheme="minorHAnsi"/>
        </w:rPr>
        <w:t>usage to professional settings</w:t>
      </w:r>
      <w:r w:rsidR="00D46215" w:rsidRPr="00E35D79">
        <w:rPr>
          <w:rFonts w:asciiTheme="minorHAnsi" w:hAnsiTheme="minorHAnsi" w:cstheme="minorHAnsi"/>
        </w:rPr>
        <w:t>.</w:t>
      </w:r>
      <w:r w:rsidR="00594E98" w:rsidRPr="00E35D79">
        <w:rPr>
          <w:rFonts w:asciiTheme="minorHAnsi" w:hAnsiTheme="minorHAnsi" w:cstheme="minorHAnsi"/>
        </w:rPr>
        <w:t xml:space="preserve"> </w:t>
      </w:r>
      <w:r w:rsidR="00CB65A7">
        <w:rPr>
          <w:rFonts w:asciiTheme="minorHAnsi" w:hAnsiTheme="minorHAnsi" w:cstheme="minorHAnsi"/>
        </w:rPr>
        <w:t>The proposal also includes</w:t>
      </w:r>
      <w:r w:rsidR="00594E98" w:rsidRPr="00E35D79">
        <w:rPr>
          <w:rFonts w:asciiTheme="minorHAnsi" w:hAnsiTheme="minorHAnsi" w:cstheme="minorHAnsi"/>
        </w:rPr>
        <w:t xml:space="preserve"> amending the current Caution</w:t>
      </w:r>
      <w:r w:rsidR="0013658E" w:rsidRPr="00E35D79">
        <w:rPr>
          <w:rFonts w:asciiTheme="minorHAnsi" w:hAnsiTheme="minorHAnsi" w:cstheme="minorHAnsi"/>
        </w:rPr>
        <w:t xml:space="preserve"> </w:t>
      </w:r>
      <w:r w:rsidRPr="00E35D79">
        <w:rPr>
          <w:rFonts w:asciiTheme="minorHAnsi" w:hAnsiTheme="minorHAnsi" w:cstheme="minorHAnsi"/>
        </w:rPr>
        <w:t>(Schedule 5) entry</w:t>
      </w:r>
      <w:r w:rsidR="00BF47CB" w:rsidRPr="00E35D79">
        <w:rPr>
          <w:rFonts w:asciiTheme="minorHAnsi" w:hAnsiTheme="minorHAnsi" w:cstheme="minorHAnsi"/>
        </w:rPr>
        <w:t xml:space="preserve"> </w:t>
      </w:r>
      <w:r w:rsidR="00594E98" w:rsidRPr="00E35D79">
        <w:rPr>
          <w:rFonts w:asciiTheme="minorHAnsi" w:hAnsiTheme="minorHAnsi" w:cstheme="minorHAnsi"/>
        </w:rPr>
        <w:t xml:space="preserve">such that to be exempt from Schedule 5 </w:t>
      </w:r>
      <w:r w:rsidR="007E6925" w:rsidRPr="00E35D79">
        <w:rPr>
          <w:rFonts w:asciiTheme="minorHAnsi" w:hAnsiTheme="minorHAnsi" w:cstheme="minorHAnsi"/>
        </w:rPr>
        <w:t>classification</w:t>
      </w:r>
      <w:r w:rsidR="00594E98" w:rsidRPr="00E35D79">
        <w:rPr>
          <w:rFonts w:asciiTheme="minorHAnsi" w:hAnsiTheme="minorHAnsi" w:cstheme="minorHAnsi"/>
        </w:rPr>
        <w:t xml:space="preserve"> </w:t>
      </w:r>
      <w:r w:rsidR="0055516E" w:rsidRPr="00E35D79">
        <w:rPr>
          <w:rFonts w:asciiTheme="minorHAnsi" w:hAnsiTheme="minorHAnsi" w:cstheme="minorHAnsi"/>
        </w:rPr>
        <w:t>contact adhesives</w:t>
      </w:r>
      <w:r w:rsidR="00594E98" w:rsidRPr="00E35D79">
        <w:rPr>
          <w:rFonts w:asciiTheme="minorHAnsi" w:hAnsiTheme="minorHAnsi" w:cstheme="minorHAnsi"/>
        </w:rPr>
        <w:t xml:space="preserve"> containing cyanoacrylate esters will require an additional warning regarding skin sensitisation</w:t>
      </w:r>
      <w:r w:rsidRPr="00E35D79">
        <w:rPr>
          <w:rFonts w:asciiTheme="minorHAnsi" w:hAnsiTheme="minorHAnsi" w:cstheme="minorHAnsi"/>
        </w:rPr>
        <w:t xml:space="preserve">. </w:t>
      </w:r>
      <w:r w:rsidR="007131BB" w:rsidRPr="00FF2A26">
        <w:rPr>
          <w:rFonts w:asciiTheme="minorHAnsi" w:hAnsiTheme="minorHAnsi" w:cstheme="minorHAnsi"/>
        </w:rPr>
        <w:t xml:space="preserve">The proposal </w:t>
      </w:r>
      <w:r w:rsidR="00364838">
        <w:rPr>
          <w:rFonts w:asciiTheme="minorHAnsi" w:hAnsiTheme="minorHAnsi" w:cstheme="minorHAnsi"/>
        </w:rPr>
        <w:t xml:space="preserve">is based on the recommendations </w:t>
      </w:r>
      <w:r w:rsidR="007131BB" w:rsidRPr="00FF2A26">
        <w:rPr>
          <w:rFonts w:asciiTheme="minorHAnsi" w:hAnsiTheme="minorHAnsi" w:cstheme="minorHAnsi"/>
        </w:rPr>
        <w:t>from the Australian Industrial Chemicals Introduction Scheme (AICIS)</w:t>
      </w:r>
      <w:r w:rsidR="00AB1C2A">
        <w:rPr>
          <w:rFonts w:asciiTheme="minorHAnsi" w:hAnsiTheme="minorHAnsi" w:cstheme="minorHAnsi"/>
        </w:rPr>
        <w:t xml:space="preserve"> evaluation of </w:t>
      </w:r>
      <w:hyperlink r:id="rId41" w:history="1">
        <w:r w:rsidR="00AB1C2A">
          <w:rPr>
            <w:rStyle w:val="Hyperlink"/>
            <w:rFonts w:asciiTheme="minorHAnsi" w:hAnsiTheme="minorHAnsi" w:cstheme="minorHAnsi"/>
          </w:rPr>
          <w:t>cyanoacrylates</w:t>
        </w:r>
      </w:hyperlink>
      <w:r w:rsidR="00AB1C2A" w:rsidRPr="00E35D79">
        <w:rPr>
          <w:rFonts w:asciiTheme="minorHAnsi" w:hAnsiTheme="minorHAnsi" w:cstheme="minorHAnsi"/>
        </w:rPr>
        <w:t xml:space="preserve"> published in June 2024</w:t>
      </w:r>
      <w:r w:rsidR="00AB1C2A">
        <w:rPr>
          <w:rFonts w:asciiTheme="minorHAnsi" w:hAnsiTheme="minorHAnsi" w:cstheme="minorHAnsi"/>
        </w:rPr>
        <w:t>.</w:t>
      </w:r>
    </w:p>
    <w:p w14:paraId="0B44559C" w14:textId="77777777" w:rsidR="00757257" w:rsidRPr="0035553D" w:rsidRDefault="00757257" w:rsidP="0035553D">
      <w:pPr>
        <w:pStyle w:val="Heading4"/>
      </w:pPr>
      <w:r w:rsidRPr="0035553D">
        <w:t>CAS number</w:t>
      </w:r>
    </w:p>
    <w:p w14:paraId="5794FCA4"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6606-65-1 (2-Propenoic acid, 2-cyano-, butyl ester)</w:t>
      </w:r>
    </w:p>
    <w:p w14:paraId="09ACF78C"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7085-85-0 (2-Propenoic acid, 2-cyano-, ethyl ester)</w:t>
      </w:r>
    </w:p>
    <w:p w14:paraId="4BA172C7"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7324-02-9 (2-Propenoic acid, 2-cyano-, 2-propenyl ester)</w:t>
      </w:r>
    </w:p>
    <w:p w14:paraId="0BBD099F"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10586-17-1 (2-Propenoic acid, 2-cyano-, 1-methylethyl ester)</w:t>
      </w:r>
    </w:p>
    <w:p w14:paraId="6E26DD9E"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137-05-3 (2-Propenoic acid, 2-cyano-, methyl ester)</w:t>
      </w:r>
    </w:p>
    <w:p w14:paraId="6410F3D4"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1069-55-2 (2-Propenoic acid, 2-cyano-, 2-methylpropyl ester)</w:t>
      </w:r>
    </w:p>
    <w:p w14:paraId="7966E88D"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27279-62-5 (2-Propenoic acid, 2-cyano-, 2-methoxy-1-methylethyl ester)</w:t>
      </w:r>
    </w:p>
    <w:p w14:paraId="7BF44F92"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27816-23-5 (2-Propenoic acid, 2-cyano-, 2-methoxyethyl ester)</w:t>
      </w:r>
    </w:p>
    <w:p w14:paraId="669D9909"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21982-43-4 (2-Propenoic acid, 2-cyano-, 2-ethoxyethyl ester)</w:t>
      </w:r>
    </w:p>
    <w:p w14:paraId="4704D7FE" w14:textId="77777777" w:rsidR="00757257" w:rsidRPr="0035553D" w:rsidRDefault="00757257" w:rsidP="0035553D">
      <w:pPr>
        <w:pStyle w:val="Heading4"/>
      </w:pPr>
      <w:r w:rsidRPr="0035553D">
        <w:t>Alternative names</w:t>
      </w:r>
    </w:p>
    <w:p w14:paraId="1FDF106E" w14:textId="634718E5" w:rsidR="00757257" w:rsidRPr="00E35D79" w:rsidRDefault="00757257" w:rsidP="00E35D79">
      <w:pPr>
        <w:rPr>
          <w:rFonts w:asciiTheme="minorHAnsi" w:hAnsiTheme="minorHAnsi" w:cstheme="minorHAnsi"/>
        </w:rPr>
      </w:pPr>
      <w:r w:rsidRPr="00E35D79">
        <w:rPr>
          <w:rFonts w:asciiTheme="minorHAnsi" w:hAnsiTheme="minorHAnsi" w:cstheme="minorHAnsi"/>
        </w:rPr>
        <w:t>Butyl cyanoacrylate (</w:t>
      </w:r>
      <w:r w:rsidR="006256B3" w:rsidRPr="00E35D79">
        <w:rPr>
          <w:rFonts w:asciiTheme="minorHAnsi" w:hAnsiTheme="minorHAnsi" w:cstheme="minorHAnsi"/>
        </w:rPr>
        <w:t xml:space="preserve">CAS </w:t>
      </w:r>
      <w:r w:rsidRPr="00E35D79">
        <w:rPr>
          <w:rFonts w:asciiTheme="minorHAnsi" w:hAnsiTheme="minorHAnsi" w:cstheme="minorHAnsi"/>
        </w:rPr>
        <w:t>6606-65-1)</w:t>
      </w:r>
    </w:p>
    <w:p w14:paraId="4B8607AE" w14:textId="30694A5A" w:rsidR="00757257" w:rsidRPr="00E35D79" w:rsidRDefault="00757257" w:rsidP="00E35D79">
      <w:pPr>
        <w:rPr>
          <w:rFonts w:asciiTheme="minorHAnsi" w:hAnsiTheme="minorHAnsi" w:cstheme="minorHAnsi"/>
        </w:rPr>
      </w:pPr>
      <w:r w:rsidRPr="00E35D79">
        <w:rPr>
          <w:rFonts w:asciiTheme="minorHAnsi" w:hAnsiTheme="minorHAnsi" w:cstheme="minorHAnsi"/>
        </w:rPr>
        <w:t>Ethyl cyanoacrylate (</w:t>
      </w:r>
      <w:r w:rsidR="006256B3" w:rsidRPr="00E35D79">
        <w:rPr>
          <w:rFonts w:asciiTheme="minorHAnsi" w:hAnsiTheme="minorHAnsi" w:cstheme="minorHAnsi"/>
        </w:rPr>
        <w:t xml:space="preserve">CAS </w:t>
      </w:r>
      <w:r w:rsidRPr="00E35D79">
        <w:rPr>
          <w:rFonts w:asciiTheme="minorHAnsi" w:hAnsiTheme="minorHAnsi" w:cstheme="minorHAnsi"/>
        </w:rPr>
        <w:t>7085-85-0)</w:t>
      </w:r>
    </w:p>
    <w:p w14:paraId="6FE16F22" w14:textId="4FB57D99" w:rsidR="00757257" w:rsidRPr="00E35D79" w:rsidRDefault="00757257" w:rsidP="00E35D79">
      <w:pPr>
        <w:rPr>
          <w:rFonts w:asciiTheme="minorHAnsi" w:hAnsiTheme="minorHAnsi" w:cstheme="minorHAnsi"/>
        </w:rPr>
      </w:pPr>
      <w:r w:rsidRPr="00E35D79">
        <w:rPr>
          <w:rFonts w:asciiTheme="minorHAnsi" w:hAnsiTheme="minorHAnsi" w:cstheme="minorHAnsi"/>
        </w:rPr>
        <w:t>Allyl 2-cyanoacrylate (</w:t>
      </w:r>
      <w:r w:rsidR="006256B3" w:rsidRPr="00E35D79">
        <w:rPr>
          <w:rFonts w:asciiTheme="minorHAnsi" w:hAnsiTheme="minorHAnsi" w:cstheme="minorHAnsi"/>
        </w:rPr>
        <w:t xml:space="preserve">CAS </w:t>
      </w:r>
      <w:r w:rsidRPr="00E35D79">
        <w:rPr>
          <w:rFonts w:asciiTheme="minorHAnsi" w:hAnsiTheme="minorHAnsi" w:cstheme="minorHAnsi"/>
        </w:rPr>
        <w:t>7324-02-9)</w:t>
      </w:r>
    </w:p>
    <w:p w14:paraId="36714BC9" w14:textId="1CECEB38" w:rsidR="00757257" w:rsidRPr="00E35D79" w:rsidRDefault="00757257" w:rsidP="00E35D79">
      <w:pPr>
        <w:rPr>
          <w:rFonts w:asciiTheme="minorHAnsi" w:hAnsiTheme="minorHAnsi" w:cstheme="minorHAnsi"/>
        </w:rPr>
      </w:pPr>
      <w:r w:rsidRPr="00E35D79">
        <w:rPr>
          <w:rFonts w:asciiTheme="minorHAnsi" w:hAnsiTheme="minorHAnsi" w:cstheme="minorHAnsi"/>
        </w:rPr>
        <w:t>Isopropyl cyanoacrylate (</w:t>
      </w:r>
      <w:r w:rsidR="006256B3" w:rsidRPr="00E35D79">
        <w:rPr>
          <w:rFonts w:asciiTheme="minorHAnsi" w:hAnsiTheme="minorHAnsi" w:cstheme="minorHAnsi"/>
        </w:rPr>
        <w:t xml:space="preserve">CAS </w:t>
      </w:r>
      <w:r w:rsidRPr="00E35D79">
        <w:rPr>
          <w:rFonts w:asciiTheme="minorHAnsi" w:hAnsiTheme="minorHAnsi" w:cstheme="minorHAnsi"/>
        </w:rPr>
        <w:t>10586-17-1)</w:t>
      </w:r>
    </w:p>
    <w:p w14:paraId="33752F2B" w14:textId="09446223" w:rsidR="00757257" w:rsidRPr="00E35D79" w:rsidRDefault="00757257" w:rsidP="00E35D79">
      <w:pPr>
        <w:rPr>
          <w:rFonts w:asciiTheme="minorHAnsi" w:hAnsiTheme="minorHAnsi" w:cstheme="minorHAnsi"/>
        </w:rPr>
      </w:pPr>
      <w:r w:rsidRPr="00E35D79">
        <w:rPr>
          <w:rFonts w:asciiTheme="minorHAnsi" w:hAnsiTheme="minorHAnsi" w:cstheme="minorHAnsi"/>
        </w:rPr>
        <w:t>Methyl cyanoacrylate, Methyl 2-cyanoacrylate, mecrylate (</w:t>
      </w:r>
      <w:r w:rsidR="006256B3" w:rsidRPr="00E35D79">
        <w:rPr>
          <w:rFonts w:asciiTheme="minorHAnsi" w:hAnsiTheme="minorHAnsi" w:cstheme="minorHAnsi"/>
        </w:rPr>
        <w:t xml:space="preserve">CAS </w:t>
      </w:r>
      <w:r w:rsidRPr="00E35D79">
        <w:rPr>
          <w:rFonts w:asciiTheme="minorHAnsi" w:hAnsiTheme="minorHAnsi" w:cstheme="minorHAnsi"/>
        </w:rPr>
        <w:t>137-05-3)</w:t>
      </w:r>
    </w:p>
    <w:p w14:paraId="319F5399" w14:textId="7B6AA727" w:rsidR="00757257" w:rsidRPr="00E35D79" w:rsidRDefault="00757257" w:rsidP="00E35D79">
      <w:pPr>
        <w:rPr>
          <w:rFonts w:asciiTheme="minorHAnsi" w:hAnsiTheme="minorHAnsi" w:cstheme="minorHAnsi"/>
        </w:rPr>
      </w:pPr>
      <w:r w:rsidRPr="00E35D79">
        <w:rPr>
          <w:rFonts w:asciiTheme="minorHAnsi" w:hAnsiTheme="minorHAnsi" w:cstheme="minorHAnsi"/>
        </w:rPr>
        <w:t>Bucrilate (</w:t>
      </w:r>
      <w:r w:rsidR="006256B3" w:rsidRPr="00E35D79">
        <w:rPr>
          <w:rFonts w:asciiTheme="minorHAnsi" w:hAnsiTheme="minorHAnsi" w:cstheme="minorHAnsi"/>
        </w:rPr>
        <w:t xml:space="preserve">CAS </w:t>
      </w:r>
      <w:r w:rsidRPr="00E35D79">
        <w:rPr>
          <w:rFonts w:asciiTheme="minorHAnsi" w:hAnsiTheme="minorHAnsi" w:cstheme="minorHAnsi"/>
        </w:rPr>
        <w:t>1069-55-2)</w:t>
      </w:r>
    </w:p>
    <w:p w14:paraId="4856D94B" w14:textId="76822DEB" w:rsidR="00757257" w:rsidRPr="00E35D79" w:rsidRDefault="00757257" w:rsidP="00E35D79">
      <w:pPr>
        <w:rPr>
          <w:rFonts w:asciiTheme="minorHAnsi" w:hAnsiTheme="minorHAnsi" w:cstheme="minorHAnsi"/>
        </w:rPr>
      </w:pPr>
      <w:r w:rsidRPr="00E35D79">
        <w:rPr>
          <w:rFonts w:asciiTheme="minorHAnsi" w:hAnsiTheme="minorHAnsi" w:cstheme="minorHAnsi"/>
        </w:rPr>
        <w:t>2-Propenoic acid (</w:t>
      </w:r>
      <w:r w:rsidR="006256B3" w:rsidRPr="00E35D79">
        <w:rPr>
          <w:rFonts w:asciiTheme="minorHAnsi" w:hAnsiTheme="minorHAnsi" w:cstheme="minorHAnsi"/>
        </w:rPr>
        <w:t xml:space="preserve">CAS </w:t>
      </w:r>
      <w:r w:rsidRPr="00E35D79">
        <w:rPr>
          <w:rFonts w:asciiTheme="minorHAnsi" w:hAnsiTheme="minorHAnsi" w:cstheme="minorHAnsi"/>
        </w:rPr>
        <w:t>27279-62-5)</w:t>
      </w:r>
    </w:p>
    <w:p w14:paraId="46DADB60" w14:textId="5D3F54BC" w:rsidR="00757257" w:rsidRPr="00E35D79" w:rsidRDefault="00757257" w:rsidP="00E35D79">
      <w:pPr>
        <w:rPr>
          <w:rFonts w:asciiTheme="minorHAnsi" w:hAnsiTheme="minorHAnsi" w:cstheme="minorHAnsi"/>
        </w:rPr>
      </w:pPr>
      <w:r w:rsidRPr="00E35D79">
        <w:rPr>
          <w:rFonts w:asciiTheme="minorHAnsi" w:hAnsiTheme="minorHAnsi" w:cstheme="minorHAnsi"/>
        </w:rPr>
        <w:t>Methoxyethyl cyanoacrylate (</w:t>
      </w:r>
      <w:r w:rsidR="006256B3" w:rsidRPr="00E35D79">
        <w:rPr>
          <w:rFonts w:asciiTheme="minorHAnsi" w:hAnsiTheme="minorHAnsi" w:cstheme="minorHAnsi"/>
        </w:rPr>
        <w:t xml:space="preserve">CAS </w:t>
      </w:r>
      <w:r w:rsidRPr="00E35D79">
        <w:rPr>
          <w:rFonts w:asciiTheme="minorHAnsi" w:hAnsiTheme="minorHAnsi" w:cstheme="minorHAnsi"/>
        </w:rPr>
        <w:t>27816-23-5)</w:t>
      </w:r>
    </w:p>
    <w:p w14:paraId="551ED681" w14:textId="331BB814" w:rsidR="00757257" w:rsidRPr="00E35D79" w:rsidRDefault="00757257" w:rsidP="00E35D79">
      <w:pPr>
        <w:rPr>
          <w:rFonts w:asciiTheme="minorHAnsi" w:hAnsiTheme="minorHAnsi" w:cstheme="minorHAnsi"/>
        </w:rPr>
      </w:pPr>
      <w:r w:rsidRPr="00E35D79">
        <w:rPr>
          <w:rFonts w:asciiTheme="minorHAnsi" w:hAnsiTheme="minorHAnsi" w:cstheme="minorHAnsi"/>
        </w:rPr>
        <w:t>Ethoxyethyl cyanoacrylate (</w:t>
      </w:r>
      <w:r w:rsidR="006256B3" w:rsidRPr="00E35D79">
        <w:rPr>
          <w:rFonts w:asciiTheme="minorHAnsi" w:hAnsiTheme="minorHAnsi" w:cstheme="minorHAnsi"/>
        </w:rPr>
        <w:t xml:space="preserve">CAS </w:t>
      </w:r>
      <w:r w:rsidRPr="00E35D79">
        <w:rPr>
          <w:rFonts w:asciiTheme="minorHAnsi" w:hAnsiTheme="minorHAnsi" w:cstheme="minorHAnsi"/>
        </w:rPr>
        <w:t>21982-43-4)</w:t>
      </w:r>
    </w:p>
    <w:p w14:paraId="4E793299" w14:textId="77777777" w:rsidR="0013481F" w:rsidRDefault="0013481F">
      <w:pPr>
        <w:rPr>
          <w:rFonts w:eastAsia="Cambria" w:cs="Times New Roman"/>
          <w:bCs/>
          <w:color w:val="001871"/>
          <w:sz w:val="28"/>
          <w:szCs w:val="22"/>
        </w:rPr>
      </w:pPr>
      <w:r>
        <w:br w:type="page"/>
      </w:r>
    </w:p>
    <w:p w14:paraId="1B17EA88" w14:textId="537BC674" w:rsidR="00757257" w:rsidRPr="0035553D" w:rsidRDefault="00757257" w:rsidP="0035553D">
      <w:pPr>
        <w:pStyle w:val="Heading4"/>
      </w:pPr>
      <w:r w:rsidRPr="0035553D">
        <w:lastRenderedPageBreak/>
        <w:t>Proposed scheduling</w:t>
      </w:r>
    </w:p>
    <w:p w14:paraId="7F8D2ACF" w14:textId="16F5D4DE" w:rsidR="00757257" w:rsidRPr="00E35D79" w:rsidRDefault="0055516E" w:rsidP="00E35D79">
      <w:pPr>
        <w:rPr>
          <w:rFonts w:asciiTheme="minorHAnsi" w:hAnsiTheme="minorHAnsi" w:cstheme="minorHAnsi"/>
        </w:rPr>
      </w:pPr>
      <w:r w:rsidRPr="00E35D79">
        <w:rPr>
          <w:rFonts w:asciiTheme="minorHAnsi" w:hAnsiTheme="minorHAnsi" w:cstheme="minorHAnsi"/>
        </w:rPr>
        <w:t xml:space="preserve">Cyanoacrylate esters are currently included in Schedule 5 with some exceptions. </w:t>
      </w:r>
      <w:r w:rsidR="00757257" w:rsidRPr="00E35D79">
        <w:rPr>
          <w:rFonts w:asciiTheme="minorHAnsi" w:hAnsiTheme="minorHAnsi" w:cstheme="minorHAnsi"/>
        </w:rPr>
        <w:t xml:space="preserve">The proposed amendments to the </w:t>
      </w:r>
      <w:r w:rsidRPr="00E35D79">
        <w:rPr>
          <w:rFonts w:asciiTheme="minorHAnsi" w:hAnsiTheme="minorHAnsi" w:cstheme="minorHAnsi"/>
        </w:rPr>
        <w:t xml:space="preserve">current </w:t>
      </w:r>
      <w:r w:rsidR="00757257" w:rsidRPr="00E35D79">
        <w:rPr>
          <w:rFonts w:asciiTheme="minorHAnsi" w:hAnsiTheme="minorHAnsi" w:cstheme="minorHAnsi"/>
        </w:rPr>
        <w:t>Poisons Standard are:</w:t>
      </w:r>
      <w:r w:rsidR="00757257" w:rsidRPr="005A14E2">
        <w:rPr>
          <w:rFonts w:asciiTheme="minorHAnsi" w:hAnsiTheme="minorHAnsi" w:cstheme="minorHAnsi"/>
          <w:iCs/>
          <w:vertAlign w:val="superscript"/>
        </w:rPr>
        <w:footnoteReference w:id="10"/>
      </w:r>
    </w:p>
    <w:p w14:paraId="65B04B5F" w14:textId="77777777" w:rsidR="00757257" w:rsidRPr="0035553D" w:rsidRDefault="00757257" w:rsidP="005A14E2">
      <w:pPr>
        <w:ind w:left="284"/>
        <w:rPr>
          <w:rFonts w:asciiTheme="minorHAnsi" w:hAnsiTheme="minorHAnsi" w:cstheme="minorHAnsi"/>
          <w:b/>
          <w:bCs/>
        </w:rPr>
      </w:pPr>
      <w:r w:rsidRPr="0035553D">
        <w:rPr>
          <w:rFonts w:asciiTheme="minorHAnsi" w:hAnsiTheme="minorHAnsi" w:cstheme="minorHAnsi"/>
          <w:b/>
          <w:bCs/>
        </w:rPr>
        <w:t>Schedule 5 – Amend Entry</w:t>
      </w:r>
    </w:p>
    <w:p w14:paraId="3748653D" w14:textId="77777777" w:rsidR="00757257" w:rsidRPr="00E35D79" w:rsidRDefault="00757257" w:rsidP="00B33EC9">
      <w:pPr>
        <w:ind w:left="567"/>
        <w:rPr>
          <w:rFonts w:asciiTheme="minorHAnsi" w:hAnsiTheme="minorHAnsi" w:cstheme="minorHAnsi"/>
        </w:rPr>
      </w:pPr>
      <w:r w:rsidRPr="00E35D79">
        <w:rPr>
          <w:rFonts w:asciiTheme="minorHAnsi" w:hAnsiTheme="minorHAnsi" w:cstheme="minorHAnsi"/>
        </w:rPr>
        <w:t>CYANOACRYLATE ESTERS in contact adhesives except:</w:t>
      </w:r>
    </w:p>
    <w:p w14:paraId="6F6093F3" w14:textId="2729E671" w:rsidR="00757257" w:rsidRPr="00525067" w:rsidRDefault="00757257" w:rsidP="00B33EC9">
      <w:pPr>
        <w:pStyle w:val="ListParagraph"/>
        <w:numPr>
          <w:ilvl w:val="0"/>
          <w:numId w:val="26"/>
        </w:numPr>
        <w:ind w:left="1276" w:hanging="425"/>
      </w:pPr>
      <w:r w:rsidRPr="00525067">
        <w:t>when included in Schedule 7; or</w:t>
      </w:r>
    </w:p>
    <w:p w14:paraId="6718B35B" w14:textId="11FE6F4E" w:rsidR="00757257" w:rsidRPr="005A14E2" w:rsidRDefault="00757257" w:rsidP="00B33EC9">
      <w:pPr>
        <w:pStyle w:val="ListParagraph"/>
        <w:numPr>
          <w:ilvl w:val="0"/>
          <w:numId w:val="26"/>
        </w:numPr>
        <w:ind w:left="1276" w:hanging="425"/>
      </w:pPr>
      <w:r w:rsidRPr="005A14E2">
        <w:t>when labelled with the warning:</w:t>
      </w:r>
    </w:p>
    <w:p w14:paraId="39A5A16C" w14:textId="77777777" w:rsidR="00757257" w:rsidRPr="00E35D79" w:rsidRDefault="00757257" w:rsidP="0093340A">
      <w:pPr>
        <w:ind w:left="1843"/>
        <w:rPr>
          <w:rFonts w:asciiTheme="minorHAnsi" w:hAnsiTheme="minorHAnsi" w:cstheme="minorHAnsi"/>
        </w:rPr>
      </w:pPr>
      <w:r w:rsidRPr="00E35D79">
        <w:rPr>
          <w:rFonts w:asciiTheme="minorHAnsi" w:hAnsiTheme="minorHAnsi" w:cstheme="minorHAnsi"/>
        </w:rPr>
        <w:t xml:space="preserve">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w:t>
      </w:r>
      <w:r w:rsidRPr="00525067">
        <w:rPr>
          <w:rFonts w:asciiTheme="minorHAnsi" w:eastAsia="Cambria" w:hAnsiTheme="minorHAnsi" w:cstheme="minorHAnsi"/>
          <w:color w:val="00B050"/>
          <w:szCs w:val="21"/>
          <w:u w:val="single"/>
          <w:lang w:eastAsia="en-AU"/>
        </w:rPr>
        <w:t>and</w:t>
      </w:r>
    </w:p>
    <w:p w14:paraId="15FA7F38" w14:textId="46B36ECB" w:rsidR="006256B3" w:rsidRPr="00E35D79" w:rsidRDefault="00757257" w:rsidP="0093340A">
      <w:pPr>
        <w:ind w:left="1843"/>
        <w:rPr>
          <w:rFonts w:asciiTheme="minorHAnsi" w:hAnsiTheme="minorHAnsi" w:cstheme="minorHAnsi"/>
        </w:rPr>
      </w:pPr>
      <w:r w:rsidRPr="00525067">
        <w:rPr>
          <w:rFonts w:asciiTheme="minorHAnsi" w:eastAsia="Cambria" w:hAnsiTheme="minorHAnsi" w:cstheme="minorHAnsi"/>
          <w:color w:val="00B050"/>
          <w:szCs w:val="21"/>
          <w:u w:val="single"/>
          <w:lang w:eastAsia="en-AU"/>
        </w:rPr>
        <w:t>WARNING – This product contains ingredients which may cause skin sensitisation to certain individuals. A preliminary test according to the accompanying directions should be made before use</w:t>
      </w:r>
      <w:r w:rsidRPr="00E35D79">
        <w:rPr>
          <w:rFonts w:asciiTheme="minorHAnsi" w:hAnsiTheme="minorHAnsi" w:cstheme="minorHAnsi"/>
        </w:rPr>
        <w:t>;</w:t>
      </w:r>
    </w:p>
    <w:p w14:paraId="6A22E361" w14:textId="07AC8C01" w:rsidR="00757257" w:rsidRPr="00E35D79" w:rsidRDefault="00757257" w:rsidP="00756329">
      <w:pPr>
        <w:ind w:left="1276"/>
        <w:rPr>
          <w:rFonts w:asciiTheme="minorHAnsi" w:hAnsiTheme="minorHAnsi" w:cstheme="minorHAnsi"/>
        </w:rPr>
      </w:pPr>
      <w:r w:rsidRPr="00E35D79">
        <w:rPr>
          <w:rFonts w:asciiTheme="minorHAnsi" w:hAnsiTheme="minorHAnsi" w:cstheme="minorHAnsi"/>
        </w:rPr>
        <w:t>or</w:t>
      </w:r>
    </w:p>
    <w:p w14:paraId="5779EEFB" w14:textId="2CC74F1B" w:rsidR="00757257" w:rsidRPr="00F26DFC" w:rsidRDefault="00757257" w:rsidP="00B33EC9">
      <w:pPr>
        <w:pStyle w:val="ListParagraph"/>
        <w:numPr>
          <w:ilvl w:val="0"/>
          <w:numId w:val="26"/>
        </w:numPr>
        <w:ind w:left="1276" w:hanging="425"/>
      </w:pPr>
      <w:r w:rsidRPr="00F26DFC">
        <w:t>when packed in sealed measure packs each containing 0.5 g or less of cyanoacrylate esters:</w:t>
      </w:r>
    </w:p>
    <w:p w14:paraId="7BD1FEDA" w14:textId="72E40D1C" w:rsidR="00757257" w:rsidRPr="006243DB" w:rsidRDefault="00757257" w:rsidP="0093340A">
      <w:pPr>
        <w:pStyle w:val="ListParagraph"/>
        <w:numPr>
          <w:ilvl w:val="0"/>
          <w:numId w:val="27"/>
        </w:numPr>
        <w:ind w:left="1843" w:hanging="425"/>
      </w:pPr>
      <w:r w:rsidRPr="006243DB">
        <w:t>labelled with the approved name or trade name of the poison, the quantity and the warning:</w:t>
      </w:r>
    </w:p>
    <w:p w14:paraId="777D3FAD" w14:textId="6E4A96A1" w:rsidR="003A017E" w:rsidRDefault="00757257" w:rsidP="00383371">
      <w:pPr>
        <w:ind w:left="2410"/>
        <w:rPr>
          <w:rFonts w:eastAsia="Cambria" w:cs="Times New Roman"/>
          <w:color w:val="000000"/>
          <w:szCs w:val="21"/>
          <w:lang w:eastAsia="en-AU"/>
        </w:rPr>
      </w:pPr>
      <w:r w:rsidRPr="00E35D79">
        <w:rPr>
          <w:rFonts w:asciiTheme="minorHAnsi" w:hAnsiTheme="minorHAnsi" w:cstheme="minorHAnsi"/>
        </w:rPr>
        <w:t xml:space="preserve">Can cause eye injury. Instantly bonds skin; </w:t>
      </w:r>
      <w:r w:rsidRPr="00525067">
        <w:rPr>
          <w:rFonts w:asciiTheme="minorHAnsi" w:eastAsia="Cambria" w:hAnsiTheme="minorHAnsi" w:cstheme="minorHAnsi"/>
          <w:color w:val="00B050"/>
          <w:szCs w:val="21"/>
          <w:u w:val="single"/>
          <w:lang w:eastAsia="en-AU"/>
        </w:rPr>
        <w:t>and</w:t>
      </w:r>
    </w:p>
    <w:p w14:paraId="04958691" w14:textId="6BF6D604" w:rsidR="00757257" w:rsidRPr="00397BA8" w:rsidRDefault="00757257" w:rsidP="0093340A">
      <w:pPr>
        <w:pStyle w:val="ListParagraph"/>
        <w:numPr>
          <w:ilvl w:val="0"/>
          <w:numId w:val="27"/>
        </w:numPr>
        <w:ind w:left="1843" w:hanging="403"/>
      </w:pPr>
      <w:r w:rsidRPr="00397BA8">
        <w:t>enclosed in a primary pack labelled with the warning:</w:t>
      </w:r>
    </w:p>
    <w:p w14:paraId="77581CF9" w14:textId="77777777" w:rsidR="00757257" w:rsidRPr="00E35D79" w:rsidRDefault="00757257" w:rsidP="00155C84">
      <w:pPr>
        <w:ind w:left="2410"/>
        <w:rPr>
          <w:rFonts w:asciiTheme="minorHAnsi" w:hAnsiTheme="minorHAnsi" w:cstheme="minorHAnsi"/>
        </w:rPr>
      </w:pPr>
      <w:r w:rsidRPr="00E35D79">
        <w:rPr>
          <w:rFonts w:asciiTheme="minorHAnsi" w:hAnsiTheme="minorHAnsi" w:cstheme="minorHAnsi"/>
        </w:rPr>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and</w:t>
      </w:r>
    </w:p>
    <w:p w14:paraId="17EAFF5F" w14:textId="1FC76E04" w:rsidR="00757257" w:rsidRPr="00E35D79" w:rsidRDefault="00757257" w:rsidP="00155C84">
      <w:pPr>
        <w:ind w:left="2410"/>
        <w:rPr>
          <w:rFonts w:asciiTheme="minorHAnsi" w:hAnsiTheme="minorHAnsi" w:cstheme="minorHAnsi"/>
        </w:rPr>
      </w:pPr>
      <w:r w:rsidRPr="00525067">
        <w:rPr>
          <w:rFonts w:asciiTheme="minorHAnsi" w:eastAsia="Cambria" w:hAnsiTheme="minorHAnsi" w:cstheme="minorHAnsi"/>
          <w:color w:val="00B050"/>
          <w:szCs w:val="21"/>
          <w:u w:val="single"/>
          <w:lang w:eastAsia="en-AU"/>
        </w:rPr>
        <w:t>WARNING – This product contains ingredients which may cause skin sensitisation to certain individuals. A preliminary test according to the accompanying directions should be made before use</w:t>
      </w:r>
      <w:r w:rsidR="00525067">
        <w:rPr>
          <w:rFonts w:asciiTheme="minorHAnsi" w:eastAsia="Cambria" w:hAnsiTheme="minorHAnsi" w:cstheme="minorHAnsi"/>
          <w:color w:val="00B050"/>
          <w:szCs w:val="21"/>
          <w:u w:val="single"/>
          <w:lang w:eastAsia="en-AU"/>
        </w:rPr>
        <w:t>.</w:t>
      </w:r>
    </w:p>
    <w:p w14:paraId="2D539277" w14:textId="77777777" w:rsidR="00757257" w:rsidRPr="005A14E2" w:rsidRDefault="00757257" w:rsidP="005A14E2">
      <w:pPr>
        <w:ind w:left="284"/>
        <w:rPr>
          <w:rFonts w:asciiTheme="minorHAnsi" w:hAnsiTheme="minorHAnsi" w:cstheme="minorHAnsi"/>
          <w:b/>
          <w:bCs/>
        </w:rPr>
      </w:pPr>
      <w:r w:rsidRPr="005A14E2">
        <w:rPr>
          <w:rFonts w:asciiTheme="minorHAnsi" w:hAnsiTheme="minorHAnsi" w:cstheme="minorHAnsi"/>
          <w:b/>
          <w:bCs/>
        </w:rPr>
        <w:t>Schedule 7 – Create Entry</w:t>
      </w:r>
    </w:p>
    <w:p w14:paraId="7A26A67C" w14:textId="1A0547AB" w:rsidR="00757257" w:rsidRPr="00E35D79" w:rsidRDefault="00757257" w:rsidP="0093340A">
      <w:pPr>
        <w:ind w:left="567"/>
        <w:rPr>
          <w:rFonts w:asciiTheme="minorHAnsi" w:hAnsiTheme="minorHAnsi" w:cstheme="minorHAnsi"/>
        </w:rPr>
      </w:pPr>
      <w:r w:rsidRPr="00525067">
        <w:rPr>
          <w:rFonts w:asciiTheme="minorHAnsi" w:eastAsia="Cambria" w:hAnsiTheme="minorHAnsi" w:cstheme="minorHAnsi"/>
          <w:color w:val="00B050"/>
          <w:szCs w:val="21"/>
          <w:u w:val="single"/>
          <w:lang w:eastAsia="en-AU"/>
        </w:rPr>
        <w:t>CYANOACRYLATE ESTERS when used in eyelash adhesives.</w:t>
      </w:r>
    </w:p>
    <w:p w14:paraId="37CDD949" w14:textId="76236B3B" w:rsidR="00757257" w:rsidRPr="00525067" w:rsidRDefault="00757257" w:rsidP="00525067">
      <w:pPr>
        <w:ind w:firstLine="284"/>
        <w:rPr>
          <w:rFonts w:asciiTheme="minorHAnsi" w:hAnsiTheme="minorHAnsi" w:cstheme="minorHAnsi"/>
          <w:b/>
          <w:bCs/>
        </w:rPr>
      </w:pPr>
      <w:r w:rsidRPr="00525067">
        <w:rPr>
          <w:rFonts w:asciiTheme="minorHAnsi" w:hAnsiTheme="minorHAnsi" w:cstheme="minorHAnsi"/>
          <w:b/>
          <w:bCs/>
        </w:rPr>
        <w:t>Index – Amend Entry</w:t>
      </w:r>
    </w:p>
    <w:p w14:paraId="6F159145" w14:textId="77777777" w:rsidR="00757257" w:rsidRPr="00E35D79" w:rsidRDefault="00757257" w:rsidP="0093340A">
      <w:pPr>
        <w:ind w:left="567"/>
        <w:rPr>
          <w:rFonts w:asciiTheme="minorHAnsi" w:hAnsiTheme="minorHAnsi" w:cstheme="minorHAnsi"/>
        </w:rPr>
      </w:pPr>
      <w:r w:rsidRPr="00E35D79">
        <w:rPr>
          <w:rFonts w:asciiTheme="minorHAnsi" w:hAnsiTheme="minorHAnsi" w:cstheme="minorHAnsi"/>
        </w:rPr>
        <w:t>CYANOACRYLATE ESTERS</w:t>
      </w:r>
    </w:p>
    <w:p w14:paraId="2972F669" w14:textId="77777777" w:rsidR="00757257" w:rsidRPr="00E35D79" w:rsidRDefault="00757257" w:rsidP="0093340A">
      <w:pPr>
        <w:ind w:left="567"/>
        <w:rPr>
          <w:rFonts w:asciiTheme="minorHAnsi" w:hAnsiTheme="minorHAnsi" w:cstheme="minorHAnsi"/>
        </w:rPr>
      </w:pPr>
      <w:r w:rsidRPr="00E35D79">
        <w:rPr>
          <w:rFonts w:asciiTheme="minorHAnsi" w:hAnsiTheme="minorHAnsi" w:cstheme="minorHAnsi"/>
        </w:rPr>
        <w:t>Schedule 5</w:t>
      </w:r>
    </w:p>
    <w:p w14:paraId="3A63D4D0" w14:textId="77777777" w:rsidR="00757257" w:rsidRPr="00525067" w:rsidRDefault="00757257" w:rsidP="0093340A">
      <w:pPr>
        <w:ind w:left="567"/>
        <w:rPr>
          <w:rFonts w:asciiTheme="minorHAnsi" w:eastAsia="Cambria" w:hAnsiTheme="minorHAnsi" w:cstheme="minorHAnsi"/>
          <w:color w:val="00B050"/>
          <w:szCs w:val="21"/>
          <w:u w:val="single"/>
          <w:lang w:eastAsia="en-AU"/>
        </w:rPr>
      </w:pPr>
      <w:r w:rsidRPr="00525067">
        <w:rPr>
          <w:rFonts w:asciiTheme="minorHAnsi" w:eastAsia="Cambria" w:hAnsiTheme="minorHAnsi" w:cstheme="minorHAnsi"/>
          <w:color w:val="00B050"/>
          <w:szCs w:val="21"/>
          <w:u w:val="single"/>
          <w:lang w:eastAsia="en-AU"/>
        </w:rPr>
        <w:t>Schedule 7</w:t>
      </w:r>
    </w:p>
    <w:p w14:paraId="29DB6360" w14:textId="77777777" w:rsidR="0013481F" w:rsidRDefault="0013481F">
      <w:pPr>
        <w:rPr>
          <w:rFonts w:eastAsia="Cambria" w:cs="Times New Roman"/>
          <w:bCs/>
          <w:color w:val="001871"/>
          <w:sz w:val="28"/>
          <w:szCs w:val="22"/>
        </w:rPr>
      </w:pPr>
      <w:r>
        <w:br w:type="page"/>
      </w:r>
    </w:p>
    <w:p w14:paraId="62A54FE4" w14:textId="1A96E4FC" w:rsidR="007E6925" w:rsidRPr="0035553D" w:rsidRDefault="00757257" w:rsidP="0035553D">
      <w:pPr>
        <w:pStyle w:val="Heading4"/>
      </w:pPr>
      <w:r w:rsidRPr="0035553D">
        <w:lastRenderedPageBreak/>
        <w:t>Background</w:t>
      </w:r>
    </w:p>
    <w:p w14:paraId="3C5C9D80" w14:textId="585FC0AA" w:rsidR="00525C54" w:rsidRDefault="000363B6" w:rsidP="00E35D79">
      <w:pPr>
        <w:rPr>
          <w:rFonts w:asciiTheme="minorHAnsi" w:hAnsiTheme="minorHAnsi" w:cstheme="minorHAnsi"/>
        </w:rPr>
      </w:pPr>
      <w:r w:rsidRPr="00E35D79">
        <w:rPr>
          <w:rFonts w:asciiTheme="minorHAnsi" w:hAnsiTheme="minorHAnsi" w:cstheme="minorHAnsi"/>
        </w:rPr>
        <w:t>Cyanoacrylates are skin sensitisers and can cause eye irritation.</w:t>
      </w:r>
      <w:r>
        <w:rPr>
          <w:rFonts w:asciiTheme="minorHAnsi" w:hAnsiTheme="minorHAnsi" w:cstheme="minorHAnsi"/>
        </w:rPr>
        <w:t xml:space="preserve"> </w:t>
      </w:r>
      <w:r w:rsidR="00785F95" w:rsidRPr="00060411">
        <w:rPr>
          <w:rFonts w:asciiTheme="minorHAnsi" w:hAnsiTheme="minorHAnsi" w:cstheme="minorHAnsi"/>
        </w:rPr>
        <w:t>Cyanoacrylates are</w:t>
      </w:r>
      <w:r w:rsidR="00552308" w:rsidRPr="00060411">
        <w:rPr>
          <w:rFonts w:asciiTheme="minorHAnsi" w:hAnsiTheme="minorHAnsi" w:cstheme="minorHAnsi"/>
        </w:rPr>
        <w:t xml:space="preserve"> used in</w:t>
      </w:r>
      <w:r w:rsidR="00785F95" w:rsidRPr="00060411">
        <w:rPr>
          <w:rFonts w:asciiTheme="minorHAnsi" w:hAnsiTheme="minorHAnsi" w:cstheme="minorHAnsi"/>
        </w:rPr>
        <w:t xml:space="preserve"> fast setting adhesives </w:t>
      </w:r>
      <w:r w:rsidR="00552308" w:rsidRPr="00060411">
        <w:rPr>
          <w:rFonts w:asciiTheme="minorHAnsi" w:hAnsiTheme="minorHAnsi" w:cstheme="minorHAnsi"/>
        </w:rPr>
        <w:t>for</w:t>
      </w:r>
      <w:r w:rsidR="00785F95" w:rsidRPr="00060411">
        <w:rPr>
          <w:rFonts w:asciiTheme="minorHAnsi" w:hAnsiTheme="minorHAnsi" w:cstheme="minorHAnsi"/>
        </w:rPr>
        <w:t xml:space="preserve"> cosmetic, domestic, commercial and site-limited applications. They are commonly used in eyelash adhesives and nail enhancement products for professional and consumer use</w:t>
      </w:r>
      <w:r w:rsidR="00552308" w:rsidRPr="00060411">
        <w:rPr>
          <w:rFonts w:asciiTheme="minorHAnsi" w:hAnsiTheme="minorHAnsi" w:cstheme="minorHAnsi"/>
        </w:rPr>
        <w:t>,</w:t>
      </w:r>
      <w:r w:rsidR="00785F95" w:rsidRPr="00060411">
        <w:rPr>
          <w:rFonts w:asciiTheme="minorHAnsi" w:hAnsiTheme="minorHAnsi" w:cstheme="minorHAnsi"/>
        </w:rPr>
        <w:t xml:space="preserve"> with reported concentrations </w:t>
      </w:r>
      <w:r w:rsidR="00552308" w:rsidRPr="00060411">
        <w:rPr>
          <w:rFonts w:asciiTheme="minorHAnsi" w:hAnsiTheme="minorHAnsi" w:cstheme="minorHAnsi"/>
        </w:rPr>
        <w:t xml:space="preserve">of </w:t>
      </w:r>
      <w:r w:rsidR="00785F95" w:rsidRPr="00060411">
        <w:rPr>
          <w:rFonts w:asciiTheme="minorHAnsi" w:hAnsiTheme="minorHAnsi" w:cstheme="minorHAnsi"/>
        </w:rPr>
        <w:t>typically 85−100%.</w:t>
      </w:r>
    </w:p>
    <w:p w14:paraId="3C081738" w14:textId="59FF90A3" w:rsidR="00757257" w:rsidRDefault="00537123" w:rsidP="00E35D79">
      <w:pPr>
        <w:rPr>
          <w:rFonts w:asciiTheme="minorHAnsi" w:hAnsiTheme="minorHAnsi" w:cstheme="minorHAnsi"/>
        </w:rPr>
      </w:pPr>
      <w:r w:rsidRPr="00060411">
        <w:rPr>
          <w:rFonts w:asciiTheme="minorHAnsi" w:hAnsiTheme="minorHAnsi" w:cstheme="minorHAnsi"/>
        </w:rPr>
        <w:t>T</w:t>
      </w:r>
      <w:r w:rsidR="00785F95" w:rsidRPr="00060411">
        <w:rPr>
          <w:rFonts w:asciiTheme="minorHAnsi" w:hAnsiTheme="minorHAnsi" w:cstheme="minorHAnsi"/>
        </w:rPr>
        <w:t xml:space="preserve">here is </w:t>
      </w:r>
      <w:r w:rsidR="00552308" w:rsidRPr="00060411">
        <w:rPr>
          <w:rFonts w:asciiTheme="minorHAnsi" w:hAnsiTheme="minorHAnsi" w:cstheme="minorHAnsi"/>
        </w:rPr>
        <w:t xml:space="preserve">also </w:t>
      </w:r>
      <w:r w:rsidR="00785F95" w:rsidRPr="00060411">
        <w:rPr>
          <w:rFonts w:asciiTheme="minorHAnsi" w:hAnsiTheme="minorHAnsi" w:cstheme="minorHAnsi"/>
        </w:rPr>
        <w:t xml:space="preserve">widespread consumer and professional use of adhesives containing cyanoacrylates (60-100%), often referred to as superglue. These substances are also used as adhesives and have site-limited uses in polymerisation and manufacturing processes. </w:t>
      </w:r>
      <w:r w:rsidRPr="00060411">
        <w:rPr>
          <w:rFonts w:asciiTheme="minorHAnsi" w:hAnsiTheme="minorHAnsi" w:cstheme="minorHAnsi"/>
        </w:rPr>
        <w:t>Finally,</w:t>
      </w:r>
      <w:r w:rsidR="00785F95" w:rsidRPr="00060411">
        <w:rPr>
          <w:rFonts w:asciiTheme="minorHAnsi" w:hAnsiTheme="minorHAnsi" w:cstheme="minorHAnsi"/>
        </w:rPr>
        <w:t xml:space="preserve"> cyanoacrylates have non-industrial uses in Australia as a tissue adhesive and sealant.</w:t>
      </w:r>
    </w:p>
    <w:p w14:paraId="1D6F8B2C" w14:textId="34F23326" w:rsidR="00757257" w:rsidRPr="0035553D" w:rsidRDefault="00757257" w:rsidP="0035553D">
      <w:pPr>
        <w:pStyle w:val="Heading4"/>
      </w:pPr>
      <w:r w:rsidRPr="0035553D">
        <w:t>Summary of reasons for the proposal</w:t>
      </w:r>
    </w:p>
    <w:p w14:paraId="07C55470" w14:textId="5F113DAF" w:rsidR="00D2724C" w:rsidRDefault="00D2724C" w:rsidP="00364838">
      <w:pPr>
        <w:pStyle w:val="ListParagraph"/>
      </w:pPr>
      <w:r w:rsidRPr="00060411">
        <w:t>Cyanoacrylate esters have the potential to cause skin sensitisation, particularly among workers with known exposure to (meth)acrylates or in people that had used nail products</w:t>
      </w:r>
      <w:r w:rsidR="000363B6">
        <w:t xml:space="preserve"> due to prolonged contact with skin.</w:t>
      </w:r>
      <w:r w:rsidRPr="00060411">
        <w:t xml:space="preserve"> The mechanism for skin sensitisation is not known, though polymers of these substances may degrade to form formaldehyde, a strong skin sensitiser.</w:t>
      </w:r>
    </w:p>
    <w:p w14:paraId="13F812AA" w14:textId="29F59592" w:rsidR="0097045B" w:rsidRPr="00E35D79" w:rsidRDefault="0097045B" w:rsidP="00364838">
      <w:pPr>
        <w:pStyle w:val="ListParagraph"/>
      </w:pPr>
      <w:r w:rsidRPr="00E35D79">
        <w:t>There are several reported incidences of allergic contact dermatitis in individuals with direct exposure to cosmetic products containing ethyl cyanoacrylate.</w:t>
      </w:r>
    </w:p>
    <w:p w14:paraId="26065B9A" w14:textId="09E4D028" w:rsidR="00757257" w:rsidRPr="00E35D79" w:rsidRDefault="00757257" w:rsidP="00364838">
      <w:pPr>
        <w:pStyle w:val="ListParagraph"/>
      </w:pPr>
      <w:r w:rsidRPr="00E35D79">
        <w:t>The risk of sensitisation is considered greatest for exposures due to eyelash glues where intentional prolonged contact of skin around the eye with the adhesive is expected and there is a high frequency of reapplication.</w:t>
      </w:r>
    </w:p>
    <w:p w14:paraId="5CF4F524" w14:textId="77777777" w:rsidR="00757257" w:rsidRPr="00E35D79" w:rsidRDefault="00757257" w:rsidP="00364838">
      <w:pPr>
        <w:pStyle w:val="ListParagraph"/>
      </w:pPr>
      <w:r w:rsidRPr="00E35D79">
        <w:t>Canada has restricted use of cyanoacrylate-based eyelash glues to professional settings (equivalent to Schedule 7).</w:t>
      </w:r>
    </w:p>
    <w:p w14:paraId="47B83AD8" w14:textId="77777777" w:rsidR="00757257" w:rsidRPr="0035553D" w:rsidRDefault="00757257" w:rsidP="0035553D">
      <w:pPr>
        <w:pStyle w:val="Heading4"/>
      </w:pPr>
      <w:r w:rsidRPr="0035553D">
        <w:t>Key uses / expected use</w:t>
      </w:r>
    </w:p>
    <w:p w14:paraId="01B63ED9" w14:textId="77777777" w:rsidR="00757257" w:rsidRPr="00E35D79" w:rsidRDefault="00757257" w:rsidP="00E35D79">
      <w:pPr>
        <w:rPr>
          <w:rFonts w:asciiTheme="minorHAnsi" w:hAnsiTheme="minorHAnsi" w:cstheme="minorHAnsi"/>
        </w:rPr>
      </w:pPr>
      <w:r w:rsidRPr="00E35D79">
        <w:rPr>
          <w:rFonts w:asciiTheme="minorHAnsi" w:hAnsiTheme="minorHAnsi" w:cstheme="minorHAnsi"/>
        </w:rPr>
        <w:t>Cosmetics</w:t>
      </w:r>
    </w:p>
    <w:p w14:paraId="4795BE28" w14:textId="1B00CEB4" w:rsidR="00757257" w:rsidRPr="0035553D" w:rsidRDefault="00757257" w:rsidP="0035553D">
      <w:pPr>
        <w:pStyle w:val="Heading4"/>
      </w:pPr>
      <w:r w:rsidRPr="0035553D">
        <w:t>Australian regulations</w:t>
      </w:r>
    </w:p>
    <w:p w14:paraId="56ACEEA2" w14:textId="086F3428" w:rsidR="00757257" w:rsidRPr="00E35D79" w:rsidRDefault="00757257" w:rsidP="00364838">
      <w:pPr>
        <w:pStyle w:val="ListParagraph"/>
      </w:pPr>
      <w:r w:rsidRPr="00E35D79">
        <w:t xml:space="preserve">According to the </w:t>
      </w:r>
      <w:hyperlink r:id="rId42" w:history="1">
        <w:r w:rsidRPr="00E35D79">
          <w:rPr>
            <w:rStyle w:val="Hyperlink"/>
            <w:rFonts w:asciiTheme="minorHAnsi" w:hAnsiTheme="minorHAnsi" w:cstheme="minorHAnsi"/>
            <w:szCs w:val="20"/>
          </w:rPr>
          <w:t>TGA Ingredient Database</w:t>
        </w:r>
      </w:hyperlink>
      <w:r w:rsidRPr="00E35D79">
        <w:t>, cyanoacrylate esters are not approved therapeutic ingredients.</w:t>
      </w:r>
    </w:p>
    <w:p w14:paraId="79F60D50" w14:textId="77777777" w:rsidR="00757257" w:rsidRPr="00E35D79" w:rsidRDefault="00757257" w:rsidP="00364838">
      <w:pPr>
        <w:pStyle w:val="ListParagraph"/>
      </w:pPr>
      <w:r w:rsidRPr="00E35D79">
        <w:t xml:space="preserve">As of January 2025, there were no products containing cyanoacrylate esters as an active ingredient/constituent or scheduled substance listed on the </w:t>
      </w:r>
      <w:hyperlink r:id="rId43" w:history="1">
        <w:r w:rsidRPr="00E35D79">
          <w:rPr>
            <w:rStyle w:val="Hyperlink"/>
            <w:rFonts w:asciiTheme="minorHAnsi" w:hAnsiTheme="minorHAnsi" w:cstheme="minorHAnsi"/>
            <w:szCs w:val="20"/>
          </w:rPr>
          <w:t>Public Chemical Registration Information System Search (PubCRIS)</w:t>
        </w:r>
      </w:hyperlink>
      <w:r w:rsidRPr="00E35D79">
        <w:t>.</w:t>
      </w:r>
    </w:p>
    <w:p w14:paraId="3E8521E0" w14:textId="755855F8" w:rsidR="007A5A6C" w:rsidRPr="00E35D79" w:rsidRDefault="007A5A6C" w:rsidP="00364838">
      <w:pPr>
        <w:pStyle w:val="ListParagraph"/>
      </w:pPr>
      <w:r w:rsidRPr="00E35D79">
        <w:t xml:space="preserve">All of the above listed cyanoacrylate esters are listed on the </w:t>
      </w:r>
      <w:hyperlink r:id="rId44" w:history="1">
        <w:r w:rsidRPr="00E35D79">
          <w:rPr>
            <w:rStyle w:val="Hyperlink"/>
            <w:rFonts w:asciiTheme="minorHAnsi" w:hAnsiTheme="minorHAnsi" w:cstheme="minorHAnsi"/>
            <w:szCs w:val="20"/>
          </w:rPr>
          <w:t>Australian Inventory of Industrial Chemicals Inventory</w:t>
        </w:r>
      </w:hyperlink>
      <w:r w:rsidRPr="00E35D79">
        <w:t xml:space="preserve"> for chemicals being manufactured or imported into Australia for industrial use.</w:t>
      </w:r>
    </w:p>
    <w:p w14:paraId="46F4EFB1" w14:textId="77777777" w:rsidR="00757257" w:rsidRPr="0035553D" w:rsidRDefault="00757257" w:rsidP="0035553D">
      <w:pPr>
        <w:pStyle w:val="Heading4"/>
      </w:pPr>
      <w:r w:rsidRPr="0035553D">
        <w:t>International regulations</w:t>
      </w:r>
    </w:p>
    <w:p w14:paraId="3D9C383C" w14:textId="3D7B0668" w:rsidR="00757257" w:rsidRPr="00E35D79" w:rsidRDefault="00757257" w:rsidP="00364838">
      <w:pPr>
        <w:pStyle w:val="ListParagraph"/>
      </w:pPr>
      <w:r w:rsidRPr="00E35D79">
        <w:t xml:space="preserve">The </w:t>
      </w:r>
      <w:hyperlink r:id="rId45" w:history="1">
        <w:r w:rsidRPr="00E35D79">
          <w:rPr>
            <w:rStyle w:val="Hyperlink"/>
            <w:rFonts w:asciiTheme="minorHAnsi" w:hAnsiTheme="minorHAnsi" w:cstheme="minorHAnsi"/>
            <w:szCs w:val="20"/>
          </w:rPr>
          <w:t>European Commission database for information on cosmetic substances and ingredients database</w:t>
        </w:r>
      </w:hyperlink>
      <w:r w:rsidRPr="00E35D79">
        <w:t>) lists ethyl cyanoacrylate (7085-85-0), isopropyl cyanoacrylate (10586-17-1) and ethoxyethyl cyanoacrylate (21982-43-4) as film forming agents. It also lists methoxyethyl cyanoacrylate (27816-23-5) as a binding agent.</w:t>
      </w:r>
    </w:p>
    <w:p w14:paraId="2D2634F5" w14:textId="77777777" w:rsidR="00757257" w:rsidRPr="00E35D79" w:rsidRDefault="00757257" w:rsidP="00364838">
      <w:pPr>
        <w:pStyle w:val="ListParagraph"/>
      </w:pPr>
      <w:r w:rsidRPr="00E35D79">
        <w:t xml:space="preserve">The Canadian </w:t>
      </w:r>
      <w:hyperlink r:id="rId46" w:history="1">
        <w:r w:rsidRPr="00E35D79">
          <w:rPr>
            <w:rStyle w:val="Hyperlink"/>
            <w:rFonts w:asciiTheme="minorHAnsi" w:hAnsiTheme="minorHAnsi" w:cstheme="minorHAnsi"/>
            <w:szCs w:val="20"/>
          </w:rPr>
          <w:t>Cosmetic Ingredient Hotlist</w:t>
        </w:r>
      </w:hyperlink>
      <w:r w:rsidRPr="00E35D79">
        <w:t xml:space="preserve"> restricts ethyl cyanoacrylate (7085-85-0); methyl cyanoacrylate (137-05-3); isopropyl cyanoacrylate (10586-17-1) as cyanoacrylate-based adhesives for application by trained professionals only along with the following warning statements:</w:t>
      </w:r>
    </w:p>
    <w:p w14:paraId="2DCA68B5" w14:textId="0CE4BD4C" w:rsidR="00757257" w:rsidRPr="00E35D79" w:rsidRDefault="00757257" w:rsidP="00630E52">
      <w:pPr>
        <w:pStyle w:val="ListBullet2"/>
      </w:pPr>
      <w:r w:rsidRPr="00E35D79">
        <w:t>Ensure the eye is protected and immobilized during application</w:t>
      </w:r>
    </w:p>
    <w:p w14:paraId="15EE36CC" w14:textId="3E3ECF4C" w:rsidR="0097045B" w:rsidRPr="00E35D79" w:rsidRDefault="00757257" w:rsidP="00630E52">
      <w:pPr>
        <w:pStyle w:val="ListBullet2"/>
      </w:pPr>
      <w:r w:rsidRPr="00E35D79">
        <w:t xml:space="preserve">WARNING. BONDS SKIN INSTANTLY. AVOID CONTACT WITH EYES, MOUTH AND SKIN. KEEP AWAY FROM CHILDREN. </w:t>
      </w:r>
    </w:p>
    <w:p w14:paraId="048509DA" w14:textId="3C1CAB11" w:rsidR="0097045B" w:rsidRPr="00E35D79" w:rsidRDefault="00757257" w:rsidP="00630E52">
      <w:pPr>
        <w:pStyle w:val="ListBullet2"/>
      </w:pPr>
      <w:r w:rsidRPr="00E35D79">
        <w:lastRenderedPageBreak/>
        <w:t>Eyelid bonding: consult a physician.</w:t>
      </w:r>
    </w:p>
    <w:p w14:paraId="491FA917" w14:textId="0AA3636A" w:rsidR="00757257" w:rsidRPr="00E35D79" w:rsidRDefault="00757257" w:rsidP="00630E52">
      <w:pPr>
        <w:pStyle w:val="ListBullet2"/>
      </w:pPr>
      <w:r w:rsidRPr="00E35D79">
        <w:t>Skin bonding: soak and ease apart gently.</w:t>
      </w:r>
    </w:p>
    <w:p w14:paraId="730A85DC" w14:textId="43AEA967" w:rsidR="00757257" w:rsidRPr="00E35D79" w:rsidRDefault="00757257" w:rsidP="00364838">
      <w:pPr>
        <w:pStyle w:val="ListParagraph"/>
      </w:pPr>
      <w:r w:rsidRPr="00E35D79">
        <w:t xml:space="preserve">Ethyl cyanoacrylate (7085-85-0), methyl 2-cyanoacrylate (137-05-3) and Butyl cyanoacrylate (6606-65-1) are included on the </w:t>
      </w:r>
      <w:hyperlink r:id="rId47" w:history="1">
        <w:r w:rsidRPr="00E35D79">
          <w:rPr>
            <w:rStyle w:val="Hyperlink"/>
            <w:rFonts w:asciiTheme="minorHAnsi" w:hAnsiTheme="minorHAnsi" w:cstheme="minorHAnsi"/>
            <w:szCs w:val="20"/>
          </w:rPr>
          <w:t>New Zealand Inventory of Chemicals (NZIoC)</w:t>
        </w:r>
      </w:hyperlink>
      <w:r w:rsidR="00A01CCE">
        <w:t>,</w:t>
      </w:r>
      <w:r w:rsidR="00EF245F" w:rsidRPr="00E35D79">
        <w:t xml:space="preserve"> </w:t>
      </w:r>
      <w:r w:rsidR="00EF245F" w:rsidRPr="00A01CCE">
        <w:t>but do not have individual approval. They can</w:t>
      </w:r>
      <w:r w:rsidR="00A927BF" w:rsidRPr="00A01CCE">
        <w:t>, however,</w:t>
      </w:r>
      <w:r w:rsidR="00EF245F" w:rsidRPr="00A01CCE">
        <w:t xml:space="preserve"> be used as single component products under an appropriate group standard approval</w:t>
      </w:r>
      <w:r w:rsidR="001A1661" w:rsidRPr="00A01CCE">
        <w:t xml:space="preserve"> based on </w:t>
      </w:r>
      <w:r w:rsidR="00A01CCE" w:rsidRPr="00A01CCE">
        <w:t>GHS hazard classification and toxicity information</w:t>
      </w:r>
      <w:r w:rsidR="00EF245F" w:rsidRPr="00A01CCE">
        <w:t>.</w:t>
      </w:r>
    </w:p>
    <w:p w14:paraId="51C41BFC" w14:textId="324423B9" w:rsidR="00ED6BE3" w:rsidRPr="00D84287" w:rsidRDefault="00ED6BE3" w:rsidP="00D84287">
      <w:pPr>
        <w:pStyle w:val="Heading3"/>
      </w:pPr>
      <w:bookmarkStart w:id="19" w:name="_Toc187936934"/>
      <w:r w:rsidRPr="00D84287">
        <w:t>Acrylates and methacrylates based on bisphenol A (BPA)</w:t>
      </w:r>
      <w:bookmarkEnd w:id="19"/>
    </w:p>
    <w:p w14:paraId="6B727F6A" w14:textId="77777777" w:rsidR="00ED6BE3" w:rsidRPr="0035553D" w:rsidRDefault="00ED6BE3" w:rsidP="0035553D">
      <w:pPr>
        <w:pStyle w:val="Heading4"/>
      </w:pPr>
      <w:r w:rsidRPr="0035553D">
        <w:t>Proposal</w:t>
      </w:r>
    </w:p>
    <w:p w14:paraId="6E1F357C" w14:textId="2EC81BDF" w:rsidR="004D5091" w:rsidRPr="00E35D79" w:rsidRDefault="00B76C8A" w:rsidP="00E35D79">
      <w:pPr>
        <w:rPr>
          <w:rFonts w:asciiTheme="minorHAnsi" w:hAnsiTheme="minorHAnsi" w:cstheme="minorHAnsi"/>
        </w:rPr>
      </w:pPr>
      <w:r w:rsidRPr="00E35D79">
        <w:rPr>
          <w:rFonts w:asciiTheme="minorHAnsi" w:hAnsiTheme="minorHAnsi" w:cstheme="minorHAnsi"/>
        </w:rPr>
        <w:t xml:space="preserve">The </w:t>
      </w:r>
      <w:r>
        <w:rPr>
          <w:rFonts w:asciiTheme="minorHAnsi" w:hAnsiTheme="minorHAnsi" w:cstheme="minorHAnsi"/>
        </w:rPr>
        <w:t>Department of Health and Aged Care</w:t>
      </w:r>
      <w:r w:rsidRPr="00E35D79">
        <w:rPr>
          <w:rFonts w:asciiTheme="minorHAnsi" w:hAnsiTheme="minorHAnsi" w:cstheme="minorHAnsi"/>
        </w:rPr>
        <w:t xml:space="preserve"> has proposed </w:t>
      </w:r>
      <w:r w:rsidR="004D5091" w:rsidRPr="00E35D79">
        <w:rPr>
          <w:rFonts w:asciiTheme="minorHAnsi" w:hAnsiTheme="minorHAnsi" w:cstheme="minorHAnsi"/>
        </w:rPr>
        <w:t xml:space="preserve">creating new Poisons (Schedule 6) entries in the current Poisons Standard for two chemicals BPA glycidyl dimethacrylate and BPA glycidyl diacrylate. Additional warning statement and safety directions relating to skin sensitisation also have been proposed. </w:t>
      </w:r>
      <w:r w:rsidR="005142C4" w:rsidRPr="00FF2A26">
        <w:rPr>
          <w:rFonts w:asciiTheme="minorHAnsi" w:hAnsiTheme="minorHAnsi" w:cstheme="minorHAnsi"/>
        </w:rPr>
        <w:t xml:space="preserve">The proposal </w:t>
      </w:r>
      <w:r w:rsidR="00A77332">
        <w:rPr>
          <w:rFonts w:asciiTheme="minorHAnsi" w:hAnsiTheme="minorHAnsi" w:cstheme="minorHAnsi"/>
        </w:rPr>
        <w:t xml:space="preserve">is based on the recommendation </w:t>
      </w:r>
      <w:r w:rsidR="005142C4" w:rsidRPr="00FF2A26">
        <w:rPr>
          <w:rFonts w:asciiTheme="minorHAnsi" w:hAnsiTheme="minorHAnsi" w:cstheme="minorHAnsi"/>
        </w:rPr>
        <w:t>from the Australian Industrial Chemicals Introduction Scheme (AICIS)</w:t>
      </w:r>
      <w:r w:rsidR="005142C4">
        <w:rPr>
          <w:rFonts w:asciiTheme="minorHAnsi" w:hAnsiTheme="minorHAnsi" w:cstheme="minorHAnsi"/>
        </w:rPr>
        <w:t xml:space="preserve"> evaluation of </w:t>
      </w:r>
      <w:hyperlink r:id="rId48" w:history="1">
        <w:r w:rsidR="00997D3C">
          <w:rPr>
            <w:rStyle w:val="Hyperlink"/>
            <w:rFonts w:asciiTheme="minorHAnsi" w:hAnsiTheme="minorHAnsi" w:cstheme="minorHAnsi"/>
          </w:rPr>
          <w:t>acrylates and methacrylates based on bisphenol A (BPA)</w:t>
        </w:r>
      </w:hyperlink>
      <w:r w:rsidR="004D5091" w:rsidRPr="00E35D79">
        <w:rPr>
          <w:rFonts w:asciiTheme="minorHAnsi" w:hAnsiTheme="minorHAnsi" w:cstheme="minorHAnsi"/>
        </w:rPr>
        <w:t xml:space="preserve"> published in April 2024.</w:t>
      </w:r>
    </w:p>
    <w:p w14:paraId="1367450A" w14:textId="60802CD2" w:rsidR="00ED6BE3" w:rsidRPr="00997D3C" w:rsidRDefault="00ED6BE3" w:rsidP="00997D3C">
      <w:pPr>
        <w:pStyle w:val="Heading4"/>
      </w:pPr>
      <w:r w:rsidRPr="00997D3C">
        <w:t>CAS Number</w:t>
      </w:r>
    </w:p>
    <w:p w14:paraId="7BD0503E" w14:textId="77777777" w:rsidR="00ED6BE3" w:rsidRPr="00E35D79" w:rsidRDefault="00ED6BE3" w:rsidP="00E35D79">
      <w:pPr>
        <w:rPr>
          <w:rFonts w:asciiTheme="minorHAnsi" w:hAnsiTheme="minorHAnsi" w:cstheme="minorHAnsi"/>
        </w:rPr>
      </w:pPr>
      <w:r w:rsidRPr="00E35D79">
        <w:rPr>
          <w:rFonts w:asciiTheme="minorHAnsi" w:hAnsiTheme="minorHAnsi" w:cstheme="minorHAnsi"/>
        </w:rPr>
        <w:t xml:space="preserve">1565-94-2 (BPA glycidyl dimethacrylate) </w:t>
      </w:r>
    </w:p>
    <w:p w14:paraId="01A362E6" w14:textId="77777777" w:rsidR="00ED6BE3" w:rsidRPr="00E35D79" w:rsidRDefault="00ED6BE3" w:rsidP="00E35D79">
      <w:pPr>
        <w:rPr>
          <w:rFonts w:asciiTheme="minorHAnsi" w:hAnsiTheme="minorHAnsi" w:cstheme="minorHAnsi"/>
        </w:rPr>
      </w:pPr>
      <w:r w:rsidRPr="00E35D79">
        <w:rPr>
          <w:rFonts w:asciiTheme="minorHAnsi" w:hAnsiTheme="minorHAnsi" w:cstheme="minorHAnsi"/>
        </w:rPr>
        <w:t>4687-94-9 (BPA glycidyl diacrylate)</w:t>
      </w:r>
    </w:p>
    <w:p w14:paraId="7415B525" w14:textId="5CD3EDEB" w:rsidR="00ED6BE3" w:rsidRPr="00997D3C" w:rsidRDefault="00ED6BE3" w:rsidP="00997D3C">
      <w:pPr>
        <w:pStyle w:val="Heading4"/>
      </w:pPr>
      <w:r w:rsidRPr="00997D3C">
        <w:t>Alternative names</w:t>
      </w:r>
    </w:p>
    <w:p w14:paraId="7FD330FE" w14:textId="46942784" w:rsidR="00ED6BE3" w:rsidRPr="00931DE3" w:rsidRDefault="00931DE3" w:rsidP="0093340A">
      <w:pPr>
        <w:rPr>
          <w:rFonts w:asciiTheme="minorHAnsi" w:hAnsiTheme="minorHAnsi" w:cstheme="minorHAnsi"/>
          <w:b/>
          <w:bCs/>
        </w:rPr>
      </w:pPr>
      <w:r w:rsidRPr="00931DE3">
        <w:rPr>
          <w:rFonts w:asciiTheme="minorHAnsi" w:hAnsiTheme="minorHAnsi" w:cstheme="minorHAnsi"/>
          <w:b/>
          <w:bCs/>
        </w:rPr>
        <w:t>BPA glycidyl dimethacrylate</w:t>
      </w:r>
    </w:p>
    <w:p w14:paraId="640B82DF" w14:textId="77777777" w:rsidR="00ED6BE3" w:rsidRPr="00E35D79" w:rsidRDefault="00ED6BE3" w:rsidP="0093340A">
      <w:pPr>
        <w:ind w:left="284"/>
        <w:rPr>
          <w:rFonts w:asciiTheme="minorHAnsi" w:hAnsiTheme="minorHAnsi" w:cstheme="minorHAnsi"/>
        </w:rPr>
      </w:pPr>
      <w:r w:rsidRPr="00E35D79">
        <w:rPr>
          <w:rFonts w:asciiTheme="minorHAnsi" w:hAnsiTheme="minorHAnsi" w:cstheme="minorHAnsi"/>
        </w:rPr>
        <w:t xml:space="preserve">2-Propenoic acid, 2-methyl-, (1-methylethylidene)bis[4,1-phenyleneoxy(2-hydroxy-3,1-propanediyl)] ester </w:t>
      </w:r>
    </w:p>
    <w:p w14:paraId="28A895EE" w14:textId="77777777" w:rsidR="00ED6BE3" w:rsidRPr="00E35D79" w:rsidRDefault="00ED6BE3" w:rsidP="0093340A">
      <w:pPr>
        <w:ind w:left="284"/>
        <w:rPr>
          <w:rFonts w:asciiTheme="minorHAnsi" w:hAnsiTheme="minorHAnsi" w:cstheme="minorHAnsi"/>
        </w:rPr>
      </w:pPr>
      <w:r w:rsidRPr="00E35D79">
        <w:rPr>
          <w:rFonts w:asciiTheme="minorHAnsi" w:hAnsiTheme="minorHAnsi" w:cstheme="minorHAnsi"/>
        </w:rPr>
        <w:t>1,2-Propanediol, 3,3′-[isopropylidenebis(p-phenyleneoxy)]di-, 1,1′-dimethacrylate (8CI)</w:t>
      </w:r>
    </w:p>
    <w:p w14:paraId="668C9B08" w14:textId="184F4AA4" w:rsidR="00ED6BE3" w:rsidRPr="00E35D79" w:rsidRDefault="00ED6BE3" w:rsidP="0093340A">
      <w:pPr>
        <w:ind w:left="284"/>
        <w:rPr>
          <w:rFonts w:asciiTheme="minorHAnsi" w:hAnsiTheme="minorHAnsi" w:cstheme="minorHAnsi"/>
        </w:rPr>
      </w:pPr>
      <w:r w:rsidRPr="00E35D79">
        <w:rPr>
          <w:rFonts w:asciiTheme="minorHAnsi" w:hAnsiTheme="minorHAnsi" w:cstheme="minorHAnsi"/>
        </w:rPr>
        <w:t>Methacrylic acid, isopropylidenebis[p-phenyleneoxy(2-hydroxytrimethylene)] ester (7CI)</w:t>
      </w:r>
    </w:p>
    <w:p w14:paraId="3B247E5D" w14:textId="77777777" w:rsidR="00ED6BE3" w:rsidRPr="00E35D79" w:rsidRDefault="00ED6BE3" w:rsidP="0093340A">
      <w:pPr>
        <w:ind w:left="284"/>
        <w:rPr>
          <w:rFonts w:asciiTheme="minorHAnsi" w:hAnsiTheme="minorHAnsi" w:cstheme="minorHAnsi"/>
        </w:rPr>
      </w:pPr>
      <w:r w:rsidRPr="00E35D79">
        <w:rPr>
          <w:rFonts w:asciiTheme="minorHAnsi" w:hAnsiTheme="minorHAnsi" w:cstheme="minorHAnsi"/>
        </w:rPr>
        <w:t>2,2-Bis(4-(2-hydroxy-3-methacryloxypropoxy)phenyl)propane</w:t>
      </w:r>
    </w:p>
    <w:p w14:paraId="02108450" w14:textId="77777777" w:rsidR="00ED6BE3" w:rsidRPr="00E35D79" w:rsidRDefault="00ED6BE3" w:rsidP="0093340A">
      <w:pPr>
        <w:ind w:left="284"/>
        <w:rPr>
          <w:rFonts w:asciiTheme="minorHAnsi" w:hAnsiTheme="minorHAnsi" w:cstheme="minorHAnsi"/>
        </w:rPr>
      </w:pPr>
      <w:r w:rsidRPr="00E35D79">
        <w:rPr>
          <w:rFonts w:asciiTheme="minorHAnsi" w:hAnsiTheme="minorHAnsi" w:cstheme="minorHAnsi"/>
        </w:rPr>
        <w:t>Bis-GMA</w:t>
      </w:r>
    </w:p>
    <w:p w14:paraId="4EB0B253" w14:textId="77777777" w:rsidR="00ED6BE3" w:rsidRPr="00E35D79" w:rsidRDefault="00ED6BE3" w:rsidP="0093340A">
      <w:pPr>
        <w:ind w:left="284"/>
        <w:rPr>
          <w:rFonts w:asciiTheme="minorHAnsi" w:hAnsiTheme="minorHAnsi" w:cstheme="minorHAnsi"/>
        </w:rPr>
      </w:pPr>
      <w:r w:rsidRPr="00E35D79">
        <w:rPr>
          <w:rFonts w:asciiTheme="minorHAnsi" w:hAnsiTheme="minorHAnsi" w:cstheme="minorHAnsi"/>
        </w:rPr>
        <w:t>Bisphenol A bis(2-hydroxy-3-methacryloxypropyl) ether</w:t>
      </w:r>
    </w:p>
    <w:p w14:paraId="3F91D21C" w14:textId="2EA3B87D" w:rsidR="00ED6BE3" w:rsidRPr="00653059" w:rsidRDefault="00653059" w:rsidP="0093340A">
      <w:pPr>
        <w:rPr>
          <w:rFonts w:asciiTheme="minorHAnsi" w:hAnsiTheme="minorHAnsi" w:cstheme="minorHAnsi"/>
          <w:b/>
          <w:bCs/>
        </w:rPr>
      </w:pPr>
      <w:r w:rsidRPr="00653059">
        <w:rPr>
          <w:rFonts w:asciiTheme="minorHAnsi" w:hAnsiTheme="minorHAnsi" w:cstheme="minorHAnsi"/>
          <w:b/>
          <w:bCs/>
        </w:rPr>
        <w:t>BPA glycidyl diacrylate</w:t>
      </w:r>
    </w:p>
    <w:p w14:paraId="58365FE6" w14:textId="2E3C44CF" w:rsidR="00ED6BE3" w:rsidRPr="00E35D79" w:rsidRDefault="00ED6BE3" w:rsidP="0093340A">
      <w:pPr>
        <w:ind w:left="284"/>
        <w:rPr>
          <w:rFonts w:asciiTheme="minorHAnsi" w:hAnsiTheme="minorHAnsi" w:cstheme="minorHAnsi"/>
        </w:rPr>
      </w:pPr>
      <w:r w:rsidRPr="00E35D79">
        <w:rPr>
          <w:rFonts w:asciiTheme="minorHAnsi" w:hAnsiTheme="minorHAnsi" w:cstheme="minorHAnsi"/>
        </w:rPr>
        <w:t>2-Propenoic acid, (1-methylethylidene)bis[4,1-phenyleneoxy(2-hydroxy-3,1-propanediyl)] ester</w:t>
      </w:r>
    </w:p>
    <w:p w14:paraId="3909F1B1" w14:textId="77777777" w:rsidR="00ED6BE3" w:rsidRPr="00E35D79" w:rsidRDefault="00ED6BE3" w:rsidP="0093340A">
      <w:pPr>
        <w:ind w:left="284"/>
        <w:rPr>
          <w:rFonts w:asciiTheme="minorHAnsi" w:hAnsiTheme="minorHAnsi" w:cstheme="minorHAnsi"/>
        </w:rPr>
      </w:pPr>
      <w:r w:rsidRPr="00E35D79">
        <w:rPr>
          <w:rFonts w:asciiTheme="minorHAnsi" w:hAnsiTheme="minorHAnsi" w:cstheme="minorHAnsi"/>
        </w:rPr>
        <w:t>Acrylic acid, 1,1′-diester with 3,3′-[isopropylidenebis(p-phenyleneoxy)]di-1,2-propanediol (7CI, 8CI)</w:t>
      </w:r>
    </w:p>
    <w:p w14:paraId="4D89E5CC" w14:textId="77777777" w:rsidR="00ED6BE3" w:rsidRPr="00E35D79" w:rsidRDefault="00ED6BE3" w:rsidP="0093340A">
      <w:pPr>
        <w:ind w:left="284"/>
        <w:rPr>
          <w:rFonts w:asciiTheme="minorHAnsi" w:hAnsiTheme="minorHAnsi" w:cstheme="minorHAnsi"/>
        </w:rPr>
      </w:pPr>
      <w:r w:rsidRPr="00E35D79">
        <w:rPr>
          <w:rFonts w:asciiTheme="minorHAnsi" w:hAnsiTheme="minorHAnsi" w:cstheme="minorHAnsi"/>
        </w:rPr>
        <w:t>1,1′-[Isopropylidenebis(p-phenyleneoxy)]di-2-propanol diacrylate</w:t>
      </w:r>
    </w:p>
    <w:p w14:paraId="3E419C6D" w14:textId="77777777" w:rsidR="00ED6BE3" w:rsidRPr="00E35D79" w:rsidRDefault="00ED6BE3" w:rsidP="0093340A">
      <w:pPr>
        <w:ind w:left="284"/>
        <w:rPr>
          <w:rFonts w:asciiTheme="minorHAnsi" w:hAnsiTheme="minorHAnsi" w:cstheme="minorHAnsi"/>
        </w:rPr>
      </w:pPr>
      <w:r w:rsidRPr="00E35D79">
        <w:rPr>
          <w:rFonts w:asciiTheme="minorHAnsi" w:hAnsiTheme="minorHAnsi" w:cstheme="minorHAnsi"/>
        </w:rPr>
        <w:t>Bisphenol A bis(3-acrylato-2-hydroxypropyl) ether</w:t>
      </w:r>
    </w:p>
    <w:p w14:paraId="761AC8DA" w14:textId="77777777" w:rsidR="00ED6BE3" w:rsidRPr="00E35D79" w:rsidRDefault="00ED6BE3" w:rsidP="0093340A">
      <w:pPr>
        <w:ind w:left="284"/>
        <w:rPr>
          <w:rFonts w:asciiTheme="minorHAnsi" w:hAnsiTheme="minorHAnsi" w:cstheme="minorHAnsi"/>
        </w:rPr>
      </w:pPr>
      <w:r w:rsidRPr="00E35D79">
        <w:rPr>
          <w:rFonts w:asciiTheme="minorHAnsi" w:hAnsiTheme="minorHAnsi" w:cstheme="minorHAnsi"/>
        </w:rPr>
        <w:t>Bisphenol A diglycidyl ether diacrylate</w:t>
      </w:r>
    </w:p>
    <w:p w14:paraId="7C98496E" w14:textId="1B5182C5" w:rsidR="00ED6BE3" w:rsidRPr="00997D3C" w:rsidRDefault="00ED6BE3" w:rsidP="00997D3C">
      <w:pPr>
        <w:pStyle w:val="Heading4"/>
      </w:pPr>
      <w:r w:rsidRPr="00997D3C">
        <w:lastRenderedPageBreak/>
        <w:t>Proposed Scheduling</w:t>
      </w:r>
    </w:p>
    <w:p w14:paraId="781C5D05" w14:textId="56D80490" w:rsidR="004D5091" w:rsidRPr="00E35D79" w:rsidRDefault="004D5091" w:rsidP="00E35D79">
      <w:pPr>
        <w:rPr>
          <w:rFonts w:asciiTheme="minorHAnsi" w:hAnsiTheme="minorHAnsi" w:cstheme="minorHAnsi"/>
        </w:rPr>
      </w:pPr>
      <w:r w:rsidRPr="00E35D79">
        <w:rPr>
          <w:rFonts w:asciiTheme="minorHAnsi" w:hAnsiTheme="minorHAnsi" w:cstheme="minorHAnsi"/>
        </w:rPr>
        <w:t>BPA glycidyl dimethacrylate and BPA glycidyl diacrylate are not specifically scheduled in the current Poisons Standard. The proposed amendments to the Poisons Standard are</w:t>
      </w:r>
      <w:r w:rsidRPr="00054C3A">
        <w:rPr>
          <w:rFonts w:asciiTheme="minorHAnsi" w:hAnsiTheme="minorHAnsi" w:cstheme="minorHAnsi"/>
          <w:vertAlign w:val="superscript"/>
        </w:rPr>
        <w:footnoteReference w:id="11"/>
      </w:r>
      <w:r w:rsidRPr="00E35D79">
        <w:rPr>
          <w:rFonts w:asciiTheme="minorHAnsi" w:hAnsiTheme="minorHAnsi" w:cstheme="minorHAnsi"/>
        </w:rPr>
        <w:t>:</w:t>
      </w:r>
    </w:p>
    <w:p w14:paraId="732975AF" w14:textId="457252FA" w:rsidR="004D5091" w:rsidRPr="00917BF6" w:rsidRDefault="004D5091" w:rsidP="00917BF6">
      <w:pPr>
        <w:ind w:left="426" w:hanging="142"/>
        <w:rPr>
          <w:rFonts w:asciiTheme="minorHAnsi" w:hAnsiTheme="minorHAnsi" w:cstheme="minorHAnsi"/>
          <w:b/>
          <w:bCs/>
        </w:rPr>
      </w:pPr>
      <w:r w:rsidRPr="00917BF6">
        <w:rPr>
          <w:rFonts w:asciiTheme="minorHAnsi" w:hAnsiTheme="minorHAnsi" w:cstheme="minorHAnsi"/>
          <w:b/>
          <w:bCs/>
        </w:rPr>
        <w:t>Schedule 6 – New Entr</w:t>
      </w:r>
      <w:r w:rsidR="00E97A34">
        <w:rPr>
          <w:rFonts w:asciiTheme="minorHAnsi" w:hAnsiTheme="minorHAnsi" w:cstheme="minorHAnsi"/>
          <w:b/>
          <w:bCs/>
        </w:rPr>
        <w:t>ies</w:t>
      </w:r>
    </w:p>
    <w:p w14:paraId="1894B7EF" w14:textId="77777777" w:rsidR="004D5091" w:rsidRPr="00917BF6" w:rsidRDefault="004D5091" w:rsidP="0093340A">
      <w:pPr>
        <w:ind w:left="567"/>
        <w:rPr>
          <w:rFonts w:asciiTheme="minorHAnsi" w:hAnsiTheme="minorHAnsi" w:cstheme="minorHAnsi"/>
          <w:color w:val="00B050"/>
          <w:u w:val="single"/>
        </w:rPr>
      </w:pPr>
      <w:r w:rsidRPr="00917BF6">
        <w:rPr>
          <w:rFonts w:asciiTheme="minorHAnsi" w:hAnsiTheme="minorHAnsi" w:cstheme="minorHAnsi"/>
          <w:color w:val="00B050"/>
          <w:u w:val="single"/>
        </w:rPr>
        <w:t>BPA GLYCIDYL DIMETHACRYLATE</w:t>
      </w:r>
    </w:p>
    <w:p w14:paraId="4F884625" w14:textId="77777777" w:rsidR="004D5091" w:rsidRPr="00917BF6" w:rsidRDefault="004D5091" w:rsidP="0093340A">
      <w:pPr>
        <w:ind w:left="567"/>
        <w:rPr>
          <w:rFonts w:asciiTheme="minorHAnsi" w:hAnsiTheme="minorHAnsi" w:cstheme="minorHAnsi"/>
          <w:color w:val="00B050"/>
          <w:u w:val="single"/>
        </w:rPr>
      </w:pPr>
      <w:r w:rsidRPr="00917BF6">
        <w:rPr>
          <w:rFonts w:asciiTheme="minorHAnsi" w:hAnsiTheme="minorHAnsi" w:cstheme="minorHAnsi"/>
          <w:color w:val="00B050"/>
          <w:u w:val="single"/>
        </w:rPr>
        <w:t>BPA GLYCIDYL DIACRYLATE</w:t>
      </w:r>
    </w:p>
    <w:p w14:paraId="39F7DBAC" w14:textId="3A0D3D1E" w:rsidR="004D5091" w:rsidRPr="00917BF6" w:rsidRDefault="004D5091" w:rsidP="00917BF6">
      <w:pPr>
        <w:ind w:left="426" w:hanging="142"/>
        <w:rPr>
          <w:rFonts w:asciiTheme="minorHAnsi" w:hAnsiTheme="minorHAnsi" w:cstheme="minorHAnsi"/>
          <w:b/>
          <w:bCs/>
        </w:rPr>
      </w:pPr>
      <w:r w:rsidRPr="00917BF6">
        <w:rPr>
          <w:rFonts w:asciiTheme="minorHAnsi" w:hAnsiTheme="minorHAnsi" w:cstheme="minorHAnsi"/>
          <w:b/>
          <w:bCs/>
        </w:rPr>
        <w:t>Index</w:t>
      </w:r>
    </w:p>
    <w:p w14:paraId="74B33457" w14:textId="77777777" w:rsidR="004D5091" w:rsidRPr="00917BF6" w:rsidRDefault="004D5091" w:rsidP="0093340A">
      <w:pPr>
        <w:ind w:left="567"/>
        <w:rPr>
          <w:rFonts w:asciiTheme="minorHAnsi" w:hAnsiTheme="minorHAnsi" w:cstheme="minorHAnsi"/>
          <w:color w:val="00B050"/>
          <w:u w:val="single"/>
        </w:rPr>
      </w:pPr>
      <w:r w:rsidRPr="00917BF6">
        <w:rPr>
          <w:rFonts w:asciiTheme="minorHAnsi" w:hAnsiTheme="minorHAnsi" w:cstheme="minorHAnsi"/>
          <w:color w:val="00B050"/>
          <w:u w:val="single"/>
        </w:rPr>
        <w:t>BPA GLYCIDYL DIMETHACRYLATE</w:t>
      </w:r>
    </w:p>
    <w:p w14:paraId="19EBEC29" w14:textId="77777777" w:rsidR="004D5091" w:rsidRPr="00917BF6" w:rsidRDefault="004D5091" w:rsidP="0093340A">
      <w:pPr>
        <w:ind w:left="567"/>
        <w:rPr>
          <w:rFonts w:asciiTheme="minorHAnsi" w:hAnsiTheme="minorHAnsi" w:cstheme="minorHAnsi"/>
          <w:color w:val="00B050"/>
          <w:u w:val="single"/>
        </w:rPr>
      </w:pPr>
      <w:r w:rsidRPr="00917BF6">
        <w:rPr>
          <w:rFonts w:asciiTheme="minorHAnsi" w:hAnsiTheme="minorHAnsi" w:cstheme="minorHAnsi"/>
          <w:color w:val="00B050"/>
          <w:u w:val="single"/>
        </w:rPr>
        <w:t>Schedule 6</w:t>
      </w:r>
    </w:p>
    <w:p w14:paraId="0ACFB2CB" w14:textId="77777777" w:rsidR="004D5091" w:rsidRPr="00917BF6" w:rsidRDefault="004D5091" w:rsidP="0093340A">
      <w:pPr>
        <w:ind w:left="567"/>
        <w:rPr>
          <w:rFonts w:asciiTheme="minorHAnsi" w:hAnsiTheme="minorHAnsi" w:cstheme="minorHAnsi"/>
          <w:color w:val="00B050"/>
          <w:u w:val="single"/>
        </w:rPr>
      </w:pPr>
      <w:r w:rsidRPr="00917BF6">
        <w:rPr>
          <w:rFonts w:asciiTheme="minorHAnsi" w:hAnsiTheme="minorHAnsi" w:cstheme="minorHAnsi"/>
          <w:color w:val="00B050"/>
          <w:u w:val="single"/>
        </w:rPr>
        <w:t>Appendix F, Clause 4</w:t>
      </w:r>
    </w:p>
    <w:p w14:paraId="04E71E14" w14:textId="0F78442C" w:rsidR="004D5091" w:rsidRPr="00917BF6" w:rsidRDefault="004D5091" w:rsidP="0093340A">
      <w:pPr>
        <w:ind w:left="567"/>
        <w:rPr>
          <w:rFonts w:asciiTheme="minorHAnsi" w:hAnsiTheme="minorHAnsi" w:cstheme="minorHAnsi"/>
          <w:color w:val="00B050"/>
          <w:u w:val="single"/>
        </w:rPr>
      </w:pPr>
      <w:r w:rsidRPr="00917BF6">
        <w:rPr>
          <w:rFonts w:asciiTheme="minorHAnsi" w:hAnsiTheme="minorHAnsi" w:cstheme="minorHAnsi"/>
          <w:color w:val="00B050"/>
          <w:u w:val="single"/>
        </w:rPr>
        <w:t>BPA GLYCIDYL DIACRYLATE</w:t>
      </w:r>
    </w:p>
    <w:p w14:paraId="31798BC8" w14:textId="77777777" w:rsidR="004D5091" w:rsidRPr="00917BF6" w:rsidRDefault="004D5091" w:rsidP="0093340A">
      <w:pPr>
        <w:ind w:left="567"/>
        <w:rPr>
          <w:rFonts w:asciiTheme="minorHAnsi" w:hAnsiTheme="minorHAnsi" w:cstheme="minorHAnsi"/>
          <w:color w:val="00B050"/>
          <w:u w:val="single"/>
        </w:rPr>
      </w:pPr>
      <w:r w:rsidRPr="00917BF6">
        <w:rPr>
          <w:rFonts w:asciiTheme="minorHAnsi" w:hAnsiTheme="minorHAnsi" w:cstheme="minorHAnsi"/>
          <w:color w:val="00B050"/>
          <w:u w:val="single"/>
        </w:rPr>
        <w:t>Schedule 6</w:t>
      </w:r>
    </w:p>
    <w:p w14:paraId="1EF43912" w14:textId="77777777" w:rsidR="004D5091" w:rsidRPr="00E35D79" w:rsidRDefault="004D5091" w:rsidP="0093340A">
      <w:pPr>
        <w:ind w:left="567"/>
        <w:rPr>
          <w:rFonts w:asciiTheme="minorHAnsi" w:hAnsiTheme="minorHAnsi" w:cstheme="minorHAnsi"/>
        </w:rPr>
      </w:pPr>
      <w:r w:rsidRPr="00917BF6">
        <w:rPr>
          <w:rFonts w:asciiTheme="minorHAnsi" w:hAnsiTheme="minorHAnsi" w:cstheme="minorHAnsi"/>
          <w:color w:val="00B050"/>
          <w:u w:val="single"/>
        </w:rPr>
        <w:t>Appendix F, Clause 4</w:t>
      </w:r>
    </w:p>
    <w:p w14:paraId="657D6385" w14:textId="77777777" w:rsidR="0013481F" w:rsidRDefault="0013481F" w:rsidP="00E35D79">
      <w:pPr>
        <w:rPr>
          <w:rFonts w:asciiTheme="minorHAnsi" w:hAnsiTheme="minorHAnsi" w:cstheme="minorHAnsi"/>
          <w:b/>
          <w:bCs/>
        </w:rPr>
      </w:pPr>
    </w:p>
    <w:p w14:paraId="1A3E30F9" w14:textId="47E6349E" w:rsidR="004D5091" w:rsidRPr="00E35D79" w:rsidRDefault="004D5091" w:rsidP="00E35D79">
      <w:pPr>
        <w:rPr>
          <w:rFonts w:asciiTheme="minorHAnsi" w:hAnsiTheme="minorHAnsi" w:cstheme="minorHAnsi"/>
        </w:rPr>
      </w:pPr>
      <w:r w:rsidRPr="00E97A34">
        <w:rPr>
          <w:rFonts w:asciiTheme="minorHAnsi" w:hAnsiTheme="minorHAnsi" w:cstheme="minorHAnsi"/>
          <w:b/>
          <w:bCs/>
        </w:rPr>
        <w:t>Appendix F, clause 4</w:t>
      </w:r>
      <w:r w:rsidRPr="00E35D79">
        <w:rPr>
          <w:rFonts w:asciiTheme="minorHAnsi" w:hAnsiTheme="minorHAnsi" w:cstheme="minorHAnsi"/>
        </w:rPr>
        <w:t xml:space="preserve"> –</w:t>
      </w:r>
      <w:r w:rsidR="00B33EC9">
        <w:rPr>
          <w:rFonts w:asciiTheme="minorHAnsi" w:hAnsiTheme="minorHAnsi" w:cstheme="minorHAnsi"/>
        </w:rPr>
        <w:t xml:space="preserve"> </w:t>
      </w:r>
      <w:r w:rsidRPr="00E35D79">
        <w:rPr>
          <w:rFonts w:asciiTheme="minorHAnsi" w:hAnsiTheme="minorHAnsi" w:cstheme="minorHAnsi"/>
        </w:rPr>
        <w:t>Warning statement</w:t>
      </w:r>
      <w:r w:rsidR="00B33EC9">
        <w:rPr>
          <w:rFonts w:asciiTheme="minorHAnsi" w:hAnsiTheme="minorHAnsi" w:cstheme="minorHAnsi"/>
        </w:rPr>
        <w:t>s</w:t>
      </w:r>
      <w:r w:rsidRPr="00E35D79">
        <w:rPr>
          <w:rFonts w:asciiTheme="minorHAnsi" w:hAnsiTheme="minorHAnsi" w:cstheme="minorHAnsi"/>
        </w:rPr>
        <w:t xml:space="preserve"> and safety direction</w:t>
      </w:r>
      <w:r w:rsidR="00B33EC9">
        <w:rPr>
          <w:rFonts w:asciiTheme="minorHAnsi" w:hAnsiTheme="minorHAnsi" w:cstheme="minorHAnsi"/>
        </w:rPr>
        <w:t>s</w:t>
      </w:r>
    </w:p>
    <w:tbl>
      <w:tblPr>
        <w:tblpPr w:leftFromText="180" w:rightFromText="180" w:vertAnchor="text" w:horzAnchor="margin" w:tblpY="69"/>
        <w:tblW w:w="9336" w:type="dxa"/>
        <w:tblCellMar>
          <w:left w:w="0" w:type="dxa"/>
          <w:right w:w="0" w:type="dxa"/>
        </w:tblCellMar>
        <w:tblLook w:val="04A0" w:firstRow="1" w:lastRow="0" w:firstColumn="1" w:lastColumn="0" w:noHBand="0" w:noVBand="1"/>
      </w:tblPr>
      <w:tblGrid>
        <w:gridCol w:w="1505"/>
        <w:gridCol w:w="2773"/>
        <w:gridCol w:w="5058"/>
      </w:tblGrid>
      <w:tr w:rsidR="004D5091" w:rsidRPr="00E35D79" w14:paraId="627D7814" w14:textId="77777777" w:rsidTr="00D87EC3">
        <w:trPr>
          <w:cantSplit/>
          <w:trHeight w:val="234"/>
        </w:trPr>
        <w:tc>
          <w:tcPr>
            <w:tcW w:w="1505" w:type="dxa"/>
            <w:tcBorders>
              <w:top w:val="single" w:sz="8" w:space="0" w:color="auto"/>
              <w:left w:val="single" w:sz="8" w:space="0" w:color="auto"/>
              <w:bottom w:val="single" w:sz="8" w:space="0" w:color="auto"/>
              <w:right w:val="single" w:sz="8" w:space="0" w:color="auto"/>
            </w:tcBorders>
            <w:shd w:val="clear" w:color="auto" w:fill="0070B5" w:themeFill="text1" w:themeFillTint="BF"/>
            <w:tcMar>
              <w:top w:w="0" w:type="dxa"/>
              <w:left w:w="108" w:type="dxa"/>
              <w:bottom w:w="0" w:type="dxa"/>
              <w:right w:w="108" w:type="dxa"/>
            </w:tcMar>
            <w:hideMark/>
          </w:tcPr>
          <w:p w14:paraId="5EE9743B" w14:textId="77777777" w:rsidR="004D5091" w:rsidRPr="009449BF" w:rsidRDefault="004D5091" w:rsidP="00E35D79">
            <w:pPr>
              <w:rPr>
                <w:rFonts w:asciiTheme="minorHAnsi" w:hAnsiTheme="minorHAnsi" w:cstheme="minorHAnsi"/>
                <w:color w:val="FFFFFF" w:themeColor="background1"/>
              </w:rPr>
            </w:pPr>
            <w:bookmarkStart w:id="20" w:name="_Hlk184203208"/>
            <w:r w:rsidRPr="009449BF">
              <w:rPr>
                <w:rFonts w:asciiTheme="minorHAnsi" w:hAnsiTheme="minorHAnsi" w:cstheme="minorHAnsi"/>
                <w:color w:val="FFFFFF" w:themeColor="background1"/>
              </w:rPr>
              <w:t>Item</w:t>
            </w:r>
          </w:p>
        </w:tc>
        <w:tc>
          <w:tcPr>
            <w:tcW w:w="2773" w:type="dxa"/>
            <w:tcBorders>
              <w:top w:val="single" w:sz="8" w:space="0" w:color="auto"/>
              <w:left w:val="nil"/>
              <w:bottom w:val="single" w:sz="8" w:space="0" w:color="auto"/>
              <w:right w:val="single" w:sz="8" w:space="0" w:color="auto"/>
            </w:tcBorders>
            <w:shd w:val="clear" w:color="auto" w:fill="0070B5" w:themeFill="text1" w:themeFillTint="BF"/>
            <w:tcMar>
              <w:top w:w="0" w:type="dxa"/>
              <w:left w:w="108" w:type="dxa"/>
              <w:bottom w:w="0" w:type="dxa"/>
              <w:right w:w="108" w:type="dxa"/>
            </w:tcMar>
            <w:hideMark/>
          </w:tcPr>
          <w:p w14:paraId="3D1CE8FB" w14:textId="77777777" w:rsidR="004D5091" w:rsidRPr="009449BF" w:rsidRDefault="004D5091" w:rsidP="00E35D79">
            <w:pPr>
              <w:rPr>
                <w:rFonts w:asciiTheme="minorHAnsi" w:hAnsiTheme="minorHAnsi" w:cstheme="minorHAnsi"/>
                <w:color w:val="FFFFFF" w:themeColor="background1"/>
              </w:rPr>
            </w:pPr>
            <w:r w:rsidRPr="009449BF">
              <w:rPr>
                <w:rFonts w:asciiTheme="minorHAnsi" w:hAnsiTheme="minorHAnsi" w:cstheme="minorHAnsi"/>
                <w:color w:val="FFFFFF" w:themeColor="background1"/>
              </w:rPr>
              <w:t>Poison</w:t>
            </w:r>
          </w:p>
        </w:tc>
        <w:tc>
          <w:tcPr>
            <w:tcW w:w="5058" w:type="dxa"/>
            <w:tcBorders>
              <w:top w:val="single" w:sz="8" w:space="0" w:color="auto"/>
              <w:left w:val="nil"/>
              <w:bottom w:val="single" w:sz="8" w:space="0" w:color="auto"/>
              <w:right w:val="single" w:sz="8" w:space="0" w:color="auto"/>
            </w:tcBorders>
            <w:shd w:val="clear" w:color="auto" w:fill="0070B5" w:themeFill="text1" w:themeFillTint="BF"/>
            <w:tcMar>
              <w:top w:w="0" w:type="dxa"/>
              <w:left w:w="108" w:type="dxa"/>
              <w:bottom w:w="0" w:type="dxa"/>
              <w:right w:w="108" w:type="dxa"/>
            </w:tcMar>
            <w:hideMark/>
          </w:tcPr>
          <w:p w14:paraId="1922AE17" w14:textId="66592ABA" w:rsidR="004D5091" w:rsidRPr="009449BF" w:rsidRDefault="004D5091" w:rsidP="00E35D79">
            <w:pPr>
              <w:rPr>
                <w:rFonts w:asciiTheme="minorHAnsi" w:hAnsiTheme="minorHAnsi" w:cstheme="minorHAnsi"/>
                <w:color w:val="FFFFFF" w:themeColor="background1"/>
              </w:rPr>
            </w:pPr>
            <w:r w:rsidRPr="009449BF">
              <w:rPr>
                <w:rFonts w:asciiTheme="minorHAnsi" w:hAnsiTheme="minorHAnsi" w:cstheme="minorHAnsi"/>
                <w:color w:val="FFFFFF" w:themeColor="background1"/>
              </w:rPr>
              <w:t xml:space="preserve">Safety direction item number and statement </w:t>
            </w:r>
          </w:p>
        </w:tc>
        <w:bookmarkEnd w:id="20"/>
      </w:tr>
      <w:tr w:rsidR="004D5091" w:rsidRPr="00E35D79" w14:paraId="189C3BB6" w14:textId="77777777" w:rsidTr="00D87EC3">
        <w:trPr>
          <w:cantSplit/>
          <w:trHeight w:val="198"/>
        </w:trPr>
        <w:tc>
          <w:tcPr>
            <w:tcW w:w="1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47B4D" w14:textId="77777777" w:rsidR="004D5091" w:rsidRPr="00D23577" w:rsidRDefault="004D5091" w:rsidP="00E35D79">
            <w:pPr>
              <w:rPr>
                <w:rFonts w:asciiTheme="minorHAnsi" w:hAnsiTheme="minorHAnsi" w:cstheme="minorHAnsi"/>
                <w:color w:val="00B050"/>
              </w:rPr>
            </w:pPr>
            <w:r w:rsidRPr="00D23577">
              <w:rPr>
                <w:rFonts w:asciiTheme="minorHAnsi" w:hAnsiTheme="minorHAnsi" w:cstheme="minorHAnsi"/>
                <w:color w:val="00B050"/>
              </w:rPr>
              <w:t>50</w:t>
            </w:r>
          </w:p>
        </w:tc>
        <w:tc>
          <w:tcPr>
            <w:tcW w:w="2773" w:type="dxa"/>
            <w:tcBorders>
              <w:top w:val="nil"/>
              <w:left w:val="nil"/>
              <w:bottom w:val="single" w:sz="8" w:space="0" w:color="auto"/>
              <w:right w:val="single" w:sz="8" w:space="0" w:color="auto"/>
            </w:tcBorders>
            <w:tcMar>
              <w:top w:w="0" w:type="dxa"/>
              <w:left w:w="108" w:type="dxa"/>
              <w:bottom w:w="0" w:type="dxa"/>
              <w:right w:w="108" w:type="dxa"/>
            </w:tcMar>
            <w:hideMark/>
          </w:tcPr>
          <w:p w14:paraId="49AAD8E4" w14:textId="77777777" w:rsidR="004D5091" w:rsidRPr="00D23577" w:rsidRDefault="004D5091" w:rsidP="00E35D79">
            <w:pPr>
              <w:rPr>
                <w:rFonts w:asciiTheme="minorHAnsi" w:hAnsiTheme="minorHAnsi" w:cstheme="minorHAnsi"/>
                <w:color w:val="00B050"/>
              </w:rPr>
            </w:pPr>
            <w:r w:rsidRPr="00D23577">
              <w:rPr>
                <w:rFonts w:asciiTheme="minorHAnsi" w:hAnsiTheme="minorHAnsi" w:cstheme="minorHAnsi"/>
                <w:color w:val="00B050"/>
              </w:rPr>
              <w:t>BPA GLYCIDYL DIMETHACRYLATE</w:t>
            </w:r>
          </w:p>
        </w:tc>
        <w:tc>
          <w:tcPr>
            <w:tcW w:w="5058" w:type="dxa"/>
            <w:tcBorders>
              <w:top w:val="nil"/>
              <w:left w:val="nil"/>
              <w:bottom w:val="single" w:sz="8" w:space="0" w:color="auto"/>
              <w:right w:val="single" w:sz="8" w:space="0" w:color="auto"/>
            </w:tcBorders>
            <w:tcMar>
              <w:top w:w="0" w:type="dxa"/>
              <w:left w:w="108" w:type="dxa"/>
              <w:bottom w:w="0" w:type="dxa"/>
              <w:right w:w="108" w:type="dxa"/>
            </w:tcMar>
            <w:hideMark/>
          </w:tcPr>
          <w:p w14:paraId="3A4F8B35" w14:textId="77777777" w:rsidR="004D5091" w:rsidRPr="00D23577" w:rsidRDefault="004D5091" w:rsidP="00E35D79">
            <w:pPr>
              <w:rPr>
                <w:rFonts w:asciiTheme="minorHAnsi" w:hAnsiTheme="minorHAnsi" w:cstheme="minorHAnsi"/>
                <w:color w:val="00B050"/>
              </w:rPr>
            </w:pPr>
            <w:r w:rsidRPr="00D23577">
              <w:rPr>
                <w:rFonts w:asciiTheme="minorHAnsi" w:hAnsiTheme="minorHAnsi" w:cstheme="minorHAnsi"/>
                <w:color w:val="00B050"/>
              </w:rPr>
              <w:t>4 – Avoid contact with skin</w:t>
            </w:r>
          </w:p>
        </w:tc>
      </w:tr>
      <w:tr w:rsidR="004D5091" w:rsidRPr="00E35D79" w14:paraId="301AED72" w14:textId="77777777" w:rsidTr="00D87EC3">
        <w:trPr>
          <w:cantSplit/>
          <w:trHeight w:val="163"/>
        </w:trPr>
        <w:tc>
          <w:tcPr>
            <w:tcW w:w="1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B6539" w14:textId="77777777" w:rsidR="004D5091" w:rsidRPr="00D23577" w:rsidRDefault="004D5091" w:rsidP="00E35D79">
            <w:pPr>
              <w:rPr>
                <w:rFonts w:asciiTheme="minorHAnsi" w:hAnsiTheme="minorHAnsi" w:cstheme="minorHAnsi"/>
                <w:color w:val="00B050"/>
              </w:rPr>
            </w:pPr>
            <w:r w:rsidRPr="00D23577">
              <w:rPr>
                <w:rFonts w:asciiTheme="minorHAnsi" w:hAnsiTheme="minorHAnsi" w:cstheme="minorHAnsi"/>
                <w:color w:val="00B050"/>
              </w:rPr>
              <w:t>51</w:t>
            </w:r>
          </w:p>
        </w:tc>
        <w:tc>
          <w:tcPr>
            <w:tcW w:w="2773" w:type="dxa"/>
            <w:tcBorders>
              <w:top w:val="nil"/>
              <w:left w:val="nil"/>
              <w:bottom w:val="single" w:sz="8" w:space="0" w:color="auto"/>
              <w:right w:val="single" w:sz="8" w:space="0" w:color="auto"/>
            </w:tcBorders>
            <w:tcMar>
              <w:top w:w="0" w:type="dxa"/>
              <w:left w:w="108" w:type="dxa"/>
              <w:bottom w:w="0" w:type="dxa"/>
              <w:right w:w="108" w:type="dxa"/>
            </w:tcMar>
            <w:hideMark/>
          </w:tcPr>
          <w:p w14:paraId="165706B7" w14:textId="77777777" w:rsidR="004D5091" w:rsidRPr="00D23577" w:rsidRDefault="004D5091" w:rsidP="00E35D79">
            <w:pPr>
              <w:rPr>
                <w:rFonts w:asciiTheme="minorHAnsi" w:hAnsiTheme="minorHAnsi" w:cstheme="minorHAnsi"/>
                <w:color w:val="00B050"/>
              </w:rPr>
            </w:pPr>
            <w:r w:rsidRPr="00D23577">
              <w:rPr>
                <w:rFonts w:asciiTheme="minorHAnsi" w:hAnsiTheme="minorHAnsi" w:cstheme="minorHAnsi"/>
                <w:color w:val="00B050"/>
              </w:rPr>
              <w:t>BPA GLYCIDYL DIACRYLATE</w:t>
            </w:r>
          </w:p>
        </w:tc>
        <w:tc>
          <w:tcPr>
            <w:tcW w:w="5058" w:type="dxa"/>
            <w:tcBorders>
              <w:top w:val="nil"/>
              <w:left w:val="nil"/>
              <w:bottom w:val="single" w:sz="8" w:space="0" w:color="auto"/>
              <w:right w:val="single" w:sz="8" w:space="0" w:color="auto"/>
            </w:tcBorders>
            <w:tcMar>
              <w:top w:w="0" w:type="dxa"/>
              <w:left w:w="108" w:type="dxa"/>
              <w:bottom w:w="0" w:type="dxa"/>
              <w:right w:w="108" w:type="dxa"/>
            </w:tcMar>
          </w:tcPr>
          <w:p w14:paraId="23A94724" w14:textId="77777777" w:rsidR="004D5091" w:rsidRPr="00D23577" w:rsidRDefault="004D5091" w:rsidP="00E35D79">
            <w:pPr>
              <w:rPr>
                <w:rFonts w:asciiTheme="minorHAnsi" w:hAnsiTheme="minorHAnsi" w:cstheme="minorHAnsi"/>
                <w:color w:val="00B050"/>
              </w:rPr>
            </w:pPr>
            <w:r w:rsidRPr="00D23577">
              <w:rPr>
                <w:rFonts w:asciiTheme="minorHAnsi" w:hAnsiTheme="minorHAnsi" w:cstheme="minorHAnsi"/>
                <w:color w:val="00B050"/>
              </w:rPr>
              <w:t>4 – Avoid contact with skin</w:t>
            </w:r>
          </w:p>
        </w:tc>
      </w:tr>
    </w:tbl>
    <w:p w14:paraId="5F918933" w14:textId="77777777" w:rsidR="00ED6BE3" w:rsidRPr="00997D3C" w:rsidRDefault="00ED6BE3" w:rsidP="00997D3C">
      <w:pPr>
        <w:pStyle w:val="Heading4"/>
      </w:pPr>
      <w:r w:rsidRPr="00997D3C">
        <w:t>Background</w:t>
      </w:r>
    </w:p>
    <w:p w14:paraId="6D494FA7" w14:textId="77777777" w:rsidR="00ED6BE3" w:rsidRPr="00E35D79" w:rsidRDefault="00ED6BE3" w:rsidP="00E35D79">
      <w:pPr>
        <w:rPr>
          <w:rFonts w:asciiTheme="minorHAnsi" w:hAnsiTheme="minorHAnsi" w:cstheme="minorHAnsi"/>
        </w:rPr>
      </w:pPr>
      <w:r w:rsidRPr="00E35D79">
        <w:rPr>
          <w:rFonts w:asciiTheme="minorHAnsi" w:hAnsiTheme="minorHAnsi" w:cstheme="minorHAnsi"/>
        </w:rPr>
        <w:t>Acrylates and methacrylates based on bisphenol A (BPA) are primarily used commercially in a wide range of products such as adhesives, coatings, and printing inks, with site-limited use in manufacturing other chemicals and polymer products. Many of these chemicals are also used in food contact materials, including plastics, coatings, paperboard, adhesives, and printing inks. Additionally, five of these chemicals are used in cosmetic nail products.</w:t>
      </w:r>
    </w:p>
    <w:p w14:paraId="3081A99D" w14:textId="77777777" w:rsidR="00ED6BE3" w:rsidRPr="00E35D79" w:rsidRDefault="00ED6BE3" w:rsidP="00364838">
      <w:pPr>
        <w:pStyle w:val="ListParagraph"/>
      </w:pPr>
      <w:r w:rsidRPr="00E35D79">
        <w:t>BPA glycidyl dimethacrylate (CAS No.1565-94-2)</w:t>
      </w:r>
    </w:p>
    <w:p w14:paraId="7954ADE5" w14:textId="77777777" w:rsidR="00ED6BE3" w:rsidRPr="00E35D79" w:rsidRDefault="00ED6BE3" w:rsidP="00364838">
      <w:pPr>
        <w:pStyle w:val="ListParagraph"/>
      </w:pPr>
      <w:r w:rsidRPr="00E35D79">
        <w:t>BPA glycidyl diacrylate (CAS No. 4687-94-9)</w:t>
      </w:r>
    </w:p>
    <w:p w14:paraId="40A01D6E" w14:textId="77777777" w:rsidR="00ED6BE3" w:rsidRPr="00E35D79" w:rsidRDefault="00ED6BE3" w:rsidP="00364838">
      <w:pPr>
        <w:pStyle w:val="ListParagraph"/>
      </w:pPr>
      <w:r w:rsidRPr="00E35D79">
        <w:t>ethoxylated BPA dimethacrylate (CAS No. 41637-38-1)</w:t>
      </w:r>
    </w:p>
    <w:p w14:paraId="5995ECE3" w14:textId="77777777" w:rsidR="00ED6BE3" w:rsidRPr="00E35D79" w:rsidRDefault="00ED6BE3" w:rsidP="00364838">
      <w:pPr>
        <w:pStyle w:val="ListParagraph"/>
      </w:pPr>
      <w:r w:rsidRPr="00E35D79">
        <w:t>ethoxylated BPA diacrylate (CAS No. 64401-02-1)</w:t>
      </w:r>
    </w:p>
    <w:p w14:paraId="67AD97D4" w14:textId="77777777" w:rsidR="00ED6BE3" w:rsidRPr="00E35D79" w:rsidRDefault="00ED6BE3" w:rsidP="00364838">
      <w:pPr>
        <w:pStyle w:val="ListParagraph"/>
      </w:pPr>
      <w:r w:rsidRPr="00E35D79">
        <w:t>BPA bis(methacryloyloxyethoxyethyl ether) (CAS No. 56744-60-6)</w:t>
      </w:r>
    </w:p>
    <w:p w14:paraId="572CA3B9" w14:textId="090FDB09" w:rsidR="00ED6BE3" w:rsidRPr="00E35D79" w:rsidRDefault="00ED6BE3" w:rsidP="00E35D79">
      <w:pPr>
        <w:rPr>
          <w:rFonts w:asciiTheme="minorHAnsi" w:hAnsiTheme="minorHAnsi" w:cstheme="minorHAnsi"/>
        </w:rPr>
      </w:pPr>
      <w:r w:rsidRPr="00E35D79">
        <w:rPr>
          <w:rFonts w:asciiTheme="minorHAnsi" w:hAnsiTheme="minorHAnsi" w:cstheme="minorHAnsi"/>
        </w:rPr>
        <w:t>The public may be exposed to some of these chemicals by direct application of these chemicals to the nails from using nail enhancement products (such as artificial nails) at concentrations 5</w:t>
      </w:r>
      <w:r w:rsidR="00A77332">
        <w:rPr>
          <w:rFonts w:asciiTheme="minorHAnsi" w:hAnsiTheme="minorHAnsi" w:cstheme="minorHAnsi"/>
        </w:rPr>
        <w:t>-</w:t>
      </w:r>
      <w:r w:rsidRPr="00E35D79">
        <w:rPr>
          <w:rFonts w:asciiTheme="minorHAnsi" w:hAnsiTheme="minorHAnsi" w:cstheme="minorHAnsi"/>
        </w:rPr>
        <w:t>10%.</w:t>
      </w:r>
    </w:p>
    <w:p w14:paraId="0428E734" w14:textId="77777777" w:rsidR="00ED6BE3" w:rsidRPr="00E35D79" w:rsidRDefault="00ED6BE3" w:rsidP="00154696">
      <w:pPr>
        <w:pStyle w:val="Heading4"/>
      </w:pPr>
      <w:r w:rsidRPr="00E35D79">
        <w:t>Summary of reasons for the proposal</w:t>
      </w:r>
    </w:p>
    <w:p w14:paraId="303A774E" w14:textId="77777777" w:rsidR="00ED6BE3" w:rsidRPr="00E35D79" w:rsidRDefault="00ED6BE3" w:rsidP="00364838">
      <w:pPr>
        <w:pStyle w:val="ListParagraph"/>
      </w:pPr>
      <w:r w:rsidRPr="00E35D79">
        <w:t>Based on overseas exposure data, the Australian public are potential exposed to up to 10% acrylates and methacrylates based on BPA through nail enhancement products.</w:t>
      </w:r>
    </w:p>
    <w:p w14:paraId="4DFFB4C4" w14:textId="77777777" w:rsidR="00ED6BE3" w:rsidRPr="00E35D79" w:rsidRDefault="00ED6BE3" w:rsidP="00364838">
      <w:pPr>
        <w:pStyle w:val="ListParagraph"/>
      </w:pPr>
      <w:r w:rsidRPr="00E35D79">
        <w:lastRenderedPageBreak/>
        <w:t>Use of DIY at home cosmetic nail products that are used outside of professional settings is increasing.</w:t>
      </w:r>
    </w:p>
    <w:p w14:paraId="65C69D57" w14:textId="2D230F89" w:rsidR="00ED6BE3" w:rsidRPr="00E35D79" w:rsidRDefault="00ED6BE3" w:rsidP="00364838">
      <w:pPr>
        <w:pStyle w:val="ListParagraph"/>
      </w:pPr>
      <w:r w:rsidRPr="00E35D79">
        <w:t>Based on animal and human data, the elicitation of skin sensitisation has been observed at low concentrations (&lt;10 ppm) of BPA glycidyl dimethacrylate and BPA glycidyl diacrylate.</w:t>
      </w:r>
    </w:p>
    <w:p w14:paraId="0F8F0027" w14:textId="5DABCBE0" w:rsidR="00ED6BE3" w:rsidRPr="00E35D79" w:rsidRDefault="004D5091" w:rsidP="00364838">
      <w:pPr>
        <w:pStyle w:val="ListParagraph"/>
      </w:pPr>
      <w:r w:rsidRPr="00E35D79">
        <w:t xml:space="preserve">The United States of America </w:t>
      </w:r>
      <w:hyperlink r:id="rId49" w:history="1">
        <w:r w:rsidRPr="00E35D79">
          <w:rPr>
            <w:rStyle w:val="Hyperlink"/>
            <w:rFonts w:asciiTheme="minorHAnsi" w:hAnsiTheme="minorHAnsi" w:cstheme="minorHAnsi"/>
            <w:szCs w:val="20"/>
          </w:rPr>
          <w:t>Cosmetic Ingredient Review Committee</w:t>
        </w:r>
      </w:hyperlink>
      <w:r w:rsidR="00ED6BE3" w:rsidRPr="00E35D79">
        <w:t xml:space="preserve"> concluded that BPA glycidyl dimethacrylate is safe for use in nail enhancement products </w:t>
      </w:r>
      <w:r w:rsidR="004D345B" w:rsidRPr="00E35D79">
        <w:t xml:space="preserve">provided </w:t>
      </w:r>
      <w:r w:rsidR="00ED6BE3" w:rsidRPr="00E35D79">
        <w:t>skin contact is avoided. The Committee noted that products should be accompanied with directions to avoid skin contact due to the sensitising potential of methacrylates</w:t>
      </w:r>
      <w:r w:rsidRPr="00E35D79">
        <w:t>.</w:t>
      </w:r>
    </w:p>
    <w:p w14:paraId="7C05A112" w14:textId="77777777" w:rsidR="00ED6BE3" w:rsidRPr="00997D3C" w:rsidRDefault="00ED6BE3" w:rsidP="00997D3C">
      <w:pPr>
        <w:pStyle w:val="Heading4"/>
      </w:pPr>
      <w:r w:rsidRPr="00997D3C">
        <w:t>Australian regulations</w:t>
      </w:r>
    </w:p>
    <w:p w14:paraId="7F01259F" w14:textId="42912739" w:rsidR="00ED6BE3" w:rsidRPr="00E35D79" w:rsidRDefault="00ED6BE3" w:rsidP="00364838">
      <w:pPr>
        <w:pStyle w:val="ListParagraph"/>
      </w:pPr>
      <w:r w:rsidRPr="00E35D79">
        <w:t xml:space="preserve">According to the </w:t>
      </w:r>
      <w:hyperlink r:id="rId50" w:history="1">
        <w:r w:rsidRPr="00E35D79">
          <w:rPr>
            <w:rStyle w:val="Hyperlink"/>
            <w:rFonts w:asciiTheme="minorHAnsi" w:hAnsiTheme="minorHAnsi" w:cstheme="minorHAnsi"/>
            <w:szCs w:val="20"/>
          </w:rPr>
          <w:t>TGA Ingredient Database</w:t>
        </w:r>
      </w:hyperlink>
      <w:r w:rsidRPr="00E35D79">
        <w:t>, BPA glycidyl dimethacrylate and BPA glycidyl diacrylate are not listed as of 7 Jan</w:t>
      </w:r>
      <w:r w:rsidR="00A77332">
        <w:t>uary</w:t>
      </w:r>
      <w:r w:rsidRPr="00E35D79">
        <w:t xml:space="preserve"> 2025.</w:t>
      </w:r>
    </w:p>
    <w:p w14:paraId="5E209451" w14:textId="15B5144A" w:rsidR="00ED6BE3" w:rsidRPr="00E35D79" w:rsidRDefault="00ED6BE3" w:rsidP="00364838">
      <w:pPr>
        <w:pStyle w:val="ListParagraph"/>
      </w:pPr>
      <w:r w:rsidRPr="00E35D79">
        <w:t xml:space="preserve">As of 7 January 2025, there were no products containing BPA glycidyl dimethacrylate or BPA glycidyl diacrylate as an active ingredient/constituent or scheduled substance listed on the </w:t>
      </w:r>
      <w:hyperlink r:id="rId51" w:history="1">
        <w:r w:rsidRPr="00E35D79">
          <w:rPr>
            <w:rStyle w:val="Hyperlink"/>
            <w:rFonts w:asciiTheme="minorHAnsi" w:hAnsiTheme="minorHAnsi" w:cstheme="minorHAnsi"/>
            <w:szCs w:val="20"/>
          </w:rPr>
          <w:t>Public Chemical Registration Information System Search (PubCRIS)</w:t>
        </w:r>
      </w:hyperlink>
      <w:r w:rsidRPr="00E35D79">
        <w:t>.</w:t>
      </w:r>
    </w:p>
    <w:p w14:paraId="22E6CC48" w14:textId="2940A43E" w:rsidR="00ED6BE3" w:rsidRPr="00E35D79" w:rsidRDefault="006D6B5B" w:rsidP="00364838">
      <w:pPr>
        <w:pStyle w:val="ListParagraph"/>
      </w:pPr>
      <w:r>
        <w:t>During</w:t>
      </w:r>
      <w:r w:rsidR="00ED6BE3" w:rsidRPr="00E35D79">
        <w:t xml:space="preserve"> 2009-2019</w:t>
      </w:r>
      <w:r>
        <w:t>,</w:t>
      </w:r>
      <w:r w:rsidR="00ED6BE3" w:rsidRPr="00E35D79">
        <w:t xml:space="preserve"> there was no recorded for BPA glycidyl dimethacrylate and BPA glycidyl diacrylate in the </w:t>
      </w:r>
      <w:hyperlink r:id="rId52" w:history="1">
        <w:r w:rsidR="00ED6BE3" w:rsidRPr="00E35D79">
          <w:rPr>
            <w:rStyle w:val="Hyperlink"/>
            <w:rFonts w:asciiTheme="minorHAnsi" w:hAnsiTheme="minorHAnsi" w:cstheme="minorHAnsi"/>
            <w:szCs w:val="20"/>
          </w:rPr>
          <w:t>APVMA Adverse Experience Reporting Program</w:t>
        </w:r>
      </w:hyperlink>
      <w:r w:rsidR="00ED6BE3" w:rsidRPr="00E35D79">
        <w:t xml:space="preserve"> database (AERP).</w:t>
      </w:r>
    </w:p>
    <w:p w14:paraId="71DC4D30" w14:textId="0B9E944C" w:rsidR="00ED6BE3" w:rsidRPr="00E35D79" w:rsidRDefault="00ED6BE3" w:rsidP="00364838">
      <w:pPr>
        <w:pStyle w:val="ListParagraph"/>
      </w:pPr>
      <w:r w:rsidRPr="00E35D79">
        <w:t xml:space="preserve">BPA glycidyl dimethacrylate and BPA glycidyl diacrylate are included in the </w:t>
      </w:r>
      <w:hyperlink r:id="rId53" w:history="1">
        <w:r w:rsidRPr="00E35D79">
          <w:rPr>
            <w:rStyle w:val="Hyperlink"/>
            <w:rFonts w:asciiTheme="minorHAnsi" w:hAnsiTheme="minorHAnsi" w:cstheme="minorHAnsi"/>
            <w:szCs w:val="20"/>
          </w:rPr>
          <w:t>Australian Inventory of Industrial Chemicals</w:t>
        </w:r>
      </w:hyperlink>
      <w:r w:rsidRPr="00E35D79">
        <w:t>.</w:t>
      </w:r>
    </w:p>
    <w:p w14:paraId="2B8A2FBD" w14:textId="77777777" w:rsidR="00ED6BE3" w:rsidRPr="00997D3C" w:rsidRDefault="00ED6BE3" w:rsidP="00997D3C">
      <w:pPr>
        <w:pStyle w:val="Heading4"/>
      </w:pPr>
      <w:r w:rsidRPr="00997D3C">
        <w:t>International regulations</w:t>
      </w:r>
    </w:p>
    <w:p w14:paraId="4BC9D763" w14:textId="0373B736" w:rsidR="004D5091" w:rsidRPr="00E35D79" w:rsidRDefault="004D5091" w:rsidP="00364838">
      <w:pPr>
        <w:pStyle w:val="ListParagraph"/>
      </w:pPr>
      <w:hyperlink r:id="rId54" w:history="1">
        <w:r w:rsidRPr="00E35D79">
          <w:rPr>
            <w:rStyle w:val="Hyperlink"/>
            <w:rFonts w:asciiTheme="minorHAnsi" w:hAnsiTheme="minorHAnsi" w:cstheme="minorHAnsi"/>
            <w:szCs w:val="20"/>
          </w:rPr>
          <w:t>European Chemicals Agency (ECHA)</w:t>
        </w:r>
      </w:hyperlink>
      <w:r w:rsidRPr="00E35D79">
        <w:t xml:space="preserve"> noted that BPA glycidyl dimethacrylate (1565-94-2) causes serious eye damage and skin irritation and may cause an allergic skin reaction and respiratory irritation. ECHA also noted that BPA glycidyl diacrylate (4687-94-9) may cause an allergic skin reaction.</w:t>
      </w:r>
    </w:p>
    <w:p w14:paraId="1958D30C" w14:textId="30B72E8A" w:rsidR="004D5091" w:rsidRPr="00E35D79" w:rsidRDefault="004D5091" w:rsidP="00364838">
      <w:pPr>
        <w:pStyle w:val="ListParagraph"/>
      </w:pPr>
      <w:r w:rsidRPr="00E35D79">
        <w:t xml:space="preserve">In </w:t>
      </w:r>
      <w:hyperlink r:id="rId55" w:history="1">
        <w:r w:rsidRPr="00E35D79">
          <w:rPr>
            <w:rStyle w:val="Hyperlink"/>
            <w:rFonts w:asciiTheme="minorHAnsi" w:hAnsiTheme="minorHAnsi" w:cstheme="minorHAnsi"/>
            <w:szCs w:val="20"/>
          </w:rPr>
          <w:t>European Commission database for information on cosmetic substances and ingredients database (CosIng)</w:t>
        </w:r>
      </w:hyperlink>
      <w:r w:rsidRPr="00E35D79">
        <w:t>, BPA glycidyl dimethacrylate (1565-94-2) is listed for film forming in cosmetic agents.</w:t>
      </w:r>
    </w:p>
    <w:p w14:paraId="7FA54447" w14:textId="77777777" w:rsidR="004D5091" w:rsidRPr="00E35D79" w:rsidRDefault="004D5091" w:rsidP="00364838">
      <w:pPr>
        <w:pStyle w:val="ListParagraph"/>
      </w:pPr>
      <w:r w:rsidRPr="00E35D79">
        <w:t xml:space="preserve">As of January 2025, no record of BPA glycidyl dimethacrylate (1565-94-2) and BPA glycidyl diacrylate (4687-94-9) were listed in </w:t>
      </w:r>
      <w:hyperlink r:id="rId56" w:history="1">
        <w:r w:rsidRPr="00E35D79">
          <w:rPr>
            <w:rStyle w:val="Hyperlink"/>
            <w:rFonts w:asciiTheme="minorHAnsi" w:hAnsiTheme="minorHAnsi" w:cstheme="minorHAnsi"/>
            <w:szCs w:val="20"/>
          </w:rPr>
          <w:t>EU Pesticides Database - Active substances</w:t>
        </w:r>
      </w:hyperlink>
      <w:r w:rsidRPr="00E35D79">
        <w:t xml:space="preserve"> and </w:t>
      </w:r>
      <w:hyperlink r:id="rId57" w:history="1">
        <w:r w:rsidRPr="00E35D79">
          <w:rPr>
            <w:rStyle w:val="Hyperlink"/>
            <w:rFonts w:asciiTheme="minorHAnsi" w:hAnsiTheme="minorHAnsi" w:cstheme="minorHAnsi"/>
            <w:szCs w:val="20"/>
          </w:rPr>
          <w:t>Canada’s Pest Management Regulation Agency</w:t>
        </w:r>
      </w:hyperlink>
      <w:r w:rsidRPr="00E35D79">
        <w:t>.</w:t>
      </w:r>
    </w:p>
    <w:p w14:paraId="02395E98" w14:textId="76232B40" w:rsidR="004D5091" w:rsidRPr="00E35D79" w:rsidRDefault="004D5091" w:rsidP="00364838">
      <w:pPr>
        <w:pStyle w:val="ListParagraph"/>
      </w:pPr>
      <w:r w:rsidRPr="00E35D79">
        <w:t xml:space="preserve">BPA glycidyl dimethacrylate (1565-94-2) was on </w:t>
      </w:r>
      <w:hyperlink r:id="rId58" w:history="1">
        <w:r w:rsidRPr="00E35D79">
          <w:rPr>
            <w:rStyle w:val="Hyperlink"/>
            <w:rFonts w:asciiTheme="minorHAnsi" w:hAnsiTheme="minorHAnsi" w:cstheme="minorHAnsi"/>
            <w:szCs w:val="20"/>
          </w:rPr>
          <w:t>New Zealand Inventory of Chemicals (NZIoC)</w:t>
        </w:r>
      </w:hyperlink>
      <w:r w:rsidRPr="00E35D79">
        <w:t xml:space="preserve">, </w:t>
      </w:r>
      <w:r w:rsidRPr="00416564">
        <w:t xml:space="preserve">the substance is present in New Zealand </w:t>
      </w:r>
      <w:r w:rsidR="008869DF" w:rsidRPr="00A01CCE">
        <w:t>but do not have individual approval. They can, however, be used as single component products under an appropriate group standard approval based on GHS hazard classification and toxicity information.</w:t>
      </w:r>
    </w:p>
    <w:p w14:paraId="6DEE9800" w14:textId="6BFEB1BF" w:rsidR="004D5091" w:rsidRPr="00E35D79" w:rsidRDefault="004D5091" w:rsidP="00364838">
      <w:pPr>
        <w:pStyle w:val="ListParagraph"/>
      </w:pPr>
      <w:r w:rsidRPr="00E35D79">
        <w:t xml:space="preserve">According to the </w:t>
      </w:r>
      <w:hyperlink r:id="rId59" w:tgtFrame="_blank" w:tooltip="https://www.ajcsd.org/chrip_search/cmpinfdsp?cid=c005-148-23a&amp;bcptn=1&amp;shmd=0&amp;txnumsh=&amp;ltnumtp=1&amp;ltnummh=0&amp;txnmsh=ynv0yw5vbmugb3hpbwu=&amp;ltnmtp=&amp;ltnmmh=1&amp;txnmsh1=&amp;ltnmtp1=&amp;txnmsh2=&amp;ltnmtp2=&amp;txnmsh3=&amp;ltnmtp3=&amp;txmlsh=&amp;ltmlmh=0&amp;ltscdp=0&amp;ltpgctst=10&amp;rbdp=0&amp;txscsml=&amp;t" w:history="1">
        <w:r w:rsidRPr="00E35D79">
          <w:rPr>
            <w:rStyle w:val="Hyperlink"/>
            <w:rFonts w:asciiTheme="minorHAnsi" w:hAnsiTheme="minorHAnsi" w:cstheme="minorHAnsi"/>
            <w:szCs w:val="20"/>
          </w:rPr>
          <w:t>AJCSD (ASEAN-Japan Chemical Safety Database)</w:t>
        </w:r>
      </w:hyperlink>
      <w:r w:rsidRPr="00E35D79">
        <w:t>, utensils and containers or packaging (UCP) containing the BPA glycidyl diacrylate (4687-94-9) can be used as a raw material for the following food categories, including</w:t>
      </w:r>
      <w:r w:rsidR="008869DF">
        <w:t>:</w:t>
      </w:r>
    </w:p>
    <w:p w14:paraId="754A2D56" w14:textId="77777777" w:rsidR="004D5091" w:rsidRPr="00E35D79" w:rsidRDefault="004D5091" w:rsidP="008869DF">
      <w:pPr>
        <w:pStyle w:val="ListBullet2"/>
      </w:pPr>
      <w:r w:rsidRPr="00E35D79">
        <w:t>Acidic foods</w:t>
      </w:r>
    </w:p>
    <w:p w14:paraId="39BA3E65" w14:textId="77777777" w:rsidR="004D5091" w:rsidRPr="00E35D79" w:rsidRDefault="004D5091" w:rsidP="008869DF">
      <w:pPr>
        <w:pStyle w:val="ListBullet2"/>
      </w:pPr>
      <w:r w:rsidRPr="00E35D79">
        <w:t>Fats/oils and fatty/oily foods</w:t>
      </w:r>
    </w:p>
    <w:p w14:paraId="38F86FCD" w14:textId="77777777" w:rsidR="004D5091" w:rsidRPr="00E35D79" w:rsidRDefault="004D5091" w:rsidP="008869DF">
      <w:pPr>
        <w:pStyle w:val="ListBullet2"/>
      </w:pPr>
      <w:r w:rsidRPr="00E35D79">
        <w:t>Milk/milk products</w:t>
      </w:r>
    </w:p>
    <w:p w14:paraId="2DE5CD69" w14:textId="77777777" w:rsidR="004D5091" w:rsidRPr="00E35D79" w:rsidRDefault="004D5091" w:rsidP="008869DF">
      <w:pPr>
        <w:pStyle w:val="ListBullet2"/>
      </w:pPr>
      <w:r w:rsidRPr="00E35D79">
        <w:t>Alcoholic beverages</w:t>
      </w:r>
    </w:p>
    <w:p w14:paraId="640608FD" w14:textId="77777777" w:rsidR="004D5091" w:rsidRPr="00E35D79" w:rsidRDefault="004D5091" w:rsidP="008869DF">
      <w:pPr>
        <w:pStyle w:val="ListBullet2"/>
      </w:pPr>
      <w:r w:rsidRPr="00E35D79">
        <w:t>Other foods</w:t>
      </w:r>
    </w:p>
    <w:p w14:paraId="32CA71DA" w14:textId="77777777" w:rsidR="009175E2" w:rsidRDefault="004D5091" w:rsidP="009449BF">
      <w:pPr>
        <w:pStyle w:val="ListParagraph"/>
      </w:pPr>
      <w:r w:rsidRPr="00E35D79">
        <w:lastRenderedPageBreak/>
        <w:t xml:space="preserve">The </w:t>
      </w:r>
      <w:hyperlink r:id="rId60" w:history="1">
        <w:r w:rsidRPr="00E35D79">
          <w:rPr>
            <w:rStyle w:val="Hyperlink"/>
            <w:rFonts w:asciiTheme="minorHAnsi" w:hAnsiTheme="minorHAnsi" w:cstheme="minorHAnsi"/>
            <w:szCs w:val="20"/>
          </w:rPr>
          <w:t>Cosmetic Ingredient Review (CIR) Expert Pane</w:t>
        </w:r>
      </w:hyperlink>
      <w:r w:rsidRPr="00E35D79">
        <w:t>l from USA concluded that BPA glycidyl dimethacrylate (1565-94-2) is safe for use in nail enhancement products where skin contact is avoided due to the sensitising potential of methacrylates</w:t>
      </w:r>
      <w:r w:rsidRPr="008869DF">
        <w:rPr>
          <w:vertAlign w:val="superscript"/>
        </w:rPr>
        <w:footnoteReference w:id="12"/>
      </w:r>
      <w:r w:rsidRPr="008869DF">
        <w:rPr>
          <w:vertAlign w:val="superscript"/>
        </w:rPr>
        <w:t>,</w:t>
      </w:r>
      <w:r w:rsidRPr="008869DF">
        <w:rPr>
          <w:vertAlign w:val="superscript"/>
        </w:rPr>
        <w:footnoteReference w:id="13"/>
      </w:r>
      <w:r w:rsidRPr="00E35D79">
        <w:t>.</w:t>
      </w:r>
    </w:p>
    <w:p w14:paraId="64BEE423" w14:textId="146CD67B" w:rsidR="00FF2A26" w:rsidRPr="00FF2A26" w:rsidRDefault="00FF2A26" w:rsidP="00D84287">
      <w:pPr>
        <w:pStyle w:val="Heading3"/>
      </w:pPr>
      <w:bookmarkStart w:id="21" w:name="_Toc187936935"/>
      <w:r w:rsidRPr="00FF2A26">
        <w:t>Medium and Long Chain Alkyl Sulfates</w:t>
      </w:r>
      <w:bookmarkEnd w:id="21"/>
    </w:p>
    <w:p w14:paraId="0A42ED3B" w14:textId="77777777" w:rsidR="00FF2A26" w:rsidRPr="00FF2A26" w:rsidRDefault="00FF2A26" w:rsidP="00997D3C">
      <w:pPr>
        <w:pStyle w:val="Heading4"/>
      </w:pPr>
      <w:bookmarkStart w:id="22" w:name="_Toc187052726"/>
      <w:r w:rsidRPr="00FF2A26">
        <w:t>Proposal</w:t>
      </w:r>
      <w:bookmarkEnd w:id="22"/>
    </w:p>
    <w:p w14:paraId="4493B418" w14:textId="71753329" w:rsidR="00FF2A26" w:rsidRPr="00FF2A26" w:rsidRDefault="00FF2A26" w:rsidP="00FF2A26">
      <w:pPr>
        <w:rPr>
          <w:rFonts w:asciiTheme="minorHAnsi" w:hAnsiTheme="minorHAnsi" w:cstheme="minorHAnsi"/>
        </w:rPr>
      </w:pPr>
      <w:r w:rsidRPr="00FF2A26">
        <w:rPr>
          <w:rFonts w:asciiTheme="minorHAnsi" w:hAnsiTheme="minorHAnsi" w:cstheme="minorHAnsi"/>
        </w:rPr>
        <w:t>The Department of Health and Aged Care has proposed amendments to the current Poisons Standard to include medium and long chain (C6</w:t>
      </w:r>
      <w:r w:rsidR="00A77332">
        <w:rPr>
          <w:rFonts w:asciiTheme="minorHAnsi" w:hAnsiTheme="minorHAnsi" w:cstheme="minorHAnsi"/>
        </w:rPr>
        <w:t>-</w:t>
      </w:r>
      <w:r w:rsidRPr="00FF2A26">
        <w:rPr>
          <w:rFonts w:asciiTheme="minorHAnsi" w:hAnsiTheme="minorHAnsi" w:cstheme="minorHAnsi"/>
        </w:rPr>
        <w:t xml:space="preserve">C15) alkyl sulfates as Poisons (Schedule 6) with additional warning statements and first aid instructions. The proposal </w:t>
      </w:r>
      <w:r w:rsidR="00A77332">
        <w:rPr>
          <w:rFonts w:asciiTheme="minorHAnsi" w:hAnsiTheme="minorHAnsi" w:cstheme="minorHAnsi"/>
        </w:rPr>
        <w:t xml:space="preserve">is based on the recommendations </w:t>
      </w:r>
      <w:r w:rsidRPr="00FF2A26">
        <w:rPr>
          <w:rFonts w:asciiTheme="minorHAnsi" w:hAnsiTheme="minorHAnsi" w:cstheme="minorHAnsi"/>
        </w:rPr>
        <w:t xml:space="preserve">from the Australian Industrial Chemicals Introduction Scheme (AICIS) </w:t>
      </w:r>
      <w:r w:rsidR="00694D01">
        <w:rPr>
          <w:rFonts w:asciiTheme="minorHAnsi" w:hAnsiTheme="minorHAnsi" w:cstheme="minorHAnsi"/>
        </w:rPr>
        <w:t xml:space="preserve">evaluation of </w:t>
      </w:r>
      <w:hyperlink r:id="rId61" w:history="1">
        <w:r w:rsidR="00D33238">
          <w:rPr>
            <w:rStyle w:val="Hyperlink"/>
            <w:rFonts w:asciiTheme="minorHAnsi" w:hAnsiTheme="minorHAnsi" w:cstheme="minorHAnsi"/>
          </w:rPr>
          <w:t>medium and long chain alkyl sulfates</w:t>
        </w:r>
      </w:hyperlink>
      <w:r w:rsidRPr="00FF2A26">
        <w:rPr>
          <w:rFonts w:asciiTheme="minorHAnsi" w:hAnsiTheme="minorHAnsi" w:cstheme="minorHAnsi"/>
        </w:rPr>
        <w:t xml:space="preserve"> published in June 2024.</w:t>
      </w:r>
    </w:p>
    <w:p w14:paraId="7170D761" w14:textId="77777777" w:rsidR="00FF2A26" w:rsidRDefault="00FF2A26" w:rsidP="00694D01">
      <w:pPr>
        <w:pStyle w:val="Heading4"/>
      </w:pPr>
      <w:bookmarkStart w:id="23" w:name="_Toc187052727"/>
      <w:r w:rsidRPr="00FF2A26">
        <w:t>Chemical names and CAS number</w:t>
      </w:r>
      <w:bookmarkEnd w:id="23"/>
      <w:r w:rsidRPr="00FF2A26">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6584"/>
        <w:gridCol w:w="1650"/>
      </w:tblGrid>
      <w:tr w:rsidR="00F15470" w:rsidRPr="00FF2A26" w14:paraId="5C56AD64" w14:textId="77777777" w:rsidTr="00E142EC">
        <w:trPr>
          <w:cantSplit/>
          <w:trHeight w:val="612"/>
          <w:tblHeader/>
        </w:trPr>
        <w:tc>
          <w:tcPr>
            <w:tcW w:w="782" w:type="dxa"/>
            <w:shd w:val="clear" w:color="auto" w:fill="006DA7"/>
            <w:vAlign w:val="center"/>
          </w:tcPr>
          <w:p w14:paraId="11039C34" w14:textId="77777777" w:rsidR="00FF2A26" w:rsidRPr="00FF2A26" w:rsidRDefault="00FF2A26" w:rsidP="00FF2A26">
            <w:pPr>
              <w:rPr>
                <w:rFonts w:asciiTheme="minorHAnsi" w:hAnsiTheme="minorHAnsi" w:cstheme="minorHAnsi"/>
                <w:b/>
                <w:bCs/>
                <w:color w:val="FFFFFF" w:themeColor="background1"/>
              </w:rPr>
            </w:pPr>
            <w:bookmarkStart w:id="24" w:name="_Hlk187923593"/>
            <w:r w:rsidRPr="00FF2A26">
              <w:rPr>
                <w:rFonts w:asciiTheme="minorHAnsi" w:hAnsiTheme="minorHAnsi" w:cstheme="minorHAnsi"/>
                <w:b/>
                <w:bCs/>
                <w:color w:val="FFFFFF" w:themeColor="background1"/>
              </w:rPr>
              <w:t>Item</w:t>
            </w:r>
          </w:p>
        </w:tc>
        <w:tc>
          <w:tcPr>
            <w:tcW w:w="6584" w:type="dxa"/>
            <w:shd w:val="clear" w:color="auto" w:fill="006DA7"/>
            <w:vAlign w:val="center"/>
          </w:tcPr>
          <w:p w14:paraId="528C2306" w14:textId="77777777" w:rsidR="00FF2A26" w:rsidRPr="00FF2A26" w:rsidRDefault="00FF2A26" w:rsidP="00FF2A26">
            <w:pPr>
              <w:rPr>
                <w:rFonts w:asciiTheme="minorHAnsi" w:hAnsiTheme="minorHAnsi" w:cstheme="minorHAnsi"/>
                <w:b/>
                <w:bCs/>
                <w:color w:val="FFFFFF" w:themeColor="background1"/>
              </w:rPr>
            </w:pPr>
            <w:r w:rsidRPr="00FF2A26">
              <w:rPr>
                <w:rFonts w:asciiTheme="minorHAnsi" w:hAnsiTheme="minorHAnsi" w:cstheme="minorHAnsi"/>
                <w:b/>
                <w:bCs/>
                <w:color w:val="FFFFFF" w:themeColor="background1"/>
              </w:rPr>
              <w:t>Name</w:t>
            </w:r>
          </w:p>
        </w:tc>
        <w:tc>
          <w:tcPr>
            <w:tcW w:w="1650" w:type="dxa"/>
            <w:shd w:val="clear" w:color="auto" w:fill="006DA7"/>
            <w:vAlign w:val="center"/>
          </w:tcPr>
          <w:p w14:paraId="6528767E" w14:textId="77777777" w:rsidR="00FF2A26" w:rsidRPr="00FF2A26" w:rsidRDefault="00FF2A26" w:rsidP="00FF2A26">
            <w:pPr>
              <w:rPr>
                <w:rFonts w:asciiTheme="minorHAnsi" w:hAnsiTheme="minorHAnsi" w:cstheme="minorHAnsi"/>
                <w:b/>
                <w:bCs/>
                <w:color w:val="FFFFFF" w:themeColor="background1"/>
              </w:rPr>
            </w:pPr>
            <w:r w:rsidRPr="00FF2A26">
              <w:rPr>
                <w:rFonts w:asciiTheme="minorHAnsi" w:hAnsiTheme="minorHAnsi" w:cstheme="minorHAnsi"/>
                <w:b/>
                <w:bCs/>
                <w:color w:val="FFFFFF" w:themeColor="background1"/>
              </w:rPr>
              <w:t>CAS number</w:t>
            </w:r>
          </w:p>
        </w:tc>
      </w:tr>
      <w:tr w:rsidR="00FF2A26" w:rsidRPr="00FF2A26" w14:paraId="6AD3FC49" w14:textId="77777777" w:rsidTr="00F15470">
        <w:tc>
          <w:tcPr>
            <w:tcW w:w="782" w:type="dxa"/>
            <w:vAlign w:val="center"/>
          </w:tcPr>
          <w:p w14:paraId="0446CB92"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w:t>
            </w:r>
          </w:p>
        </w:tc>
        <w:tc>
          <w:tcPr>
            <w:tcW w:w="6584" w:type="dxa"/>
            <w:vAlign w:val="center"/>
          </w:tcPr>
          <w:p w14:paraId="2AFC4548"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monododecyl ester, compound with 2,2',2''-nitrilotris[ethanol] (1:1)</w:t>
            </w:r>
          </w:p>
        </w:tc>
        <w:tc>
          <w:tcPr>
            <w:tcW w:w="1650" w:type="dxa"/>
            <w:vAlign w:val="center"/>
          </w:tcPr>
          <w:p w14:paraId="2AFA993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139-96-8</w:t>
            </w:r>
          </w:p>
        </w:tc>
      </w:tr>
      <w:tr w:rsidR="00FF2A26" w:rsidRPr="00FF2A26" w14:paraId="790CA691" w14:textId="77777777" w:rsidTr="00F15470">
        <w:tc>
          <w:tcPr>
            <w:tcW w:w="782" w:type="dxa"/>
            <w:vAlign w:val="center"/>
          </w:tcPr>
          <w:p w14:paraId="618276A7"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w:t>
            </w:r>
          </w:p>
        </w:tc>
        <w:tc>
          <w:tcPr>
            <w:tcW w:w="6584" w:type="dxa"/>
            <w:vAlign w:val="center"/>
          </w:tcPr>
          <w:p w14:paraId="650EC181"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monooctyl ester, sodium salt</w:t>
            </w:r>
          </w:p>
        </w:tc>
        <w:tc>
          <w:tcPr>
            <w:tcW w:w="1650" w:type="dxa"/>
            <w:vAlign w:val="center"/>
          </w:tcPr>
          <w:p w14:paraId="02224DB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142-31-4</w:t>
            </w:r>
          </w:p>
        </w:tc>
      </w:tr>
      <w:tr w:rsidR="00FF2A26" w:rsidRPr="00FF2A26" w14:paraId="7E8F8F50" w14:textId="77777777" w:rsidTr="00F15470">
        <w:tc>
          <w:tcPr>
            <w:tcW w:w="782" w:type="dxa"/>
            <w:vAlign w:val="center"/>
          </w:tcPr>
          <w:p w14:paraId="755F0C40"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3</w:t>
            </w:r>
          </w:p>
        </w:tc>
        <w:tc>
          <w:tcPr>
            <w:tcW w:w="6584" w:type="dxa"/>
            <w:vAlign w:val="center"/>
          </w:tcPr>
          <w:p w14:paraId="5A65E2A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monodecyl ester, sodium salt</w:t>
            </w:r>
          </w:p>
        </w:tc>
        <w:tc>
          <w:tcPr>
            <w:tcW w:w="1650" w:type="dxa"/>
            <w:vAlign w:val="center"/>
          </w:tcPr>
          <w:p w14:paraId="11B597DC"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142-87-0</w:t>
            </w:r>
          </w:p>
        </w:tc>
      </w:tr>
      <w:tr w:rsidR="00FF2A26" w:rsidRPr="00FF2A26" w14:paraId="455E98C6" w14:textId="77777777" w:rsidTr="00F15470">
        <w:tc>
          <w:tcPr>
            <w:tcW w:w="782" w:type="dxa"/>
            <w:vAlign w:val="center"/>
          </w:tcPr>
          <w:p w14:paraId="6479D956"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4</w:t>
            </w:r>
          </w:p>
        </w:tc>
        <w:tc>
          <w:tcPr>
            <w:tcW w:w="6584" w:type="dxa"/>
            <w:vAlign w:val="center"/>
          </w:tcPr>
          <w:p w14:paraId="31939A06"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monododecyl ester, compound with 2,2'-iminobis[ethanol] (1:1)</w:t>
            </w:r>
          </w:p>
        </w:tc>
        <w:tc>
          <w:tcPr>
            <w:tcW w:w="1650" w:type="dxa"/>
            <w:vAlign w:val="center"/>
          </w:tcPr>
          <w:p w14:paraId="0688B399"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 xml:space="preserve">143-00-0 </w:t>
            </w:r>
          </w:p>
        </w:tc>
      </w:tr>
      <w:tr w:rsidR="00FF2A26" w:rsidRPr="00FF2A26" w14:paraId="016DECAC" w14:textId="77777777" w:rsidTr="00F15470">
        <w:tc>
          <w:tcPr>
            <w:tcW w:w="782" w:type="dxa"/>
            <w:vAlign w:val="center"/>
          </w:tcPr>
          <w:p w14:paraId="5917B381"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5</w:t>
            </w:r>
          </w:p>
        </w:tc>
        <w:tc>
          <w:tcPr>
            <w:tcW w:w="6584" w:type="dxa"/>
            <w:vAlign w:val="center"/>
          </w:tcPr>
          <w:p w14:paraId="7D4E31F4"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monododecyl ester</w:t>
            </w:r>
          </w:p>
        </w:tc>
        <w:tc>
          <w:tcPr>
            <w:tcW w:w="1650" w:type="dxa"/>
            <w:vAlign w:val="center"/>
          </w:tcPr>
          <w:p w14:paraId="3BDF5288"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151-41-7</w:t>
            </w:r>
          </w:p>
        </w:tc>
      </w:tr>
      <w:tr w:rsidR="00FF2A26" w:rsidRPr="00FF2A26" w14:paraId="424C8B0E" w14:textId="77777777" w:rsidTr="00F15470">
        <w:tc>
          <w:tcPr>
            <w:tcW w:w="782" w:type="dxa"/>
            <w:vAlign w:val="center"/>
          </w:tcPr>
          <w:p w14:paraId="711D3DFA"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6</w:t>
            </w:r>
          </w:p>
        </w:tc>
        <w:tc>
          <w:tcPr>
            <w:tcW w:w="6584" w:type="dxa"/>
            <w:vAlign w:val="center"/>
          </w:tcPr>
          <w:p w14:paraId="09DF8235"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1-Tetradecanol, hydrogen sulfate, sodium salt</w:t>
            </w:r>
          </w:p>
        </w:tc>
        <w:tc>
          <w:tcPr>
            <w:tcW w:w="1650" w:type="dxa"/>
            <w:vAlign w:val="center"/>
          </w:tcPr>
          <w:p w14:paraId="5E92D6F0"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1191-50-0</w:t>
            </w:r>
          </w:p>
        </w:tc>
      </w:tr>
      <w:tr w:rsidR="00FF2A26" w:rsidRPr="00FF2A26" w14:paraId="3B744DEE" w14:textId="77777777" w:rsidTr="00F15470">
        <w:tc>
          <w:tcPr>
            <w:tcW w:w="782" w:type="dxa"/>
            <w:vAlign w:val="center"/>
          </w:tcPr>
          <w:p w14:paraId="0D7F781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7</w:t>
            </w:r>
          </w:p>
        </w:tc>
        <w:tc>
          <w:tcPr>
            <w:tcW w:w="6584" w:type="dxa"/>
            <w:vAlign w:val="center"/>
          </w:tcPr>
          <w:p w14:paraId="6E2E182A"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monohexyl ester, sodium salt</w:t>
            </w:r>
          </w:p>
        </w:tc>
        <w:tc>
          <w:tcPr>
            <w:tcW w:w="1650" w:type="dxa"/>
            <w:vAlign w:val="center"/>
          </w:tcPr>
          <w:p w14:paraId="7961E3FD"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2207-98-9</w:t>
            </w:r>
          </w:p>
        </w:tc>
      </w:tr>
      <w:tr w:rsidR="00FF2A26" w:rsidRPr="00FF2A26" w14:paraId="4A04F3DB" w14:textId="77777777" w:rsidTr="00F15470">
        <w:tc>
          <w:tcPr>
            <w:tcW w:w="782" w:type="dxa"/>
            <w:vAlign w:val="center"/>
          </w:tcPr>
          <w:p w14:paraId="77DE886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8</w:t>
            </w:r>
          </w:p>
        </w:tc>
        <w:tc>
          <w:tcPr>
            <w:tcW w:w="6584" w:type="dxa"/>
            <w:vAlign w:val="center"/>
          </w:tcPr>
          <w:p w14:paraId="2F233181"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1-Tridecanol, hydrogen sulfate, sodium salt</w:t>
            </w:r>
          </w:p>
        </w:tc>
        <w:tc>
          <w:tcPr>
            <w:tcW w:w="1650" w:type="dxa"/>
            <w:vAlign w:val="center"/>
          </w:tcPr>
          <w:p w14:paraId="742EFF4C"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3026-63-9</w:t>
            </w:r>
          </w:p>
        </w:tc>
      </w:tr>
      <w:tr w:rsidR="00FF2A26" w:rsidRPr="00FF2A26" w14:paraId="4FD0568F" w14:textId="77777777" w:rsidTr="00F15470">
        <w:tc>
          <w:tcPr>
            <w:tcW w:w="782" w:type="dxa"/>
            <w:vAlign w:val="center"/>
          </w:tcPr>
          <w:p w14:paraId="3B0BEC1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9</w:t>
            </w:r>
          </w:p>
        </w:tc>
        <w:tc>
          <w:tcPr>
            <w:tcW w:w="6584" w:type="dxa"/>
            <w:vAlign w:val="center"/>
          </w:tcPr>
          <w:p w14:paraId="536D8F97"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1-Tetradecanol, hydrogen sulfate, compound with 2,2',2''-nitrilotris[ethanol] (1:1)</w:t>
            </w:r>
          </w:p>
        </w:tc>
        <w:tc>
          <w:tcPr>
            <w:tcW w:w="1650" w:type="dxa"/>
            <w:vAlign w:val="center"/>
          </w:tcPr>
          <w:p w14:paraId="2D2A6E25"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4492-78-8</w:t>
            </w:r>
          </w:p>
        </w:tc>
      </w:tr>
      <w:tr w:rsidR="00FF2A26" w:rsidRPr="00FF2A26" w14:paraId="4993CC3B" w14:textId="77777777" w:rsidTr="00F15470">
        <w:tc>
          <w:tcPr>
            <w:tcW w:w="782" w:type="dxa"/>
            <w:vAlign w:val="center"/>
          </w:tcPr>
          <w:p w14:paraId="069592F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10</w:t>
            </w:r>
          </w:p>
        </w:tc>
        <w:tc>
          <w:tcPr>
            <w:tcW w:w="6584" w:type="dxa"/>
            <w:vAlign w:val="center"/>
          </w:tcPr>
          <w:p w14:paraId="3334514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monododecyl ester, compound with 2-aminoethanol (1:1)</w:t>
            </w:r>
          </w:p>
        </w:tc>
        <w:tc>
          <w:tcPr>
            <w:tcW w:w="1650" w:type="dxa"/>
            <w:vAlign w:val="center"/>
          </w:tcPr>
          <w:p w14:paraId="791F873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4722-98-9</w:t>
            </w:r>
          </w:p>
        </w:tc>
      </w:tr>
      <w:tr w:rsidR="00FF2A26" w:rsidRPr="00FF2A26" w14:paraId="62445F71" w14:textId="77777777" w:rsidTr="00F15470">
        <w:tc>
          <w:tcPr>
            <w:tcW w:w="782" w:type="dxa"/>
            <w:vAlign w:val="center"/>
          </w:tcPr>
          <w:p w14:paraId="460EDF8E"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11</w:t>
            </w:r>
          </w:p>
        </w:tc>
        <w:tc>
          <w:tcPr>
            <w:tcW w:w="6584" w:type="dxa"/>
            <w:vAlign w:val="center"/>
          </w:tcPr>
          <w:p w14:paraId="43A3288C"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monodecyl ester, ammonium salt</w:t>
            </w:r>
          </w:p>
        </w:tc>
        <w:tc>
          <w:tcPr>
            <w:tcW w:w="1650" w:type="dxa"/>
            <w:vAlign w:val="center"/>
          </w:tcPr>
          <w:p w14:paraId="65575428"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13177-52-1</w:t>
            </w:r>
          </w:p>
        </w:tc>
      </w:tr>
      <w:tr w:rsidR="00FF2A26" w:rsidRPr="00FF2A26" w14:paraId="0E762F21" w14:textId="77777777" w:rsidTr="00F15470">
        <w:tc>
          <w:tcPr>
            <w:tcW w:w="782" w:type="dxa"/>
            <w:vAlign w:val="center"/>
          </w:tcPr>
          <w:p w14:paraId="740E54E1"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12</w:t>
            </w:r>
          </w:p>
        </w:tc>
        <w:tc>
          <w:tcPr>
            <w:tcW w:w="6584" w:type="dxa"/>
            <w:vAlign w:val="center"/>
          </w:tcPr>
          <w:p w14:paraId="64DB2BF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monododecyl ester, compound with 1-amino-2-propanol (1:1)</w:t>
            </w:r>
          </w:p>
        </w:tc>
        <w:tc>
          <w:tcPr>
            <w:tcW w:w="1650" w:type="dxa"/>
            <w:vAlign w:val="center"/>
          </w:tcPr>
          <w:p w14:paraId="473319E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21142-28-9</w:t>
            </w:r>
          </w:p>
        </w:tc>
      </w:tr>
      <w:tr w:rsidR="00FF2A26" w:rsidRPr="00FF2A26" w14:paraId="7EAD57B1" w14:textId="77777777" w:rsidTr="00F15470">
        <w:tc>
          <w:tcPr>
            <w:tcW w:w="782" w:type="dxa"/>
            <w:vAlign w:val="center"/>
          </w:tcPr>
          <w:p w14:paraId="66FAC7E6"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13</w:t>
            </w:r>
          </w:p>
        </w:tc>
        <w:tc>
          <w:tcPr>
            <w:tcW w:w="6584" w:type="dxa"/>
            <w:vAlign w:val="center"/>
          </w:tcPr>
          <w:p w14:paraId="3DD3A44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1-Tetradecanol, hydrogen sulfate, magnesium salt</w:t>
            </w:r>
          </w:p>
        </w:tc>
        <w:tc>
          <w:tcPr>
            <w:tcW w:w="1650" w:type="dxa"/>
            <w:vAlign w:val="center"/>
          </w:tcPr>
          <w:p w14:paraId="7B5172C8"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25446-91-7</w:t>
            </w:r>
          </w:p>
        </w:tc>
      </w:tr>
      <w:tr w:rsidR="00FF2A26" w:rsidRPr="00FF2A26" w14:paraId="516A389F" w14:textId="77777777" w:rsidTr="00F15470">
        <w:tc>
          <w:tcPr>
            <w:tcW w:w="782" w:type="dxa"/>
            <w:vAlign w:val="center"/>
          </w:tcPr>
          <w:p w14:paraId="5B0A170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14</w:t>
            </w:r>
          </w:p>
        </w:tc>
        <w:tc>
          <w:tcPr>
            <w:tcW w:w="6584" w:type="dxa"/>
            <w:vAlign w:val="center"/>
          </w:tcPr>
          <w:p w14:paraId="2D21B5B8"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monoisononyl ester, sodium salt</w:t>
            </w:r>
          </w:p>
        </w:tc>
        <w:tc>
          <w:tcPr>
            <w:tcW w:w="1650" w:type="dxa"/>
            <w:vAlign w:val="center"/>
          </w:tcPr>
          <w:p w14:paraId="01450F57"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26856-96-2</w:t>
            </w:r>
          </w:p>
        </w:tc>
      </w:tr>
      <w:tr w:rsidR="00FF2A26" w:rsidRPr="00FF2A26" w14:paraId="3233342E" w14:textId="77777777" w:rsidTr="00F15470">
        <w:tc>
          <w:tcPr>
            <w:tcW w:w="782" w:type="dxa"/>
            <w:vAlign w:val="center"/>
          </w:tcPr>
          <w:p w14:paraId="730B188E"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15</w:t>
            </w:r>
          </w:p>
        </w:tc>
        <w:tc>
          <w:tcPr>
            <w:tcW w:w="6584" w:type="dxa"/>
            <w:vAlign w:val="center"/>
          </w:tcPr>
          <w:p w14:paraId="0BBA015E"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monooctyl ester, compound with 2,2',2''-nitrilotris[ethanol] (1:1)</w:t>
            </w:r>
          </w:p>
        </w:tc>
        <w:tc>
          <w:tcPr>
            <w:tcW w:w="1650" w:type="dxa"/>
            <w:vAlign w:val="center"/>
          </w:tcPr>
          <w:p w14:paraId="79D31756"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30862-34-1</w:t>
            </w:r>
          </w:p>
        </w:tc>
      </w:tr>
      <w:tr w:rsidR="00FF2A26" w:rsidRPr="00FF2A26" w14:paraId="6C15465C" w14:textId="77777777" w:rsidTr="00F15470">
        <w:tc>
          <w:tcPr>
            <w:tcW w:w="782" w:type="dxa"/>
            <w:vAlign w:val="center"/>
          </w:tcPr>
          <w:p w14:paraId="71659EF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16</w:t>
            </w:r>
          </w:p>
        </w:tc>
        <w:tc>
          <w:tcPr>
            <w:tcW w:w="6584" w:type="dxa"/>
            <w:vAlign w:val="center"/>
          </w:tcPr>
          <w:p w14:paraId="628FD31A"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monodecyl ester, compound with 2,2',2''-nitrilotris[ethanol] (1:1)</w:t>
            </w:r>
          </w:p>
        </w:tc>
        <w:tc>
          <w:tcPr>
            <w:tcW w:w="1650" w:type="dxa"/>
            <w:vAlign w:val="center"/>
          </w:tcPr>
          <w:p w14:paraId="42A26BF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39943-70-9</w:t>
            </w:r>
          </w:p>
        </w:tc>
      </w:tr>
      <w:tr w:rsidR="00FF2A26" w:rsidRPr="00FF2A26" w14:paraId="4C12895E" w14:textId="77777777" w:rsidTr="00F15470">
        <w:tc>
          <w:tcPr>
            <w:tcW w:w="782" w:type="dxa"/>
            <w:vAlign w:val="center"/>
          </w:tcPr>
          <w:p w14:paraId="073930E2"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lastRenderedPageBreak/>
              <w:t>17</w:t>
            </w:r>
          </w:p>
        </w:tc>
        <w:tc>
          <w:tcPr>
            <w:tcW w:w="6584" w:type="dxa"/>
            <w:vAlign w:val="center"/>
          </w:tcPr>
          <w:p w14:paraId="3815128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monododecyl ester, compound with 2-(diethylamino) ethanol (1:1)</w:t>
            </w:r>
          </w:p>
        </w:tc>
        <w:tc>
          <w:tcPr>
            <w:tcW w:w="1650" w:type="dxa"/>
            <w:vAlign w:val="center"/>
          </w:tcPr>
          <w:p w14:paraId="1B73FF36"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65104-49-6</w:t>
            </w:r>
          </w:p>
        </w:tc>
      </w:tr>
      <w:tr w:rsidR="00FF2A26" w:rsidRPr="00FF2A26" w14:paraId="2160F27B" w14:textId="77777777" w:rsidTr="00F15470">
        <w:tc>
          <w:tcPr>
            <w:tcW w:w="782" w:type="dxa"/>
            <w:vAlign w:val="center"/>
          </w:tcPr>
          <w:p w14:paraId="7E2CB150"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18</w:t>
            </w:r>
          </w:p>
        </w:tc>
        <w:tc>
          <w:tcPr>
            <w:tcW w:w="6584" w:type="dxa"/>
            <w:vAlign w:val="center"/>
          </w:tcPr>
          <w:p w14:paraId="139B45EC"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monododecyl ester, compound with 1,1',1''-nitrilotris[2-propanol]</w:t>
            </w:r>
          </w:p>
        </w:tc>
        <w:tc>
          <w:tcPr>
            <w:tcW w:w="1650" w:type="dxa"/>
            <w:vAlign w:val="center"/>
          </w:tcPr>
          <w:p w14:paraId="46D62BF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66161-60-2</w:t>
            </w:r>
          </w:p>
        </w:tc>
      </w:tr>
      <w:tr w:rsidR="00FF2A26" w:rsidRPr="00FF2A26" w14:paraId="6D5B42D5" w14:textId="77777777" w:rsidTr="00F15470">
        <w:tc>
          <w:tcPr>
            <w:tcW w:w="782" w:type="dxa"/>
            <w:vAlign w:val="center"/>
          </w:tcPr>
          <w:p w14:paraId="1F430D10"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19</w:t>
            </w:r>
          </w:p>
        </w:tc>
        <w:tc>
          <w:tcPr>
            <w:tcW w:w="6584" w:type="dxa"/>
            <w:vAlign w:val="center"/>
          </w:tcPr>
          <w:p w14:paraId="6A58D10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mono-C6-10-alkyl esters, ammonium salts</w:t>
            </w:r>
          </w:p>
        </w:tc>
        <w:tc>
          <w:tcPr>
            <w:tcW w:w="1650" w:type="dxa"/>
            <w:vAlign w:val="center"/>
          </w:tcPr>
          <w:p w14:paraId="6C5754C0"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68187-17-7</w:t>
            </w:r>
          </w:p>
        </w:tc>
      </w:tr>
      <w:tr w:rsidR="00FF2A26" w:rsidRPr="00FF2A26" w14:paraId="33B358BD" w14:textId="77777777" w:rsidTr="00F15470">
        <w:tc>
          <w:tcPr>
            <w:tcW w:w="782" w:type="dxa"/>
            <w:vAlign w:val="center"/>
          </w:tcPr>
          <w:p w14:paraId="611FD399"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20</w:t>
            </w:r>
          </w:p>
        </w:tc>
        <w:tc>
          <w:tcPr>
            <w:tcW w:w="6584" w:type="dxa"/>
            <w:vAlign w:val="center"/>
          </w:tcPr>
          <w:p w14:paraId="1D0575E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Isodecanol, hydrogen sulfate, sodium salt</w:t>
            </w:r>
          </w:p>
        </w:tc>
        <w:tc>
          <w:tcPr>
            <w:tcW w:w="1650" w:type="dxa"/>
            <w:vAlign w:val="center"/>
          </w:tcPr>
          <w:p w14:paraId="758969F8"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68299-17-2</w:t>
            </w:r>
          </w:p>
        </w:tc>
      </w:tr>
      <w:tr w:rsidR="00FF2A26" w:rsidRPr="00FF2A26" w14:paraId="70960771" w14:textId="77777777" w:rsidTr="00F15470">
        <w:tc>
          <w:tcPr>
            <w:tcW w:w="782" w:type="dxa"/>
            <w:vAlign w:val="center"/>
          </w:tcPr>
          <w:p w14:paraId="02601811"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21</w:t>
            </w:r>
          </w:p>
        </w:tc>
        <w:tc>
          <w:tcPr>
            <w:tcW w:w="6584" w:type="dxa"/>
            <w:vAlign w:val="center"/>
          </w:tcPr>
          <w:p w14:paraId="3B87E9A4"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mono-C12-15-alkyl esters, compounds with triethanolamine</w:t>
            </w:r>
          </w:p>
        </w:tc>
        <w:tc>
          <w:tcPr>
            <w:tcW w:w="1650" w:type="dxa"/>
            <w:vAlign w:val="center"/>
          </w:tcPr>
          <w:p w14:paraId="681B0B86"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68815-25-8</w:t>
            </w:r>
          </w:p>
        </w:tc>
      </w:tr>
      <w:tr w:rsidR="00FF2A26" w:rsidRPr="00FF2A26" w14:paraId="3DCED0F4" w14:textId="77777777" w:rsidTr="00F15470">
        <w:tc>
          <w:tcPr>
            <w:tcW w:w="782" w:type="dxa"/>
            <w:vAlign w:val="center"/>
          </w:tcPr>
          <w:p w14:paraId="46A86C3E"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22</w:t>
            </w:r>
          </w:p>
        </w:tc>
        <w:tc>
          <w:tcPr>
            <w:tcW w:w="6584" w:type="dxa"/>
            <w:vAlign w:val="center"/>
          </w:tcPr>
          <w:p w14:paraId="464D5978"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mono-C12-15-alkyl esters, sodium salts</w:t>
            </w:r>
          </w:p>
        </w:tc>
        <w:tc>
          <w:tcPr>
            <w:tcW w:w="1650" w:type="dxa"/>
            <w:vAlign w:val="center"/>
          </w:tcPr>
          <w:p w14:paraId="206E2D5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68890-70-0</w:t>
            </w:r>
          </w:p>
        </w:tc>
      </w:tr>
      <w:tr w:rsidR="00FF2A26" w:rsidRPr="00FF2A26" w14:paraId="5888F31E" w14:textId="77777777" w:rsidTr="00F15470">
        <w:tc>
          <w:tcPr>
            <w:tcW w:w="782" w:type="dxa"/>
            <w:vAlign w:val="center"/>
          </w:tcPr>
          <w:p w14:paraId="4232F2C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23</w:t>
            </w:r>
          </w:p>
        </w:tc>
        <w:tc>
          <w:tcPr>
            <w:tcW w:w="6584" w:type="dxa"/>
            <w:vAlign w:val="center"/>
          </w:tcPr>
          <w:p w14:paraId="3797FFAD"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mono-C9-13-alkyl esters, sodium salts</w:t>
            </w:r>
          </w:p>
        </w:tc>
        <w:tc>
          <w:tcPr>
            <w:tcW w:w="1650" w:type="dxa"/>
            <w:vAlign w:val="center"/>
          </w:tcPr>
          <w:p w14:paraId="5D386BB5"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72906-11-7</w:t>
            </w:r>
          </w:p>
        </w:tc>
      </w:tr>
      <w:tr w:rsidR="00FF2A26" w:rsidRPr="00FF2A26" w14:paraId="409C1B91" w14:textId="77777777" w:rsidTr="00F15470">
        <w:tc>
          <w:tcPr>
            <w:tcW w:w="782" w:type="dxa"/>
            <w:vAlign w:val="center"/>
          </w:tcPr>
          <w:p w14:paraId="18E3A31D"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24</w:t>
            </w:r>
          </w:p>
        </w:tc>
        <w:tc>
          <w:tcPr>
            <w:tcW w:w="6584" w:type="dxa"/>
            <w:vAlign w:val="center"/>
          </w:tcPr>
          <w:p w14:paraId="6FF54182"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mono-C9-11-alkyl esters, sodium salts</w:t>
            </w:r>
          </w:p>
        </w:tc>
        <w:tc>
          <w:tcPr>
            <w:tcW w:w="1650" w:type="dxa"/>
            <w:vAlign w:val="center"/>
          </w:tcPr>
          <w:p w14:paraId="2EDF1E59"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84501-49-5</w:t>
            </w:r>
          </w:p>
        </w:tc>
      </w:tr>
      <w:tr w:rsidR="00FF2A26" w:rsidRPr="00FF2A26" w14:paraId="056AAF31" w14:textId="77777777" w:rsidTr="00F15470">
        <w:tc>
          <w:tcPr>
            <w:tcW w:w="782" w:type="dxa"/>
            <w:vAlign w:val="center"/>
          </w:tcPr>
          <w:p w14:paraId="3FDA5E58"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25</w:t>
            </w:r>
          </w:p>
        </w:tc>
        <w:tc>
          <w:tcPr>
            <w:tcW w:w="6584" w:type="dxa"/>
            <w:vAlign w:val="center"/>
          </w:tcPr>
          <w:p w14:paraId="3762398D"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mono-C12-14-alkyl esters, sodium salts</w:t>
            </w:r>
          </w:p>
        </w:tc>
        <w:tc>
          <w:tcPr>
            <w:tcW w:w="1650" w:type="dxa"/>
            <w:vAlign w:val="center"/>
          </w:tcPr>
          <w:p w14:paraId="4E46990F"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85586-07-8</w:t>
            </w:r>
          </w:p>
        </w:tc>
      </w:tr>
      <w:tr w:rsidR="00FF2A26" w:rsidRPr="00FF2A26" w14:paraId="2656778B" w14:textId="77777777" w:rsidTr="00F15470">
        <w:tc>
          <w:tcPr>
            <w:tcW w:w="782" w:type="dxa"/>
            <w:vAlign w:val="center"/>
          </w:tcPr>
          <w:p w14:paraId="68CF9D00"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26</w:t>
            </w:r>
          </w:p>
        </w:tc>
        <w:tc>
          <w:tcPr>
            <w:tcW w:w="6584" w:type="dxa"/>
            <w:vAlign w:val="center"/>
          </w:tcPr>
          <w:p w14:paraId="7FC6FDA9"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mono-C8-14-alkyl esters, compounds with triethanolamine</w:t>
            </w:r>
          </w:p>
        </w:tc>
        <w:tc>
          <w:tcPr>
            <w:tcW w:w="1650" w:type="dxa"/>
            <w:vAlign w:val="center"/>
          </w:tcPr>
          <w:p w14:paraId="0FFE357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85665-45-8</w:t>
            </w:r>
          </w:p>
        </w:tc>
      </w:tr>
      <w:tr w:rsidR="00FF2A26" w:rsidRPr="00FF2A26" w14:paraId="0B45968A" w14:textId="77777777" w:rsidTr="00F15470">
        <w:tc>
          <w:tcPr>
            <w:tcW w:w="782" w:type="dxa"/>
            <w:vAlign w:val="center"/>
          </w:tcPr>
          <w:p w14:paraId="5E34CA6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27</w:t>
            </w:r>
          </w:p>
        </w:tc>
        <w:tc>
          <w:tcPr>
            <w:tcW w:w="6584" w:type="dxa"/>
            <w:vAlign w:val="center"/>
          </w:tcPr>
          <w:p w14:paraId="2A452F54"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mono-C12-14-alkyl esters, compounds with isopropanolamine</w:t>
            </w:r>
          </w:p>
        </w:tc>
        <w:tc>
          <w:tcPr>
            <w:tcW w:w="1650" w:type="dxa"/>
            <w:vAlign w:val="center"/>
          </w:tcPr>
          <w:p w14:paraId="3B356A8E"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85681-66-9</w:t>
            </w:r>
          </w:p>
        </w:tc>
      </w:tr>
      <w:tr w:rsidR="00FF2A26" w:rsidRPr="00FF2A26" w14:paraId="40FEE238" w14:textId="77777777" w:rsidTr="00F15470">
        <w:tc>
          <w:tcPr>
            <w:tcW w:w="782" w:type="dxa"/>
            <w:vAlign w:val="center"/>
          </w:tcPr>
          <w:p w14:paraId="07ACF484"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28</w:t>
            </w:r>
          </w:p>
        </w:tc>
        <w:tc>
          <w:tcPr>
            <w:tcW w:w="6584" w:type="dxa"/>
            <w:vAlign w:val="center"/>
          </w:tcPr>
          <w:p w14:paraId="112D3144"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mono-C8-14-alkyl esters, ammonium salts</w:t>
            </w:r>
          </w:p>
        </w:tc>
        <w:tc>
          <w:tcPr>
            <w:tcW w:w="1650" w:type="dxa"/>
            <w:vAlign w:val="center"/>
          </w:tcPr>
          <w:p w14:paraId="0DC7B1DB"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90583-10-1</w:t>
            </w:r>
          </w:p>
        </w:tc>
      </w:tr>
      <w:tr w:rsidR="00FF2A26" w:rsidRPr="00FF2A26" w14:paraId="6C351EBF" w14:textId="77777777" w:rsidTr="00F15470">
        <w:tc>
          <w:tcPr>
            <w:tcW w:w="782" w:type="dxa"/>
            <w:vAlign w:val="center"/>
          </w:tcPr>
          <w:p w14:paraId="0D39590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29</w:t>
            </w:r>
          </w:p>
        </w:tc>
        <w:tc>
          <w:tcPr>
            <w:tcW w:w="6584" w:type="dxa"/>
            <w:vAlign w:val="center"/>
          </w:tcPr>
          <w:p w14:paraId="6C187352"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mono-C12-14-alkyl esters, compounds with ethanolamine</w:t>
            </w:r>
          </w:p>
        </w:tc>
        <w:tc>
          <w:tcPr>
            <w:tcW w:w="1650" w:type="dxa"/>
            <w:vAlign w:val="center"/>
          </w:tcPr>
          <w:p w14:paraId="010D0994"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90583-16-7</w:t>
            </w:r>
          </w:p>
        </w:tc>
      </w:tr>
      <w:tr w:rsidR="00FF2A26" w:rsidRPr="00FF2A26" w14:paraId="50630B94" w14:textId="77777777" w:rsidTr="00F15470">
        <w:tc>
          <w:tcPr>
            <w:tcW w:w="782" w:type="dxa"/>
            <w:vAlign w:val="center"/>
          </w:tcPr>
          <w:p w14:paraId="4CE97721"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30</w:t>
            </w:r>
          </w:p>
        </w:tc>
        <w:tc>
          <w:tcPr>
            <w:tcW w:w="6584" w:type="dxa"/>
            <w:vAlign w:val="center"/>
          </w:tcPr>
          <w:p w14:paraId="338C0807"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mono-C12-14-alkyl esters, compounds with triethanolamine</w:t>
            </w:r>
          </w:p>
        </w:tc>
        <w:tc>
          <w:tcPr>
            <w:tcW w:w="1650" w:type="dxa"/>
            <w:vAlign w:val="center"/>
          </w:tcPr>
          <w:p w14:paraId="1E1CC29F"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90583-18-9</w:t>
            </w:r>
          </w:p>
        </w:tc>
      </w:tr>
      <w:tr w:rsidR="00FF2A26" w:rsidRPr="00FF2A26" w14:paraId="277C0C6D" w14:textId="77777777" w:rsidTr="00F15470">
        <w:tc>
          <w:tcPr>
            <w:tcW w:w="782" w:type="dxa"/>
            <w:vAlign w:val="center"/>
          </w:tcPr>
          <w:p w14:paraId="02C000FD"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31</w:t>
            </w:r>
          </w:p>
        </w:tc>
        <w:tc>
          <w:tcPr>
            <w:tcW w:w="6584" w:type="dxa"/>
            <w:vAlign w:val="center"/>
          </w:tcPr>
          <w:p w14:paraId="1AF2A3AF"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mono-C12-14-alkyl esters, magnesium salts</w:t>
            </w:r>
          </w:p>
        </w:tc>
        <w:tc>
          <w:tcPr>
            <w:tcW w:w="1650" w:type="dxa"/>
            <w:vAlign w:val="center"/>
          </w:tcPr>
          <w:p w14:paraId="697E25C6"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90583-23-6</w:t>
            </w:r>
          </w:p>
        </w:tc>
      </w:tr>
      <w:tr w:rsidR="00FF2A26" w:rsidRPr="00FF2A26" w14:paraId="6B852A2B" w14:textId="77777777" w:rsidTr="00F15470">
        <w:tc>
          <w:tcPr>
            <w:tcW w:w="782" w:type="dxa"/>
            <w:vAlign w:val="center"/>
          </w:tcPr>
          <w:p w14:paraId="5CF56FDD"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32</w:t>
            </w:r>
          </w:p>
        </w:tc>
        <w:tc>
          <w:tcPr>
            <w:tcW w:w="6584" w:type="dxa"/>
            <w:vAlign w:val="center"/>
          </w:tcPr>
          <w:p w14:paraId="4ED148F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Sulfuric acid, mono-C6-12-alkyl esters, sodium salts</w:t>
            </w:r>
          </w:p>
        </w:tc>
        <w:tc>
          <w:tcPr>
            <w:tcW w:w="1650" w:type="dxa"/>
            <w:vAlign w:val="center"/>
          </w:tcPr>
          <w:p w14:paraId="4DE8800C"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90583-25-8</w:t>
            </w:r>
          </w:p>
        </w:tc>
      </w:tr>
    </w:tbl>
    <w:p w14:paraId="6EAF9D58" w14:textId="73E1727E" w:rsidR="00FF2A26" w:rsidRPr="00FF2A26" w:rsidRDefault="00FF2A26" w:rsidP="006C7DA2">
      <w:pPr>
        <w:pStyle w:val="Heading4"/>
      </w:pPr>
      <w:bookmarkStart w:id="25" w:name="_Toc187052730"/>
      <w:bookmarkEnd w:id="24"/>
      <w:r w:rsidRPr="00FF2A26">
        <w:t>Proposed scheduling</w:t>
      </w:r>
      <w:bookmarkEnd w:id="25"/>
    </w:p>
    <w:p w14:paraId="62341E32" w14:textId="32217A6B" w:rsidR="00FF2A26" w:rsidRPr="00FF2A26" w:rsidRDefault="00FF2A26" w:rsidP="00FF2A26">
      <w:pPr>
        <w:rPr>
          <w:rFonts w:asciiTheme="minorHAnsi" w:hAnsiTheme="minorHAnsi" w:cstheme="minorHAnsi"/>
        </w:rPr>
      </w:pPr>
      <w:r w:rsidRPr="00FF2A26">
        <w:rPr>
          <w:rFonts w:asciiTheme="minorHAnsi" w:hAnsiTheme="minorHAnsi" w:cstheme="minorHAnsi"/>
        </w:rPr>
        <w:t>Currently, only two long chain alkyl sufates, sodium tetradecyl (C14) sulfate in preparations for injection and lauryl (C12) sulfate salts are listed in the Poisons Standard as Prescription only (Schedule 4) and Poison (Schedule 6) substances, respectively. The propos</w:t>
      </w:r>
      <w:r w:rsidR="00A77332">
        <w:rPr>
          <w:rFonts w:asciiTheme="minorHAnsi" w:hAnsiTheme="minorHAnsi" w:cstheme="minorHAnsi"/>
        </w:rPr>
        <w:t>ed</w:t>
      </w:r>
      <w:r w:rsidRPr="00FF2A26">
        <w:rPr>
          <w:rFonts w:asciiTheme="minorHAnsi" w:hAnsiTheme="minorHAnsi" w:cstheme="minorHAnsi"/>
        </w:rPr>
        <w:t xml:space="preserve"> new entry for medium to long chain (C6-C15) alkyl sulfates is as follows</w:t>
      </w:r>
      <w:r w:rsidRPr="00FF2A26">
        <w:rPr>
          <w:rFonts w:asciiTheme="minorHAnsi" w:hAnsiTheme="minorHAnsi" w:cstheme="minorHAnsi"/>
          <w:vertAlign w:val="superscript"/>
        </w:rPr>
        <w:footnoteReference w:id="14"/>
      </w:r>
      <w:r w:rsidRPr="00FF2A26">
        <w:rPr>
          <w:rFonts w:asciiTheme="minorHAnsi" w:hAnsiTheme="minorHAnsi" w:cstheme="minorHAnsi"/>
        </w:rPr>
        <w:t xml:space="preserve">: </w:t>
      </w:r>
    </w:p>
    <w:p w14:paraId="04774D4B" w14:textId="036BC21E" w:rsidR="00FF2A26" w:rsidRPr="00FF2A26" w:rsidRDefault="00FF2A26" w:rsidP="006C7DA2">
      <w:pPr>
        <w:ind w:left="284"/>
        <w:rPr>
          <w:rFonts w:asciiTheme="minorHAnsi" w:hAnsiTheme="minorHAnsi" w:cstheme="minorHAnsi"/>
          <w:b/>
          <w:bCs/>
        </w:rPr>
      </w:pPr>
      <w:r w:rsidRPr="00FF2A26">
        <w:rPr>
          <w:rFonts w:asciiTheme="minorHAnsi" w:hAnsiTheme="minorHAnsi" w:cstheme="minorHAnsi"/>
          <w:b/>
          <w:bCs/>
        </w:rPr>
        <w:t>Schedule 6 – New</w:t>
      </w:r>
      <w:r w:rsidR="006C7DA2" w:rsidRPr="006C7DA2">
        <w:rPr>
          <w:rFonts w:asciiTheme="minorHAnsi" w:hAnsiTheme="minorHAnsi" w:cstheme="minorHAnsi"/>
          <w:b/>
          <w:bCs/>
        </w:rPr>
        <w:t xml:space="preserve"> entry</w:t>
      </w:r>
    </w:p>
    <w:p w14:paraId="6FDCE3A6" w14:textId="77777777" w:rsidR="00FF2A26" w:rsidRPr="00FF2A26" w:rsidRDefault="00FF2A26" w:rsidP="00F21495">
      <w:pPr>
        <w:ind w:left="567"/>
        <w:rPr>
          <w:rFonts w:asciiTheme="minorHAnsi" w:hAnsiTheme="minorHAnsi" w:cstheme="minorHAnsi"/>
          <w:color w:val="00B050"/>
          <w:u w:val="single"/>
        </w:rPr>
      </w:pPr>
      <w:r w:rsidRPr="00FF2A26">
        <w:rPr>
          <w:rFonts w:asciiTheme="minorHAnsi" w:hAnsiTheme="minorHAnsi" w:cstheme="minorHAnsi"/>
          <w:color w:val="00B050"/>
          <w:u w:val="single"/>
        </w:rPr>
        <w:t>MEDIUM AND LONG CHAIN (C6-15) ALKYL SULFATES except when separately specified in these Schedules and</w:t>
      </w:r>
    </w:p>
    <w:p w14:paraId="08165A5C" w14:textId="77777777" w:rsidR="00FF2A26" w:rsidRPr="00FF2A26" w:rsidRDefault="00FF2A26" w:rsidP="00F21495">
      <w:pPr>
        <w:ind w:left="1276" w:hanging="425"/>
        <w:rPr>
          <w:rFonts w:asciiTheme="minorHAnsi" w:hAnsiTheme="minorHAnsi" w:cstheme="minorHAnsi"/>
          <w:color w:val="00B050"/>
          <w:u w:val="single"/>
        </w:rPr>
      </w:pPr>
      <w:r w:rsidRPr="00FF2A26">
        <w:rPr>
          <w:rFonts w:asciiTheme="minorHAnsi" w:hAnsiTheme="minorHAnsi" w:cstheme="minorHAnsi"/>
          <w:color w:val="00B050"/>
          <w:u w:val="single"/>
        </w:rPr>
        <w:t xml:space="preserve">(a) </w:t>
      </w:r>
      <w:r w:rsidRPr="00FF2A26">
        <w:rPr>
          <w:rFonts w:asciiTheme="minorHAnsi" w:hAnsiTheme="minorHAnsi" w:cstheme="minorHAnsi"/>
          <w:color w:val="00B050"/>
          <w:u w:val="single"/>
        </w:rPr>
        <w:tab/>
        <w:t>in wash-off preparations containing, in total, 30% or less of medium and long chain alkyl sulfates and, if containing, in total, more than 5% of total medium and long chain alkyl sulfates, when labelled with a warning to the following effect:</w:t>
      </w:r>
    </w:p>
    <w:p w14:paraId="5C95230F" w14:textId="77777777" w:rsidR="00FF2A26" w:rsidRPr="00FF2A26" w:rsidRDefault="00FF2A26" w:rsidP="006C7DA2">
      <w:pPr>
        <w:ind w:left="1440" w:firstLine="403"/>
        <w:rPr>
          <w:rFonts w:asciiTheme="minorHAnsi" w:hAnsiTheme="minorHAnsi" w:cstheme="minorHAnsi"/>
          <w:color w:val="00B050"/>
          <w:u w:val="single"/>
        </w:rPr>
      </w:pPr>
      <w:r w:rsidRPr="00FF2A26">
        <w:rPr>
          <w:rFonts w:asciiTheme="minorHAnsi" w:hAnsiTheme="minorHAnsi" w:cstheme="minorHAnsi"/>
          <w:color w:val="00B050"/>
          <w:u w:val="single"/>
        </w:rPr>
        <w:t>IF IN EYES WASH OUT IMMEDIATELY WITH WATER; or</w:t>
      </w:r>
    </w:p>
    <w:p w14:paraId="606ED3A9" w14:textId="77777777" w:rsidR="00FF2A26" w:rsidRPr="00FF2A26" w:rsidRDefault="00FF2A26" w:rsidP="00F21495">
      <w:pPr>
        <w:ind w:left="1276" w:hanging="425"/>
        <w:rPr>
          <w:rFonts w:asciiTheme="minorHAnsi" w:hAnsiTheme="minorHAnsi" w:cstheme="minorHAnsi"/>
          <w:color w:val="00B050"/>
          <w:u w:val="single"/>
        </w:rPr>
      </w:pPr>
      <w:r w:rsidRPr="00FF2A26">
        <w:rPr>
          <w:rFonts w:asciiTheme="minorHAnsi" w:hAnsiTheme="minorHAnsi" w:cstheme="minorHAnsi"/>
          <w:color w:val="00B050"/>
          <w:u w:val="single"/>
        </w:rPr>
        <w:t xml:space="preserve">(b) </w:t>
      </w:r>
      <w:r w:rsidRPr="00FF2A26">
        <w:rPr>
          <w:rFonts w:asciiTheme="minorHAnsi" w:hAnsiTheme="minorHAnsi" w:cstheme="minorHAnsi"/>
          <w:color w:val="00B050"/>
          <w:u w:val="single"/>
        </w:rPr>
        <w:tab/>
        <w:t>in leave-on preparations containing, in total, 1.5% or less of medium and long chain alkyl sulfates; or</w:t>
      </w:r>
    </w:p>
    <w:p w14:paraId="16BAD2BD" w14:textId="77777777" w:rsidR="00FF2A26" w:rsidRPr="00FF2A26" w:rsidRDefault="00FF2A26" w:rsidP="00F21495">
      <w:pPr>
        <w:ind w:left="1276" w:hanging="425"/>
        <w:rPr>
          <w:rFonts w:asciiTheme="minorHAnsi" w:hAnsiTheme="minorHAnsi" w:cstheme="minorHAnsi"/>
          <w:color w:val="00B050"/>
          <w:u w:val="single"/>
        </w:rPr>
      </w:pPr>
      <w:r w:rsidRPr="00FF2A26">
        <w:rPr>
          <w:rFonts w:asciiTheme="minorHAnsi" w:hAnsiTheme="minorHAnsi" w:cstheme="minorHAnsi"/>
          <w:color w:val="00B050"/>
          <w:u w:val="single"/>
        </w:rPr>
        <w:t xml:space="preserve">(c) </w:t>
      </w:r>
      <w:r w:rsidRPr="00FF2A26">
        <w:rPr>
          <w:rFonts w:asciiTheme="minorHAnsi" w:hAnsiTheme="minorHAnsi" w:cstheme="minorHAnsi"/>
          <w:color w:val="00B050"/>
          <w:u w:val="single"/>
        </w:rPr>
        <w:tab/>
        <w:t>in toothpaste and oral hygiene preparations containing, in total, 5% or less of medium and long chain alkyl sulfates; or</w:t>
      </w:r>
    </w:p>
    <w:p w14:paraId="1833560F" w14:textId="77777777" w:rsidR="00FF2A26" w:rsidRPr="00FF2A26" w:rsidRDefault="00FF2A26" w:rsidP="00F21495">
      <w:pPr>
        <w:ind w:left="1276" w:hanging="425"/>
        <w:rPr>
          <w:rFonts w:asciiTheme="minorHAnsi" w:hAnsiTheme="minorHAnsi" w:cstheme="minorHAnsi"/>
          <w:color w:val="00B050"/>
          <w:u w:val="single"/>
        </w:rPr>
      </w:pPr>
      <w:r w:rsidRPr="00FF2A26">
        <w:rPr>
          <w:rFonts w:asciiTheme="minorHAnsi" w:hAnsiTheme="minorHAnsi" w:cstheme="minorHAnsi"/>
          <w:color w:val="00B050"/>
          <w:u w:val="single"/>
        </w:rPr>
        <w:lastRenderedPageBreak/>
        <w:t xml:space="preserve">(d) </w:t>
      </w:r>
      <w:r w:rsidRPr="00FF2A26">
        <w:rPr>
          <w:rFonts w:asciiTheme="minorHAnsi" w:hAnsiTheme="minorHAnsi" w:cstheme="minorHAnsi"/>
          <w:color w:val="00B050"/>
          <w:u w:val="single"/>
        </w:rPr>
        <w:tab/>
        <w:t>in other preparations for animal use containing, in total, 2% or less of medium and long chain alkyl sulfates; or</w:t>
      </w:r>
    </w:p>
    <w:p w14:paraId="0479362D" w14:textId="77777777" w:rsidR="00FF2A26" w:rsidRPr="00FF2A26" w:rsidRDefault="00FF2A26" w:rsidP="00F21495">
      <w:pPr>
        <w:ind w:left="1276" w:hanging="425"/>
        <w:rPr>
          <w:rFonts w:asciiTheme="minorHAnsi" w:hAnsiTheme="minorHAnsi" w:cstheme="minorHAnsi"/>
          <w:color w:val="00B050"/>
          <w:u w:val="single"/>
        </w:rPr>
      </w:pPr>
      <w:r w:rsidRPr="00FF2A26">
        <w:rPr>
          <w:rFonts w:asciiTheme="minorHAnsi" w:hAnsiTheme="minorHAnsi" w:cstheme="minorHAnsi"/>
          <w:color w:val="00B050"/>
          <w:u w:val="single"/>
        </w:rPr>
        <w:t xml:space="preserve">(e) </w:t>
      </w:r>
      <w:r w:rsidRPr="00FF2A26">
        <w:rPr>
          <w:rFonts w:asciiTheme="minorHAnsi" w:hAnsiTheme="minorHAnsi" w:cstheme="minorHAnsi"/>
          <w:color w:val="00B050"/>
          <w:u w:val="single"/>
        </w:rPr>
        <w:tab/>
        <w:t>in other preparations containing, in total, 30% or less of medium and long chain alkyl sulfates and, if containing, in total, more than 5% of medium and long chain alkyl sulfates, when labelled with warnings to the following effect:</w:t>
      </w:r>
    </w:p>
    <w:p w14:paraId="391FFCB8" w14:textId="77777777" w:rsidR="00FF2A26" w:rsidRPr="00FF2A26" w:rsidRDefault="00FF2A26" w:rsidP="00F21495">
      <w:pPr>
        <w:ind w:left="1843" w:hanging="425"/>
        <w:rPr>
          <w:rFonts w:asciiTheme="minorHAnsi" w:hAnsiTheme="minorHAnsi" w:cstheme="minorHAnsi"/>
          <w:color w:val="00B050"/>
          <w:u w:val="single"/>
        </w:rPr>
      </w:pPr>
      <w:r w:rsidRPr="00FF2A26">
        <w:rPr>
          <w:rFonts w:asciiTheme="minorHAnsi" w:hAnsiTheme="minorHAnsi" w:cstheme="minorHAnsi"/>
          <w:color w:val="00B050"/>
          <w:u w:val="single"/>
        </w:rPr>
        <w:t xml:space="preserve">(i) </w:t>
      </w:r>
      <w:r w:rsidRPr="00FF2A26">
        <w:rPr>
          <w:rFonts w:asciiTheme="minorHAnsi" w:hAnsiTheme="minorHAnsi" w:cstheme="minorHAnsi"/>
          <w:color w:val="00B050"/>
          <w:u w:val="single"/>
        </w:rPr>
        <w:tab/>
        <w:t>IF IN EYES WASH OUT IMMEDIATELY WITH WATER; and</w:t>
      </w:r>
    </w:p>
    <w:p w14:paraId="1B2EE44E" w14:textId="77777777" w:rsidR="00FF2A26" w:rsidRPr="00FF2A26" w:rsidRDefault="00FF2A26" w:rsidP="00F21495">
      <w:pPr>
        <w:ind w:left="1843" w:hanging="425"/>
        <w:rPr>
          <w:rFonts w:asciiTheme="minorHAnsi" w:hAnsiTheme="minorHAnsi" w:cstheme="minorHAnsi"/>
        </w:rPr>
      </w:pPr>
      <w:r w:rsidRPr="00FF2A26">
        <w:rPr>
          <w:rFonts w:asciiTheme="minorHAnsi" w:hAnsiTheme="minorHAnsi" w:cstheme="minorHAnsi"/>
          <w:color w:val="00B050"/>
          <w:u w:val="single"/>
        </w:rPr>
        <w:t xml:space="preserve">(ii) </w:t>
      </w:r>
      <w:r w:rsidRPr="00FF2A26">
        <w:rPr>
          <w:rFonts w:asciiTheme="minorHAnsi" w:hAnsiTheme="minorHAnsi" w:cstheme="minorHAnsi"/>
          <w:color w:val="00B050"/>
          <w:u w:val="single"/>
        </w:rPr>
        <w:tab/>
        <w:t>IF SKIN OR HAIR CONTACT OCCURS, REMOVE CONTAMINATED CLOTHING AND FLUSH SKIN AND HAIR WITH RUNNING WATER.</w:t>
      </w:r>
    </w:p>
    <w:p w14:paraId="70F9466C" w14:textId="77777777" w:rsidR="00FF2A26" w:rsidRPr="00FF2A26" w:rsidRDefault="00FF2A26" w:rsidP="006C7DA2">
      <w:pPr>
        <w:ind w:left="284"/>
        <w:rPr>
          <w:rFonts w:asciiTheme="minorHAnsi" w:hAnsiTheme="minorHAnsi" w:cstheme="minorHAnsi"/>
          <w:b/>
          <w:bCs/>
        </w:rPr>
      </w:pPr>
      <w:r w:rsidRPr="00FF2A26">
        <w:rPr>
          <w:rFonts w:asciiTheme="minorHAnsi" w:hAnsiTheme="minorHAnsi" w:cstheme="minorHAnsi"/>
          <w:b/>
          <w:bCs/>
        </w:rPr>
        <w:t xml:space="preserve">Appendix E, Clause 3 </w:t>
      </w: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5528"/>
        <w:gridCol w:w="2127"/>
      </w:tblGrid>
      <w:tr w:rsidR="00FF2A26" w:rsidRPr="00FF2A26" w14:paraId="3B8897F1" w14:textId="77777777" w:rsidTr="005B065D">
        <w:trPr>
          <w:tblHeader/>
        </w:trPr>
        <w:tc>
          <w:tcPr>
            <w:tcW w:w="8364" w:type="dxa"/>
            <w:gridSpan w:val="3"/>
            <w:tcBorders>
              <w:top w:val="single" w:sz="12" w:space="0" w:color="auto"/>
            </w:tcBorders>
            <w:shd w:val="clear" w:color="auto" w:fill="auto"/>
          </w:tcPr>
          <w:p w14:paraId="260F7F05" w14:textId="77777777" w:rsidR="00FF2A26" w:rsidRPr="00FF2A26" w:rsidRDefault="00FF2A26" w:rsidP="00FF2A26">
            <w:pPr>
              <w:rPr>
                <w:rFonts w:asciiTheme="minorHAnsi" w:hAnsiTheme="minorHAnsi" w:cstheme="minorHAnsi"/>
                <w:b/>
                <w:bCs/>
                <w:sz w:val="20"/>
                <w:szCs w:val="20"/>
                <w:lang w:eastAsia="en-US"/>
              </w:rPr>
            </w:pPr>
            <w:r w:rsidRPr="00FF2A26">
              <w:rPr>
                <w:rFonts w:asciiTheme="minorHAnsi" w:hAnsiTheme="minorHAnsi" w:cstheme="minorHAnsi"/>
                <w:b/>
                <w:bCs/>
                <w:sz w:val="20"/>
                <w:szCs w:val="20"/>
                <w:lang w:eastAsia="en-US"/>
              </w:rPr>
              <w:t>Poisons that must be labelled with first aid instructions</w:t>
            </w:r>
          </w:p>
        </w:tc>
      </w:tr>
      <w:tr w:rsidR="00FF2A26" w:rsidRPr="00FF2A26" w14:paraId="3801C820" w14:textId="77777777" w:rsidTr="005B065D">
        <w:trPr>
          <w:tblHeader/>
        </w:trPr>
        <w:tc>
          <w:tcPr>
            <w:tcW w:w="709" w:type="dxa"/>
            <w:tcBorders>
              <w:top w:val="nil"/>
              <w:bottom w:val="single" w:sz="12" w:space="0" w:color="auto"/>
            </w:tcBorders>
            <w:shd w:val="clear" w:color="auto" w:fill="auto"/>
          </w:tcPr>
          <w:p w14:paraId="0239CA14" w14:textId="77777777" w:rsidR="00FF2A26" w:rsidRPr="00FF2A26" w:rsidRDefault="00FF2A26" w:rsidP="00FF2A26">
            <w:pPr>
              <w:rPr>
                <w:rFonts w:asciiTheme="minorHAnsi" w:hAnsiTheme="minorHAnsi" w:cstheme="minorHAnsi"/>
                <w:sz w:val="20"/>
                <w:szCs w:val="20"/>
                <w:lang w:eastAsia="en-US"/>
              </w:rPr>
            </w:pPr>
            <w:r w:rsidRPr="00FF2A26">
              <w:rPr>
                <w:rFonts w:asciiTheme="minorHAnsi" w:hAnsiTheme="minorHAnsi" w:cstheme="minorHAnsi"/>
                <w:sz w:val="20"/>
                <w:szCs w:val="20"/>
                <w:lang w:eastAsia="en-US"/>
              </w:rPr>
              <w:t>Item</w:t>
            </w:r>
          </w:p>
        </w:tc>
        <w:tc>
          <w:tcPr>
            <w:tcW w:w="5528" w:type="dxa"/>
            <w:tcBorders>
              <w:top w:val="nil"/>
              <w:bottom w:val="single" w:sz="12" w:space="0" w:color="auto"/>
            </w:tcBorders>
            <w:shd w:val="clear" w:color="auto" w:fill="auto"/>
          </w:tcPr>
          <w:p w14:paraId="7E0A065A" w14:textId="77777777" w:rsidR="00FF2A26" w:rsidRPr="00FF2A26" w:rsidRDefault="00FF2A26" w:rsidP="00FF2A26">
            <w:pPr>
              <w:rPr>
                <w:rFonts w:asciiTheme="minorHAnsi" w:hAnsiTheme="minorHAnsi" w:cstheme="minorHAnsi"/>
                <w:b/>
                <w:bCs/>
                <w:sz w:val="20"/>
                <w:szCs w:val="20"/>
                <w:lang w:eastAsia="en-US"/>
              </w:rPr>
            </w:pPr>
            <w:r w:rsidRPr="00FF2A26">
              <w:rPr>
                <w:rFonts w:asciiTheme="minorHAnsi" w:hAnsiTheme="minorHAnsi" w:cstheme="minorHAnsi"/>
                <w:b/>
                <w:bCs/>
                <w:sz w:val="20"/>
                <w:szCs w:val="20"/>
                <w:lang w:eastAsia="en-US"/>
              </w:rPr>
              <w:t>Column 1</w:t>
            </w:r>
            <w:r w:rsidRPr="00FF2A26">
              <w:rPr>
                <w:rFonts w:asciiTheme="minorHAnsi" w:hAnsiTheme="minorHAnsi" w:cstheme="minorHAnsi"/>
                <w:b/>
                <w:bCs/>
                <w:sz w:val="20"/>
                <w:szCs w:val="20"/>
                <w:lang w:eastAsia="en-US"/>
              </w:rPr>
              <w:br/>
              <w:t>Poison</w:t>
            </w:r>
          </w:p>
        </w:tc>
        <w:tc>
          <w:tcPr>
            <w:tcW w:w="2127" w:type="dxa"/>
            <w:tcBorders>
              <w:top w:val="nil"/>
              <w:bottom w:val="single" w:sz="12" w:space="0" w:color="auto"/>
            </w:tcBorders>
            <w:shd w:val="clear" w:color="auto" w:fill="auto"/>
          </w:tcPr>
          <w:p w14:paraId="61A2A787" w14:textId="77777777" w:rsidR="00FF2A26" w:rsidRPr="00FF2A26" w:rsidRDefault="00FF2A26" w:rsidP="00FF2A26">
            <w:pPr>
              <w:rPr>
                <w:rFonts w:asciiTheme="minorHAnsi" w:hAnsiTheme="minorHAnsi" w:cstheme="minorHAnsi"/>
                <w:b/>
                <w:bCs/>
                <w:sz w:val="20"/>
                <w:szCs w:val="20"/>
                <w:lang w:eastAsia="en-US"/>
              </w:rPr>
            </w:pPr>
            <w:r w:rsidRPr="00FF2A26">
              <w:rPr>
                <w:rFonts w:asciiTheme="minorHAnsi" w:hAnsiTheme="minorHAnsi" w:cstheme="minorHAnsi"/>
                <w:b/>
                <w:bCs/>
                <w:sz w:val="20"/>
                <w:szCs w:val="20"/>
                <w:lang w:eastAsia="en-US"/>
              </w:rPr>
              <w:t>Column 2</w:t>
            </w:r>
            <w:r w:rsidRPr="00FF2A26">
              <w:rPr>
                <w:rFonts w:asciiTheme="minorHAnsi" w:hAnsiTheme="minorHAnsi" w:cstheme="minorHAnsi"/>
                <w:b/>
                <w:bCs/>
                <w:sz w:val="20"/>
                <w:szCs w:val="20"/>
                <w:lang w:eastAsia="en-US"/>
              </w:rPr>
              <w:br/>
              <w:t>Statement code</w:t>
            </w:r>
          </w:p>
        </w:tc>
      </w:tr>
      <w:tr w:rsidR="00FF2A26" w:rsidRPr="00FF2A26" w14:paraId="04526ECD" w14:textId="77777777" w:rsidTr="0013481F">
        <w:tc>
          <w:tcPr>
            <w:tcW w:w="709" w:type="dxa"/>
            <w:tcBorders>
              <w:top w:val="single" w:sz="12" w:space="0" w:color="auto"/>
              <w:bottom w:val="single" w:sz="4" w:space="0" w:color="auto"/>
            </w:tcBorders>
            <w:shd w:val="clear" w:color="auto" w:fill="auto"/>
          </w:tcPr>
          <w:p w14:paraId="3767448C" w14:textId="77777777" w:rsidR="00FF2A26" w:rsidRPr="00FF2A26" w:rsidRDefault="00FF2A26" w:rsidP="00FF2A26">
            <w:pPr>
              <w:rPr>
                <w:rFonts w:asciiTheme="minorHAnsi" w:hAnsiTheme="minorHAnsi" w:cstheme="minorHAnsi"/>
                <w:sz w:val="20"/>
                <w:szCs w:val="20"/>
                <w:lang w:eastAsia="en-US"/>
              </w:rPr>
            </w:pPr>
            <w:r w:rsidRPr="00FF2A26">
              <w:rPr>
                <w:rFonts w:asciiTheme="minorHAnsi" w:hAnsiTheme="minorHAnsi" w:cstheme="minorHAnsi"/>
                <w:sz w:val="20"/>
                <w:szCs w:val="20"/>
                <w:lang w:eastAsia="en-US"/>
              </w:rPr>
              <w:t>179</w:t>
            </w:r>
          </w:p>
        </w:tc>
        <w:tc>
          <w:tcPr>
            <w:tcW w:w="5528" w:type="dxa"/>
            <w:tcBorders>
              <w:top w:val="single" w:sz="12" w:space="0" w:color="auto"/>
              <w:bottom w:val="single" w:sz="4" w:space="0" w:color="auto"/>
            </w:tcBorders>
            <w:shd w:val="clear" w:color="auto" w:fill="auto"/>
          </w:tcPr>
          <w:p w14:paraId="0FBD8F4C" w14:textId="77777777" w:rsidR="00FF2A26" w:rsidRPr="00FF2A26" w:rsidRDefault="00FF2A26" w:rsidP="00FF2A26">
            <w:pPr>
              <w:rPr>
                <w:rFonts w:asciiTheme="minorHAnsi" w:hAnsiTheme="minorHAnsi" w:cstheme="minorHAnsi"/>
                <w:sz w:val="20"/>
                <w:szCs w:val="20"/>
                <w:lang w:eastAsia="en-US"/>
              </w:rPr>
            </w:pPr>
            <w:r w:rsidRPr="00FF2A26">
              <w:rPr>
                <w:rFonts w:asciiTheme="minorHAnsi" w:hAnsiTheme="minorHAnsi" w:cstheme="minorHAnsi"/>
                <w:sz w:val="20"/>
                <w:szCs w:val="20"/>
                <w:lang w:eastAsia="en-US"/>
              </w:rPr>
              <w:t>MEDIUM AND LONG CHAIN (C6-15) ALKYL SULFATES — leave</w:t>
            </w:r>
            <w:r w:rsidRPr="00FF2A26">
              <w:rPr>
                <w:rFonts w:ascii="Cambria Math" w:hAnsi="Cambria Math" w:cs="Cambria Math"/>
                <w:sz w:val="20"/>
                <w:szCs w:val="20"/>
                <w:lang w:eastAsia="en-US"/>
              </w:rPr>
              <w:t>‑</w:t>
            </w:r>
            <w:r w:rsidRPr="00FF2A26">
              <w:rPr>
                <w:rFonts w:asciiTheme="minorHAnsi" w:hAnsiTheme="minorHAnsi" w:cstheme="minorHAnsi"/>
                <w:sz w:val="20"/>
                <w:szCs w:val="20"/>
                <w:lang w:eastAsia="en-US"/>
              </w:rPr>
              <w:t>on or wash</w:t>
            </w:r>
            <w:r w:rsidRPr="00FF2A26">
              <w:rPr>
                <w:rFonts w:ascii="Cambria Math" w:hAnsi="Cambria Math" w:cs="Cambria Math"/>
                <w:sz w:val="20"/>
                <w:szCs w:val="20"/>
                <w:lang w:eastAsia="en-US"/>
              </w:rPr>
              <w:t>‑</w:t>
            </w:r>
            <w:r w:rsidRPr="00FF2A26">
              <w:rPr>
                <w:rFonts w:asciiTheme="minorHAnsi" w:hAnsiTheme="minorHAnsi" w:cstheme="minorHAnsi"/>
                <w:sz w:val="20"/>
                <w:szCs w:val="20"/>
                <w:lang w:eastAsia="en-US"/>
              </w:rPr>
              <w:t>off preparations containing, in total, above 5% of alkyl sulfates</w:t>
            </w:r>
          </w:p>
        </w:tc>
        <w:tc>
          <w:tcPr>
            <w:tcW w:w="2127" w:type="dxa"/>
            <w:tcBorders>
              <w:top w:val="single" w:sz="12" w:space="0" w:color="auto"/>
              <w:bottom w:val="single" w:sz="4" w:space="0" w:color="auto"/>
            </w:tcBorders>
            <w:shd w:val="clear" w:color="auto" w:fill="auto"/>
          </w:tcPr>
          <w:p w14:paraId="762F0151" w14:textId="77777777" w:rsidR="00FF2A26" w:rsidRPr="00FF2A26" w:rsidRDefault="00FF2A26" w:rsidP="00FF2A26">
            <w:pPr>
              <w:rPr>
                <w:rFonts w:asciiTheme="minorHAnsi" w:hAnsiTheme="minorHAnsi" w:cstheme="minorHAnsi"/>
                <w:sz w:val="20"/>
                <w:szCs w:val="20"/>
                <w:lang w:eastAsia="en-US"/>
              </w:rPr>
            </w:pPr>
            <w:r w:rsidRPr="00FF2A26">
              <w:rPr>
                <w:rFonts w:asciiTheme="minorHAnsi" w:hAnsiTheme="minorHAnsi" w:cstheme="minorHAnsi"/>
                <w:sz w:val="20"/>
                <w:szCs w:val="20"/>
                <w:lang w:eastAsia="en-US"/>
              </w:rPr>
              <w:t>E1</w:t>
            </w:r>
          </w:p>
        </w:tc>
      </w:tr>
      <w:tr w:rsidR="00FF2A26" w:rsidRPr="00FF2A26" w14:paraId="2FD42F86" w14:textId="77777777" w:rsidTr="0013481F">
        <w:tc>
          <w:tcPr>
            <w:tcW w:w="709" w:type="dxa"/>
            <w:tcBorders>
              <w:top w:val="single" w:sz="4" w:space="0" w:color="auto"/>
            </w:tcBorders>
            <w:shd w:val="clear" w:color="auto" w:fill="auto"/>
          </w:tcPr>
          <w:p w14:paraId="69715103" w14:textId="77777777" w:rsidR="00FF2A26" w:rsidRPr="00FF2A26" w:rsidRDefault="00FF2A26" w:rsidP="00FF2A26">
            <w:pPr>
              <w:rPr>
                <w:rFonts w:asciiTheme="minorHAnsi" w:hAnsiTheme="minorHAnsi" w:cstheme="minorHAnsi"/>
                <w:sz w:val="20"/>
                <w:szCs w:val="20"/>
                <w:lang w:eastAsia="en-US"/>
              </w:rPr>
            </w:pPr>
            <w:r w:rsidRPr="00FF2A26">
              <w:rPr>
                <w:rFonts w:asciiTheme="minorHAnsi" w:hAnsiTheme="minorHAnsi" w:cstheme="minorHAnsi"/>
                <w:sz w:val="20"/>
                <w:szCs w:val="20"/>
                <w:lang w:eastAsia="en-US"/>
              </w:rPr>
              <w:t>180</w:t>
            </w:r>
          </w:p>
        </w:tc>
        <w:tc>
          <w:tcPr>
            <w:tcW w:w="5528" w:type="dxa"/>
            <w:tcBorders>
              <w:top w:val="single" w:sz="4" w:space="0" w:color="auto"/>
            </w:tcBorders>
            <w:shd w:val="clear" w:color="auto" w:fill="auto"/>
          </w:tcPr>
          <w:p w14:paraId="3B3DD62D" w14:textId="77777777" w:rsidR="00FF2A26" w:rsidRPr="00FF2A26" w:rsidRDefault="00FF2A26" w:rsidP="00FF2A26">
            <w:pPr>
              <w:rPr>
                <w:rFonts w:asciiTheme="minorHAnsi" w:hAnsiTheme="minorHAnsi" w:cstheme="minorHAnsi"/>
                <w:sz w:val="20"/>
                <w:szCs w:val="20"/>
                <w:lang w:eastAsia="en-US"/>
              </w:rPr>
            </w:pPr>
            <w:r w:rsidRPr="00FF2A26">
              <w:rPr>
                <w:rFonts w:asciiTheme="minorHAnsi" w:hAnsiTheme="minorHAnsi" w:cstheme="minorHAnsi"/>
                <w:sz w:val="20"/>
                <w:szCs w:val="20"/>
                <w:lang w:eastAsia="en-US"/>
              </w:rPr>
              <w:t>MEDIUM AND LONG CHAIN (C6-15) ALKYL SULFATES — other preparations containing, in total, above 5% of alkyl sulfates</w:t>
            </w:r>
          </w:p>
        </w:tc>
        <w:tc>
          <w:tcPr>
            <w:tcW w:w="2127" w:type="dxa"/>
            <w:tcBorders>
              <w:top w:val="single" w:sz="4" w:space="0" w:color="auto"/>
            </w:tcBorders>
            <w:shd w:val="clear" w:color="auto" w:fill="auto"/>
          </w:tcPr>
          <w:p w14:paraId="4E4E6060" w14:textId="77777777" w:rsidR="00FF2A26" w:rsidRPr="00FF2A26" w:rsidRDefault="00FF2A26" w:rsidP="00FF2A26">
            <w:pPr>
              <w:rPr>
                <w:rFonts w:asciiTheme="minorHAnsi" w:hAnsiTheme="minorHAnsi" w:cstheme="minorHAnsi"/>
                <w:sz w:val="20"/>
                <w:szCs w:val="20"/>
                <w:lang w:eastAsia="en-US"/>
              </w:rPr>
            </w:pPr>
            <w:r w:rsidRPr="00FF2A26">
              <w:rPr>
                <w:rFonts w:asciiTheme="minorHAnsi" w:hAnsiTheme="minorHAnsi" w:cstheme="minorHAnsi"/>
                <w:sz w:val="20"/>
                <w:szCs w:val="20"/>
                <w:lang w:eastAsia="en-US"/>
              </w:rPr>
              <w:t>E1, S1</w:t>
            </w:r>
          </w:p>
        </w:tc>
      </w:tr>
    </w:tbl>
    <w:p w14:paraId="7A2FE9B0" w14:textId="77777777" w:rsidR="00FF2A26" w:rsidRPr="00FF2A26" w:rsidRDefault="00FF2A26" w:rsidP="00FF2A26">
      <w:pPr>
        <w:rPr>
          <w:rFonts w:asciiTheme="minorHAnsi" w:hAnsiTheme="minorHAnsi" w:cstheme="minorHAnsi"/>
        </w:rPr>
      </w:pPr>
    </w:p>
    <w:tbl>
      <w:tblPr>
        <w:tblW w:w="850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1176"/>
        <w:gridCol w:w="1319"/>
        <w:gridCol w:w="5357"/>
      </w:tblGrid>
      <w:tr w:rsidR="00FF2A26" w:rsidRPr="00FF2A26" w14:paraId="76686611" w14:textId="77777777" w:rsidTr="005B065D">
        <w:trPr>
          <w:tblHeader/>
        </w:trPr>
        <w:tc>
          <w:tcPr>
            <w:tcW w:w="8505" w:type="dxa"/>
            <w:gridSpan w:val="4"/>
            <w:tcBorders>
              <w:top w:val="single" w:sz="12" w:space="0" w:color="auto"/>
              <w:bottom w:val="single" w:sz="6" w:space="0" w:color="auto"/>
            </w:tcBorders>
            <w:shd w:val="clear" w:color="auto" w:fill="auto"/>
          </w:tcPr>
          <w:p w14:paraId="1B25061E" w14:textId="77777777" w:rsidR="00FF2A26" w:rsidRPr="00FF2A26" w:rsidRDefault="00FF2A26" w:rsidP="00FF2A26">
            <w:pPr>
              <w:rPr>
                <w:rFonts w:asciiTheme="minorHAnsi" w:hAnsiTheme="minorHAnsi" w:cstheme="minorHAnsi"/>
                <w:b/>
                <w:bCs/>
              </w:rPr>
            </w:pPr>
            <w:r w:rsidRPr="00FF2A26">
              <w:rPr>
                <w:rFonts w:asciiTheme="minorHAnsi" w:hAnsiTheme="minorHAnsi" w:cstheme="minorHAnsi"/>
                <w:b/>
                <w:bCs/>
              </w:rPr>
              <w:t>Standard statements for first aid instructions</w:t>
            </w:r>
          </w:p>
        </w:tc>
      </w:tr>
      <w:tr w:rsidR="00FF2A26" w:rsidRPr="00FF2A26" w14:paraId="08F82B2E" w14:textId="77777777" w:rsidTr="005B065D">
        <w:trPr>
          <w:tblHeader/>
        </w:trPr>
        <w:tc>
          <w:tcPr>
            <w:tcW w:w="653" w:type="dxa"/>
            <w:tcBorders>
              <w:top w:val="single" w:sz="6" w:space="0" w:color="auto"/>
              <w:bottom w:val="single" w:sz="12" w:space="0" w:color="auto"/>
            </w:tcBorders>
            <w:shd w:val="clear" w:color="auto" w:fill="auto"/>
          </w:tcPr>
          <w:p w14:paraId="1E208AB8" w14:textId="77777777" w:rsidR="00FF2A26" w:rsidRPr="00FF2A26" w:rsidRDefault="00FF2A26" w:rsidP="00FF2A26">
            <w:pPr>
              <w:rPr>
                <w:rFonts w:asciiTheme="minorHAnsi" w:hAnsiTheme="minorHAnsi" w:cstheme="minorHAnsi"/>
                <w:b/>
                <w:bCs/>
              </w:rPr>
            </w:pPr>
            <w:r w:rsidRPr="00FF2A26">
              <w:rPr>
                <w:rFonts w:asciiTheme="minorHAnsi" w:hAnsiTheme="minorHAnsi" w:cstheme="minorHAnsi"/>
                <w:b/>
                <w:bCs/>
              </w:rPr>
              <w:t>Item</w:t>
            </w:r>
          </w:p>
        </w:tc>
        <w:tc>
          <w:tcPr>
            <w:tcW w:w="1176" w:type="dxa"/>
            <w:tcBorders>
              <w:top w:val="single" w:sz="6" w:space="0" w:color="auto"/>
              <w:bottom w:val="single" w:sz="12" w:space="0" w:color="auto"/>
            </w:tcBorders>
            <w:shd w:val="clear" w:color="auto" w:fill="auto"/>
          </w:tcPr>
          <w:p w14:paraId="61768816" w14:textId="77777777" w:rsidR="00FF2A26" w:rsidRPr="00FF2A26" w:rsidRDefault="00FF2A26" w:rsidP="00FF2A26">
            <w:pPr>
              <w:rPr>
                <w:rFonts w:asciiTheme="minorHAnsi" w:hAnsiTheme="minorHAnsi" w:cstheme="minorHAnsi"/>
                <w:b/>
                <w:bCs/>
              </w:rPr>
            </w:pPr>
            <w:r w:rsidRPr="00FF2A26">
              <w:rPr>
                <w:rFonts w:asciiTheme="minorHAnsi" w:hAnsiTheme="minorHAnsi" w:cstheme="minorHAnsi"/>
                <w:b/>
                <w:bCs/>
              </w:rPr>
              <w:t>Column 1</w:t>
            </w:r>
            <w:r w:rsidRPr="00FF2A26">
              <w:rPr>
                <w:rFonts w:asciiTheme="minorHAnsi" w:hAnsiTheme="minorHAnsi" w:cstheme="minorHAnsi"/>
                <w:b/>
                <w:bCs/>
              </w:rPr>
              <w:br/>
              <w:t>Category</w:t>
            </w:r>
          </w:p>
        </w:tc>
        <w:tc>
          <w:tcPr>
            <w:tcW w:w="1319" w:type="dxa"/>
            <w:tcBorders>
              <w:top w:val="single" w:sz="6" w:space="0" w:color="auto"/>
              <w:bottom w:val="single" w:sz="12" w:space="0" w:color="auto"/>
            </w:tcBorders>
          </w:tcPr>
          <w:p w14:paraId="1B4FACA1" w14:textId="77777777" w:rsidR="00FF2A26" w:rsidRPr="00FF2A26" w:rsidRDefault="00FF2A26" w:rsidP="00FF2A26">
            <w:pPr>
              <w:rPr>
                <w:rFonts w:asciiTheme="minorHAnsi" w:hAnsiTheme="minorHAnsi" w:cstheme="minorHAnsi"/>
                <w:b/>
                <w:bCs/>
              </w:rPr>
            </w:pPr>
            <w:r w:rsidRPr="00FF2A26">
              <w:rPr>
                <w:rFonts w:asciiTheme="minorHAnsi" w:hAnsiTheme="minorHAnsi" w:cstheme="minorHAnsi"/>
                <w:b/>
                <w:bCs/>
              </w:rPr>
              <w:t>Column 2</w:t>
            </w:r>
            <w:r w:rsidRPr="00FF2A26">
              <w:rPr>
                <w:rFonts w:asciiTheme="minorHAnsi" w:hAnsiTheme="minorHAnsi" w:cstheme="minorHAnsi"/>
                <w:b/>
                <w:bCs/>
              </w:rPr>
              <w:br/>
              <w:t>Statement code</w:t>
            </w:r>
          </w:p>
        </w:tc>
        <w:tc>
          <w:tcPr>
            <w:tcW w:w="5357" w:type="dxa"/>
            <w:tcBorders>
              <w:top w:val="single" w:sz="6" w:space="0" w:color="auto"/>
              <w:bottom w:val="single" w:sz="12" w:space="0" w:color="auto"/>
            </w:tcBorders>
            <w:shd w:val="clear" w:color="auto" w:fill="auto"/>
          </w:tcPr>
          <w:p w14:paraId="5A9E60E6" w14:textId="77777777" w:rsidR="00FF2A26" w:rsidRPr="00FF2A26" w:rsidRDefault="00FF2A26" w:rsidP="00FF2A26">
            <w:pPr>
              <w:rPr>
                <w:rFonts w:asciiTheme="minorHAnsi" w:hAnsiTheme="minorHAnsi" w:cstheme="minorHAnsi"/>
                <w:b/>
                <w:bCs/>
              </w:rPr>
            </w:pPr>
            <w:r w:rsidRPr="00FF2A26">
              <w:rPr>
                <w:rFonts w:asciiTheme="minorHAnsi" w:hAnsiTheme="minorHAnsi" w:cstheme="minorHAnsi"/>
                <w:b/>
                <w:bCs/>
              </w:rPr>
              <w:t>Column 3</w:t>
            </w:r>
            <w:r w:rsidRPr="00FF2A26">
              <w:rPr>
                <w:rFonts w:asciiTheme="minorHAnsi" w:hAnsiTheme="minorHAnsi" w:cstheme="minorHAnsi"/>
                <w:b/>
                <w:bCs/>
              </w:rPr>
              <w:br/>
              <w:t>Statement</w:t>
            </w:r>
          </w:p>
        </w:tc>
      </w:tr>
      <w:tr w:rsidR="00FF2A26" w:rsidRPr="00FF2A26" w14:paraId="2DE62A47" w14:textId="77777777" w:rsidTr="0013481F">
        <w:tc>
          <w:tcPr>
            <w:tcW w:w="653" w:type="dxa"/>
            <w:tcBorders>
              <w:top w:val="single" w:sz="12" w:space="0" w:color="auto"/>
              <w:bottom w:val="single" w:sz="4" w:space="0" w:color="auto"/>
            </w:tcBorders>
            <w:shd w:val="clear" w:color="auto" w:fill="auto"/>
          </w:tcPr>
          <w:p w14:paraId="339D2C19"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9</w:t>
            </w:r>
          </w:p>
        </w:tc>
        <w:tc>
          <w:tcPr>
            <w:tcW w:w="1176" w:type="dxa"/>
            <w:tcBorders>
              <w:top w:val="single" w:sz="12" w:space="0" w:color="auto"/>
              <w:bottom w:val="single" w:sz="4" w:space="0" w:color="auto"/>
            </w:tcBorders>
            <w:shd w:val="clear" w:color="auto" w:fill="auto"/>
          </w:tcPr>
          <w:p w14:paraId="2FB19140"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Eyes</w:t>
            </w:r>
          </w:p>
        </w:tc>
        <w:tc>
          <w:tcPr>
            <w:tcW w:w="1319" w:type="dxa"/>
            <w:tcBorders>
              <w:top w:val="single" w:sz="12" w:space="0" w:color="auto"/>
              <w:bottom w:val="single" w:sz="4" w:space="0" w:color="auto"/>
            </w:tcBorders>
          </w:tcPr>
          <w:p w14:paraId="4A1E19BE"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E1</w:t>
            </w:r>
          </w:p>
        </w:tc>
        <w:tc>
          <w:tcPr>
            <w:tcW w:w="5357" w:type="dxa"/>
            <w:tcBorders>
              <w:top w:val="single" w:sz="12" w:space="0" w:color="auto"/>
              <w:bottom w:val="single" w:sz="4" w:space="0" w:color="auto"/>
            </w:tcBorders>
            <w:shd w:val="clear" w:color="auto" w:fill="auto"/>
          </w:tcPr>
          <w:p w14:paraId="7FCE7186"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If in eyes wash out immediately with water.</w:t>
            </w:r>
          </w:p>
        </w:tc>
      </w:tr>
      <w:tr w:rsidR="00FF2A26" w:rsidRPr="00FF2A26" w14:paraId="55D23C0D" w14:textId="77777777" w:rsidTr="0013481F">
        <w:tc>
          <w:tcPr>
            <w:tcW w:w="653" w:type="dxa"/>
            <w:tcBorders>
              <w:top w:val="single" w:sz="4" w:space="0" w:color="auto"/>
              <w:bottom w:val="single" w:sz="12" w:space="0" w:color="auto"/>
            </w:tcBorders>
            <w:shd w:val="clear" w:color="auto" w:fill="auto"/>
          </w:tcPr>
          <w:p w14:paraId="71F09E5C"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13</w:t>
            </w:r>
          </w:p>
        </w:tc>
        <w:tc>
          <w:tcPr>
            <w:tcW w:w="1176" w:type="dxa"/>
            <w:tcBorders>
              <w:top w:val="single" w:sz="4" w:space="0" w:color="auto"/>
              <w:bottom w:val="single" w:sz="12" w:space="0" w:color="auto"/>
            </w:tcBorders>
            <w:shd w:val="clear" w:color="auto" w:fill="auto"/>
          </w:tcPr>
          <w:p w14:paraId="36F834F2"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Skin</w:t>
            </w:r>
          </w:p>
        </w:tc>
        <w:tc>
          <w:tcPr>
            <w:tcW w:w="1319" w:type="dxa"/>
            <w:tcBorders>
              <w:top w:val="single" w:sz="4" w:space="0" w:color="auto"/>
              <w:bottom w:val="single" w:sz="12" w:space="0" w:color="auto"/>
            </w:tcBorders>
          </w:tcPr>
          <w:p w14:paraId="6B13F5C3"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S1</w:t>
            </w:r>
          </w:p>
        </w:tc>
        <w:tc>
          <w:tcPr>
            <w:tcW w:w="5357" w:type="dxa"/>
            <w:tcBorders>
              <w:top w:val="single" w:sz="4" w:space="0" w:color="auto"/>
              <w:bottom w:val="single" w:sz="12" w:space="0" w:color="auto"/>
            </w:tcBorders>
            <w:shd w:val="clear" w:color="auto" w:fill="auto"/>
          </w:tcPr>
          <w:p w14:paraId="77C82F79"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If skin or hair contact occurs, remove contaminated clothing and flush skin and hair with running water.</w:t>
            </w:r>
          </w:p>
        </w:tc>
      </w:tr>
    </w:tbl>
    <w:p w14:paraId="090C8831" w14:textId="77777777" w:rsidR="009449BF" w:rsidRDefault="009449BF" w:rsidP="009449BF">
      <w:pPr>
        <w:rPr>
          <w:rFonts w:asciiTheme="minorHAnsi" w:hAnsiTheme="minorHAnsi" w:cstheme="minorHAnsi"/>
          <w:b/>
          <w:bCs/>
        </w:rPr>
      </w:pPr>
    </w:p>
    <w:p w14:paraId="01077CE2" w14:textId="1BAAF883" w:rsidR="00FF2A26" w:rsidRPr="00FF2A26" w:rsidRDefault="00FF2A26" w:rsidP="009449BF">
      <w:pPr>
        <w:rPr>
          <w:rFonts w:asciiTheme="minorHAnsi" w:hAnsiTheme="minorHAnsi" w:cstheme="minorHAnsi"/>
          <w:b/>
          <w:bCs/>
        </w:rPr>
      </w:pPr>
      <w:r w:rsidRPr="00FF2A26">
        <w:rPr>
          <w:rFonts w:asciiTheme="minorHAnsi" w:hAnsiTheme="minorHAnsi" w:cstheme="minorHAnsi"/>
          <w:b/>
          <w:bCs/>
        </w:rPr>
        <w:t>Index</w:t>
      </w:r>
    </w:p>
    <w:p w14:paraId="174E8A19" w14:textId="77777777" w:rsidR="00FF2A26" w:rsidRPr="00FF2A26" w:rsidRDefault="00FF2A26" w:rsidP="00F21495">
      <w:pPr>
        <w:ind w:left="567"/>
        <w:rPr>
          <w:rFonts w:asciiTheme="minorHAnsi" w:hAnsiTheme="minorHAnsi" w:cstheme="minorHAnsi"/>
          <w:color w:val="00B050"/>
          <w:u w:val="single"/>
        </w:rPr>
      </w:pPr>
      <w:r w:rsidRPr="00FF2A26">
        <w:rPr>
          <w:rFonts w:asciiTheme="minorHAnsi" w:hAnsiTheme="minorHAnsi" w:cstheme="minorHAnsi"/>
          <w:color w:val="00B050"/>
          <w:u w:val="single"/>
        </w:rPr>
        <w:t>MEDIUM AND LONG CHAIN (C6-15) ALKYL SULFATES</w:t>
      </w:r>
    </w:p>
    <w:p w14:paraId="3B14AA10" w14:textId="77777777" w:rsidR="00FF2A26" w:rsidRPr="00FF2A26" w:rsidRDefault="00FF2A26" w:rsidP="00F21495">
      <w:pPr>
        <w:ind w:left="567"/>
        <w:rPr>
          <w:rFonts w:asciiTheme="minorHAnsi" w:hAnsiTheme="minorHAnsi" w:cstheme="minorHAnsi"/>
          <w:color w:val="00B050"/>
          <w:u w:val="single"/>
        </w:rPr>
      </w:pPr>
      <w:r w:rsidRPr="00FF2A26">
        <w:rPr>
          <w:rFonts w:asciiTheme="minorHAnsi" w:hAnsiTheme="minorHAnsi" w:cstheme="minorHAnsi"/>
          <w:color w:val="00B050"/>
          <w:u w:val="single"/>
        </w:rPr>
        <w:t xml:space="preserve">Cross reference: Sulfuric acid, monododecyl ester, compound with 2,2',2''-nitrilotris[ethanol] (1:1) (CAS No. 139-96-8), Sulfuric acid, monooctyl ester, sodium salt (CAS No. 142-31-4), Sulfuric acid, monodecyl ester, sodium salt (CAS No. 142-87-0), Sulfuric acid, monododecyl ester, compound with 2,2'-iminobis[ethanol] (1:1) (CAS No. 143-00-0), Sulfuric acid, monododecyl ester (CAS No. 151-41-7), 1-Tetradecanol, hydrogen sulfate, sodium salt (CAS No. 1191-50-0), Sulfuric acid, monohexyl ester, sodium salt (CAS No. 2207-98-9), 1-Tridecanol, hydrogen sulfate, sodium salt (CAS No. 3026-63-9), 1-Tetradecanol, hydrogen sulfate, compound with 2,2',2''-nitrilotris[ethanol] (1:1) (CAS No. 4492-78-8), Sulfuric acid, monododecyl ester, compound with 2-aminoethanol (1:1) (CAS No. 4722-98-9), Sulfuric acid, monodecyl ester, ammonium salt (CAS No. 13177-52-1), Sulfuric acid, monododecyl ester, compound with 1-amino-2-propanol (1:1) (CAS No. 21142-28-9), 1-Tetradecanol, hydrogen sulfate, magnesium salt (CAS No. 25446-91-7), Sulfuric acid, monoisononyl ester, sodium salt (CAS No. 26856-96-2), Sulfuric acid, monooctyl ester, compound with 2,2',2''-nitrilotris[ethanol] (1:1) (CAS No. 30862-34-1), Sulfuric acid, monodecyl ester, compound with 2,2',2''-nitrilotris[ethanol] (1:1) (CAS No. 39943-70-9), Sulfuric acid, monododecyl ester, compound with 2-(diethylamino) ethanol (1:1) (CAS No. 65104-49-6), Sulfuric acid, monododecyl ester, compound with 1,1',1''-nitrilotris[2-propanol] (CAS No. 66161-60-2), Sulfuric acid, mono-C6-10-alkyl esters, ammonium salts  (CAS No. 68187-17-7), Isodecanol, hydrogen sulfate, sodium salt (CAS No. 68299-17-2), Sulfuric acid, mono-C12-15-alkyl esters, compounds with triethanolamine (CAS No. 68815-25-8), Sulfuric acid, mono-C12-15-alkyl esters, sodium salt </w:t>
      </w:r>
      <w:r w:rsidRPr="00FF2A26">
        <w:rPr>
          <w:rFonts w:asciiTheme="minorHAnsi" w:hAnsiTheme="minorHAnsi" w:cstheme="minorHAnsi"/>
          <w:color w:val="00B050"/>
          <w:u w:val="single"/>
        </w:rPr>
        <w:lastRenderedPageBreak/>
        <w:t>(CAS No. 68890-70-0), Sulfuric acid, mono-C9-13-alkyl esters, sodium salts (CAS No. 72906-11-7), Sulfuric acid, mono-C9-11-alkyl esters, sodium salts (CAS No. 84501-49-5), Sulfuric acid, mono-C12-14-alkyl esters, sodium salts (CAS No. 85586-07-8), Sulfuric acid, mono-C8-14-alkyl esters, compounds with triethanolamine (CAS No. 85665-45-8), Sulfuric acid, mono-C12-14-alkyl esters, compounds with isopropanolamine (CAS No. 85681-66-9), Sulfuric acid, mono-C8-14-alkyl esters, ammonium salts (CAS No. 90583-10-1), Sulfuric acid, mono-C12-14-alkyl esters, compounds with ethanolamine (CAS No. 90583-16-7), Sulfuric acid, mono-C12-14-alkyl esters, compounds with triethanolamine (CAS No. 90583-18-9), Sulfuric acid, mono-C12-14-alkyl esters, magnesium salts (CAS No. 90583-23-6), Sulfuric acid, mono-C6-12-alkyl esters, sodium salts (CAS No. 90583-25-8).</w:t>
      </w:r>
    </w:p>
    <w:p w14:paraId="22CD0A02" w14:textId="77777777" w:rsidR="00FF2A26" w:rsidRPr="00FF2A26" w:rsidRDefault="00FF2A26" w:rsidP="00F21495">
      <w:pPr>
        <w:ind w:left="567"/>
        <w:rPr>
          <w:rFonts w:asciiTheme="minorHAnsi" w:hAnsiTheme="minorHAnsi" w:cstheme="minorHAnsi"/>
          <w:color w:val="00B050"/>
          <w:u w:val="single"/>
        </w:rPr>
      </w:pPr>
      <w:r w:rsidRPr="00FF2A26">
        <w:rPr>
          <w:rFonts w:asciiTheme="minorHAnsi" w:hAnsiTheme="minorHAnsi" w:cstheme="minorHAnsi"/>
          <w:color w:val="00B050"/>
          <w:u w:val="single"/>
        </w:rPr>
        <w:t>Schedule 6</w:t>
      </w:r>
    </w:p>
    <w:p w14:paraId="2F05B6F5" w14:textId="77777777" w:rsidR="00FF2A26" w:rsidRPr="00FF2A26" w:rsidRDefault="00FF2A26" w:rsidP="00F21495">
      <w:pPr>
        <w:ind w:left="567"/>
        <w:rPr>
          <w:rFonts w:asciiTheme="minorHAnsi" w:hAnsiTheme="minorHAnsi" w:cstheme="minorHAnsi"/>
          <w:color w:val="00B050"/>
          <w:u w:val="single"/>
        </w:rPr>
      </w:pPr>
      <w:r w:rsidRPr="00FF2A26">
        <w:rPr>
          <w:rFonts w:asciiTheme="minorHAnsi" w:hAnsiTheme="minorHAnsi" w:cstheme="minorHAnsi"/>
          <w:color w:val="00B050"/>
          <w:u w:val="single"/>
        </w:rPr>
        <w:t>Appendix E, clause 3</w:t>
      </w:r>
    </w:p>
    <w:p w14:paraId="0948B2BE" w14:textId="77777777" w:rsidR="00FF2A26" w:rsidRPr="00FF2A26" w:rsidRDefault="00FF2A26" w:rsidP="00A877CB">
      <w:pPr>
        <w:pStyle w:val="Heading4"/>
      </w:pPr>
      <w:bookmarkStart w:id="26" w:name="_Toc187052731"/>
      <w:r w:rsidRPr="00FF2A26">
        <w:t>Background</w:t>
      </w:r>
      <w:bookmarkEnd w:id="26"/>
    </w:p>
    <w:p w14:paraId="44FDDF6A"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 xml:space="preserve">Medium and long chain alkyl sulfates and alkyl sulfuric acids are a group of structurally similar chemicals. They are widely used as anionic surfactants in a variety of consumer products including personal care products and household cleaning and laundry products. </w:t>
      </w:r>
    </w:p>
    <w:p w14:paraId="5A70CEC8"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These chemicals also have many commercial uses including in fire-fighting foams and chemical and polymer manufacture. Available Australian and international data indicate that these chemicals are used in high volumes (more than 1,000 tonnes per year).</w:t>
      </w:r>
    </w:p>
    <w:p w14:paraId="34B9B05D" w14:textId="77777777" w:rsidR="00FF2A26" w:rsidRPr="00FF2A26" w:rsidRDefault="00FF2A26" w:rsidP="00FF2A26">
      <w:pPr>
        <w:rPr>
          <w:rFonts w:asciiTheme="minorHAnsi" w:hAnsiTheme="minorHAnsi" w:cstheme="minorHAnsi"/>
        </w:rPr>
      </w:pPr>
      <w:r w:rsidRPr="00FF2A26">
        <w:rPr>
          <w:rFonts w:asciiTheme="minorHAnsi" w:hAnsiTheme="minorHAnsi" w:cstheme="minorHAnsi"/>
        </w:rPr>
        <w:t>The quantity of surfactant can vary in different formulations. Maximum reported concentrations for some of these chemicals are:</w:t>
      </w:r>
    </w:p>
    <w:p w14:paraId="52AFB43B" w14:textId="77777777" w:rsidR="00FF2A26" w:rsidRPr="00FF2A26" w:rsidRDefault="00FF2A26" w:rsidP="008E43A2">
      <w:pPr>
        <w:pStyle w:val="ListBullet2"/>
      </w:pPr>
      <w:r w:rsidRPr="00FF2A26">
        <w:t>leave-on cosmetic products – 8%</w:t>
      </w:r>
    </w:p>
    <w:p w14:paraId="39A20A1C" w14:textId="77777777" w:rsidR="00FF2A26" w:rsidRPr="00FF2A26" w:rsidRDefault="00FF2A26" w:rsidP="008E43A2">
      <w:pPr>
        <w:pStyle w:val="ListBullet2"/>
      </w:pPr>
      <w:r w:rsidRPr="00FF2A26">
        <w:t>rinse-off cosmetic products – 40%</w:t>
      </w:r>
    </w:p>
    <w:p w14:paraId="186AA360" w14:textId="77777777" w:rsidR="00FF2A26" w:rsidRPr="00FF2A26" w:rsidRDefault="00FF2A26" w:rsidP="008E43A2">
      <w:pPr>
        <w:pStyle w:val="ListBullet2"/>
      </w:pPr>
      <w:r w:rsidRPr="00FF2A26">
        <w:t>diluted for bath use – 15%</w:t>
      </w:r>
    </w:p>
    <w:p w14:paraId="4E0A4D20" w14:textId="77777777" w:rsidR="00FF2A26" w:rsidRPr="00FF2A26" w:rsidRDefault="00FF2A26" w:rsidP="008E43A2">
      <w:pPr>
        <w:pStyle w:val="ListBullet2"/>
      </w:pPr>
      <w:r w:rsidRPr="00FF2A26">
        <w:t>cleaning products (including spray applications) – 5%</w:t>
      </w:r>
    </w:p>
    <w:p w14:paraId="7C3DA7C0" w14:textId="77777777" w:rsidR="00FF2A26" w:rsidRPr="00FF2A26" w:rsidRDefault="00FF2A26" w:rsidP="008E43A2">
      <w:pPr>
        <w:pStyle w:val="ListBullet2"/>
      </w:pPr>
      <w:r w:rsidRPr="00FF2A26">
        <w:t>dishwashing liquid – 18%</w:t>
      </w:r>
    </w:p>
    <w:p w14:paraId="64597CDD" w14:textId="77777777" w:rsidR="00FF2A26" w:rsidRPr="00FF2A26" w:rsidRDefault="00FF2A26" w:rsidP="008E43A2">
      <w:pPr>
        <w:pStyle w:val="ListBullet2"/>
      </w:pPr>
      <w:r w:rsidRPr="00FF2A26">
        <w:t>laundry detergent (powder and liquid) – 30%.</w:t>
      </w:r>
    </w:p>
    <w:p w14:paraId="58181DE6" w14:textId="165FC228" w:rsidR="00FF2A26" w:rsidRPr="00FF2A26" w:rsidRDefault="00FF2A26" w:rsidP="00A877CB">
      <w:pPr>
        <w:pStyle w:val="Heading4"/>
      </w:pPr>
      <w:bookmarkStart w:id="27" w:name="_Toc187052732"/>
      <w:r w:rsidRPr="00FF2A26">
        <w:t>Summary of reasons for the proposal</w:t>
      </w:r>
      <w:bookmarkEnd w:id="27"/>
    </w:p>
    <w:p w14:paraId="303FE4CF" w14:textId="77777777" w:rsidR="00FF2A26" w:rsidRPr="00FF2A26" w:rsidRDefault="00FF2A26" w:rsidP="00364838">
      <w:pPr>
        <w:pStyle w:val="ListParagraph"/>
      </w:pPr>
      <w:r w:rsidRPr="00FF2A26">
        <w:t xml:space="preserve">The public may be exposed to medium and long chain alkyl sulfates and alkyl sulfuric acids by direct application of products containing the chemicals to the skin and hair and incidental skin and eye contact during use of domestic products. </w:t>
      </w:r>
    </w:p>
    <w:p w14:paraId="1E39B464" w14:textId="68F96F27" w:rsidR="00FF2A26" w:rsidRPr="00FF2A26" w:rsidRDefault="00A77332" w:rsidP="00364838">
      <w:pPr>
        <w:pStyle w:val="ListParagraph"/>
      </w:pPr>
      <w:r>
        <w:t>A</w:t>
      </w:r>
      <w:r w:rsidR="00FF2A26" w:rsidRPr="00FF2A26">
        <w:t>lkyl sulfates are irritating to skin with varying degrees of severity</w:t>
      </w:r>
      <w:r>
        <w:t>. The</w:t>
      </w:r>
      <w:r w:rsidR="00FF2A26" w:rsidRPr="00FF2A26">
        <w:t xml:space="preserve"> majority of them are expected to cause serious eye damage</w:t>
      </w:r>
      <w:r>
        <w:t xml:space="preserve"> at high concentrations</w:t>
      </w:r>
      <w:r w:rsidR="00FF2A26" w:rsidRPr="00FF2A26">
        <w:t>. Irreversible eye damage has been reported in several eye irritation studies.</w:t>
      </w:r>
    </w:p>
    <w:p w14:paraId="26CA15FB" w14:textId="77777777" w:rsidR="00FF2A26" w:rsidRPr="00FF2A26" w:rsidRDefault="00FF2A26" w:rsidP="00364838">
      <w:pPr>
        <w:pStyle w:val="ListParagraph"/>
      </w:pPr>
      <w:r w:rsidRPr="00FF2A26">
        <w:t>The eye irritating potential appears to decrease with increasing alkyl chain length with available data indicating that alkyl sulfates with carbon chains of C16 to C18 cause less and reversible irritation.</w:t>
      </w:r>
    </w:p>
    <w:p w14:paraId="31B9F3C2" w14:textId="77777777" w:rsidR="00FF2A26" w:rsidRPr="00FF2A26" w:rsidRDefault="00FF2A26" w:rsidP="00364838">
      <w:pPr>
        <w:pStyle w:val="ListParagraph"/>
      </w:pPr>
      <w:r w:rsidRPr="00FF2A26">
        <w:t>Based on the strong acidic nature, alkyl sulfuric acids are expected to be corrosive to skin and cause serious eye damage.</w:t>
      </w:r>
    </w:p>
    <w:p w14:paraId="45C92E72" w14:textId="77777777" w:rsidR="00FF2A26" w:rsidRPr="00FF2A26" w:rsidRDefault="00FF2A26" w:rsidP="00364838">
      <w:pPr>
        <w:pStyle w:val="ListParagraph"/>
      </w:pPr>
      <w:bookmarkStart w:id="28" w:name="_Toc187052733"/>
      <w:r w:rsidRPr="00FF2A26">
        <w:t>Accidental exposure of children to these chemicals by ingestion and eye and skin contact leading to adverse effects has occurred from liquid laundry detergent capsules.</w:t>
      </w:r>
    </w:p>
    <w:p w14:paraId="5207A481" w14:textId="77777777" w:rsidR="00FF2A26" w:rsidRPr="00FF2A26" w:rsidRDefault="00FF2A26" w:rsidP="008E43A2">
      <w:pPr>
        <w:pStyle w:val="Heading4"/>
      </w:pPr>
      <w:r w:rsidRPr="00FF2A26">
        <w:lastRenderedPageBreak/>
        <w:t>Key uses / expected use</w:t>
      </w:r>
      <w:bookmarkEnd w:id="28"/>
    </w:p>
    <w:p w14:paraId="0A3EC195" w14:textId="0EF38F81" w:rsidR="00FF2A26" w:rsidRPr="00FF2A26" w:rsidRDefault="00A77332" w:rsidP="00364838">
      <w:pPr>
        <w:pStyle w:val="ListParagraph"/>
      </w:pPr>
      <w:r>
        <w:t>M</w:t>
      </w:r>
      <w:r w:rsidR="00FF2A26" w:rsidRPr="00FF2A26">
        <w:t>edium and long chain alkyl sulfates have widespread use in both personal care products and household products. Nearly half of the chemicals have reported cosmetic uses as foaming, cleansing, emulsifying and surfactant agents including in hand washes and soaps, hair shampoos, body washes, colourants, shaving products and skin care products. The predominant domestic use of these chemicals is in household cleaning products including dishwashing liquids and laundry detergents.</w:t>
      </w:r>
    </w:p>
    <w:p w14:paraId="24952701" w14:textId="77777777" w:rsidR="00FF2A26" w:rsidRPr="00FF2A26" w:rsidRDefault="00FF2A26" w:rsidP="00364838">
      <w:pPr>
        <w:pStyle w:val="ListParagraph"/>
      </w:pPr>
      <w:r w:rsidRPr="00FF2A26">
        <w:t>These chemicals have reported commercial uses including in adhesives and binding agents, paints, lacquers and varnishes leather tanning, flame retardant and fire extinguishing fluids, antifreeze agents, photochemicals and reprographic agents and may also have non-industrial pharmaceutical and pesticide uses.</w:t>
      </w:r>
    </w:p>
    <w:p w14:paraId="09061BD8" w14:textId="77777777" w:rsidR="00FF2A26" w:rsidRPr="00FF2A26" w:rsidRDefault="00FF2A26" w:rsidP="008E43A2">
      <w:pPr>
        <w:pStyle w:val="Heading4"/>
      </w:pPr>
      <w:bookmarkStart w:id="29" w:name="_Toc187052734"/>
      <w:r w:rsidRPr="00FF2A26">
        <w:t>Australian regulations</w:t>
      </w:r>
      <w:bookmarkEnd w:id="29"/>
    </w:p>
    <w:p w14:paraId="4A66F613" w14:textId="7E8EAB5E" w:rsidR="00FF2A26" w:rsidRPr="00FF2A26" w:rsidRDefault="00FF2A26" w:rsidP="00364838">
      <w:pPr>
        <w:pStyle w:val="ListParagraph"/>
      </w:pPr>
      <w:r w:rsidRPr="00FF2A26">
        <w:t xml:space="preserve">The following medium and long chain alkyl sulfates and alkyl sulfuric acids are listed in the </w:t>
      </w:r>
      <w:hyperlink r:id="rId62" w:history="1">
        <w:r w:rsidRPr="00FF2A26">
          <w:rPr>
            <w:rStyle w:val="Hyperlink"/>
            <w:rFonts w:asciiTheme="minorHAnsi" w:hAnsiTheme="minorHAnsi" w:cstheme="minorHAnsi"/>
            <w:szCs w:val="20"/>
          </w:rPr>
          <w:t>TGA Ingredient Database</w:t>
        </w:r>
      </w:hyperlink>
      <w:r w:rsidRPr="00FF2A26">
        <w:t xml:space="preserve"> as follows.</w:t>
      </w:r>
    </w:p>
    <w:p w14:paraId="6AFB111D" w14:textId="41EABB73" w:rsidR="00FF2A26" w:rsidRPr="00FF2A26" w:rsidRDefault="00FF2A26" w:rsidP="003E1017">
      <w:pPr>
        <w:pStyle w:val="ListBullet2"/>
      </w:pPr>
      <w:r w:rsidRPr="00FF2A26">
        <w:t>Sulfuric acid, monododecyl ester, compound with 2,2',2''-nitrilotris[ethanol] (1:1) (CAS 139-96-8; also known as trolamine lauril sulfate)</w:t>
      </w:r>
    </w:p>
    <w:p w14:paraId="7DA1D13C" w14:textId="77777777" w:rsidR="00BA5883" w:rsidRDefault="00FF2A26" w:rsidP="00F21495">
      <w:pPr>
        <w:pStyle w:val="ListParagraph"/>
        <w:numPr>
          <w:ilvl w:val="0"/>
          <w:numId w:val="30"/>
        </w:numPr>
        <w:ind w:left="1276" w:hanging="425"/>
      </w:pPr>
      <w:r w:rsidRPr="00FF2A26">
        <w:t xml:space="preserve">Available for use as an Active Ingredient in Biologicals, Export Only, Over the Counter, Prescription Medicines. </w:t>
      </w:r>
    </w:p>
    <w:p w14:paraId="3CCC7A0D" w14:textId="21B6D1F8" w:rsidR="00FF2A26" w:rsidRPr="00FF2A26" w:rsidRDefault="00FF2A26" w:rsidP="00F21495">
      <w:pPr>
        <w:pStyle w:val="ListParagraph"/>
        <w:numPr>
          <w:ilvl w:val="0"/>
          <w:numId w:val="30"/>
        </w:numPr>
        <w:ind w:left="1276" w:hanging="425"/>
      </w:pPr>
      <w:r w:rsidRPr="00FF2A26">
        <w:t>Not available as an Active Ingredient in any application</w:t>
      </w:r>
    </w:p>
    <w:p w14:paraId="0B730996" w14:textId="77777777" w:rsidR="00FF2A26" w:rsidRPr="00BA5883" w:rsidRDefault="00FF2A26" w:rsidP="00F21495">
      <w:pPr>
        <w:pStyle w:val="ListParagraph"/>
        <w:numPr>
          <w:ilvl w:val="0"/>
          <w:numId w:val="30"/>
        </w:numPr>
        <w:ind w:left="1276" w:hanging="425"/>
      </w:pPr>
      <w:r w:rsidRPr="00BA5883">
        <w:t>Available for use as an Excipient Ingredient in: Biologicals, Devices, Export Only, Listed Medicines (only for use in topical medicines for dermal application), Over the Counter, Prescription Medicines</w:t>
      </w:r>
    </w:p>
    <w:p w14:paraId="57437032" w14:textId="77777777" w:rsidR="00FF2A26" w:rsidRPr="00BA5883" w:rsidRDefault="00FF2A26" w:rsidP="00F21495">
      <w:pPr>
        <w:pStyle w:val="ListParagraph"/>
        <w:numPr>
          <w:ilvl w:val="0"/>
          <w:numId w:val="30"/>
        </w:numPr>
        <w:ind w:left="1276" w:hanging="425"/>
      </w:pPr>
      <w:r w:rsidRPr="00BA5883">
        <w:t>Not available as an Equivalent Ingredient in any application.</w:t>
      </w:r>
    </w:p>
    <w:p w14:paraId="51340A8D" w14:textId="77777777" w:rsidR="00FF2A26" w:rsidRPr="00FF2A26" w:rsidRDefault="00FF2A26" w:rsidP="003E1017">
      <w:pPr>
        <w:pStyle w:val="ListBullet2"/>
      </w:pPr>
      <w:r w:rsidRPr="00FF2A26">
        <w:t>Sulfuric acid, mono-C8-14-alkyl esters, ammonium salts (90583-10-1)</w:t>
      </w:r>
    </w:p>
    <w:p w14:paraId="54859BA3" w14:textId="77777777" w:rsidR="00FF2A26" w:rsidRPr="00BA5883" w:rsidRDefault="00FF2A26" w:rsidP="00F21495">
      <w:pPr>
        <w:pStyle w:val="ListParagraph"/>
        <w:numPr>
          <w:ilvl w:val="0"/>
          <w:numId w:val="31"/>
        </w:numPr>
        <w:ind w:left="1276" w:hanging="425"/>
      </w:pPr>
      <w:r w:rsidRPr="00BA5883">
        <w:t xml:space="preserve">Available for use as an Excipient Ingredient in Devices </w:t>
      </w:r>
    </w:p>
    <w:p w14:paraId="24B0A2F2" w14:textId="77777777" w:rsidR="00FF2A26" w:rsidRPr="00BA5883" w:rsidRDefault="00FF2A26" w:rsidP="00F21495">
      <w:pPr>
        <w:pStyle w:val="ListParagraph"/>
        <w:numPr>
          <w:ilvl w:val="0"/>
          <w:numId w:val="31"/>
        </w:numPr>
        <w:ind w:left="1276" w:hanging="425"/>
      </w:pPr>
      <w:r w:rsidRPr="00BA5883">
        <w:t>Not available as an Active or Equivalent Ingredient in any application.</w:t>
      </w:r>
    </w:p>
    <w:p w14:paraId="2767D284" w14:textId="78FCAF5E" w:rsidR="00FF2A26" w:rsidRPr="00FF2A26" w:rsidRDefault="00FF2A26" w:rsidP="00364838">
      <w:pPr>
        <w:pStyle w:val="ListParagraph"/>
      </w:pPr>
      <w:r w:rsidRPr="00FF2A26">
        <w:t xml:space="preserve">As of January 2025, there are 2 registered medicines currently active on the </w:t>
      </w:r>
      <w:hyperlink r:id="rId63" w:history="1">
        <w:r w:rsidRPr="00FF2A26">
          <w:rPr>
            <w:rStyle w:val="Hyperlink"/>
            <w:rFonts w:asciiTheme="minorHAnsi" w:hAnsiTheme="minorHAnsi" w:cstheme="minorHAnsi"/>
            <w:szCs w:val="20"/>
          </w:rPr>
          <w:t>Australian Register of Therapeutic Goods (ARTG)</w:t>
        </w:r>
      </w:hyperlink>
      <w:r w:rsidRPr="00FF2A26">
        <w:t xml:space="preserve"> that contain trolamine laur</w:t>
      </w:r>
      <w:r w:rsidR="00364838">
        <w:t>y</w:t>
      </w:r>
      <w:r w:rsidRPr="00FF2A26">
        <w:t>l sulfate as an active ingredient.</w:t>
      </w:r>
    </w:p>
    <w:p w14:paraId="5503D90F" w14:textId="77777777" w:rsidR="00FF2A26" w:rsidRPr="00FF2A26" w:rsidRDefault="00FF2A26" w:rsidP="00364838">
      <w:pPr>
        <w:pStyle w:val="ListParagraph"/>
      </w:pPr>
      <w:r w:rsidRPr="00FF2A26">
        <w:t xml:space="preserve">None of the medium and long chain alkyl sulfates listed above are permitted to be included in listed medicines as it is not included in the </w:t>
      </w:r>
      <w:hyperlink r:id="rId64" w:history="1">
        <w:r w:rsidRPr="00FF2A26">
          <w:rPr>
            <w:rStyle w:val="Hyperlink"/>
            <w:rFonts w:asciiTheme="minorHAnsi" w:hAnsiTheme="minorHAnsi" w:cstheme="minorHAnsi"/>
            <w:szCs w:val="20"/>
          </w:rPr>
          <w:t>Therapeutic Goods (Permissible Ingredients) Determination</w:t>
        </w:r>
      </w:hyperlink>
      <w:r w:rsidRPr="00FF2A26">
        <w:t xml:space="preserve"> (No.3) 2024; are included in the </w:t>
      </w:r>
      <w:hyperlink r:id="rId65" w:history="1">
        <w:r w:rsidRPr="00FF2A26">
          <w:rPr>
            <w:rStyle w:val="Hyperlink"/>
            <w:rFonts w:asciiTheme="minorHAnsi" w:hAnsiTheme="minorHAnsi" w:cstheme="minorHAnsi"/>
            <w:szCs w:val="20"/>
          </w:rPr>
          <w:t>TGA prescribing medicines in pregnancy database</w:t>
        </w:r>
      </w:hyperlink>
      <w:r w:rsidRPr="00FF2A26">
        <w:t xml:space="preserve">; or have any  warning statements in the </w:t>
      </w:r>
      <w:hyperlink r:id="rId66" w:history="1">
        <w:r w:rsidRPr="00FF2A26">
          <w:rPr>
            <w:rStyle w:val="Hyperlink"/>
            <w:rFonts w:asciiTheme="minorHAnsi" w:hAnsiTheme="minorHAnsi" w:cstheme="minorHAnsi"/>
            <w:szCs w:val="20"/>
          </w:rPr>
          <w:t>Therapeutic Goods (Medicines Advisory Statements) Specification 2021</w:t>
        </w:r>
      </w:hyperlink>
      <w:r w:rsidRPr="00FF2A26">
        <w:t xml:space="preserve">. </w:t>
      </w:r>
    </w:p>
    <w:p w14:paraId="0FAAFCC1" w14:textId="32F1EF92" w:rsidR="00FF2A26" w:rsidRPr="00FF2A26" w:rsidRDefault="00FF2A26" w:rsidP="00364838">
      <w:pPr>
        <w:pStyle w:val="ListParagraph"/>
      </w:pPr>
      <w:r w:rsidRPr="00FF2A26">
        <w:t>As of January 2025, there were no reports of adverse events for products containing the Medium and Long Chain Alkyl Sulfates listed above as an active ingredient on the Database of Adverse Events Notifications (DAEN).</w:t>
      </w:r>
    </w:p>
    <w:p w14:paraId="2DAF2599" w14:textId="49D94AE0" w:rsidR="00FF2A26" w:rsidRPr="00FF2A26" w:rsidRDefault="00FF2A26" w:rsidP="00364838">
      <w:pPr>
        <w:pStyle w:val="ListParagraph"/>
      </w:pPr>
      <w:r w:rsidRPr="00FF2A26">
        <w:t>Medium to long chain (C6</w:t>
      </w:r>
      <w:r w:rsidR="00364838">
        <w:t>-</w:t>
      </w:r>
      <w:r w:rsidRPr="00FF2A26">
        <w:t xml:space="preserve">C15) alkyl sulfates and alkyl sulfuric acids that are listed on the  </w:t>
      </w:r>
      <w:hyperlink r:id="rId67" w:history="1">
        <w:r w:rsidRPr="00FF2A26">
          <w:rPr>
            <w:rStyle w:val="Hyperlink"/>
            <w:rFonts w:asciiTheme="minorHAnsi" w:hAnsiTheme="minorHAnsi" w:cstheme="minorHAnsi"/>
            <w:szCs w:val="20"/>
          </w:rPr>
          <w:t>Australian Inventory of Industrial Chemicals</w:t>
        </w:r>
      </w:hyperlink>
      <w:r w:rsidRPr="00FF2A26">
        <w:t>.</w:t>
      </w:r>
    </w:p>
    <w:p w14:paraId="33421BE0" w14:textId="77777777" w:rsidR="00FF2A26" w:rsidRPr="00FF2A26" w:rsidRDefault="00FF2A26" w:rsidP="00364838">
      <w:pPr>
        <w:pStyle w:val="ListParagraph"/>
      </w:pPr>
      <w:r w:rsidRPr="00FF2A26">
        <w:t xml:space="preserve">As of January 2025, there were no products containing the medium and long chain alkyl sulfates listed above as an active ingredient/constituent or scheduled substance listed on the </w:t>
      </w:r>
      <w:hyperlink r:id="rId68" w:history="1">
        <w:r w:rsidRPr="00FF2A26">
          <w:rPr>
            <w:rStyle w:val="Hyperlink"/>
            <w:rFonts w:asciiTheme="minorHAnsi" w:hAnsiTheme="minorHAnsi" w:cstheme="minorHAnsi"/>
            <w:szCs w:val="20"/>
          </w:rPr>
          <w:t>Public Chemical Registration Information System Search (PubCRIS)</w:t>
        </w:r>
      </w:hyperlink>
      <w:r w:rsidRPr="00FF2A26">
        <w:t xml:space="preserve"> and there were no events of adverse experiences recorded in the </w:t>
      </w:r>
      <w:hyperlink r:id="rId69" w:history="1">
        <w:r w:rsidRPr="00FF2A26">
          <w:rPr>
            <w:rStyle w:val="Hyperlink"/>
            <w:rFonts w:asciiTheme="minorHAnsi" w:hAnsiTheme="minorHAnsi" w:cstheme="minorHAnsi"/>
            <w:szCs w:val="20"/>
          </w:rPr>
          <w:t>APVMA Adverse Experience Reporting Program database (AERP)</w:t>
        </w:r>
      </w:hyperlink>
      <w:r w:rsidRPr="00FF2A26">
        <w:t>.</w:t>
      </w:r>
    </w:p>
    <w:p w14:paraId="0A342A2F" w14:textId="77777777" w:rsidR="00FF2A26" w:rsidRPr="00FF2A26" w:rsidRDefault="00FF2A26" w:rsidP="008E43A2">
      <w:pPr>
        <w:pStyle w:val="Heading4"/>
      </w:pPr>
      <w:bookmarkStart w:id="30" w:name="_Toc187052735"/>
      <w:r w:rsidRPr="00FF2A26">
        <w:lastRenderedPageBreak/>
        <w:t>International regulations</w:t>
      </w:r>
      <w:bookmarkEnd w:id="30"/>
    </w:p>
    <w:p w14:paraId="0E42FD55" w14:textId="77777777" w:rsidR="00FF2A26" w:rsidRPr="00FF2A26" w:rsidRDefault="00FF2A26" w:rsidP="00364838">
      <w:pPr>
        <w:pStyle w:val="ListParagraph"/>
      </w:pPr>
      <w:r w:rsidRPr="00FF2A26">
        <w:t xml:space="preserve">The </w:t>
      </w:r>
      <w:hyperlink r:id="rId70" w:history="1">
        <w:r w:rsidRPr="00FF2A26">
          <w:rPr>
            <w:rStyle w:val="Hyperlink"/>
            <w:rFonts w:asciiTheme="minorHAnsi" w:hAnsiTheme="minorHAnsi" w:cstheme="minorHAnsi"/>
            <w:szCs w:val="20"/>
          </w:rPr>
          <w:t>United States Environmental Protection Agency’s (US EPA) Office of Pesticides Program</w:t>
        </w:r>
      </w:hyperlink>
      <w:r w:rsidRPr="00FF2A26">
        <w:t xml:space="preserve"> has listed Sulfuric acid, monododecyl ester, compound with 2,2',2''-nitrilotris[ethanol] (1:1) (CAS 139-96-8) as an conventional pesticide (conventional pesticides are all active ingredients other than biological pesticides and antimicrobial pesticides). </w:t>
      </w:r>
    </w:p>
    <w:p w14:paraId="3AFD5875" w14:textId="25D7EA2F" w:rsidR="00FF2A26" w:rsidRPr="00FF2A26" w:rsidRDefault="00FF2A26" w:rsidP="00364838">
      <w:pPr>
        <w:pStyle w:val="ListParagraph"/>
      </w:pPr>
      <w:hyperlink r:id="rId71" w:history="1">
        <w:r w:rsidRPr="00FF2A26">
          <w:rPr>
            <w:rStyle w:val="Hyperlink"/>
            <w:rFonts w:asciiTheme="minorHAnsi" w:hAnsiTheme="minorHAnsi" w:cstheme="minorHAnsi"/>
            <w:szCs w:val="20"/>
          </w:rPr>
          <w:t>European Commission database for information on cosmetic substances and ingredients database</w:t>
        </w:r>
      </w:hyperlink>
      <w:r w:rsidRPr="00FF2A26">
        <w:t xml:space="preserve"> includes </w:t>
      </w:r>
      <w:r w:rsidR="00CC5E33">
        <w:t>12</w:t>
      </w:r>
      <w:r w:rsidRPr="00FF2A26">
        <w:t xml:space="preserve"> of the medium and long chain alkyl sulfates listed above as surfactants and cleansing, denaturing or foaming agents (CAS numbers: 139-96-8, 66161-60-2, 68890-70-0, 68815-25-8, 90583-18-9, 142-87-0, 85586-07-8, 4722-98-9, 21142-28-9, 3026-63-9, 1191-50-0, 143-00-0</w:t>
      </w:r>
      <w:r w:rsidR="00CC5E33">
        <w:t xml:space="preserve"> </w:t>
      </w:r>
      <w:r w:rsidRPr="00FF2A26">
        <w:t>and 97375-27-4).</w:t>
      </w:r>
    </w:p>
    <w:p w14:paraId="24374B49" w14:textId="77777777" w:rsidR="00FF2A26" w:rsidRPr="00FF2A26" w:rsidRDefault="00FF2A26" w:rsidP="00364838">
      <w:pPr>
        <w:pStyle w:val="ListParagraph"/>
      </w:pPr>
      <w:r w:rsidRPr="00FF2A26">
        <w:t xml:space="preserve">In </w:t>
      </w:r>
      <w:hyperlink r:id="rId72" w:history="1">
        <w:r w:rsidRPr="00FF2A26">
          <w:rPr>
            <w:rStyle w:val="Hyperlink"/>
            <w:rFonts w:asciiTheme="minorHAnsi" w:hAnsiTheme="minorHAnsi" w:cstheme="minorHAnsi"/>
            <w:szCs w:val="20"/>
          </w:rPr>
          <w:t>New Zealand Inventory of Chemicals database</w:t>
        </w:r>
      </w:hyperlink>
      <w:r w:rsidRPr="00FF2A26">
        <w:t>:</w:t>
      </w:r>
    </w:p>
    <w:p w14:paraId="784FEDA2" w14:textId="4B1C3555" w:rsidR="00FF2A26" w:rsidRPr="00A95E1F" w:rsidRDefault="00FF2A26" w:rsidP="00A95E1F">
      <w:pPr>
        <w:pStyle w:val="ListParagraph"/>
        <w:numPr>
          <w:ilvl w:val="0"/>
          <w:numId w:val="32"/>
        </w:numPr>
        <w:ind w:left="709" w:hanging="283"/>
        <w:rPr>
          <w:rFonts w:asciiTheme="minorHAnsi" w:hAnsiTheme="minorHAnsi" w:cstheme="minorHAnsi"/>
        </w:rPr>
      </w:pPr>
      <w:r w:rsidRPr="00A95E1F">
        <w:rPr>
          <w:rFonts w:asciiTheme="minorHAnsi" w:hAnsiTheme="minorHAnsi" w:cstheme="minorHAnsi"/>
        </w:rPr>
        <w:t>1</w:t>
      </w:r>
      <w:r w:rsidR="00CC5E33" w:rsidRPr="00A95E1F">
        <w:rPr>
          <w:rFonts w:asciiTheme="minorHAnsi" w:hAnsiTheme="minorHAnsi" w:cstheme="minorHAnsi"/>
        </w:rPr>
        <w:t>0</w:t>
      </w:r>
      <w:r w:rsidRPr="00A95E1F">
        <w:rPr>
          <w:rFonts w:asciiTheme="minorHAnsi" w:hAnsiTheme="minorHAnsi" w:cstheme="minorHAnsi"/>
        </w:rPr>
        <w:t xml:space="preserve"> of the substances </w:t>
      </w:r>
      <w:r w:rsidR="00CC5E33" w:rsidRPr="00A95E1F">
        <w:rPr>
          <w:rFonts w:asciiTheme="minorHAnsi" w:hAnsiTheme="minorHAnsi" w:cstheme="minorHAnsi"/>
        </w:rPr>
        <w:t>(CAS No. 139-96-8, 142-31-4, 142-87-0, 1191-50-0, 4722-98-9, 85586-07-8, 85665-45-8, 90583-10-1, 90583-16-7</w:t>
      </w:r>
      <w:r w:rsidR="00A95E1F" w:rsidRPr="00A95E1F">
        <w:rPr>
          <w:rFonts w:asciiTheme="minorHAnsi" w:hAnsiTheme="minorHAnsi" w:cstheme="minorHAnsi"/>
        </w:rPr>
        <w:t xml:space="preserve"> and</w:t>
      </w:r>
      <w:r w:rsidR="00CC5E33" w:rsidRPr="00A95E1F">
        <w:rPr>
          <w:rFonts w:asciiTheme="minorHAnsi" w:hAnsiTheme="minorHAnsi" w:cstheme="minorHAnsi"/>
        </w:rPr>
        <w:t xml:space="preserve"> 90583-18-9)</w:t>
      </w:r>
      <w:r w:rsidRPr="00A95E1F">
        <w:rPr>
          <w:rFonts w:asciiTheme="minorHAnsi" w:hAnsiTheme="minorHAnsi" w:cstheme="minorHAnsi"/>
        </w:rPr>
        <w:t xml:space="preserve"> were listed as without having an individual approval but may be used under an appropriate group standard with similar GHS classification and toxicity data.</w:t>
      </w:r>
    </w:p>
    <w:p w14:paraId="2D5C4FF2" w14:textId="3CADBEEC" w:rsidR="00FF2A26" w:rsidRPr="00A95E1F" w:rsidRDefault="00A95E1F" w:rsidP="00A95E1F">
      <w:pPr>
        <w:pStyle w:val="ListParagraph"/>
        <w:numPr>
          <w:ilvl w:val="0"/>
          <w:numId w:val="32"/>
        </w:numPr>
        <w:ind w:left="709" w:hanging="283"/>
        <w:rPr>
          <w:rFonts w:asciiTheme="minorHAnsi" w:hAnsiTheme="minorHAnsi" w:cstheme="minorHAnsi"/>
        </w:rPr>
      </w:pPr>
      <w:r w:rsidRPr="00A95E1F">
        <w:rPr>
          <w:rFonts w:asciiTheme="minorHAnsi" w:hAnsiTheme="minorHAnsi" w:cstheme="minorHAnsi"/>
        </w:rPr>
        <w:t>9</w:t>
      </w:r>
      <w:r w:rsidR="00FF2A26" w:rsidRPr="00A95E1F">
        <w:rPr>
          <w:rFonts w:asciiTheme="minorHAnsi" w:hAnsiTheme="minorHAnsi" w:cstheme="minorHAnsi"/>
        </w:rPr>
        <w:t xml:space="preserve"> of the substances (CAS no. 143-00-0, 151-41-7, 3026-63-9, 21142-28-9, 26856-96-2, 68187-17-7, 68299-17-2, 72906-11-7</w:t>
      </w:r>
      <w:r w:rsidRPr="00A95E1F">
        <w:rPr>
          <w:rFonts w:asciiTheme="minorHAnsi" w:hAnsiTheme="minorHAnsi" w:cstheme="minorHAnsi"/>
        </w:rPr>
        <w:t xml:space="preserve"> and</w:t>
      </w:r>
      <w:r w:rsidR="00FF2A26" w:rsidRPr="00A95E1F">
        <w:rPr>
          <w:rFonts w:asciiTheme="minorHAnsi" w:hAnsiTheme="minorHAnsi" w:cstheme="minorHAnsi"/>
        </w:rPr>
        <w:t xml:space="preserve"> 84501-49-5) were listed as without having an individual approval but may be used as a component in a product covered by a group standard.</w:t>
      </w:r>
    </w:p>
    <w:p w14:paraId="172C7D73" w14:textId="77777777" w:rsidR="00A36DA3" w:rsidRPr="00A36DA3" w:rsidRDefault="00A95E1F" w:rsidP="00A95E1F">
      <w:pPr>
        <w:pStyle w:val="ListParagraph"/>
        <w:numPr>
          <w:ilvl w:val="0"/>
          <w:numId w:val="32"/>
        </w:numPr>
        <w:ind w:left="709" w:hanging="283"/>
      </w:pPr>
      <w:r w:rsidRPr="00A95E1F">
        <w:rPr>
          <w:rFonts w:asciiTheme="minorHAnsi" w:hAnsiTheme="minorHAnsi" w:cstheme="minorHAnsi"/>
        </w:rPr>
        <w:t>13</w:t>
      </w:r>
      <w:r w:rsidR="00FF2A26" w:rsidRPr="00A95E1F">
        <w:rPr>
          <w:rFonts w:asciiTheme="minorHAnsi" w:hAnsiTheme="minorHAnsi" w:cstheme="minorHAnsi"/>
        </w:rPr>
        <w:t xml:space="preserve"> of the substances (CAS No. 4492-78-8, 2207-98-9, 13177-52-1, 25446-91-7, 30862-34-1, 39943-70-9, 65104-49-6, 66161-60-2, 68815-25-8, 68890-70-0, 85681-66-9, 90583-23-6</w:t>
      </w:r>
      <w:r w:rsidRPr="00A95E1F">
        <w:rPr>
          <w:rFonts w:asciiTheme="minorHAnsi" w:hAnsiTheme="minorHAnsi" w:cstheme="minorHAnsi"/>
        </w:rPr>
        <w:t xml:space="preserve"> and</w:t>
      </w:r>
      <w:r w:rsidR="00FF2A26" w:rsidRPr="00A95E1F">
        <w:rPr>
          <w:rFonts w:asciiTheme="minorHAnsi" w:hAnsiTheme="minorHAnsi" w:cstheme="minorHAnsi"/>
        </w:rPr>
        <w:t xml:space="preserve"> 90583-25-8) were not listed.</w:t>
      </w:r>
    </w:p>
    <w:p w14:paraId="4415EAEC" w14:textId="356640F4" w:rsidR="00E35D79" w:rsidRPr="001815C2" w:rsidRDefault="00E35D79" w:rsidP="001815C2">
      <w:pPr>
        <w:pStyle w:val="Heading2"/>
      </w:pPr>
      <w:bookmarkStart w:id="31" w:name="_Toc187936936"/>
      <w:r w:rsidRPr="001815C2">
        <w:t>Proposed amendment referred for scheduling advice to Joint ACMS-ACCS meeting #39</w:t>
      </w:r>
      <w:bookmarkEnd w:id="31"/>
    </w:p>
    <w:p w14:paraId="7B4292AC" w14:textId="43B5251B" w:rsidR="002539C8" w:rsidRPr="00456246" w:rsidRDefault="002539C8" w:rsidP="00D84287">
      <w:pPr>
        <w:pStyle w:val="Heading3"/>
      </w:pPr>
      <w:bookmarkStart w:id="32" w:name="_Toc187936937"/>
      <w:r w:rsidRPr="00456246">
        <w:t xml:space="preserve">Chromium-DL-methionine </w:t>
      </w:r>
      <w:r w:rsidR="00364838">
        <w:t>(Chromium organic chelates)</w:t>
      </w:r>
      <w:bookmarkEnd w:id="32"/>
    </w:p>
    <w:p w14:paraId="4401C154" w14:textId="77777777" w:rsidR="002539C8" w:rsidRPr="00456246" w:rsidRDefault="002539C8" w:rsidP="005870C8">
      <w:pPr>
        <w:pStyle w:val="Heading4"/>
      </w:pPr>
      <w:r w:rsidRPr="00456246">
        <w:t>Proposal</w:t>
      </w:r>
    </w:p>
    <w:p w14:paraId="12627C46" w14:textId="18391C3A" w:rsidR="002539C8" w:rsidRDefault="002539C8" w:rsidP="00456246">
      <w:r w:rsidRPr="00456246">
        <w:t xml:space="preserve">The applicant proposed </w:t>
      </w:r>
      <w:r w:rsidR="002D090E">
        <w:t>to amend</w:t>
      </w:r>
      <w:r w:rsidR="00C72399">
        <w:t xml:space="preserve"> the current</w:t>
      </w:r>
      <w:r w:rsidR="00C72399" w:rsidRPr="00456246">
        <w:t xml:space="preserve"> Poisons Standard </w:t>
      </w:r>
      <w:r w:rsidR="00C72399">
        <w:t xml:space="preserve">by </w:t>
      </w:r>
      <w:r w:rsidR="00B03DC9">
        <w:t xml:space="preserve">including </w:t>
      </w:r>
      <w:r w:rsidR="00370BAC">
        <w:t>c</w:t>
      </w:r>
      <w:r w:rsidR="00370BAC" w:rsidRPr="00670083">
        <w:t>hromium-DL-methionine</w:t>
      </w:r>
      <w:r w:rsidR="00370BAC">
        <w:t xml:space="preserve"> </w:t>
      </w:r>
      <w:r w:rsidR="00364838">
        <w:t>as a</w:t>
      </w:r>
      <w:r w:rsidR="00370BAC">
        <w:t xml:space="preserve"> </w:t>
      </w:r>
      <w:r w:rsidR="00B03DC9">
        <w:t>Poison (</w:t>
      </w:r>
      <w:r w:rsidR="00370BAC">
        <w:t>Schedule 6</w:t>
      </w:r>
      <w:r w:rsidR="00B03DC9">
        <w:t>)</w:t>
      </w:r>
      <w:r w:rsidR="00370BAC">
        <w:t xml:space="preserve"> under a new generic entry with specific exceptions.</w:t>
      </w:r>
      <w:r w:rsidR="00EB321E">
        <w:t xml:space="preserve"> </w:t>
      </w:r>
      <w:r w:rsidR="00EB321E" w:rsidRPr="00EB321E">
        <w:t>All forms of organic chromium compounds will be covered by the generic entry CHROMIUM ORGANIC CHELATES, which will circumvent the requirement to apply for scheduling for other chromium chelates for use in animal feed premixes in the future</w:t>
      </w:r>
      <w:r w:rsidR="00364838">
        <w:t>.</w:t>
      </w:r>
    </w:p>
    <w:p w14:paraId="0692A827" w14:textId="77777777" w:rsidR="002539C8" w:rsidRPr="00456246" w:rsidRDefault="002539C8" w:rsidP="001D6918">
      <w:pPr>
        <w:pStyle w:val="Heading4"/>
      </w:pPr>
      <w:r w:rsidRPr="00456246">
        <w:t>Alternative names</w:t>
      </w:r>
    </w:p>
    <w:p w14:paraId="434982DC" w14:textId="244C9F47" w:rsidR="002539C8" w:rsidRPr="00456246" w:rsidRDefault="002539C8" w:rsidP="00456246">
      <w:r w:rsidRPr="00456246">
        <w:t>Chromium-DL-2-amino-4-(methylthio) butanoic acid</w:t>
      </w:r>
    </w:p>
    <w:p w14:paraId="762E0F94" w14:textId="77777777" w:rsidR="002539C8" w:rsidRPr="00456246" w:rsidRDefault="002539C8" w:rsidP="001D6918">
      <w:pPr>
        <w:pStyle w:val="Heading4"/>
      </w:pPr>
      <w:r w:rsidRPr="00456246">
        <w:t>Applicant</w:t>
      </w:r>
    </w:p>
    <w:p w14:paraId="6018A2EA" w14:textId="77777777" w:rsidR="002539C8" w:rsidRPr="00456246" w:rsidRDefault="002539C8" w:rsidP="00456246">
      <w:r w:rsidRPr="00456246">
        <w:t>Australian Pesticides and Veterinary Medicines Authority (APVMA)</w:t>
      </w:r>
    </w:p>
    <w:p w14:paraId="2C2ED87B" w14:textId="77777777" w:rsidR="002539C8" w:rsidRPr="00456246" w:rsidRDefault="002539C8" w:rsidP="001D6918">
      <w:pPr>
        <w:pStyle w:val="Heading4"/>
      </w:pPr>
      <w:r w:rsidRPr="00456246">
        <w:lastRenderedPageBreak/>
        <w:t>Proposed scheduling</w:t>
      </w:r>
    </w:p>
    <w:p w14:paraId="04D8AF9C" w14:textId="741F99C4" w:rsidR="002539C8" w:rsidRPr="00456246" w:rsidRDefault="002539C8" w:rsidP="00456246">
      <w:r w:rsidRPr="00456246">
        <w:t>The applicant’s proposed amendments to the Poisons Standard are:</w:t>
      </w:r>
      <w:r w:rsidRPr="00C66C1B">
        <w:rPr>
          <w:vertAlign w:val="superscript"/>
        </w:rPr>
        <w:footnoteReference w:id="15"/>
      </w:r>
    </w:p>
    <w:p w14:paraId="07D5B0F8" w14:textId="31EF08C2" w:rsidR="002539C8" w:rsidRPr="008060B1" w:rsidRDefault="002539C8" w:rsidP="00154DA4">
      <w:pPr>
        <w:ind w:left="284"/>
        <w:rPr>
          <w:b/>
          <w:bCs/>
        </w:rPr>
      </w:pPr>
      <w:r w:rsidRPr="008060B1">
        <w:rPr>
          <w:b/>
          <w:bCs/>
        </w:rPr>
        <w:t>Schedule 6 –</w:t>
      </w:r>
      <w:r w:rsidR="008060B1" w:rsidRPr="008060B1">
        <w:rPr>
          <w:b/>
          <w:bCs/>
        </w:rPr>
        <w:t xml:space="preserve"> </w:t>
      </w:r>
      <w:r w:rsidRPr="008060B1">
        <w:rPr>
          <w:b/>
          <w:bCs/>
        </w:rPr>
        <w:t>New Entry</w:t>
      </w:r>
    </w:p>
    <w:p w14:paraId="2BF2BD89" w14:textId="4C513441" w:rsidR="002539C8" w:rsidRPr="00251D75" w:rsidRDefault="006514A1" w:rsidP="00A40AD5">
      <w:pPr>
        <w:ind w:left="567"/>
        <w:rPr>
          <w:color w:val="00B050"/>
          <w:u w:val="single"/>
        </w:rPr>
      </w:pPr>
      <w:r w:rsidRPr="006514A1">
        <w:rPr>
          <w:color w:val="00B050"/>
          <w:u w:val="single"/>
        </w:rPr>
        <w:t>CHROMIUM ORGANIC CHELATES</w:t>
      </w:r>
      <w:r w:rsidR="002539C8" w:rsidRPr="00251D75">
        <w:rPr>
          <w:color w:val="00B050"/>
          <w:u w:val="single"/>
        </w:rPr>
        <w:t xml:space="preserve"> </w:t>
      </w:r>
      <w:r w:rsidR="002539C8" w:rsidRPr="00251D75">
        <w:rPr>
          <w:b/>
          <w:bCs/>
          <w:color w:val="00B050"/>
          <w:u w:val="single"/>
        </w:rPr>
        <w:t>except</w:t>
      </w:r>
      <w:r w:rsidR="002539C8" w:rsidRPr="00251D75">
        <w:rPr>
          <w:color w:val="00B050"/>
          <w:u w:val="single"/>
        </w:rPr>
        <w:t>;</w:t>
      </w:r>
    </w:p>
    <w:p w14:paraId="77058CC4" w14:textId="6A629A3C" w:rsidR="006514A1" w:rsidRDefault="002539C8" w:rsidP="00A40AD5">
      <w:pPr>
        <w:ind w:left="1276" w:hanging="425"/>
        <w:rPr>
          <w:color w:val="00B050"/>
          <w:u w:val="single"/>
        </w:rPr>
      </w:pPr>
      <w:r w:rsidRPr="00251D75">
        <w:rPr>
          <w:color w:val="00B050"/>
          <w:u w:val="single"/>
        </w:rPr>
        <w:t>(</w:t>
      </w:r>
      <w:r w:rsidR="001634AE" w:rsidRPr="00251D75">
        <w:rPr>
          <w:color w:val="00B050"/>
          <w:u w:val="single"/>
        </w:rPr>
        <w:t>a</w:t>
      </w:r>
      <w:r w:rsidRPr="00251D75">
        <w:rPr>
          <w:color w:val="00B050"/>
          <w:u w:val="single"/>
        </w:rPr>
        <w:t>)</w:t>
      </w:r>
      <w:r w:rsidR="001634AE" w:rsidRPr="00251D75">
        <w:rPr>
          <w:color w:val="00B050"/>
          <w:u w:val="single"/>
        </w:rPr>
        <w:t xml:space="preserve"> </w:t>
      </w:r>
      <w:r w:rsidR="00251D75" w:rsidRPr="00251D75">
        <w:rPr>
          <w:color w:val="00B050"/>
          <w:u w:val="single"/>
        </w:rPr>
        <w:tab/>
      </w:r>
      <w:r w:rsidR="00EE4CB8" w:rsidRPr="00EE4CB8">
        <w:rPr>
          <w:color w:val="00B050"/>
          <w:u w:val="single"/>
        </w:rPr>
        <w:t>when separately specified in these Schedules; or</w:t>
      </w:r>
    </w:p>
    <w:p w14:paraId="244E39E8" w14:textId="5CC22535" w:rsidR="002539C8" w:rsidRPr="00251D75" w:rsidRDefault="006514A1" w:rsidP="00A40AD5">
      <w:pPr>
        <w:ind w:left="1276" w:hanging="425"/>
        <w:rPr>
          <w:color w:val="00B050"/>
          <w:u w:val="single"/>
        </w:rPr>
      </w:pPr>
      <w:r>
        <w:rPr>
          <w:color w:val="00B050"/>
          <w:u w:val="single"/>
        </w:rPr>
        <w:t>(b)</w:t>
      </w:r>
      <w:r>
        <w:rPr>
          <w:color w:val="00B050"/>
          <w:u w:val="single"/>
        </w:rPr>
        <w:tab/>
      </w:r>
      <w:r w:rsidR="002539C8" w:rsidRPr="00251D75">
        <w:rPr>
          <w:color w:val="00B050"/>
          <w:u w:val="single"/>
        </w:rPr>
        <w:t>in preparations for human internal use containing 50 µg or less of chromium per recommended daily dose; or</w:t>
      </w:r>
    </w:p>
    <w:p w14:paraId="6810440F" w14:textId="28955D69" w:rsidR="002539C8" w:rsidRPr="00456246" w:rsidRDefault="002539C8" w:rsidP="00A40AD5">
      <w:pPr>
        <w:ind w:left="1276" w:hanging="425"/>
      </w:pPr>
      <w:r w:rsidRPr="00251D75">
        <w:rPr>
          <w:color w:val="00B050"/>
          <w:u w:val="single"/>
        </w:rPr>
        <w:t>(</w:t>
      </w:r>
      <w:r w:rsidR="006514A1">
        <w:rPr>
          <w:color w:val="00B050"/>
          <w:u w:val="single"/>
        </w:rPr>
        <w:t>c</w:t>
      </w:r>
      <w:r w:rsidRPr="00251D75">
        <w:rPr>
          <w:color w:val="00B050"/>
          <w:u w:val="single"/>
        </w:rPr>
        <w:t xml:space="preserve">) </w:t>
      </w:r>
      <w:r w:rsidR="00251D75" w:rsidRPr="00251D75">
        <w:rPr>
          <w:color w:val="00B050"/>
          <w:u w:val="single"/>
        </w:rPr>
        <w:tab/>
      </w:r>
      <w:r w:rsidRPr="00251D75">
        <w:rPr>
          <w:color w:val="00B050"/>
          <w:u w:val="single"/>
        </w:rPr>
        <w:t>in animal feed premixes containing 0.1% or less of chromium for the preparation of feeds containing a maximum of 1 g/ton (1</w:t>
      </w:r>
      <w:r w:rsidR="00364838">
        <w:rPr>
          <w:color w:val="00B050"/>
          <w:u w:val="single"/>
        </w:rPr>
        <w:t>,</w:t>
      </w:r>
      <w:r w:rsidRPr="00251D75">
        <w:rPr>
          <w:color w:val="00B050"/>
          <w:u w:val="single"/>
        </w:rPr>
        <w:t>000 ppb) or less of chromium.</w:t>
      </w:r>
    </w:p>
    <w:p w14:paraId="530FD7ED" w14:textId="77777777" w:rsidR="002539C8" w:rsidRPr="00154DA4" w:rsidRDefault="002539C8" w:rsidP="00154DA4">
      <w:pPr>
        <w:ind w:left="284"/>
        <w:rPr>
          <w:b/>
          <w:bCs/>
        </w:rPr>
      </w:pPr>
      <w:r w:rsidRPr="00154DA4">
        <w:rPr>
          <w:b/>
          <w:bCs/>
        </w:rPr>
        <w:t>Index</w:t>
      </w:r>
    </w:p>
    <w:p w14:paraId="21DB8F31" w14:textId="77777777" w:rsidR="002539C8" w:rsidRDefault="002539C8" w:rsidP="00A40AD5">
      <w:pPr>
        <w:ind w:firstLine="567"/>
        <w:rPr>
          <w:color w:val="00B050"/>
          <w:u w:val="single"/>
        </w:rPr>
      </w:pPr>
      <w:r w:rsidRPr="00251D75">
        <w:rPr>
          <w:color w:val="00B050"/>
          <w:u w:val="single"/>
        </w:rPr>
        <w:t>Schedule 6</w:t>
      </w:r>
    </w:p>
    <w:p w14:paraId="39504E75" w14:textId="29FD43D2" w:rsidR="006B77BA" w:rsidRPr="00251D75" w:rsidRDefault="006B77BA" w:rsidP="00A40AD5">
      <w:pPr>
        <w:ind w:firstLine="567"/>
        <w:rPr>
          <w:color w:val="00B050"/>
          <w:u w:val="single"/>
        </w:rPr>
      </w:pPr>
      <w:r>
        <w:rPr>
          <w:color w:val="00B050"/>
          <w:u w:val="single"/>
        </w:rPr>
        <w:t xml:space="preserve">Cross reference: </w:t>
      </w:r>
      <w:r w:rsidRPr="006B77BA">
        <w:rPr>
          <w:color w:val="00B050"/>
          <w:u w:val="single"/>
        </w:rPr>
        <w:t>Chromium-DL-methionine</w:t>
      </w:r>
    </w:p>
    <w:p w14:paraId="7F111A72" w14:textId="1033603D" w:rsidR="002539C8" w:rsidRPr="00456246" w:rsidRDefault="002539C8" w:rsidP="001D6918">
      <w:pPr>
        <w:pStyle w:val="Heading4"/>
      </w:pPr>
      <w:r w:rsidRPr="00456246">
        <w:t>Background</w:t>
      </w:r>
    </w:p>
    <w:p w14:paraId="3982E5BC" w14:textId="1D79AD52" w:rsidR="00631E3D" w:rsidRDefault="002539C8" w:rsidP="00456246">
      <w:r w:rsidRPr="00456246">
        <w:t>Chromium-DL-methionine belongs to the chemical group of amino acid chelates</w:t>
      </w:r>
      <w:r w:rsidR="006B77BA">
        <w:t xml:space="preserve"> of Chromium</w:t>
      </w:r>
      <w:r w:rsidRPr="00456246">
        <w:t xml:space="preserve">. </w:t>
      </w:r>
      <w:r w:rsidR="00631E3D">
        <w:t>C</w:t>
      </w:r>
      <w:r w:rsidR="00631E3D" w:rsidRPr="007924E0">
        <w:rPr>
          <w:rFonts w:eastAsia="Calibri"/>
          <w:color w:val="000000"/>
        </w:rPr>
        <w:t>hromium-DL-methionine</w:t>
      </w:r>
      <w:r w:rsidR="00631E3D" w:rsidRPr="005C5270">
        <w:t xml:space="preserve"> </w:t>
      </w:r>
      <w:r w:rsidR="00631E3D">
        <w:t>is</w:t>
      </w:r>
      <w:r w:rsidR="00631E3D" w:rsidRPr="005C5270">
        <w:t xml:space="preserve"> expected to dissociate in the digestive tract or in blood into </w:t>
      </w:r>
      <w:r w:rsidR="00631E3D">
        <w:t xml:space="preserve">its </w:t>
      </w:r>
      <w:r w:rsidR="00631E3D" w:rsidRPr="005C5270">
        <w:t xml:space="preserve">two components, </w:t>
      </w:r>
      <w:r w:rsidR="00631E3D">
        <w:t>chromium</w:t>
      </w:r>
      <w:r w:rsidR="00631E3D" w:rsidRPr="005C5270">
        <w:t xml:space="preserve"> (as </w:t>
      </w:r>
      <w:r w:rsidR="00631E3D">
        <w:t>chromium</w:t>
      </w:r>
      <w:r w:rsidR="00631E3D" w:rsidRPr="005C5270">
        <w:t xml:space="preserve"> (I</w:t>
      </w:r>
      <w:r w:rsidR="00631E3D">
        <w:t>I</w:t>
      </w:r>
      <w:r w:rsidR="00631E3D" w:rsidRPr="005C5270">
        <w:t xml:space="preserve">I) cation) and </w:t>
      </w:r>
      <w:r w:rsidR="00631E3D">
        <w:t>methionine.</w:t>
      </w:r>
    </w:p>
    <w:p w14:paraId="4E308AD6" w14:textId="3F2CD3A8" w:rsidR="002539C8" w:rsidRPr="00456246" w:rsidRDefault="002539C8" w:rsidP="00456246">
      <w:r w:rsidRPr="00456246">
        <w:t xml:space="preserve">Trivalent chromium (Cr </w:t>
      </w:r>
      <w:r w:rsidR="00364838">
        <w:t>(</w:t>
      </w:r>
      <w:r w:rsidRPr="00456246">
        <w:t>III</w:t>
      </w:r>
      <w:r w:rsidR="00364838">
        <w:t>)</w:t>
      </w:r>
      <w:r w:rsidRPr="00456246">
        <w:t>) is considered an essential trace element both in animal and human nutrition. It has been shown to influence carbohydrate, lipid, and protein metabolism</w:t>
      </w:r>
      <w:r w:rsidR="0073449B">
        <w:t xml:space="preserve"> </w:t>
      </w:r>
      <w:r w:rsidR="0073449B" w:rsidRPr="00A56E63">
        <w:rPr>
          <w:rFonts w:eastAsia="Yu Mincho"/>
          <w:szCs w:val="22"/>
        </w:rPr>
        <w:t>via an effect on insulin action</w:t>
      </w:r>
      <w:r w:rsidRPr="00456246">
        <w:t>.</w:t>
      </w:r>
    </w:p>
    <w:p w14:paraId="00A5A8AE" w14:textId="7E3E7783" w:rsidR="00601E90" w:rsidRDefault="002539C8" w:rsidP="004976A7">
      <w:r w:rsidRPr="00456246">
        <w:t>Methionine is an essential am</w:t>
      </w:r>
      <w:r w:rsidR="00364838">
        <w:t>in</w:t>
      </w:r>
      <w:r w:rsidRPr="00456246">
        <w:t>o acid, widely used in human and animal nutritional supplements.</w:t>
      </w:r>
    </w:p>
    <w:p w14:paraId="794F61D0" w14:textId="2572192B" w:rsidR="004976A7" w:rsidRPr="00456246" w:rsidRDefault="004976A7" w:rsidP="004976A7">
      <w:r w:rsidRPr="00456246">
        <w:t xml:space="preserve">Chromium-DL-methionine </w:t>
      </w:r>
      <w:r w:rsidR="00601E90">
        <w:t xml:space="preserve">is </w:t>
      </w:r>
      <w:r w:rsidRPr="00456246">
        <w:t>intended to be used in a powder formulation, for professional use as a nutritional supplement (feed additive) for ruminants, pigs, poultry and fin fish</w:t>
      </w:r>
      <w:r>
        <w:t>.</w:t>
      </w:r>
    </w:p>
    <w:p w14:paraId="60AB9E2F" w14:textId="77777777" w:rsidR="002539C8" w:rsidRPr="00456246" w:rsidRDefault="002539C8" w:rsidP="001D6918">
      <w:pPr>
        <w:pStyle w:val="Heading4"/>
      </w:pPr>
      <w:r w:rsidRPr="00456246">
        <w:t>Summary of applicant’s reasons for the proposal</w:t>
      </w:r>
    </w:p>
    <w:p w14:paraId="32E065F7" w14:textId="57C7118C" w:rsidR="002539C8" w:rsidRDefault="00A77332" w:rsidP="00364838">
      <w:pPr>
        <w:pStyle w:val="ListParagraph"/>
      </w:pPr>
      <w:r>
        <w:t xml:space="preserve">The </w:t>
      </w:r>
      <w:r w:rsidR="002539C8" w:rsidRPr="00456246">
        <w:t>APVMA has received an application for the approval of chromium-DL-methionine as a new veterinary active constituent and registration of a new product</w:t>
      </w:r>
      <w:r w:rsidR="00A50170">
        <w:t>.</w:t>
      </w:r>
      <w:r w:rsidR="001F2E63">
        <w:t xml:space="preserve"> </w:t>
      </w:r>
      <w:r w:rsidR="00A023FC" w:rsidRPr="00A023FC">
        <w:t xml:space="preserve">Chromium-DL-methionine is not listed in the </w:t>
      </w:r>
      <w:r w:rsidR="00A023FC">
        <w:t>current Poisons Standard</w:t>
      </w:r>
      <w:r w:rsidR="00A023FC" w:rsidRPr="00A023FC">
        <w:t xml:space="preserve"> and is not covered by other entries for chromium compounds</w:t>
      </w:r>
      <w:r w:rsidR="00156133">
        <w:t>.</w:t>
      </w:r>
    </w:p>
    <w:p w14:paraId="35247EB3" w14:textId="25888CA2" w:rsidR="00156133" w:rsidRPr="00456246" w:rsidRDefault="00FE52A4" w:rsidP="00364838">
      <w:pPr>
        <w:pStyle w:val="ListParagraph"/>
      </w:pPr>
      <w:r>
        <w:t>C</w:t>
      </w:r>
      <w:r w:rsidR="00156133" w:rsidRPr="00456246">
        <w:t>hromium-DL-methionine</w:t>
      </w:r>
      <w:r w:rsidR="00156133">
        <w:t xml:space="preserve"> dissociates into </w:t>
      </w:r>
      <w:r>
        <w:t>chromium cation</w:t>
      </w:r>
      <w:r w:rsidR="00156133" w:rsidRPr="00B72082">
        <w:t xml:space="preserve"> </w:t>
      </w:r>
      <w:r>
        <w:t>which</w:t>
      </w:r>
      <w:r w:rsidR="00156133" w:rsidRPr="00B72082">
        <w:t xml:space="preserve"> is considered to be the entity of toxicological significance.</w:t>
      </w:r>
      <w:r w:rsidR="00F05876">
        <w:t xml:space="preserve"> Based on the available information and read across data, </w:t>
      </w:r>
      <w:r w:rsidR="003B6E85" w:rsidRPr="003B6E85">
        <w:t>the substance has low oral and dermal toxicity</w:t>
      </w:r>
      <w:r w:rsidR="006939C7">
        <w:t xml:space="preserve">, </w:t>
      </w:r>
      <w:r w:rsidR="003B6E85" w:rsidRPr="003B6E85">
        <w:t>is non-genotoxic or neurotoxic and unlikely to be carcinogenic or associated with developmental or reproductive effects</w:t>
      </w:r>
      <w:r w:rsidR="006939C7">
        <w:t xml:space="preserve">. </w:t>
      </w:r>
    </w:p>
    <w:p w14:paraId="5D384AA2" w14:textId="6739E6E3" w:rsidR="00E21330" w:rsidRDefault="00E21330" w:rsidP="00364838">
      <w:pPr>
        <w:pStyle w:val="ListParagraph"/>
      </w:pPr>
      <w:r>
        <w:t>C</w:t>
      </w:r>
      <w:r w:rsidRPr="00456246">
        <w:t>hromium-DL-methionine</w:t>
      </w:r>
      <w:r>
        <w:t xml:space="preserve"> </w:t>
      </w:r>
      <w:r w:rsidRPr="00E21330">
        <w:t>may cause respiratory effects from inhalation and allergic skin reactions in sensitive individuals</w:t>
      </w:r>
      <w:r>
        <w:t xml:space="preserve">. However, this can be managed </w:t>
      </w:r>
      <w:r w:rsidR="00776D70">
        <w:t>through label directions.</w:t>
      </w:r>
    </w:p>
    <w:p w14:paraId="571F7321" w14:textId="5CB85030" w:rsidR="002539C8" w:rsidRPr="00456246" w:rsidRDefault="006939C7" w:rsidP="00364838">
      <w:pPr>
        <w:pStyle w:val="ListParagraph"/>
      </w:pPr>
      <w:r>
        <w:t>I</w:t>
      </w:r>
      <w:r w:rsidR="002539C8" w:rsidRPr="00456246">
        <w:t xml:space="preserve">t is considered that the potential toxicity of chromium-DL-methionine is consistent with a </w:t>
      </w:r>
      <w:r w:rsidR="00A77332" w:rsidRPr="00456246">
        <w:t>Schedule</w:t>
      </w:r>
      <w:r w:rsidR="00A77332">
        <w:t> </w:t>
      </w:r>
      <w:r w:rsidR="002539C8" w:rsidRPr="00456246">
        <w:t>6 classification</w:t>
      </w:r>
      <w:r w:rsidR="00874BDD">
        <w:t xml:space="preserve"> for veterinary use</w:t>
      </w:r>
      <w:r w:rsidR="002539C8" w:rsidRPr="00456246">
        <w:t>.</w:t>
      </w:r>
    </w:p>
    <w:p w14:paraId="6C909B5E" w14:textId="77777777" w:rsidR="002539C8" w:rsidRPr="00456246" w:rsidRDefault="002539C8" w:rsidP="001D6918">
      <w:pPr>
        <w:pStyle w:val="Heading4"/>
      </w:pPr>
      <w:r w:rsidRPr="00456246">
        <w:t>Key uses / expected use</w:t>
      </w:r>
    </w:p>
    <w:p w14:paraId="02A551F3" w14:textId="77777777" w:rsidR="002539C8" w:rsidRPr="00456246" w:rsidRDefault="002539C8" w:rsidP="00456246">
      <w:r w:rsidRPr="00456246">
        <w:t>Oral (powder formulation as a feed additive, for use as a nutritional supplement for ruminants, pigs, poultry and fin fish).</w:t>
      </w:r>
    </w:p>
    <w:p w14:paraId="1B4580DD" w14:textId="77777777" w:rsidR="002539C8" w:rsidRDefault="002539C8" w:rsidP="001D6918">
      <w:pPr>
        <w:pStyle w:val="Heading4"/>
      </w:pPr>
      <w:r w:rsidRPr="00456246">
        <w:lastRenderedPageBreak/>
        <w:t>Australian regulations</w:t>
      </w:r>
    </w:p>
    <w:p w14:paraId="21963050" w14:textId="77777777" w:rsidR="002D3055" w:rsidRDefault="00C32D89" w:rsidP="00364838">
      <w:pPr>
        <w:pStyle w:val="ListParagraph"/>
      </w:pPr>
      <w:r>
        <w:t xml:space="preserve">While </w:t>
      </w:r>
      <w:r w:rsidR="008A6626">
        <w:t>c</w:t>
      </w:r>
      <w:r w:rsidR="008A6626" w:rsidRPr="00456246">
        <w:t>hromium-DL-methionine</w:t>
      </w:r>
      <w:r w:rsidR="008A6626">
        <w:t xml:space="preserve"> is not listed in the </w:t>
      </w:r>
      <w:hyperlink r:id="rId73" w:history="1">
        <w:r w:rsidR="00966761" w:rsidRPr="00553195">
          <w:rPr>
            <w:rStyle w:val="Hyperlink"/>
          </w:rPr>
          <w:t>TGA Ingredient Database</w:t>
        </w:r>
      </w:hyperlink>
      <w:r w:rsidR="001B4DCC" w:rsidRPr="002D3055">
        <w:rPr>
          <w:rStyle w:val="Hyperlink"/>
          <w:u w:val="none"/>
        </w:rPr>
        <w:t xml:space="preserve">, </w:t>
      </w:r>
      <w:r w:rsidR="00BD6D02" w:rsidRPr="00BD6D02">
        <w:t>chromium amino acid chelate</w:t>
      </w:r>
      <w:r w:rsidR="00BD6D02">
        <w:t xml:space="preserve"> is </w:t>
      </w:r>
      <w:r w:rsidR="00D97FE8">
        <w:t>a</w:t>
      </w:r>
      <w:r w:rsidR="00781273">
        <w:t>vailable for use as</w:t>
      </w:r>
      <w:r w:rsidR="00D97FE8">
        <w:t>:</w:t>
      </w:r>
    </w:p>
    <w:p w14:paraId="04ADD787" w14:textId="77777777" w:rsidR="00C4553B" w:rsidRDefault="00781273" w:rsidP="00C4553B">
      <w:pPr>
        <w:pStyle w:val="ListBullet2"/>
      </w:pPr>
      <w:r>
        <w:t>Active Ingredient in: Biologicals, Export Only, Over</w:t>
      </w:r>
      <w:r w:rsidR="00D97FE8">
        <w:t xml:space="preserve"> </w:t>
      </w:r>
      <w:r>
        <w:t>the Counter</w:t>
      </w:r>
      <w:r w:rsidR="00D97FE8">
        <w:t xml:space="preserve"> and</w:t>
      </w:r>
      <w:r>
        <w:t xml:space="preserve"> Prescription Medicines</w:t>
      </w:r>
    </w:p>
    <w:p w14:paraId="207F10C1" w14:textId="77777777" w:rsidR="00C4553B" w:rsidRDefault="00781273" w:rsidP="00C4553B">
      <w:pPr>
        <w:pStyle w:val="ListBullet2"/>
      </w:pPr>
      <w:r>
        <w:t>Excipient Ingredient in: Biologicals, Devices</w:t>
      </w:r>
      <w:r w:rsidR="00D97FE8">
        <w:t xml:space="preserve"> and </w:t>
      </w:r>
      <w:r>
        <w:t>Prescription Medicines</w:t>
      </w:r>
    </w:p>
    <w:p w14:paraId="32688CFF" w14:textId="5E208444" w:rsidR="002D3055" w:rsidRDefault="00F9576F" w:rsidP="00404481">
      <w:pPr>
        <w:ind w:left="357"/>
      </w:pPr>
      <w:r>
        <w:t>a</w:t>
      </w:r>
      <w:r w:rsidR="00D97FE8">
        <w:t xml:space="preserve">nd </w:t>
      </w:r>
      <w:r>
        <w:t>is n</w:t>
      </w:r>
      <w:r w:rsidR="00781273">
        <w:t>ot available as an Equivalent Ingredient in any application</w:t>
      </w:r>
      <w:r>
        <w:t>.</w:t>
      </w:r>
    </w:p>
    <w:p w14:paraId="69028A71" w14:textId="325C389E" w:rsidR="00C4553B" w:rsidRDefault="00C4553B" w:rsidP="00364838">
      <w:pPr>
        <w:pStyle w:val="ListParagraph"/>
      </w:pPr>
      <w:r>
        <w:t>As o</w:t>
      </w:r>
      <w:r w:rsidR="00A77332">
        <w:t>f</w:t>
      </w:r>
      <w:r>
        <w:t xml:space="preserve"> 15 January 2025, there are 8 medicines listed in the </w:t>
      </w:r>
      <w:hyperlink r:id="rId74" w:history="1">
        <w:r w:rsidRPr="00C56F18">
          <w:rPr>
            <w:rStyle w:val="Hyperlink"/>
          </w:rPr>
          <w:t>Australian Register of Therapeutic Goods (ARTG)</w:t>
        </w:r>
      </w:hyperlink>
      <w:r>
        <w:t xml:space="preserve"> that contain </w:t>
      </w:r>
      <w:r w:rsidRPr="00BD6D02">
        <w:t>chromium amino acid chelate</w:t>
      </w:r>
      <w:r>
        <w:t xml:space="preserve"> as an active ingredient.</w:t>
      </w:r>
    </w:p>
    <w:p w14:paraId="5E7554EB" w14:textId="487E696E" w:rsidR="00C4553B" w:rsidRDefault="00C4553B" w:rsidP="00364838">
      <w:pPr>
        <w:pStyle w:val="ListParagraph"/>
      </w:pPr>
      <w:r>
        <w:t>C</w:t>
      </w:r>
      <w:r w:rsidRPr="00BD6D02">
        <w:t>hromium amino acid chelate</w:t>
      </w:r>
      <w:r>
        <w:t xml:space="preserve"> is not listed in the </w:t>
      </w:r>
      <w:hyperlink r:id="rId75" w:history="1">
        <w:r w:rsidRPr="004D345B">
          <w:rPr>
            <w:color w:val="0000FF"/>
            <w:u w:val="single"/>
          </w:rPr>
          <w:t>Therapeutic Goods (Permissible Ingredients) Determination</w:t>
        </w:r>
      </w:hyperlink>
      <w:r w:rsidRPr="006547C7">
        <w:t xml:space="preserve"> No.3 of 2024.</w:t>
      </w:r>
      <w:r>
        <w:t xml:space="preserve"> However, chromium is included as an essential component of chromium chloride hexahydrate, chromium nicotinate and chromium picolinate with the </w:t>
      </w:r>
      <w:r w:rsidRPr="003A5409">
        <w:t xml:space="preserve">maximum recommended daily dose </w:t>
      </w:r>
      <w:r>
        <w:t xml:space="preserve">of </w:t>
      </w:r>
      <w:r w:rsidRPr="003A5409">
        <w:t xml:space="preserve">chromium from organic sources </w:t>
      </w:r>
      <w:r>
        <w:t>being limited a maximum of</w:t>
      </w:r>
      <w:r w:rsidRPr="003A5409">
        <w:t xml:space="preserve"> </w:t>
      </w:r>
      <w:r w:rsidR="00A77332" w:rsidRPr="003A5409">
        <w:t>50</w:t>
      </w:r>
      <w:r w:rsidR="00A77332">
        <w:t> </w:t>
      </w:r>
      <w:r w:rsidRPr="003A5409">
        <w:t>micrograms.</w:t>
      </w:r>
    </w:p>
    <w:p w14:paraId="2FE18373" w14:textId="1FD44448" w:rsidR="00C4553B" w:rsidRPr="00C4553B" w:rsidRDefault="00C4553B" w:rsidP="00364838">
      <w:pPr>
        <w:pStyle w:val="ListParagraph"/>
      </w:pPr>
      <w:r>
        <w:t>C</w:t>
      </w:r>
      <w:r w:rsidRPr="00BD6D02">
        <w:t>hromium amino acid chelate</w:t>
      </w:r>
      <w:r>
        <w:t xml:space="preserve"> is not included in the </w:t>
      </w:r>
      <w:hyperlink r:id="rId76" w:history="1">
        <w:r w:rsidRPr="004D345B">
          <w:rPr>
            <w:color w:val="0000FF"/>
            <w:u w:val="single"/>
          </w:rPr>
          <w:t>TGA prescribing medicines in pregnancy database</w:t>
        </w:r>
      </w:hyperlink>
      <w:r w:rsidRPr="009C1595">
        <w:rPr>
          <w:color w:val="auto"/>
        </w:rPr>
        <w:t>.</w:t>
      </w:r>
    </w:p>
    <w:p w14:paraId="0E5AC379" w14:textId="1CB20962" w:rsidR="00C4553B" w:rsidRPr="00C4553B" w:rsidRDefault="00C4553B" w:rsidP="00364838">
      <w:pPr>
        <w:pStyle w:val="ListParagraph"/>
      </w:pPr>
      <w:r w:rsidRPr="006547C7">
        <w:t xml:space="preserve">There are no warning statements pertaining to </w:t>
      </w:r>
      <w:r>
        <w:t>c</w:t>
      </w:r>
      <w:r w:rsidRPr="00BD6D02">
        <w:t>hromium amino acid chelate</w:t>
      </w:r>
      <w:r>
        <w:t xml:space="preserve"> </w:t>
      </w:r>
      <w:r w:rsidRPr="006547C7">
        <w:t xml:space="preserve">in the </w:t>
      </w:r>
      <w:hyperlink r:id="rId77" w:history="1">
        <w:r w:rsidRPr="004D345B">
          <w:rPr>
            <w:color w:val="0000FF"/>
            <w:u w:val="single"/>
          </w:rPr>
          <w:t>Therapeutic Goods (Medicines Advisory Statements) Specification 2021</w:t>
        </w:r>
      </w:hyperlink>
      <w:r w:rsidRPr="004D345B">
        <w:rPr>
          <w:color w:val="0000FF"/>
          <w:u w:val="single"/>
        </w:rPr>
        <w:t>.</w:t>
      </w:r>
    </w:p>
    <w:p w14:paraId="64F0AD2A" w14:textId="014C2A81" w:rsidR="002D3055" w:rsidRDefault="002D3055" w:rsidP="00364838">
      <w:pPr>
        <w:pStyle w:val="ListParagraph"/>
      </w:pPr>
      <w:r>
        <w:t xml:space="preserve">Between </w:t>
      </w:r>
      <w:r w:rsidRPr="00FD61FB">
        <w:t xml:space="preserve">1971 </w:t>
      </w:r>
      <w:r>
        <w:t xml:space="preserve">to 2024, 4 adverse events have been reported in the TGA’s </w:t>
      </w:r>
      <w:hyperlink r:id="rId78" w:history="1">
        <w:r w:rsidRPr="004D345B">
          <w:rPr>
            <w:color w:val="0000FF"/>
            <w:u w:val="single"/>
          </w:rPr>
          <w:t>Database of Adverse Event Notifications (DAEN)</w:t>
        </w:r>
      </w:hyperlink>
      <w:r>
        <w:t xml:space="preserve"> where c</w:t>
      </w:r>
      <w:r w:rsidRPr="00BD6D02">
        <w:t>hromium amino acid chelate</w:t>
      </w:r>
      <w:r>
        <w:t xml:space="preserve"> was an active ingredient.</w:t>
      </w:r>
    </w:p>
    <w:p w14:paraId="60708DC4" w14:textId="58FB7796" w:rsidR="002D3055" w:rsidRDefault="002D3055" w:rsidP="00364838">
      <w:pPr>
        <w:pStyle w:val="ListParagraph"/>
      </w:pPr>
      <w:r>
        <w:t xml:space="preserve">On 15 January 2024, there is 1 product listed in </w:t>
      </w:r>
      <w:hyperlink r:id="rId79" w:history="1">
        <w:r w:rsidRPr="004D345B">
          <w:rPr>
            <w:color w:val="0000FF"/>
            <w:u w:val="single"/>
          </w:rPr>
          <w:t>Public Chemical Registration Information System Search (PubCRIS)</w:t>
        </w:r>
      </w:hyperlink>
      <w:r w:rsidRPr="00404481">
        <w:rPr>
          <w:color w:val="0000FF"/>
        </w:rPr>
        <w:t xml:space="preserve"> </w:t>
      </w:r>
      <w:r>
        <w:t>where chromium amino acid chelate is an active compound.</w:t>
      </w:r>
    </w:p>
    <w:p w14:paraId="7BE7A78E" w14:textId="73D900D7" w:rsidR="00FE5D7B" w:rsidRDefault="00B11F2D" w:rsidP="00364838">
      <w:pPr>
        <w:pStyle w:val="ListParagraph"/>
      </w:pPr>
      <w:r>
        <w:t>Between</w:t>
      </w:r>
      <w:r w:rsidRPr="006547C7">
        <w:t xml:space="preserve"> </w:t>
      </w:r>
      <w:r w:rsidR="003E0F67">
        <w:t>2015</w:t>
      </w:r>
      <w:r>
        <w:t xml:space="preserve"> and </w:t>
      </w:r>
      <w:r w:rsidRPr="006547C7">
        <w:t>20</w:t>
      </w:r>
      <w:r w:rsidR="003E0F67">
        <w:t xml:space="preserve">20, there </w:t>
      </w:r>
      <w:r w:rsidR="00A77332">
        <w:t>were</w:t>
      </w:r>
      <w:r w:rsidR="003E0F67">
        <w:t xml:space="preserve"> no reports adverse events for </w:t>
      </w:r>
      <w:r w:rsidR="00FE5D7B">
        <w:t xml:space="preserve">chromium amino acid chelate in </w:t>
      </w:r>
      <w:r w:rsidRPr="006547C7">
        <w:t xml:space="preserve">the </w:t>
      </w:r>
      <w:hyperlink r:id="rId80" w:history="1">
        <w:r w:rsidRPr="004D345B">
          <w:rPr>
            <w:color w:val="0000FF"/>
            <w:u w:val="single"/>
          </w:rPr>
          <w:t>APVMA Adverse Experience Reporting Program</w:t>
        </w:r>
      </w:hyperlink>
      <w:r w:rsidRPr="004D345B">
        <w:rPr>
          <w:color w:val="0000FF"/>
          <w:u w:val="single"/>
        </w:rPr>
        <w:t xml:space="preserve"> database (AERP).</w:t>
      </w:r>
    </w:p>
    <w:p w14:paraId="1D044092" w14:textId="2A73346B" w:rsidR="00CC2B8D" w:rsidRPr="00051372" w:rsidRDefault="00A40AD5" w:rsidP="00364838">
      <w:pPr>
        <w:pStyle w:val="ListParagraph"/>
        <w:rPr>
          <w:rFonts w:cs="Arial"/>
        </w:rPr>
      </w:pPr>
      <w:r>
        <w:t>Some chromium chelates for example c</w:t>
      </w:r>
      <w:r w:rsidRPr="00A40AD5">
        <w:t>hromium soya protein hydrolyzates complexes</w:t>
      </w:r>
      <w:r>
        <w:t xml:space="preserve"> (CAS 104466-02-6) and c</w:t>
      </w:r>
      <w:r w:rsidRPr="00A40AD5">
        <w:t xml:space="preserve">hromium, </w:t>
      </w:r>
      <w:r w:rsidRPr="00A40AD5">
        <w:rPr>
          <w:i/>
          <w:iCs/>
        </w:rPr>
        <w:t>Saccharomyces cerevisiae</w:t>
      </w:r>
      <w:r w:rsidRPr="00A40AD5">
        <w:t xml:space="preserve"> protein hydrolyzates complexes</w:t>
      </w:r>
      <w:r>
        <w:t xml:space="preserve"> (CAS </w:t>
      </w:r>
      <w:r w:rsidRPr="00A40AD5">
        <w:t>104466-01-5</w:t>
      </w:r>
      <w:r>
        <w:t>) listed in the</w:t>
      </w:r>
      <w:r w:rsidR="00051372" w:rsidRPr="006547C7">
        <w:t xml:space="preserve"> </w:t>
      </w:r>
      <w:hyperlink r:id="rId81" w:history="1">
        <w:r w:rsidR="00051372" w:rsidRPr="004D345B">
          <w:rPr>
            <w:rFonts w:cs="Arial"/>
            <w:color w:val="0000FF"/>
            <w:u w:val="single"/>
          </w:rPr>
          <w:t>Australian Inventory of Industrial Chemicals</w:t>
        </w:r>
      </w:hyperlink>
      <w:r w:rsidR="00783336">
        <w:rPr>
          <w:rFonts w:cs="Arial"/>
        </w:rPr>
        <w:t xml:space="preserve">, </w:t>
      </w:r>
      <w:r>
        <w:rPr>
          <w:rFonts w:cs="Arial"/>
        </w:rPr>
        <w:t>can be covered by the proposed new entry for</w:t>
      </w:r>
      <w:r w:rsidR="00783336">
        <w:rPr>
          <w:rFonts w:cs="Arial"/>
        </w:rPr>
        <w:t xml:space="preserve"> chromium organic chelate.</w:t>
      </w:r>
    </w:p>
    <w:p w14:paraId="1E9AD46F" w14:textId="77777777" w:rsidR="002539C8" w:rsidRPr="00456246" w:rsidRDefault="002539C8" w:rsidP="001D6918">
      <w:pPr>
        <w:pStyle w:val="Heading4"/>
      </w:pPr>
      <w:r w:rsidRPr="00456246">
        <w:t>International regulations</w:t>
      </w:r>
    </w:p>
    <w:p w14:paraId="20A2EFAA" w14:textId="4437B89B" w:rsidR="00CE186C" w:rsidRDefault="002539C8" w:rsidP="00364838">
      <w:pPr>
        <w:pStyle w:val="ListParagraph"/>
      </w:pPr>
      <w:r w:rsidRPr="00456246">
        <w:t>Chromium</w:t>
      </w:r>
      <w:r w:rsidR="005962DA">
        <w:t xml:space="preserve"> organic chelate</w:t>
      </w:r>
      <w:r w:rsidR="00507145">
        <w:t xml:space="preserve"> or chromium amin</w:t>
      </w:r>
      <w:r w:rsidR="00835C40">
        <w:t>o</w:t>
      </w:r>
      <w:r w:rsidR="00507145">
        <w:t xml:space="preserve"> acid chelate or chromium-DL-methionine</w:t>
      </w:r>
      <w:r w:rsidRPr="00456246">
        <w:t xml:space="preserve"> is not included in </w:t>
      </w:r>
      <w:r w:rsidR="00CE186C">
        <w:t>the following databases:</w:t>
      </w:r>
    </w:p>
    <w:p w14:paraId="540D4F9E" w14:textId="77777777" w:rsidR="00A7578D" w:rsidRDefault="00A7578D" w:rsidP="002D3055">
      <w:pPr>
        <w:pStyle w:val="ListBullet2"/>
        <w:rPr>
          <w:rStyle w:val="Hyperlink"/>
        </w:rPr>
      </w:pPr>
      <w:hyperlink r:id="rId82" w:history="1">
        <w:r w:rsidRPr="00274B1E">
          <w:rPr>
            <w:rStyle w:val="Hyperlink"/>
          </w:rPr>
          <w:t>United States Environmental Protection Agency’s (US EPA) Office of Pesticides Program</w:t>
        </w:r>
      </w:hyperlink>
    </w:p>
    <w:p w14:paraId="33B6200C" w14:textId="77777777" w:rsidR="007B3CBF" w:rsidRPr="00274B1E" w:rsidRDefault="007B3CBF" w:rsidP="002D3055">
      <w:pPr>
        <w:pStyle w:val="ListBullet2"/>
      </w:pPr>
      <w:hyperlink r:id="rId83" w:history="1">
        <w:r w:rsidRPr="00274B1E">
          <w:rPr>
            <w:rStyle w:val="Hyperlink"/>
          </w:rPr>
          <w:t>United States Food and Drug Administration Approved Drugs Database (Drugs@FDA)</w:t>
        </w:r>
      </w:hyperlink>
    </w:p>
    <w:p w14:paraId="49544B69" w14:textId="6332E910" w:rsidR="005962DA" w:rsidRDefault="00F43560" w:rsidP="002D3055">
      <w:pPr>
        <w:pStyle w:val="ListBullet2"/>
      </w:pPr>
      <w:hyperlink r:id="rId84" w:history="1">
        <w:r w:rsidRPr="00274B1E">
          <w:rPr>
            <w:rStyle w:val="Hyperlink"/>
          </w:rPr>
          <w:t>European Commission database for information on cosmetic substances and ingredients database</w:t>
        </w:r>
      </w:hyperlink>
      <w:r w:rsidR="002539C8" w:rsidRPr="00456246">
        <w:t xml:space="preserve"> </w:t>
      </w:r>
    </w:p>
    <w:p w14:paraId="787F7F5A" w14:textId="25F4D07E" w:rsidR="005962DA" w:rsidRDefault="00776197" w:rsidP="002D3055">
      <w:pPr>
        <w:pStyle w:val="ListBullet2"/>
        <w:rPr>
          <w:rStyle w:val="Hyperlink"/>
        </w:rPr>
      </w:pPr>
      <w:hyperlink r:id="rId85" w:history="1">
        <w:r w:rsidRPr="00274B1E">
          <w:rPr>
            <w:rStyle w:val="Hyperlink"/>
          </w:rPr>
          <w:t>New Zealand Inventory of Chemicals (NZIoC)</w:t>
        </w:r>
      </w:hyperlink>
    </w:p>
    <w:p w14:paraId="3020F39C" w14:textId="7B2E85B4" w:rsidR="007E1930" w:rsidRDefault="007E1930" w:rsidP="002D3055">
      <w:pPr>
        <w:pStyle w:val="ListBullet2"/>
        <w:rPr>
          <w:rStyle w:val="Hyperlink"/>
        </w:rPr>
      </w:pPr>
      <w:hyperlink r:id="rId86" w:history="1">
        <w:r w:rsidRPr="00274B1E">
          <w:rPr>
            <w:rStyle w:val="Hyperlink"/>
          </w:rPr>
          <w:t>New Zealand MedSafe Medicines Classification Database</w:t>
        </w:r>
      </w:hyperlink>
    </w:p>
    <w:p w14:paraId="46ABDF0E" w14:textId="1E85A0A3" w:rsidR="00BE33D0" w:rsidRDefault="007F0774" w:rsidP="002D3055">
      <w:pPr>
        <w:pStyle w:val="ListBullet2"/>
        <w:rPr>
          <w:rStyle w:val="Hyperlink"/>
        </w:rPr>
      </w:pPr>
      <w:hyperlink r:id="rId87" w:history="1">
        <w:r>
          <w:rPr>
            <w:rStyle w:val="Hyperlink"/>
          </w:rPr>
          <w:t>Pest Management Regulation Agency (Canada)</w:t>
        </w:r>
      </w:hyperlink>
    </w:p>
    <w:p w14:paraId="6715672D" w14:textId="6A4B3BFB" w:rsidR="000F33B5" w:rsidRDefault="000F33B5" w:rsidP="002D3055">
      <w:pPr>
        <w:pStyle w:val="ListBullet2"/>
      </w:pPr>
      <w:hyperlink r:id="rId88" w:history="1">
        <w:r>
          <w:rPr>
            <w:rStyle w:val="Hyperlink"/>
          </w:rPr>
          <w:t>Health Products Regulatory Authority (Ireland)</w:t>
        </w:r>
      </w:hyperlink>
    </w:p>
    <w:p w14:paraId="61F1319D" w14:textId="25EBDA43" w:rsidR="00BE33D0" w:rsidRDefault="00BC401D" w:rsidP="00364838">
      <w:pPr>
        <w:pStyle w:val="ListParagraph"/>
      </w:pPr>
      <w:r>
        <w:t>Two over-the-counter medicines, both currently cancelled, with</w:t>
      </w:r>
      <w:r w:rsidR="00835C40">
        <w:t xml:space="preserve"> chromium amino acid chelate as an active ingredient is listed in the</w:t>
      </w:r>
      <w:r>
        <w:t xml:space="preserve"> </w:t>
      </w:r>
      <w:hyperlink r:id="rId89" w:history="1">
        <w:r w:rsidR="00AC0243" w:rsidRPr="00274B1E">
          <w:rPr>
            <w:rStyle w:val="Hyperlink"/>
            <w:szCs w:val="20"/>
            <w:lang w:eastAsia="en-US"/>
          </w:rPr>
          <w:t>Health Canada Drug Product Database</w:t>
        </w:r>
      </w:hyperlink>
      <w:r w:rsidR="00835C40">
        <w:rPr>
          <w:rStyle w:val="Hyperlink"/>
        </w:rPr>
        <w:t>.</w:t>
      </w:r>
    </w:p>
    <w:p w14:paraId="4A28FF3D" w14:textId="77777777" w:rsidR="001D6918" w:rsidRDefault="001D6918">
      <w:pPr>
        <w:rPr>
          <w:rFonts w:asciiTheme="minorHAnsi" w:hAnsiTheme="minorHAnsi" w:cstheme="minorHAnsi"/>
        </w:rPr>
      </w:pPr>
      <w:r>
        <w:rPr>
          <w:rFonts w:asciiTheme="minorHAnsi" w:hAnsiTheme="minorHAnsi" w:cstheme="minorHAnsi"/>
        </w:rPr>
        <w:br w:type="page"/>
      </w:r>
    </w:p>
    <w:p w14:paraId="124B394A" w14:textId="3C169A44" w:rsidR="004E2F19" w:rsidRPr="00E35D79" w:rsidRDefault="003F64BC" w:rsidP="00A35968">
      <w:pPr>
        <w:pStyle w:val="Heading2"/>
      </w:pPr>
      <w:bookmarkStart w:id="33" w:name="_Toc187936938"/>
      <w:r w:rsidRPr="00E35D79">
        <w:lastRenderedPageBreak/>
        <w:t>How to respond</w:t>
      </w:r>
      <w:bookmarkEnd w:id="33"/>
    </w:p>
    <w:p w14:paraId="595557DD" w14:textId="4D8E06C1" w:rsidR="003F64BC" w:rsidRPr="00E35D79" w:rsidRDefault="003F64BC" w:rsidP="00E35D79">
      <w:pPr>
        <w:rPr>
          <w:rFonts w:asciiTheme="minorHAnsi" w:hAnsiTheme="minorHAnsi" w:cstheme="minorHAnsi"/>
        </w:rPr>
      </w:pPr>
      <w:r w:rsidRPr="00E35D79">
        <w:rPr>
          <w:rFonts w:asciiTheme="minorHAnsi" w:hAnsiTheme="minorHAnsi" w:cstheme="minorHAnsi"/>
        </w:rPr>
        <w:t xml:space="preserve">Submissions must be provided by the closing date of </w:t>
      </w:r>
      <w:r w:rsidR="00404481" w:rsidRPr="00404481">
        <w:rPr>
          <w:rFonts w:asciiTheme="minorHAnsi" w:hAnsiTheme="minorHAnsi" w:cstheme="minorHAnsi"/>
        </w:rPr>
        <w:t>17</w:t>
      </w:r>
      <w:r w:rsidRPr="00404481">
        <w:rPr>
          <w:rFonts w:asciiTheme="minorHAnsi" w:hAnsiTheme="minorHAnsi" w:cstheme="minorHAnsi"/>
        </w:rPr>
        <w:t xml:space="preserve"> </w:t>
      </w:r>
      <w:r w:rsidR="00AC772B" w:rsidRPr="00404481">
        <w:rPr>
          <w:rFonts w:asciiTheme="minorHAnsi" w:hAnsiTheme="minorHAnsi" w:cstheme="minorHAnsi"/>
        </w:rPr>
        <w:t>February</w:t>
      </w:r>
      <w:r w:rsidRPr="00404481">
        <w:rPr>
          <w:rFonts w:asciiTheme="minorHAnsi" w:hAnsiTheme="minorHAnsi" w:cstheme="minorHAnsi"/>
        </w:rPr>
        <w:t xml:space="preserve"> 20</w:t>
      </w:r>
      <w:r w:rsidR="00AC772B" w:rsidRPr="00404481">
        <w:rPr>
          <w:rFonts w:asciiTheme="minorHAnsi" w:hAnsiTheme="minorHAnsi" w:cstheme="minorHAnsi"/>
        </w:rPr>
        <w:t>25</w:t>
      </w:r>
      <w:r w:rsidRPr="00E35D79">
        <w:rPr>
          <w:rFonts w:asciiTheme="minorHAnsi" w:hAnsiTheme="minorHAnsi" w:cstheme="minorHAnsi"/>
        </w:rPr>
        <w:t xml:space="preserve"> through our </w:t>
      </w:r>
      <w:hyperlink r:id="rId90" w:history="1">
        <w:r w:rsidRPr="00E35D79">
          <w:rPr>
            <w:rStyle w:val="Hyperlink"/>
            <w:rFonts w:asciiTheme="minorHAnsi" w:hAnsiTheme="minorHAnsi" w:cstheme="minorHAnsi"/>
          </w:rPr>
          <w:t>consultation hub</w:t>
        </w:r>
      </w:hyperlink>
      <w:r w:rsidRPr="00E35D79">
        <w:rPr>
          <w:rFonts w:asciiTheme="minorHAnsi" w:hAnsiTheme="minorHAnsi" w:cstheme="minorHAnsi"/>
        </w:rPr>
        <w:t xml:space="preserve">. Any submission about any of the proposals to amend the Poisons Standard will be considered at the next meeting of the </w:t>
      </w:r>
      <w:hyperlink r:id="rId91" w:history="1">
        <w:r w:rsidRPr="00E35D79">
          <w:rPr>
            <w:rStyle w:val="Hyperlink"/>
            <w:rFonts w:asciiTheme="minorHAnsi" w:hAnsiTheme="minorHAnsi" w:cstheme="minorHAnsi"/>
          </w:rPr>
          <w:t>Advisory Committee on Chemicals Scheduling (ACCS)</w:t>
        </w:r>
      </w:hyperlink>
      <w:r w:rsidRPr="00E35D79">
        <w:rPr>
          <w:rFonts w:asciiTheme="minorHAnsi" w:hAnsiTheme="minorHAnsi" w:cstheme="minorHAnsi"/>
        </w:rPr>
        <w:t>, or a joint meeting of</w:t>
      </w:r>
      <w:r w:rsidR="00A77ACC">
        <w:rPr>
          <w:rFonts w:asciiTheme="minorHAnsi" w:hAnsiTheme="minorHAnsi" w:cstheme="minorHAnsi"/>
        </w:rPr>
        <w:t xml:space="preserve"> the ACCS and</w:t>
      </w:r>
      <w:r w:rsidRPr="00E35D79">
        <w:rPr>
          <w:rFonts w:asciiTheme="minorHAnsi" w:hAnsiTheme="minorHAnsi" w:cstheme="minorHAnsi"/>
        </w:rPr>
        <w:t xml:space="preserve"> </w:t>
      </w:r>
      <w:hyperlink r:id="rId92" w:history="1">
        <w:r w:rsidR="0016123C" w:rsidRPr="00E35D79">
          <w:rPr>
            <w:rStyle w:val="Hyperlink"/>
            <w:rFonts w:asciiTheme="minorHAnsi" w:hAnsiTheme="minorHAnsi" w:cstheme="minorHAnsi"/>
          </w:rPr>
          <w:t>Advisory Committee on Medicines Scheduling (ACMS)</w:t>
        </w:r>
      </w:hyperlink>
      <w:r w:rsidR="00A77ACC">
        <w:rPr>
          <w:rFonts w:asciiTheme="minorHAnsi" w:hAnsiTheme="minorHAnsi" w:cstheme="minorHAnsi"/>
        </w:rPr>
        <w:t>.</w:t>
      </w:r>
    </w:p>
    <w:p w14:paraId="2F698B91" w14:textId="3475088F" w:rsidR="003F64BC" w:rsidRPr="00E35D79" w:rsidRDefault="003F64BC" w:rsidP="00A35968">
      <w:pPr>
        <w:pStyle w:val="Heading2"/>
      </w:pPr>
      <w:bookmarkStart w:id="34" w:name="_Toc187936939"/>
      <w:r w:rsidRPr="00E35D79">
        <w:t>What will happen</w:t>
      </w:r>
      <w:bookmarkEnd w:id="34"/>
    </w:p>
    <w:p w14:paraId="1A6D3BA5" w14:textId="1DBB3878" w:rsidR="003F64BC" w:rsidRPr="00E35D79" w:rsidRDefault="003F64BC" w:rsidP="00E35D79">
      <w:pPr>
        <w:rPr>
          <w:rFonts w:asciiTheme="minorHAnsi" w:hAnsiTheme="minorHAnsi" w:cstheme="minorHAnsi"/>
        </w:rPr>
      </w:pPr>
      <w:r w:rsidRPr="00E35D79">
        <w:rPr>
          <w:rFonts w:asciiTheme="minorHAnsi" w:hAnsiTheme="minorHAnsi" w:cstheme="minorHAnsi"/>
        </w:rPr>
        <w:t xml:space="preserve">All public submissions will be published on the </w:t>
      </w:r>
      <w:hyperlink r:id="rId93" w:history="1">
        <w:r w:rsidRPr="00E35D79">
          <w:rPr>
            <w:rStyle w:val="Hyperlink"/>
            <w:rFonts w:asciiTheme="minorHAnsi" w:hAnsiTheme="minorHAnsi" w:cstheme="minorHAnsi"/>
          </w:rPr>
          <w:t>TGA website</w:t>
        </w:r>
      </w:hyperlink>
      <w:r w:rsidRPr="00E35D79">
        <w:rPr>
          <w:rFonts w:asciiTheme="minorHAnsi" w:hAnsiTheme="minorHAnsi" w:cstheme="minorHAnsi"/>
        </w:rPr>
        <w:t>, unless marked confidential</w:t>
      </w:r>
      <w:r w:rsidR="00765A3D" w:rsidRPr="00E35D79">
        <w:rPr>
          <w:rFonts w:asciiTheme="minorHAnsi" w:hAnsiTheme="minorHAnsi" w:cstheme="minorHAnsi"/>
        </w:rPr>
        <w:t>.</w:t>
      </w:r>
    </w:p>
    <w:p w14:paraId="385C13DE" w14:textId="48603B05" w:rsidR="00B528AB" w:rsidRPr="00E35D79" w:rsidRDefault="00765A3D" w:rsidP="00E35D79">
      <w:pPr>
        <w:rPr>
          <w:rFonts w:asciiTheme="minorHAnsi" w:hAnsiTheme="minorHAnsi" w:cstheme="minorHAnsi"/>
        </w:rPr>
        <w:sectPr w:rsidR="00B528AB" w:rsidRPr="00E35D79" w:rsidSect="00537B47">
          <w:headerReference w:type="default" r:id="rId94"/>
          <w:footerReference w:type="default" r:id="rId95"/>
          <w:headerReference w:type="first" r:id="rId96"/>
          <w:pgSz w:w="11906" w:h="16838"/>
          <w:pgMar w:top="1440" w:right="1440" w:bottom="1440" w:left="1440" w:header="708" w:footer="708" w:gutter="0"/>
          <w:cols w:space="708"/>
          <w:titlePg/>
          <w:docGrid w:linePitch="360"/>
        </w:sectPr>
      </w:pPr>
      <w:r w:rsidRPr="00E35D79">
        <w:rPr>
          <w:rFonts w:asciiTheme="minorHAnsi" w:hAnsiTheme="minorHAnsi" w:cstheme="minorHAnsi"/>
        </w:rPr>
        <w:t xml:space="preserve">Following consideration of public submissions received before the closing date and advice from the expert advisory committee/s, decisions on the proposed amendments will be published as </w:t>
      </w:r>
      <w:hyperlink r:id="rId97" w:history="1">
        <w:r w:rsidRPr="00E35D79">
          <w:rPr>
            <w:rStyle w:val="Hyperlink"/>
            <w:rFonts w:asciiTheme="minorHAnsi" w:hAnsiTheme="minorHAnsi" w:cstheme="minorHAnsi"/>
          </w:rPr>
          <w:t>interi</w:t>
        </w:r>
        <w:r w:rsidR="00736E35" w:rsidRPr="00E35D79">
          <w:rPr>
            <w:rStyle w:val="Hyperlink"/>
            <w:rFonts w:asciiTheme="minorHAnsi" w:hAnsiTheme="minorHAnsi" w:cstheme="minorHAnsi"/>
          </w:rPr>
          <w:t>m decisions on the TGA website</w:t>
        </w:r>
      </w:hyperlink>
      <w:r w:rsidR="0093582A" w:rsidRPr="00E35D79">
        <w:rPr>
          <w:rFonts w:asciiTheme="minorHAnsi" w:hAnsiTheme="minorHAnsi" w:cstheme="minorHAnsi"/>
        </w:rPr>
        <w:t>.</w:t>
      </w:r>
    </w:p>
    <w:p w14:paraId="3F730ABC" w14:textId="77777777" w:rsidR="00B528AB" w:rsidRPr="00E35D79" w:rsidRDefault="00B528AB" w:rsidP="00A36DA3">
      <w:pPr>
        <w:rPr>
          <w:rFonts w:asciiTheme="minorHAnsi" w:hAnsiTheme="minorHAnsi" w:cstheme="minorHAnsi"/>
        </w:rPr>
      </w:pPr>
    </w:p>
    <w:sectPr w:rsidR="00B528AB" w:rsidRPr="00E35D79" w:rsidSect="00537B47">
      <w:headerReference w:type="first" r:id="rId98"/>
      <w:footerReference w:type="first" r:id="rId9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78B01" w14:textId="77777777" w:rsidR="00EC10C6" w:rsidRDefault="00EC10C6" w:rsidP="00537B47">
      <w:pPr>
        <w:spacing w:after="0" w:line="240" w:lineRule="auto"/>
      </w:pPr>
      <w:r>
        <w:separator/>
      </w:r>
    </w:p>
  </w:endnote>
  <w:endnote w:type="continuationSeparator" w:id="0">
    <w:p w14:paraId="400D0404" w14:textId="77777777" w:rsidR="00EC10C6" w:rsidRDefault="00EC10C6"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E1AD5" w:rsidRPr="00183C8E" w14:paraId="1B40500A" w14:textId="77777777" w:rsidTr="00AD2623">
      <w:trPr>
        <w:trHeight w:val="423"/>
      </w:trPr>
      <w:tc>
        <w:tcPr>
          <w:tcW w:w="7338" w:type="dxa"/>
          <w:tcBorders>
            <w:top w:val="single" w:sz="4" w:space="0" w:color="auto"/>
          </w:tcBorders>
        </w:tcPr>
        <w:p w14:paraId="6090B75C" w14:textId="398CA469" w:rsidR="00AE1AD5" w:rsidRPr="00183C8E" w:rsidRDefault="00AE1AD5" w:rsidP="00AE1AD5">
          <w:pPr>
            <w:ind w:left="-105"/>
            <w:rPr>
              <w:rFonts w:asciiTheme="minorHAnsi" w:hAnsiTheme="minorHAnsi" w:cstheme="minorHAnsi"/>
              <w:sz w:val="16"/>
              <w:szCs w:val="16"/>
              <w:highlight w:val="yellow"/>
            </w:rPr>
          </w:pPr>
          <w:r w:rsidRPr="005022A8">
            <w:rPr>
              <w:rFonts w:asciiTheme="minorHAnsi" w:hAnsiTheme="minorHAnsi" w:cstheme="minorHAnsi"/>
              <w:sz w:val="16"/>
              <w:szCs w:val="16"/>
            </w:rPr>
            <w:t>Consultation: Proposed amendments to the Poisons Standard –</w:t>
          </w:r>
          <w:r w:rsidR="00847396">
            <w:rPr>
              <w:rFonts w:asciiTheme="minorHAnsi" w:hAnsiTheme="minorHAnsi" w:cstheme="minorHAnsi"/>
              <w:sz w:val="16"/>
              <w:szCs w:val="16"/>
            </w:rPr>
            <w:t xml:space="preserve"> </w:t>
          </w:r>
          <w:r w:rsidRPr="005022A8">
            <w:rPr>
              <w:rFonts w:asciiTheme="minorHAnsi" w:hAnsiTheme="minorHAnsi" w:cstheme="minorHAnsi"/>
              <w:sz w:val="16"/>
              <w:szCs w:val="16"/>
            </w:rPr>
            <w:t>ACCS #</w:t>
          </w:r>
          <w:r w:rsidR="005022A8" w:rsidRPr="005022A8">
            <w:rPr>
              <w:rFonts w:asciiTheme="minorHAnsi" w:hAnsiTheme="minorHAnsi" w:cstheme="minorHAnsi"/>
              <w:sz w:val="16"/>
              <w:szCs w:val="16"/>
            </w:rPr>
            <w:t>41</w:t>
          </w:r>
          <w:r w:rsidRPr="005022A8">
            <w:rPr>
              <w:rFonts w:asciiTheme="minorHAnsi" w:hAnsiTheme="minorHAnsi" w:cstheme="minorHAnsi"/>
              <w:sz w:val="16"/>
              <w:szCs w:val="16"/>
            </w:rPr>
            <w:t xml:space="preserve"> and Joint ACMS-ACCS #</w:t>
          </w:r>
          <w:r w:rsidR="005022A8" w:rsidRPr="005022A8">
            <w:rPr>
              <w:rFonts w:asciiTheme="minorHAnsi" w:hAnsiTheme="minorHAnsi" w:cstheme="minorHAnsi"/>
              <w:sz w:val="16"/>
              <w:szCs w:val="16"/>
            </w:rPr>
            <w:t>39</w:t>
          </w:r>
          <w:r w:rsidRPr="005022A8">
            <w:rPr>
              <w:rFonts w:asciiTheme="minorHAnsi" w:hAnsiTheme="minorHAnsi" w:cstheme="minorHAnsi"/>
              <w:sz w:val="16"/>
              <w:szCs w:val="16"/>
            </w:rPr>
            <w:t xml:space="preserve"> meetings, M</w:t>
          </w:r>
          <w:r w:rsidR="005022A8" w:rsidRPr="005022A8">
            <w:rPr>
              <w:rFonts w:asciiTheme="minorHAnsi" w:hAnsiTheme="minorHAnsi" w:cstheme="minorHAnsi"/>
              <w:sz w:val="16"/>
              <w:szCs w:val="16"/>
            </w:rPr>
            <w:t>arch</w:t>
          </w:r>
          <w:r w:rsidRPr="005022A8">
            <w:rPr>
              <w:rFonts w:asciiTheme="minorHAnsi" w:hAnsiTheme="minorHAnsi" w:cstheme="minorHAnsi"/>
              <w:sz w:val="16"/>
              <w:szCs w:val="16"/>
            </w:rPr>
            <w:t xml:space="preserve"> 20</w:t>
          </w:r>
          <w:r w:rsidR="005022A8" w:rsidRPr="005022A8">
            <w:rPr>
              <w:rFonts w:asciiTheme="minorHAnsi" w:hAnsiTheme="minorHAnsi" w:cstheme="minorHAnsi"/>
              <w:sz w:val="16"/>
              <w:szCs w:val="16"/>
            </w:rPr>
            <w:t>25</w:t>
          </w:r>
        </w:p>
      </w:tc>
      <w:tc>
        <w:tcPr>
          <w:tcW w:w="1734" w:type="dxa"/>
          <w:tcBorders>
            <w:top w:val="single" w:sz="4" w:space="0" w:color="auto"/>
          </w:tcBorders>
        </w:tcPr>
        <w:sdt>
          <w:sdtPr>
            <w:rPr>
              <w:rFonts w:asciiTheme="minorHAnsi" w:hAnsiTheme="minorHAnsi" w:cstheme="minorHAnsi"/>
              <w:sz w:val="16"/>
              <w:szCs w:val="16"/>
            </w:rPr>
            <w:id w:val="11571659"/>
            <w:docPartObj>
              <w:docPartGallery w:val="Page Numbers (Top of Page)"/>
              <w:docPartUnique/>
            </w:docPartObj>
          </w:sdtPr>
          <w:sdtContent>
            <w:p w14:paraId="2AD728AD" w14:textId="77777777" w:rsidR="00AE1AD5" w:rsidRPr="00183C8E" w:rsidRDefault="00AE1AD5" w:rsidP="00AE1AD5">
              <w:pPr>
                <w:ind w:left="498" w:right="-102"/>
                <w:jc w:val="right"/>
                <w:rPr>
                  <w:rFonts w:asciiTheme="minorHAnsi" w:hAnsiTheme="minorHAnsi" w:cstheme="minorHAnsi"/>
                  <w:sz w:val="16"/>
                  <w:szCs w:val="16"/>
                </w:rPr>
              </w:pPr>
              <w:r w:rsidRPr="00183C8E">
                <w:rPr>
                  <w:rFonts w:asciiTheme="minorHAnsi" w:hAnsiTheme="minorHAnsi" w:cstheme="minorHAnsi"/>
                  <w:sz w:val="16"/>
                  <w:szCs w:val="16"/>
                </w:rPr>
                <w:t xml:space="preserve">Page </w:t>
              </w:r>
              <w:r w:rsidRPr="00183C8E">
                <w:rPr>
                  <w:rFonts w:asciiTheme="minorHAnsi" w:hAnsiTheme="minorHAnsi" w:cstheme="minorHAnsi"/>
                  <w:sz w:val="16"/>
                  <w:szCs w:val="16"/>
                </w:rPr>
                <w:fldChar w:fldCharType="begin"/>
              </w:r>
              <w:r w:rsidRPr="00183C8E">
                <w:rPr>
                  <w:rFonts w:asciiTheme="minorHAnsi" w:hAnsiTheme="minorHAnsi" w:cstheme="minorHAnsi"/>
                  <w:sz w:val="16"/>
                  <w:szCs w:val="16"/>
                </w:rPr>
                <w:instrText xml:space="preserve"> PAGE </w:instrText>
              </w:r>
              <w:r w:rsidRPr="00183C8E">
                <w:rPr>
                  <w:rFonts w:asciiTheme="minorHAnsi" w:hAnsiTheme="minorHAnsi" w:cstheme="minorHAnsi"/>
                  <w:sz w:val="16"/>
                  <w:szCs w:val="16"/>
                </w:rPr>
                <w:fldChar w:fldCharType="separate"/>
              </w:r>
              <w:r w:rsidRPr="00183C8E">
                <w:rPr>
                  <w:rFonts w:asciiTheme="minorHAnsi" w:hAnsiTheme="minorHAnsi" w:cstheme="minorHAnsi"/>
                  <w:noProof/>
                  <w:sz w:val="16"/>
                  <w:szCs w:val="16"/>
                </w:rPr>
                <w:t>6</w:t>
              </w:r>
              <w:r w:rsidRPr="00183C8E">
                <w:rPr>
                  <w:rFonts w:asciiTheme="minorHAnsi" w:hAnsiTheme="minorHAnsi" w:cstheme="minorHAnsi"/>
                  <w:noProof/>
                  <w:sz w:val="16"/>
                  <w:szCs w:val="16"/>
                </w:rPr>
                <w:fldChar w:fldCharType="end"/>
              </w:r>
              <w:r w:rsidRPr="00183C8E">
                <w:rPr>
                  <w:rFonts w:asciiTheme="minorHAnsi" w:hAnsiTheme="minorHAnsi" w:cstheme="minorHAnsi"/>
                  <w:sz w:val="16"/>
                  <w:szCs w:val="16"/>
                </w:rPr>
                <w:t xml:space="preserve"> of </w:t>
              </w:r>
              <w:r w:rsidRPr="00183C8E">
                <w:rPr>
                  <w:rFonts w:asciiTheme="minorHAnsi" w:hAnsiTheme="minorHAnsi" w:cstheme="minorHAnsi"/>
                  <w:sz w:val="16"/>
                  <w:szCs w:val="16"/>
                </w:rPr>
                <w:fldChar w:fldCharType="begin"/>
              </w:r>
              <w:r w:rsidRPr="00183C8E">
                <w:rPr>
                  <w:rFonts w:asciiTheme="minorHAnsi" w:hAnsiTheme="minorHAnsi" w:cstheme="minorHAnsi"/>
                  <w:sz w:val="16"/>
                  <w:szCs w:val="16"/>
                </w:rPr>
                <w:instrText xml:space="preserve"> NUMPAGES  </w:instrText>
              </w:r>
              <w:r w:rsidRPr="00183C8E">
                <w:rPr>
                  <w:rFonts w:asciiTheme="minorHAnsi" w:hAnsiTheme="minorHAnsi" w:cstheme="minorHAnsi"/>
                  <w:sz w:val="16"/>
                  <w:szCs w:val="16"/>
                </w:rPr>
                <w:fldChar w:fldCharType="separate"/>
              </w:r>
              <w:r w:rsidRPr="00183C8E">
                <w:rPr>
                  <w:rFonts w:asciiTheme="minorHAnsi" w:hAnsiTheme="minorHAnsi" w:cstheme="minorHAnsi"/>
                  <w:noProof/>
                  <w:sz w:val="16"/>
                  <w:szCs w:val="16"/>
                </w:rPr>
                <w:t>7</w:t>
              </w:r>
              <w:r w:rsidRPr="00183C8E">
                <w:rPr>
                  <w:rFonts w:asciiTheme="minorHAnsi" w:hAnsiTheme="minorHAnsi" w:cstheme="minorHAnsi"/>
                  <w:noProof/>
                  <w:sz w:val="16"/>
                  <w:szCs w:val="16"/>
                </w:rPr>
                <w:fldChar w:fldCharType="end"/>
              </w:r>
            </w:p>
          </w:sdtContent>
        </w:sdt>
      </w:tc>
    </w:tr>
  </w:tbl>
  <w:p w14:paraId="1D5AE0E8" w14:textId="30E86FD3" w:rsidR="00DD3815" w:rsidRPr="00F12210" w:rsidRDefault="00DD3815" w:rsidP="00210AB6">
    <w:pPr>
      <w:pStyle w:val="Footer"/>
      <w:tabs>
        <w:tab w:val="clear" w:pos="9026"/>
        <w:tab w:val="right" w:pos="4513"/>
        <w:tab w:val="right" w:pos="9015"/>
      </w:tabs>
      <w:jc w:val="right"/>
      <w:rPr>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01255650" w14:textId="77777777" w:rsidTr="00574690">
      <w:trPr>
        <w:trHeight w:hRule="exact" w:val="565"/>
        <w:jc w:val="center"/>
      </w:trPr>
      <w:tc>
        <w:tcPr>
          <w:tcW w:w="9145" w:type="dxa"/>
        </w:tcPr>
        <w:p w14:paraId="3CC588FE" w14:textId="77777777" w:rsidR="00B528AB" w:rsidRPr="00215D48" w:rsidRDefault="00B528AB" w:rsidP="00B528AB">
          <w:pPr>
            <w:pStyle w:val="TGASignoff"/>
          </w:pPr>
          <w:r w:rsidRPr="00215D48">
            <w:t>Therapeutic Goods Administration</w:t>
          </w:r>
        </w:p>
      </w:tc>
    </w:tr>
    <w:tr w:rsidR="00B528AB" w:rsidRPr="00215D48" w14:paraId="12DE5C27" w14:textId="77777777" w:rsidTr="00574690">
      <w:trPr>
        <w:trHeight w:val="963"/>
        <w:jc w:val="center"/>
      </w:trPr>
      <w:tc>
        <w:tcPr>
          <w:tcW w:w="9145" w:type="dxa"/>
          <w:tcMar>
            <w:top w:w="28" w:type="dxa"/>
          </w:tcMar>
        </w:tcPr>
        <w:p w14:paraId="106CECF8" w14:textId="77777777" w:rsidR="00B528AB" w:rsidRPr="00215D48" w:rsidRDefault="00B528AB" w:rsidP="00B528AB">
          <w:pPr>
            <w:pStyle w:val="Address"/>
            <w:jc w:val="center"/>
          </w:pPr>
          <w:r w:rsidRPr="00215D48">
            <w:t>PO Box 100 Woden ACT 2606 Australia</w:t>
          </w:r>
        </w:p>
        <w:p w14:paraId="3DCB9886"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46A71506"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4FE987E8" w14:textId="77777777" w:rsidTr="00574690">
      <w:trPr>
        <w:trHeight w:val="251"/>
        <w:jc w:val="center"/>
      </w:trPr>
      <w:tc>
        <w:tcPr>
          <w:tcW w:w="9145" w:type="dxa"/>
          <w:tcMar>
            <w:top w:w="28" w:type="dxa"/>
          </w:tcMar>
        </w:tcPr>
        <w:p w14:paraId="7781F6E4" w14:textId="00CB3FB8" w:rsidR="00B528AB" w:rsidRPr="00215D48" w:rsidRDefault="00B528AB" w:rsidP="00C812D9">
          <w:pPr>
            <w:pStyle w:val="Address"/>
          </w:pPr>
        </w:p>
      </w:tc>
    </w:tr>
  </w:tbl>
  <w:p w14:paraId="4D0FAB84"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6CD0B" w14:textId="77777777" w:rsidR="00EC10C6" w:rsidRDefault="00EC10C6" w:rsidP="00537B47">
      <w:pPr>
        <w:spacing w:after="0" w:line="240" w:lineRule="auto"/>
      </w:pPr>
      <w:r>
        <w:separator/>
      </w:r>
    </w:p>
  </w:footnote>
  <w:footnote w:type="continuationSeparator" w:id="0">
    <w:p w14:paraId="2D25E390" w14:textId="77777777" w:rsidR="00EC10C6" w:rsidRDefault="00EC10C6" w:rsidP="00537B47">
      <w:pPr>
        <w:spacing w:after="0" w:line="240" w:lineRule="auto"/>
      </w:pPr>
      <w:r>
        <w:continuationSeparator/>
      </w:r>
    </w:p>
  </w:footnote>
  <w:footnote w:id="1">
    <w:p w14:paraId="514BBF67" w14:textId="6E4EBD25" w:rsidR="007F2A29" w:rsidRDefault="007F2A29">
      <w:pPr>
        <w:pStyle w:val="FootnoteText"/>
      </w:pPr>
      <w:r w:rsidRPr="007F2A29">
        <w:rPr>
          <w:rStyle w:val="FootnoteReference"/>
          <w:color w:val="auto"/>
        </w:rPr>
        <w:footnoteRef/>
      </w:r>
      <w:r w:rsidRPr="007F2A29">
        <w:rPr>
          <w:color w:val="auto"/>
        </w:rPr>
        <w:t xml:space="preserve"> </w:t>
      </w:r>
      <w:r w:rsidRPr="007F2A29">
        <w:rPr>
          <w:color w:val="auto"/>
          <w:sz w:val="17"/>
          <w:szCs w:val="17"/>
        </w:rPr>
        <w:t>Proposed additions are shown in green underlined font, proposed deletions are shown in red strikethrough font, and text without this formatting represents the current text in the Poisons Standard.</w:t>
      </w:r>
    </w:p>
  </w:footnote>
  <w:footnote w:id="2">
    <w:p w14:paraId="52B4A1C6" w14:textId="5466107D" w:rsidR="00F5034C" w:rsidRDefault="00F5034C">
      <w:pPr>
        <w:pStyle w:val="FootnoteText"/>
      </w:pPr>
      <w:r>
        <w:rPr>
          <w:rStyle w:val="FootnoteReference"/>
        </w:rPr>
        <w:footnoteRef/>
      </w:r>
      <w:r>
        <w:t xml:space="preserve"> </w:t>
      </w:r>
      <w:r w:rsidRPr="007F2A29">
        <w:rPr>
          <w:color w:val="auto"/>
          <w:sz w:val="17"/>
          <w:szCs w:val="17"/>
        </w:rPr>
        <w:t>Proposed additions are shown in green underlined font, proposed deletions are shown in red strikethrough font, and text without this formatting represents the current text in the Poisons Standard.</w:t>
      </w:r>
    </w:p>
  </w:footnote>
  <w:footnote w:id="3">
    <w:p w14:paraId="14FFC982" w14:textId="77777777" w:rsidR="00010AB8" w:rsidRDefault="00010AB8" w:rsidP="00010AB8">
      <w:pPr>
        <w:pStyle w:val="FootnoteText"/>
      </w:pPr>
      <w:r>
        <w:rPr>
          <w:rStyle w:val="FootnoteReference"/>
        </w:rPr>
        <w:footnoteRef/>
      </w:r>
      <w:r>
        <w:t xml:space="preserve"> </w:t>
      </w:r>
      <w:hyperlink r:id="rId1" w:history="1">
        <w:r>
          <w:rPr>
            <w:rStyle w:val="Hyperlink"/>
          </w:rPr>
          <w:t>European Parliament and Council (2021) Commission Regulation (EU) 2021/2204</w:t>
        </w:r>
      </w:hyperlink>
      <w:r>
        <w:t xml:space="preserve"> accessed </w:t>
      </w:r>
      <w:r w:rsidRPr="00F57DEC">
        <w:rPr>
          <w:szCs w:val="16"/>
        </w:rPr>
        <w:t>9 December</w:t>
      </w:r>
      <w:r>
        <w:t xml:space="preserve"> 2024</w:t>
      </w:r>
    </w:p>
  </w:footnote>
  <w:footnote w:id="4">
    <w:p w14:paraId="33E247B6" w14:textId="77777777" w:rsidR="00010AB8" w:rsidRDefault="00010AB8" w:rsidP="00010AB8">
      <w:pPr>
        <w:pStyle w:val="FootnoteText"/>
      </w:pPr>
      <w:r>
        <w:rPr>
          <w:rStyle w:val="FootnoteReference"/>
        </w:rPr>
        <w:footnoteRef/>
      </w:r>
      <w:r>
        <w:t xml:space="preserve"> </w:t>
      </w:r>
      <w:hyperlink r:id="rId2" w:history="1">
        <w:r>
          <w:rPr>
            <w:rStyle w:val="Hyperlink"/>
          </w:rPr>
          <w:t>European Parliament and Council (2023) Commission Regulation (EU) 2023/1132</w:t>
        </w:r>
      </w:hyperlink>
      <w:r>
        <w:t xml:space="preserve"> accessed 9 December 2024</w:t>
      </w:r>
    </w:p>
  </w:footnote>
  <w:footnote w:id="5">
    <w:p w14:paraId="07552200" w14:textId="77777777" w:rsidR="00010AB8" w:rsidRDefault="00010AB8" w:rsidP="00010AB8">
      <w:pPr>
        <w:pStyle w:val="FootnoteText"/>
      </w:pPr>
      <w:r>
        <w:rPr>
          <w:rStyle w:val="FootnoteReference"/>
        </w:rPr>
        <w:footnoteRef/>
      </w:r>
      <w:r>
        <w:t xml:space="preserve"> </w:t>
      </w:r>
      <w:hyperlink r:id="rId3" w:history="1">
        <w:r w:rsidRPr="007B42B3">
          <w:rPr>
            <w:rStyle w:val="Hyperlink"/>
          </w:rPr>
          <w:t>Butanone oxime - information sheet - Canada.ca</w:t>
        </w:r>
      </w:hyperlink>
      <w:r>
        <w:t xml:space="preserve"> accessed 9 December 2024</w:t>
      </w:r>
    </w:p>
  </w:footnote>
  <w:footnote w:id="6">
    <w:p w14:paraId="508A70D9" w14:textId="77777777" w:rsidR="00010AB8" w:rsidRPr="00F57DEC" w:rsidRDefault="00010AB8" w:rsidP="00010AB8">
      <w:pPr>
        <w:pStyle w:val="FootnoteText"/>
        <w:rPr>
          <w:szCs w:val="16"/>
        </w:rPr>
      </w:pPr>
      <w:r>
        <w:rPr>
          <w:rStyle w:val="FootnoteReference"/>
        </w:rPr>
        <w:footnoteRef/>
      </w:r>
      <w:r>
        <w:t xml:space="preserve"> </w:t>
      </w:r>
      <w:hyperlink r:id="rId4" w:history="1">
        <w:r w:rsidRPr="00F57DEC">
          <w:rPr>
            <w:rStyle w:val="Hyperlink"/>
            <w:szCs w:val="16"/>
          </w:rPr>
          <w:t>European Chemicals Agency (ECHA)</w:t>
        </w:r>
      </w:hyperlink>
      <w:r w:rsidRPr="00F57DEC">
        <w:rPr>
          <w:szCs w:val="16"/>
          <w:u w:val="single"/>
        </w:rPr>
        <w:t xml:space="preserve"> </w:t>
      </w:r>
      <w:hyperlink r:id="rId5" w:history="1">
        <w:r w:rsidRPr="00F57DEC">
          <w:rPr>
            <w:rStyle w:val="Hyperlink"/>
            <w:szCs w:val="16"/>
          </w:rPr>
          <w:t>SEV Conclusion MEKO</w:t>
        </w:r>
      </w:hyperlink>
      <w:r w:rsidRPr="00F57DEC">
        <w:rPr>
          <w:szCs w:val="16"/>
        </w:rPr>
        <w:t xml:space="preserve">, </w:t>
      </w:r>
      <w:hyperlink r:id="rId6" w:history="1">
        <w:r w:rsidRPr="00F57DEC">
          <w:rPr>
            <w:rStyle w:val="Hyperlink"/>
            <w:szCs w:val="16"/>
          </w:rPr>
          <w:t>PACT - Public Activities Coordination Tool - ECHA</w:t>
        </w:r>
      </w:hyperlink>
    </w:p>
  </w:footnote>
  <w:footnote w:id="7">
    <w:p w14:paraId="0F779E9A" w14:textId="77777777" w:rsidR="00E2291B" w:rsidRDefault="00E2291B" w:rsidP="00E2291B">
      <w:pPr>
        <w:pStyle w:val="FootnoteText"/>
      </w:pPr>
      <w:r>
        <w:rPr>
          <w:rStyle w:val="FootnoteReference"/>
        </w:rPr>
        <w:footnoteRef/>
      </w:r>
      <w:r>
        <w:t xml:space="preserve"> </w:t>
      </w:r>
      <w:hyperlink r:id="rId7" w:history="1">
        <w:r>
          <w:rPr>
            <w:rStyle w:val="Hyperlink"/>
          </w:rPr>
          <w:t>HSA (Health Sciences Authority) (2019) Annexes of the ASEAN Cosmetic Directive – List of substances which must not form part of the composition of cosmetics.pdf</w:t>
        </w:r>
      </w:hyperlink>
    </w:p>
  </w:footnote>
  <w:footnote w:id="8">
    <w:p w14:paraId="7B0C2626" w14:textId="77777777" w:rsidR="00E2291B" w:rsidRDefault="00E2291B" w:rsidP="00E2291B">
      <w:pPr>
        <w:pStyle w:val="FootnoteText"/>
      </w:pPr>
      <w:r>
        <w:rPr>
          <w:rStyle w:val="FootnoteReference"/>
        </w:rPr>
        <w:footnoteRef/>
      </w:r>
      <w:r>
        <w:t xml:space="preserve"> </w:t>
      </w:r>
      <w:hyperlink r:id="rId8" w:history="1">
        <w:r>
          <w:rPr>
            <w:rStyle w:val="Hyperlink"/>
          </w:rPr>
          <w:t>EPA - Cosmetic Products Group Standard 2020 (HSR002552)</w:t>
        </w:r>
      </w:hyperlink>
    </w:p>
  </w:footnote>
  <w:footnote w:id="9">
    <w:p w14:paraId="1BA27988" w14:textId="77777777" w:rsidR="00010AB8" w:rsidRDefault="00010AB8" w:rsidP="00010AB8">
      <w:pPr>
        <w:pStyle w:val="FootnoteText"/>
      </w:pPr>
      <w:r>
        <w:rPr>
          <w:rStyle w:val="FootnoteReference"/>
        </w:rPr>
        <w:footnoteRef/>
      </w:r>
      <w:r>
        <w:t xml:space="preserve"> </w:t>
      </w:r>
      <w:hyperlink r:id="rId9" w:history="1">
        <w:r w:rsidRPr="00F57DEC">
          <w:rPr>
            <w:rStyle w:val="Hyperlink"/>
            <w:szCs w:val="16"/>
          </w:rPr>
          <w:t>New Zealand Inventory of Chemicals (NZIoC)</w:t>
        </w:r>
      </w:hyperlink>
      <w:r w:rsidRPr="00F57DEC">
        <w:rPr>
          <w:szCs w:val="16"/>
          <w:u w:val="single"/>
        </w:rPr>
        <w:t xml:space="preserve"> – </w:t>
      </w:r>
      <w:hyperlink r:id="rId10" w:history="1">
        <w:r w:rsidRPr="00F57DEC">
          <w:rPr>
            <w:rStyle w:val="Hyperlink"/>
            <w:szCs w:val="16"/>
          </w:rPr>
          <w:t>2-Butanone_oxime_HSR001191.pdf</w:t>
        </w:r>
      </w:hyperlink>
    </w:p>
  </w:footnote>
  <w:footnote w:id="10">
    <w:p w14:paraId="3E2782F9" w14:textId="77777777" w:rsidR="00757257" w:rsidRDefault="00757257" w:rsidP="00757257">
      <w:pPr>
        <w:pStyle w:val="FootnoteText"/>
      </w:pPr>
      <w:r w:rsidRPr="0028705E">
        <w:rPr>
          <w:rStyle w:val="FootnoteReference"/>
          <w:color w:val="auto"/>
        </w:rPr>
        <w:footnoteRef/>
      </w:r>
      <w:r w:rsidRPr="0028705E">
        <w:rPr>
          <w:color w:val="auto"/>
        </w:rPr>
        <w:t xml:space="preserve"> Proposed additions are shown in green underlined font, proposed deletions are shown in red strikethrough font, and text without this formatting represents the current text in the Poisons Standard.</w:t>
      </w:r>
    </w:p>
  </w:footnote>
  <w:footnote w:id="11">
    <w:p w14:paraId="146651C2" w14:textId="77777777" w:rsidR="004D5091" w:rsidRPr="008007EB" w:rsidRDefault="004D5091" w:rsidP="004D5091">
      <w:pPr>
        <w:rPr>
          <w:sz w:val="17"/>
          <w:szCs w:val="17"/>
        </w:rPr>
      </w:pPr>
      <w:r w:rsidRPr="006547C7">
        <w:rPr>
          <w:rStyle w:val="FootnoteReference"/>
          <w:rFonts w:ascii="Calibri Light" w:hAnsi="Calibri Light" w:cs="Calibri Light"/>
          <w:sz w:val="17"/>
          <w:szCs w:val="17"/>
        </w:rPr>
        <w:footnoteRef/>
      </w:r>
      <w:r w:rsidRPr="008007EB">
        <w:rPr>
          <w:sz w:val="17"/>
          <w:szCs w:val="17"/>
        </w:rPr>
        <w:t xml:space="preserve"> Proposed additions are shown in green underlined font, proposed deletions are shown in red strikethrough font, and text without this formatting represents the current text in the Poisons Standard.</w:t>
      </w:r>
    </w:p>
  </w:footnote>
  <w:footnote w:id="12">
    <w:p w14:paraId="0F15E108" w14:textId="77777777" w:rsidR="004D5091" w:rsidRDefault="004D5091" w:rsidP="004D5091">
      <w:pPr>
        <w:pStyle w:val="FootnoteText"/>
      </w:pPr>
      <w:r>
        <w:rPr>
          <w:rStyle w:val="FootnoteReference"/>
        </w:rPr>
        <w:footnoteRef/>
      </w:r>
      <w:r>
        <w:t xml:space="preserve"> </w:t>
      </w:r>
      <w:hyperlink r:id="rId11" w:history="1">
        <w:r>
          <w:rPr>
            <w:rStyle w:val="Hyperlink"/>
          </w:rPr>
          <w:t>CIR (Cosmetic Ingredient Review) (2023) Methacrylate Ester Monomers</w:t>
        </w:r>
      </w:hyperlink>
    </w:p>
  </w:footnote>
  <w:footnote w:id="13">
    <w:p w14:paraId="5566A973" w14:textId="77777777" w:rsidR="004D5091" w:rsidRDefault="004D5091" w:rsidP="004D5091">
      <w:pPr>
        <w:pStyle w:val="FootnoteText"/>
      </w:pPr>
      <w:r>
        <w:rPr>
          <w:rStyle w:val="FootnoteReference"/>
        </w:rPr>
        <w:footnoteRef/>
      </w:r>
      <w:r>
        <w:t xml:space="preserve"> </w:t>
      </w:r>
      <w:hyperlink r:id="rId12" w:history="1">
        <w:r>
          <w:rPr>
            <w:rStyle w:val="Hyperlink"/>
          </w:rPr>
          <w:t>CIR (Cosmetic Ingredient Review) (2005) Final Report of the Safety Assessment of of Methacrylate Ester Monobers Used in Nail enhancement products</w:t>
        </w:r>
      </w:hyperlink>
    </w:p>
  </w:footnote>
  <w:footnote w:id="14">
    <w:p w14:paraId="3D2FE3ED" w14:textId="77777777" w:rsidR="00FF2A26" w:rsidRDefault="00FF2A26" w:rsidP="00FF2A26">
      <w:pPr>
        <w:pStyle w:val="FootnoteText"/>
      </w:pPr>
      <w:r>
        <w:rPr>
          <w:rStyle w:val="FootnoteReference"/>
        </w:rPr>
        <w:footnoteRef/>
      </w:r>
      <w:r>
        <w:t xml:space="preserve"> </w:t>
      </w:r>
    </w:p>
  </w:footnote>
  <w:footnote w:id="15">
    <w:p w14:paraId="05BB708C" w14:textId="77777777" w:rsidR="002539C8" w:rsidRDefault="002539C8" w:rsidP="002539C8">
      <w:pPr>
        <w:pStyle w:val="FootnoteText"/>
      </w:pPr>
      <w:r w:rsidRPr="00B10B86">
        <w:rPr>
          <w:rStyle w:val="FootnoteReference"/>
          <w:color w:val="auto"/>
        </w:rPr>
        <w:footnoteRef/>
      </w:r>
      <w:r w:rsidRPr="00B10B86">
        <w:rPr>
          <w:color w:val="auto"/>
        </w:rPr>
        <w:t xml:space="preserve"> 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D581D"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0F5E5" w14:textId="77777777" w:rsidR="00537B47" w:rsidRDefault="005F6958" w:rsidP="005F6958">
    <w:r>
      <w:rPr>
        <w:noProof/>
      </w:rPr>
      <w:drawing>
        <wp:anchor distT="0" distB="0" distL="114300" distR="114300" simplePos="0" relativeHeight="251659264" behindDoc="1" locked="0" layoutInCell="1" allowOverlap="1" wp14:anchorId="0231F17A" wp14:editId="51097B4F">
          <wp:simplePos x="0" y="0"/>
          <wp:positionH relativeFrom="column">
            <wp:posOffset>-228600</wp:posOffset>
          </wp:positionH>
          <wp:positionV relativeFrom="paragraph">
            <wp:posOffset>72390</wp:posOffset>
          </wp:positionV>
          <wp:extent cx="2245311" cy="521970"/>
          <wp:effectExtent l="0" t="0" r="317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3CC630F" wp14:editId="030133BC">
          <wp:simplePos x="0" y="0"/>
          <wp:positionH relativeFrom="page">
            <wp:align>right</wp:align>
          </wp:positionH>
          <wp:positionV relativeFrom="paragraph">
            <wp:posOffset>3122930</wp:posOffset>
          </wp:positionV>
          <wp:extent cx="7553325" cy="4260356"/>
          <wp:effectExtent l="0" t="0" r="0" b="6985"/>
          <wp:wrapNone/>
          <wp:docPr id="37" name="Picture 37"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C6AA1"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7153"/>
    <w:multiLevelType w:val="hybridMultilevel"/>
    <w:tmpl w:val="B31CC712"/>
    <w:lvl w:ilvl="0" w:tplc="79288E68">
      <w:start w:val="1"/>
      <w:numFmt w:val="bullet"/>
      <w:lvlText w:val=""/>
      <w:lvlJc w:val="left"/>
      <w:pPr>
        <w:ind w:left="5463" w:hanging="360"/>
      </w:pPr>
      <w:rPr>
        <w:rFonts w:ascii="Symbol" w:hAnsi="Symbol"/>
      </w:rPr>
    </w:lvl>
    <w:lvl w:ilvl="1" w:tplc="B38C7DF0">
      <w:start w:val="1"/>
      <w:numFmt w:val="bullet"/>
      <w:lvlText w:val=""/>
      <w:lvlJc w:val="left"/>
      <w:pPr>
        <w:ind w:left="5463" w:hanging="360"/>
      </w:pPr>
      <w:rPr>
        <w:rFonts w:ascii="Symbol" w:hAnsi="Symbol"/>
      </w:rPr>
    </w:lvl>
    <w:lvl w:ilvl="2" w:tplc="C3228E16">
      <w:start w:val="1"/>
      <w:numFmt w:val="bullet"/>
      <w:lvlText w:val=""/>
      <w:lvlJc w:val="left"/>
      <w:pPr>
        <w:ind w:left="5463" w:hanging="360"/>
      </w:pPr>
      <w:rPr>
        <w:rFonts w:ascii="Symbol" w:hAnsi="Symbol"/>
      </w:rPr>
    </w:lvl>
    <w:lvl w:ilvl="3" w:tplc="71ECCDDA">
      <w:start w:val="1"/>
      <w:numFmt w:val="bullet"/>
      <w:lvlText w:val=""/>
      <w:lvlJc w:val="left"/>
      <w:pPr>
        <w:ind w:left="5463" w:hanging="360"/>
      </w:pPr>
      <w:rPr>
        <w:rFonts w:ascii="Symbol" w:hAnsi="Symbol"/>
      </w:rPr>
    </w:lvl>
    <w:lvl w:ilvl="4" w:tplc="A58EA70E">
      <w:start w:val="1"/>
      <w:numFmt w:val="bullet"/>
      <w:lvlText w:val=""/>
      <w:lvlJc w:val="left"/>
      <w:pPr>
        <w:ind w:left="5463" w:hanging="360"/>
      </w:pPr>
      <w:rPr>
        <w:rFonts w:ascii="Symbol" w:hAnsi="Symbol"/>
      </w:rPr>
    </w:lvl>
    <w:lvl w:ilvl="5" w:tplc="69F42888">
      <w:start w:val="1"/>
      <w:numFmt w:val="bullet"/>
      <w:lvlText w:val=""/>
      <w:lvlJc w:val="left"/>
      <w:pPr>
        <w:ind w:left="5463" w:hanging="360"/>
      </w:pPr>
      <w:rPr>
        <w:rFonts w:ascii="Symbol" w:hAnsi="Symbol"/>
      </w:rPr>
    </w:lvl>
    <w:lvl w:ilvl="6" w:tplc="4844ECE2">
      <w:start w:val="1"/>
      <w:numFmt w:val="bullet"/>
      <w:lvlText w:val=""/>
      <w:lvlJc w:val="left"/>
      <w:pPr>
        <w:ind w:left="5463" w:hanging="360"/>
      </w:pPr>
      <w:rPr>
        <w:rFonts w:ascii="Symbol" w:hAnsi="Symbol"/>
      </w:rPr>
    </w:lvl>
    <w:lvl w:ilvl="7" w:tplc="24E49CFC">
      <w:start w:val="1"/>
      <w:numFmt w:val="bullet"/>
      <w:lvlText w:val=""/>
      <w:lvlJc w:val="left"/>
      <w:pPr>
        <w:ind w:left="5463" w:hanging="360"/>
      </w:pPr>
      <w:rPr>
        <w:rFonts w:ascii="Symbol" w:hAnsi="Symbol"/>
      </w:rPr>
    </w:lvl>
    <w:lvl w:ilvl="8" w:tplc="E2D46652">
      <w:start w:val="1"/>
      <w:numFmt w:val="bullet"/>
      <w:lvlText w:val=""/>
      <w:lvlJc w:val="left"/>
      <w:pPr>
        <w:ind w:left="5463" w:hanging="360"/>
      </w:pPr>
      <w:rPr>
        <w:rFonts w:ascii="Symbol" w:hAnsi="Symbol"/>
      </w:rPr>
    </w:lvl>
  </w:abstractNum>
  <w:abstractNum w:abstractNumId="1"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30175"/>
    <w:multiLevelType w:val="hybridMultilevel"/>
    <w:tmpl w:val="2BACE582"/>
    <w:lvl w:ilvl="0" w:tplc="FE9C67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C145F"/>
    <w:multiLevelType w:val="hybridMultilevel"/>
    <w:tmpl w:val="BA943F78"/>
    <w:lvl w:ilvl="0" w:tplc="726CF7CC">
      <w:start w:val="1"/>
      <w:numFmt w:val="bullet"/>
      <w:pStyle w:val="ListParagraph"/>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E4121"/>
    <w:multiLevelType w:val="hybridMultilevel"/>
    <w:tmpl w:val="29AE49CE"/>
    <w:lvl w:ilvl="0" w:tplc="525C1B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E152C1"/>
    <w:multiLevelType w:val="hybridMultilevel"/>
    <w:tmpl w:val="A69C4B9A"/>
    <w:lvl w:ilvl="0" w:tplc="4F18D26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40130B2"/>
    <w:multiLevelType w:val="hybridMultilevel"/>
    <w:tmpl w:val="379E35DE"/>
    <w:lvl w:ilvl="0" w:tplc="AF2CD4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7E9EDE78"/>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8B620B3"/>
    <w:multiLevelType w:val="hybridMultilevel"/>
    <w:tmpl w:val="9DEE658A"/>
    <w:lvl w:ilvl="0" w:tplc="E1D66F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BD74D0"/>
    <w:multiLevelType w:val="hybridMultilevel"/>
    <w:tmpl w:val="438E2D9E"/>
    <w:lvl w:ilvl="0" w:tplc="733E882E">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1F29312A"/>
    <w:multiLevelType w:val="hybridMultilevel"/>
    <w:tmpl w:val="9A0EAA2C"/>
    <w:lvl w:ilvl="0" w:tplc="9BBE7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8F2D3B"/>
    <w:multiLevelType w:val="hybridMultilevel"/>
    <w:tmpl w:val="C5D4D2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F3323"/>
    <w:multiLevelType w:val="multilevel"/>
    <w:tmpl w:val="DC2E7292"/>
    <w:lvl w:ilvl="0">
      <w:start w:val="1"/>
      <w:numFmt w:val="bullet"/>
      <w:lvlText w:val="•"/>
      <w:lvlJc w:val="left"/>
      <w:pPr>
        <w:ind w:left="113" w:hanging="113"/>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E924211"/>
    <w:multiLevelType w:val="hybridMultilevel"/>
    <w:tmpl w:val="7C843B80"/>
    <w:lvl w:ilvl="0" w:tplc="040A4C2A">
      <w:start w:val="1"/>
      <w:numFmt w:val="lowerLetter"/>
      <w:pStyle w:val="ListBulleta"/>
      <w:lvlText w:val="(%1)"/>
      <w:lvlJc w:val="left"/>
      <w:pPr>
        <w:ind w:left="1146" w:hanging="360"/>
      </w:p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3A6C03A1"/>
    <w:multiLevelType w:val="hybridMultilevel"/>
    <w:tmpl w:val="BAE6847A"/>
    <w:lvl w:ilvl="0" w:tplc="BDF625A0">
      <w:start w:val="1"/>
      <w:numFmt w:val="bullet"/>
      <w:lvlText w:val=""/>
      <w:lvlJc w:val="left"/>
      <w:pPr>
        <w:ind w:left="720" w:hanging="360"/>
      </w:pPr>
      <w:rPr>
        <w:rFonts w:ascii="Symbol" w:hAnsi="Symbol"/>
      </w:rPr>
    </w:lvl>
    <w:lvl w:ilvl="1" w:tplc="EBE8CF34">
      <w:start w:val="1"/>
      <w:numFmt w:val="bullet"/>
      <w:lvlText w:val=""/>
      <w:lvlJc w:val="left"/>
      <w:pPr>
        <w:ind w:left="720" w:hanging="360"/>
      </w:pPr>
      <w:rPr>
        <w:rFonts w:ascii="Symbol" w:hAnsi="Symbol"/>
      </w:rPr>
    </w:lvl>
    <w:lvl w:ilvl="2" w:tplc="979482F4">
      <w:start w:val="1"/>
      <w:numFmt w:val="bullet"/>
      <w:lvlText w:val=""/>
      <w:lvlJc w:val="left"/>
      <w:pPr>
        <w:ind w:left="720" w:hanging="360"/>
      </w:pPr>
      <w:rPr>
        <w:rFonts w:ascii="Symbol" w:hAnsi="Symbol"/>
      </w:rPr>
    </w:lvl>
    <w:lvl w:ilvl="3" w:tplc="2C622B1C">
      <w:start w:val="1"/>
      <w:numFmt w:val="bullet"/>
      <w:lvlText w:val=""/>
      <w:lvlJc w:val="left"/>
      <w:pPr>
        <w:ind w:left="720" w:hanging="360"/>
      </w:pPr>
      <w:rPr>
        <w:rFonts w:ascii="Symbol" w:hAnsi="Symbol"/>
      </w:rPr>
    </w:lvl>
    <w:lvl w:ilvl="4" w:tplc="57F485DE">
      <w:start w:val="1"/>
      <w:numFmt w:val="bullet"/>
      <w:lvlText w:val=""/>
      <w:lvlJc w:val="left"/>
      <w:pPr>
        <w:ind w:left="720" w:hanging="360"/>
      </w:pPr>
      <w:rPr>
        <w:rFonts w:ascii="Symbol" w:hAnsi="Symbol"/>
      </w:rPr>
    </w:lvl>
    <w:lvl w:ilvl="5" w:tplc="0130DA46">
      <w:start w:val="1"/>
      <w:numFmt w:val="bullet"/>
      <w:lvlText w:val=""/>
      <w:lvlJc w:val="left"/>
      <w:pPr>
        <w:ind w:left="720" w:hanging="360"/>
      </w:pPr>
      <w:rPr>
        <w:rFonts w:ascii="Symbol" w:hAnsi="Symbol"/>
      </w:rPr>
    </w:lvl>
    <w:lvl w:ilvl="6" w:tplc="4A7AC028">
      <w:start w:val="1"/>
      <w:numFmt w:val="bullet"/>
      <w:lvlText w:val=""/>
      <w:lvlJc w:val="left"/>
      <w:pPr>
        <w:ind w:left="720" w:hanging="360"/>
      </w:pPr>
      <w:rPr>
        <w:rFonts w:ascii="Symbol" w:hAnsi="Symbol"/>
      </w:rPr>
    </w:lvl>
    <w:lvl w:ilvl="7" w:tplc="74AC8AE6">
      <w:start w:val="1"/>
      <w:numFmt w:val="bullet"/>
      <w:lvlText w:val=""/>
      <w:lvlJc w:val="left"/>
      <w:pPr>
        <w:ind w:left="720" w:hanging="360"/>
      </w:pPr>
      <w:rPr>
        <w:rFonts w:ascii="Symbol" w:hAnsi="Symbol"/>
      </w:rPr>
    </w:lvl>
    <w:lvl w:ilvl="8" w:tplc="436CDC1E">
      <w:start w:val="1"/>
      <w:numFmt w:val="bullet"/>
      <w:lvlText w:val=""/>
      <w:lvlJc w:val="left"/>
      <w:pPr>
        <w:ind w:left="720" w:hanging="360"/>
      </w:pPr>
      <w:rPr>
        <w:rFonts w:ascii="Symbol" w:hAnsi="Symbol"/>
      </w:rPr>
    </w:lvl>
  </w:abstractNum>
  <w:abstractNum w:abstractNumId="1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B92937"/>
    <w:multiLevelType w:val="hybridMultilevel"/>
    <w:tmpl w:val="3CBEBA86"/>
    <w:lvl w:ilvl="0" w:tplc="10F037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D14881"/>
    <w:multiLevelType w:val="hybridMultilevel"/>
    <w:tmpl w:val="9BA48C3C"/>
    <w:lvl w:ilvl="0" w:tplc="BD620950">
      <w:start w:val="2"/>
      <w:numFmt w:val="bullet"/>
      <w:lvlText w:val="–"/>
      <w:lvlJc w:val="left"/>
      <w:pPr>
        <w:ind w:left="1077" w:hanging="360"/>
      </w:pPr>
      <w:rPr>
        <w:rFonts w:ascii="Arial" w:eastAsia="Cambria"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5C2E176A"/>
    <w:multiLevelType w:val="hybridMultilevel"/>
    <w:tmpl w:val="007294D2"/>
    <w:lvl w:ilvl="0" w:tplc="E230CB18">
      <w:start w:val="1"/>
      <w:numFmt w:val="bullet"/>
      <w:lvlText w:val=""/>
      <w:lvlJc w:val="left"/>
      <w:pPr>
        <w:ind w:left="720" w:hanging="360"/>
      </w:pPr>
      <w:rPr>
        <w:rFonts w:ascii="Symbol" w:hAnsi="Symbol"/>
      </w:rPr>
    </w:lvl>
    <w:lvl w:ilvl="1" w:tplc="DC2C1870">
      <w:start w:val="1"/>
      <w:numFmt w:val="bullet"/>
      <w:lvlText w:val=""/>
      <w:lvlJc w:val="left"/>
      <w:pPr>
        <w:ind w:left="720" w:hanging="360"/>
      </w:pPr>
      <w:rPr>
        <w:rFonts w:ascii="Symbol" w:hAnsi="Symbol"/>
      </w:rPr>
    </w:lvl>
    <w:lvl w:ilvl="2" w:tplc="023AB034">
      <w:start w:val="1"/>
      <w:numFmt w:val="bullet"/>
      <w:lvlText w:val=""/>
      <w:lvlJc w:val="left"/>
      <w:pPr>
        <w:ind w:left="720" w:hanging="360"/>
      </w:pPr>
      <w:rPr>
        <w:rFonts w:ascii="Symbol" w:hAnsi="Symbol"/>
      </w:rPr>
    </w:lvl>
    <w:lvl w:ilvl="3" w:tplc="429CBDCA">
      <w:start w:val="1"/>
      <w:numFmt w:val="bullet"/>
      <w:lvlText w:val=""/>
      <w:lvlJc w:val="left"/>
      <w:pPr>
        <w:ind w:left="720" w:hanging="360"/>
      </w:pPr>
      <w:rPr>
        <w:rFonts w:ascii="Symbol" w:hAnsi="Symbol"/>
      </w:rPr>
    </w:lvl>
    <w:lvl w:ilvl="4" w:tplc="6B343360">
      <w:start w:val="1"/>
      <w:numFmt w:val="bullet"/>
      <w:lvlText w:val=""/>
      <w:lvlJc w:val="left"/>
      <w:pPr>
        <w:ind w:left="720" w:hanging="360"/>
      </w:pPr>
      <w:rPr>
        <w:rFonts w:ascii="Symbol" w:hAnsi="Symbol"/>
      </w:rPr>
    </w:lvl>
    <w:lvl w:ilvl="5" w:tplc="653625A4">
      <w:start w:val="1"/>
      <w:numFmt w:val="bullet"/>
      <w:lvlText w:val=""/>
      <w:lvlJc w:val="left"/>
      <w:pPr>
        <w:ind w:left="720" w:hanging="360"/>
      </w:pPr>
      <w:rPr>
        <w:rFonts w:ascii="Symbol" w:hAnsi="Symbol"/>
      </w:rPr>
    </w:lvl>
    <w:lvl w:ilvl="6" w:tplc="68141E94">
      <w:start w:val="1"/>
      <w:numFmt w:val="bullet"/>
      <w:lvlText w:val=""/>
      <w:lvlJc w:val="left"/>
      <w:pPr>
        <w:ind w:left="720" w:hanging="360"/>
      </w:pPr>
      <w:rPr>
        <w:rFonts w:ascii="Symbol" w:hAnsi="Symbol"/>
      </w:rPr>
    </w:lvl>
    <w:lvl w:ilvl="7" w:tplc="6ED69050">
      <w:start w:val="1"/>
      <w:numFmt w:val="bullet"/>
      <w:lvlText w:val=""/>
      <w:lvlJc w:val="left"/>
      <w:pPr>
        <w:ind w:left="720" w:hanging="360"/>
      </w:pPr>
      <w:rPr>
        <w:rFonts w:ascii="Symbol" w:hAnsi="Symbol"/>
      </w:rPr>
    </w:lvl>
    <w:lvl w:ilvl="8" w:tplc="F424C2BA">
      <w:start w:val="1"/>
      <w:numFmt w:val="bullet"/>
      <w:lvlText w:val=""/>
      <w:lvlJc w:val="left"/>
      <w:pPr>
        <w:ind w:left="720" w:hanging="360"/>
      </w:pPr>
      <w:rPr>
        <w:rFonts w:ascii="Symbol" w:hAnsi="Symbol"/>
      </w:rPr>
    </w:lvl>
  </w:abstractNum>
  <w:abstractNum w:abstractNumId="21" w15:restartNumberingAfterBreak="0">
    <w:nsid w:val="622F7054"/>
    <w:multiLevelType w:val="hybridMultilevel"/>
    <w:tmpl w:val="1F6E3F6E"/>
    <w:lvl w:ilvl="0" w:tplc="0BFE6B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544062"/>
    <w:multiLevelType w:val="hybridMultilevel"/>
    <w:tmpl w:val="6B82FB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D12268"/>
    <w:multiLevelType w:val="hybridMultilevel"/>
    <w:tmpl w:val="46C2CD58"/>
    <w:lvl w:ilvl="0" w:tplc="27A69252">
      <w:start w:val="1"/>
      <w:numFmt w:val="bullet"/>
      <w:lvlText w:val=""/>
      <w:lvlJc w:val="left"/>
      <w:pPr>
        <w:ind w:left="720" w:hanging="360"/>
      </w:pPr>
      <w:rPr>
        <w:rFonts w:ascii="Symbol" w:hAnsi="Symbol"/>
      </w:rPr>
    </w:lvl>
    <w:lvl w:ilvl="1" w:tplc="DA241DA8">
      <w:start w:val="1"/>
      <w:numFmt w:val="bullet"/>
      <w:lvlText w:val=""/>
      <w:lvlJc w:val="left"/>
      <w:pPr>
        <w:ind w:left="720" w:hanging="360"/>
      </w:pPr>
      <w:rPr>
        <w:rFonts w:ascii="Symbol" w:hAnsi="Symbol"/>
      </w:rPr>
    </w:lvl>
    <w:lvl w:ilvl="2" w:tplc="2F88E39E">
      <w:start w:val="1"/>
      <w:numFmt w:val="bullet"/>
      <w:lvlText w:val=""/>
      <w:lvlJc w:val="left"/>
      <w:pPr>
        <w:ind w:left="720" w:hanging="360"/>
      </w:pPr>
      <w:rPr>
        <w:rFonts w:ascii="Symbol" w:hAnsi="Symbol"/>
      </w:rPr>
    </w:lvl>
    <w:lvl w:ilvl="3" w:tplc="B3FC5CA2">
      <w:start w:val="1"/>
      <w:numFmt w:val="bullet"/>
      <w:lvlText w:val=""/>
      <w:lvlJc w:val="left"/>
      <w:pPr>
        <w:ind w:left="720" w:hanging="360"/>
      </w:pPr>
      <w:rPr>
        <w:rFonts w:ascii="Symbol" w:hAnsi="Symbol"/>
      </w:rPr>
    </w:lvl>
    <w:lvl w:ilvl="4" w:tplc="21FE79E8">
      <w:start w:val="1"/>
      <w:numFmt w:val="bullet"/>
      <w:lvlText w:val=""/>
      <w:lvlJc w:val="left"/>
      <w:pPr>
        <w:ind w:left="720" w:hanging="360"/>
      </w:pPr>
      <w:rPr>
        <w:rFonts w:ascii="Symbol" w:hAnsi="Symbol"/>
      </w:rPr>
    </w:lvl>
    <w:lvl w:ilvl="5" w:tplc="2A660170">
      <w:start w:val="1"/>
      <w:numFmt w:val="bullet"/>
      <w:lvlText w:val=""/>
      <w:lvlJc w:val="left"/>
      <w:pPr>
        <w:ind w:left="720" w:hanging="360"/>
      </w:pPr>
      <w:rPr>
        <w:rFonts w:ascii="Symbol" w:hAnsi="Symbol"/>
      </w:rPr>
    </w:lvl>
    <w:lvl w:ilvl="6" w:tplc="8B98B988">
      <w:start w:val="1"/>
      <w:numFmt w:val="bullet"/>
      <w:lvlText w:val=""/>
      <w:lvlJc w:val="left"/>
      <w:pPr>
        <w:ind w:left="720" w:hanging="360"/>
      </w:pPr>
      <w:rPr>
        <w:rFonts w:ascii="Symbol" w:hAnsi="Symbol"/>
      </w:rPr>
    </w:lvl>
    <w:lvl w:ilvl="7" w:tplc="2C0E8B3C">
      <w:start w:val="1"/>
      <w:numFmt w:val="bullet"/>
      <w:lvlText w:val=""/>
      <w:lvlJc w:val="left"/>
      <w:pPr>
        <w:ind w:left="720" w:hanging="360"/>
      </w:pPr>
      <w:rPr>
        <w:rFonts w:ascii="Symbol" w:hAnsi="Symbol"/>
      </w:rPr>
    </w:lvl>
    <w:lvl w:ilvl="8" w:tplc="12BE55AC">
      <w:start w:val="1"/>
      <w:numFmt w:val="bullet"/>
      <w:lvlText w:val=""/>
      <w:lvlJc w:val="left"/>
      <w:pPr>
        <w:ind w:left="720" w:hanging="360"/>
      </w:pPr>
      <w:rPr>
        <w:rFonts w:ascii="Symbol" w:hAnsi="Symbol"/>
      </w:rPr>
    </w:lvl>
  </w:abstractNum>
  <w:abstractNum w:abstractNumId="24" w15:restartNumberingAfterBreak="0">
    <w:nsid w:val="70095BF0"/>
    <w:multiLevelType w:val="hybridMultilevel"/>
    <w:tmpl w:val="C56AF232"/>
    <w:lvl w:ilvl="0" w:tplc="283CDB7A">
      <w:start w:val="1"/>
      <w:numFmt w:val="decimal"/>
      <w:lvlText w:val="%1)"/>
      <w:lvlJc w:val="left"/>
      <w:pPr>
        <w:ind w:left="1080" w:hanging="360"/>
      </w:pPr>
    </w:lvl>
    <w:lvl w:ilvl="1" w:tplc="5FEC6626">
      <w:start w:val="1"/>
      <w:numFmt w:val="decimal"/>
      <w:lvlText w:val="%2)"/>
      <w:lvlJc w:val="left"/>
      <w:pPr>
        <w:ind w:left="1080" w:hanging="360"/>
      </w:pPr>
    </w:lvl>
    <w:lvl w:ilvl="2" w:tplc="2B140356">
      <w:start w:val="1"/>
      <w:numFmt w:val="decimal"/>
      <w:lvlText w:val="%3)"/>
      <w:lvlJc w:val="left"/>
      <w:pPr>
        <w:ind w:left="1080" w:hanging="360"/>
      </w:pPr>
    </w:lvl>
    <w:lvl w:ilvl="3" w:tplc="5B14A1C6">
      <w:start w:val="1"/>
      <w:numFmt w:val="decimal"/>
      <w:lvlText w:val="%4)"/>
      <w:lvlJc w:val="left"/>
      <w:pPr>
        <w:ind w:left="1080" w:hanging="360"/>
      </w:pPr>
    </w:lvl>
    <w:lvl w:ilvl="4" w:tplc="BA7CDB5E">
      <w:start w:val="1"/>
      <w:numFmt w:val="decimal"/>
      <w:lvlText w:val="%5)"/>
      <w:lvlJc w:val="left"/>
      <w:pPr>
        <w:ind w:left="1080" w:hanging="360"/>
      </w:pPr>
    </w:lvl>
    <w:lvl w:ilvl="5" w:tplc="5008AD34">
      <w:start w:val="1"/>
      <w:numFmt w:val="decimal"/>
      <w:lvlText w:val="%6)"/>
      <w:lvlJc w:val="left"/>
      <w:pPr>
        <w:ind w:left="1080" w:hanging="360"/>
      </w:pPr>
    </w:lvl>
    <w:lvl w:ilvl="6" w:tplc="3ABA52CA">
      <w:start w:val="1"/>
      <w:numFmt w:val="decimal"/>
      <w:lvlText w:val="%7)"/>
      <w:lvlJc w:val="left"/>
      <w:pPr>
        <w:ind w:left="1080" w:hanging="360"/>
      </w:pPr>
    </w:lvl>
    <w:lvl w:ilvl="7" w:tplc="6B5E8A90">
      <w:start w:val="1"/>
      <w:numFmt w:val="decimal"/>
      <w:lvlText w:val="%8)"/>
      <w:lvlJc w:val="left"/>
      <w:pPr>
        <w:ind w:left="1080" w:hanging="360"/>
      </w:pPr>
    </w:lvl>
    <w:lvl w:ilvl="8" w:tplc="388CC30E">
      <w:start w:val="1"/>
      <w:numFmt w:val="decimal"/>
      <w:lvlText w:val="%9)"/>
      <w:lvlJc w:val="left"/>
      <w:pPr>
        <w:ind w:left="1080" w:hanging="360"/>
      </w:pPr>
    </w:lvl>
  </w:abstractNum>
  <w:abstractNum w:abstractNumId="25" w15:restartNumberingAfterBreak="0">
    <w:nsid w:val="703C0DA5"/>
    <w:multiLevelType w:val="hybridMultilevel"/>
    <w:tmpl w:val="9F9E13BA"/>
    <w:lvl w:ilvl="0" w:tplc="36F83A7C">
      <w:start w:val="1"/>
      <w:numFmt w:val="lowerLetter"/>
      <w:pStyle w:val="Modifiedlistbullet"/>
      <w:lvlText w:val="(%1)"/>
      <w:lvlJc w:val="left"/>
      <w:pPr>
        <w:ind w:left="1506" w:hanging="360"/>
      </w:p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26" w15:restartNumberingAfterBreak="0">
    <w:nsid w:val="7B5D5FC1"/>
    <w:multiLevelType w:val="hybridMultilevel"/>
    <w:tmpl w:val="00CA97AC"/>
    <w:lvl w:ilvl="0" w:tplc="ECB45B10">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7E781820"/>
    <w:multiLevelType w:val="hybridMultilevel"/>
    <w:tmpl w:val="9BF23654"/>
    <w:lvl w:ilvl="0" w:tplc="EFE6DD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4874731">
    <w:abstractNumId w:val="9"/>
  </w:num>
  <w:num w:numId="2" w16cid:durableId="1834369178">
    <w:abstractNumId w:val="6"/>
  </w:num>
  <w:num w:numId="3" w16cid:durableId="729621980">
    <w:abstractNumId w:val="1"/>
  </w:num>
  <w:num w:numId="4" w16cid:durableId="1693191331">
    <w:abstractNumId w:val="8"/>
  </w:num>
  <w:num w:numId="5" w16cid:durableId="1860776656">
    <w:abstractNumId w:val="17"/>
  </w:num>
  <w:num w:numId="6" w16cid:durableId="52388051">
    <w:abstractNumId w:val="6"/>
  </w:num>
  <w:num w:numId="7" w16cid:durableId="525023132">
    <w:abstractNumId w:val="14"/>
  </w:num>
  <w:num w:numId="8" w16cid:durableId="429472673">
    <w:abstractNumId w:val="15"/>
  </w:num>
  <w:num w:numId="9" w16cid:durableId="1326128148">
    <w:abstractNumId w:val="11"/>
  </w:num>
  <w:num w:numId="10" w16cid:durableId="330838428">
    <w:abstractNumId w:val="25"/>
  </w:num>
  <w:num w:numId="11" w16cid:durableId="1032459955">
    <w:abstractNumId w:val="24"/>
  </w:num>
  <w:num w:numId="12" w16cid:durableId="671297378">
    <w:abstractNumId w:val="3"/>
  </w:num>
  <w:num w:numId="13" w16cid:durableId="1924992337">
    <w:abstractNumId w:val="0"/>
  </w:num>
  <w:num w:numId="14" w16cid:durableId="151870258">
    <w:abstractNumId w:val="16"/>
  </w:num>
  <w:num w:numId="15" w16cid:durableId="465855063">
    <w:abstractNumId w:val="11"/>
    <w:lvlOverride w:ilvl="0">
      <w:startOverride w:val="1"/>
    </w:lvlOverride>
  </w:num>
  <w:num w:numId="16" w16cid:durableId="1053112710">
    <w:abstractNumId w:val="15"/>
    <w:lvlOverride w:ilvl="0">
      <w:startOverride w:val="1"/>
    </w:lvlOverride>
  </w:num>
  <w:num w:numId="17" w16cid:durableId="1567062145">
    <w:abstractNumId w:val="15"/>
    <w:lvlOverride w:ilvl="0">
      <w:startOverride w:val="1"/>
    </w:lvlOverride>
  </w:num>
  <w:num w:numId="18" w16cid:durableId="1832601241">
    <w:abstractNumId w:val="5"/>
  </w:num>
  <w:num w:numId="19" w16cid:durableId="26495496">
    <w:abstractNumId w:val="7"/>
  </w:num>
  <w:num w:numId="20" w16cid:durableId="605770501">
    <w:abstractNumId w:val="4"/>
  </w:num>
  <w:num w:numId="21" w16cid:durableId="687104203">
    <w:abstractNumId w:val="18"/>
  </w:num>
  <w:num w:numId="22" w16cid:durableId="927539745">
    <w:abstractNumId w:val="2"/>
  </w:num>
  <w:num w:numId="23" w16cid:durableId="410201039">
    <w:abstractNumId w:val="12"/>
  </w:num>
  <w:num w:numId="24" w16cid:durableId="952247097">
    <w:abstractNumId w:val="21"/>
  </w:num>
  <w:num w:numId="25" w16cid:durableId="1673215199">
    <w:abstractNumId w:val="27"/>
  </w:num>
  <w:num w:numId="26" w16cid:durableId="1717507512">
    <w:abstractNumId w:val="10"/>
  </w:num>
  <w:num w:numId="27" w16cid:durableId="1662270707">
    <w:abstractNumId w:val="26"/>
  </w:num>
  <w:num w:numId="28" w16cid:durableId="490029052">
    <w:abstractNumId w:val="23"/>
  </w:num>
  <w:num w:numId="29" w16cid:durableId="1790977351">
    <w:abstractNumId w:val="20"/>
  </w:num>
  <w:num w:numId="30" w16cid:durableId="943153651">
    <w:abstractNumId w:val="22"/>
  </w:num>
  <w:num w:numId="31" w16cid:durableId="2044936660">
    <w:abstractNumId w:val="13"/>
  </w:num>
  <w:num w:numId="32" w16cid:durableId="110063680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C3"/>
    <w:rsid w:val="00002FF1"/>
    <w:rsid w:val="00010AB8"/>
    <w:rsid w:val="0001586D"/>
    <w:rsid w:val="000170AF"/>
    <w:rsid w:val="000175FB"/>
    <w:rsid w:val="0002136F"/>
    <w:rsid w:val="00024A16"/>
    <w:rsid w:val="00024CF7"/>
    <w:rsid w:val="000263C7"/>
    <w:rsid w:val="00031563"/>
    <w:rsid w:val="00031BB9"/>
    <w:rsid w:val="00033ECC"/>
    <w:rsid w:val="000363B6"/>
    <w:rsid w:val="000367CE"/>
    <w:rsid w:val="00037082"/>
    <w:rsid w:val="00037C30"/>
    <w:rsid w:val="000443FF"/>
    <w:rsid w:val="00047E65"/>
    <w:rsid w:val="00050810"/>
    <w:rsid w:val="00051372"/>
    <w:rsid w:val="000520B0"/>
    <w:rsid w:val="00052614"/>
    <w:rsid w:val="00053DA3"/>
    <w:rsid w:val="00054C3A"/>
    <w:rsid w:val="00060411"/>
    <w:rsid w:val="00060997"/>
    <w:rsid w:val="00063591"/>
    <w:rsid w:val="00064D97"/>
    <w:rsid w:val="000766CD"/>
    <w:rsid w:val="00077E87"/>
    <w:rsid w:val="00080F1D"/>
    <w:rsid w:val="00090A1C"/>
    <w:rsid w:val="00091CC4"/>
    <w:rsid w:val="000929FD"/>
    <w:rsid w:val="00092FED"/>
    <w:rsid w:val="00093B6D"/>
    <w:rsid w:val="00096B6A"/>
    <w:rsid w:val="000C2BBD"/>
    <w:rsid w:val="000C3F11"/>
    <w:rsid w:val="000D08FB"/>
    <w:rsid w:val="000D0D49"/>
    <w:rsid w:val="000E0058"/>
    <w:rsid w:val="000E4015"/>
    <w:rsid w:val="000E5408"/>
    <w:rsid w:val="000F2633"/>
    <w:rsid w:val="000F33B5"/>
    <w:rsid w:val="000F463A"/>
    <w:rsid w:val="000F62FE"/>
    <w:rsid w:val="00101A20"/>
    <w:rsid w:val="00103704"/>
    <w:rsid w:val="00107FB6"/>
    <w:rsid w:val="0011097C"/>
    <w:rsid w:val="001117F4"/>
    <w:rsid w:val="0011570D"/>
    <w:rsid w:val="001164DB"/>
    <w:rsid w:val="00117568"/>
    <w:rsid w:val="0013089A"/>
    <w:rsid w:val="00134245"/>
    <w:rsid w:val="0013481F"/>
    <w:rsid w:val="00135190"/>
    <w:rsid w:val="001355C5"/>
    <w:rsid w:val="00135699"/>
    <w:rsid w:val="0013658E"/>
    <w:rsid w:val="00136999"/>
    <w:rsid w:val="001410E1"/>
    <w:rsid w:val="001412AE"/>
    <w:rsid w:val="00144E13"/>
    <w:rsid w:val="001467BB"/>
    <w:rsid w:val="00152EFA"/>
    <w:rsid w:val="00154696"/>
    <w:rsid w:val="00154DA4"/>
    <w:rsid w:val="00155C84"/>
    <w:rsid w:val="00156133"/>
    <w:rsid w:val="0016075F"/>
    <w:rsid w:val="0016123C"/>
    <w:rsid w:val="001634AE"/>
    <w:rsid w:val="001652C9"/>
    <w:rsid w:val="0016606E"/>
    <w:rsid w:val="001662B9"/>
    <w:rsid w:val="0016673A"/>
    <w:rsid w:val="00172390"/>
    <w:rsid w:val="00172394"/>
    <w:rsid w:val="00174FC0"/>
    <w:rsid w:val="00177213"/>
    <w:rsid w:val="001776E4"/>
    <w:rsid w:val="001815C2"/>
    <w:rsid w:val="00181F4C"/>
    <w:rsid w:val="00183C8E"/>
    <w:rsid w:val="0018416F"/>
    <w:rsid w:val="00186934"/>
    <w:rsid w:val="001900E1"/>
    <w:rsid w:val="00193902"/>
    <w:rsid w:val="001A1661"/>
    <w:rsid w:val="001A323A"/>
    <w:rsid w:val="001A6E57"/>
    <w:rsid w:val="001B278B"/>
    <w:rsid w:val="001B4ADD"/>
    <w:rsid w:val="001B4DCC"/>
    <w:rsid w:val="001B50C5"/>
    <w:rsid w:val="001B617F"/>
    <w:rsid w:val="001C1179"/>
    <w:rsid w:val="001C2075"/>
    <w:rsid w:val="001C33D2"/>
    <w:rsid w:val="001C57B3"/>
    <w:rsid w:val="001D0876"/>
    <w:rsid w:val="001D6918"/>
    <w:rsid w:val="001E16FD"/>
    <w:rsid w:val="001E1DF4"/>
    <w:rsid w:val="001E1F50"/>
    <w:rsid w:val="001E2D7B"/>
    <w:rsid w:val="001E4DD8"/>
    <w:rsid w:val="001E794A"/>
    <w:rsid w:val="001E7C77"/>
    <w:rsid w:val="001F2E63"/>
    <w:rsid w:val="001F5E94"/>
    <w:rsid w:val="001F7358"/>
    <w:rsid w:val="0020324F"/>
    <w:rsid w:val="002049C7"/>
    <w:rsid w:val="00210AB6"/>
    <w:rsid w:val="00211295"/>
    <w:rsid w:val="002178D7"/>
    <w:rsid w:val="002241CF"/>
    <w:rsid w:val="0023172E"/>
    <w:rsid w:val="00235208"/>
    <w:rsid w:val="002434B3"/>
    <w:rsid w:val="002434B7"/>
    <w:rsid w:val="002458EE"/>
    <w:rsid w:val="00245F08"/>
    <w:rsid w:val="002474F0"/>
    <w:rsid w:val="00250557"/>
    <w:rsid w:val="00251D75"/>
    <w:rsid w:val="002539C8"/>
    <w:rsid w:val="0025607F"/>
    <w:rsid w:val="00263096"/>
    <w:rsid w:val="0026452F"/>
    <w:rsid w:val="00266E30"/>
    <w:rsid w:val="0027115A"/>
    <w:rsid w:val="00271668"/>
    <w:rsid w:val="00274B1E"/>
    <w:rsid w:val="00277CB4"/>
    <w:rsid w:val="00280157"/>
    <w:rsid w:val="00282838"/>
    <w:rsid w:val="00283DEB"/>
    <w:rsid w:val="00283F99"/>
    <w:rsid w:val="002841C4"/>
    <w:rsid w:val="0028705E"/>
    <w:rsid w:val="00291960"/>
    <w:rsid w:val="002A0D54"/>
    <w:rsid w:val="002A144E"/>
    <w:rsid w:val="002A293B"/>
    <w:rsid w:val="002A3C26"/>
    <w:rsid w:val="002A4C18"/>
    <w:rsid w:val="002B0B3A"/>
    <w:rsid w:val="002B5A5F"/>
    <w:rsid w:val="002B7016"/>
    <w:rsid w:val="002C2455"/>
    <w:rsid w:val="002C3EFC"/>
    <w:rsid w:val="002C6927"/>
    <w:rsid w:val="002D090E"/>
    <w:rsid w:val="002D1A14"/>
    <w:rsid w:val="002D3055"/>
    <w:rsid w:val="002D3A43"/>
    <w:rsid w:val="002E124F"/>
    <w:rsid w:val="002E17AE"/>
    <w:rsid w:val="002E2411"/>
    <w:rsid w:val="002E259F"/>
    <w:rsid w:val="002E4035"/>
    <w:rsid w:val="002E4817"/>
    <w:rsid w:val="002E7D12"/>
    <w:rsid w:val="002F44F2"/>
    <w:rsid w:val="00300091"/>
    <w:rsid w:val="0030094F"/>
    <w:rsid w:val="00302136"/>
    <w:rsid w:val="0031183A"/>
    <w:rsid w:val="00312D1E"/>
    <w:rsid w:val="0031316F"/>
    <w:rsid w:val="00331A3B"/>
    <w:rsid w:val="00331F1C"/>
    <w:rsid w:val="0033236B"/>
    <w:rsid w:val="00337EB6"/>
    <w:rsid w:val="00341315"/>
    <w:rsid w:val="00343C4C"/>
    <w:rsid w:val="00350088"/>
    <w:rsid w:val="00353114"/>
    <w:rsid w:val="0035553D"/>
    <w:rsid w:val="003568B7"/>
    <w:rsid w:val="00356B44"/>
    <w:rsid w:val="00356DC1"/>
    <w:rsid w:val="00361899"/>
    <w:rsid w:val="003621E6"/>
    <w:rsid w:val="00364838"/>
    <w:rsid w:val="00367D01"/>
    <w:rsid w:val="00370BAC"/>
    <w:rsid w:val="00372D01"/>
    <w:rsid w:val="00374828"/>
    <w:rsid w:val="00374C92"/>
    <w:rsid w:val="003777B5"/>
    <w:rsid w:val="003806E9"/>
    <w:rsid w:val="00383371"/>
    <w:rsid w:val="00383C91"/>
    <w:rsid w:val="003843D0"/>
    <w:rsid w:val="0038479F"/>
    <w:rsid w:val="00385331"/>
    <w:rsid w:val="00385FD9"/>
    <w:rsid w:val="0039032A"/>
    <w:rsid w:val="0039199E"/>
    <w:rsid w:val="00397BA8"/>
    <w:rsid w:val="003A017E"/>
    <w:rsid w:val="003A320D"/>
    <w:rsid w:val="003A48B0"/>
    <w:rsid w:val="003A5409"/>
    <w:rsid w:val="003A7616"/>
    <w:rsid w:val="003B2591"/>
    <w:rsid w:val="003B6E85"/>
    <w:rsid w:val="003B7B7B"/>
    <w:rsid w:val="003C280D"/>
    <w:rsid w:val="003D3242"/>
    <w:rsid w:val="003E0F67"/>
    <w:rsid w:val="003E1017"/>
    <w:rsid w:val="003E741A"/>
    <w:rsid w:val="003F6463"/>
    <w:rsid w:val="003F64BC"/>
    <w:rsid w:val="00404481"/>
    <w:rsid w:val="00406CEB"/>
    <w:rsid w:val="004138FC"/>
    <w:rsid w:val="00414853"/>
    <w:rsid w:val="00414ED8"/>
    <w:rsid w:val="00416240"/>
    <w:rsid w:val="00416564"/>
    <w:rsid w:val="0042040F"/>
    <w:rsid w:val="00421F7A"/>
    <w:rsid w:val="00422C49"/>
    <w:rsid w:val="004258F1"/>
    <w:rsid w:val="0043072B"/>
    <w:rsid w:val="00431027"/>
    <w:rsid w:val="00432C11"/>
    <w:rsid w:val="00435F97"/>
    <w:rsid w:val="00437382"/>
    <w:rsid w:val="00437862"/>
    <w:rsid w:val="00444DAB"/>
    <w:rsid w:val="00444E0E"/>
    <w:rsid w:val="00444E5A"/>
    <w:rsid w:val="00447854"/>
    <w:rsid w:val="004527A2"/>
    <w:rsid w:val="00456246"/>
    <w:rsid w:val="004607E0"/>
    <w:rsid w:val="0046327E"/>
    <w:rsid w:val="00465975"/>
    <w:rsid w:val="00465B7A"/>
    <w:rsid w:val="00465FDC"/>
    <w:rsid w:val="00467A7D"/>
    <w:rsid w:val="00480666"/>
    <w:rsid w:val="004976A7"/>
    <w:rsid w:val="004A0958"/>
    <w:rsid w:val="004A5093"/>
    <w:rsid w:val="004B09CA"/>
    <w:rsid w:val="004B3F72"/>
    <w:rsid w:val="004B4293"/>
    <w:rsid w:val="004B53C6"/>
    <w:rsid w:val="004C1A5A"/>
    <w:rsid w:val="004C6FC7"/>
    <w:rsid w:val="004D213A"/>
    <w:rsid w:val="004D3244"/>
    <w:rsid w:val="004D345B"/>
    <w:rsid w:val="004D5091"/>
    <w:rsid w:val="004D6EC9"/>
    <w:rsid w:val="004E2F19"/>
    <w:rsid w:val="004E6E44"/>
    <w:rsid w:val="004F0809"/>
    <w:rsid w:val="004F5708"/>
    <w:rsid w:val="004F6A43"/>
    <w:rsid w:val="0050013C"/>
    <w:rsid w:val="00500C38"/>
    <w:rsid w:val="005022A8"/>
    <w:rsid w:val="00507145"/>
    <w:rsid w:val="00511A83"/>
    <w:rsid w:val="0051330C"/>
    <w:rsid w:val="005142C4"/>
    <w:rsid w:val="005158C0"/>
    <w:rsid w:val="005210E4"/>
    <w:rsid w:val="00525067"/>
    <w:rsid w:val="00525C54"/>
    <w:rsid w:val="00534895"/>
    <w:rsid w:val="005360BA"/>
    <w:rsid w:val="00537123"/>
    <w:rsid w:val="00537385"/>
    <w:rsid w:val="00537B47"/>
    <w:rsid w:val="00541FF9"/>
    <w:rsid w:val="005428B1"/>
    <w:rsid w:val="00547936"/>
    <w:rsid w:val="00552308"/>
    <w:rsid w:val="0055516E"/>
    <w:rsid w:val="0055550B"/>
    <w:rsid w:val="00560261"/>
    <w:rsid w:val="00561FE1"/>
    <w:rsid w:val="00564107"/>
    <w:rsid w:val="00565899"/>
    <w:rsid w:val="00572939"/>
    <w:rsid w:val="005742A7"/>
    <w:rsid w:val="00574AB1"/>
    <w:rsid w:val="00582030"/>
    <w:rsid w:val="0058575E"/>
    <w:rsid w:val="005870C8"/>
    <w:rsid w:val="00594E98"/>
    <w:rsid w:val="005962DA"/>
    <w:rsid w:val="00597812"/>
    <w:rsid w:val="005A0D79"/>
    <w:rsid w:val="005A14E2"/>
    <w:rsid w:val="005A5532"/>
    <w:rsid w:val="005B10C8"/>
    <w:rsid w:val="005B2C1E"/>
    <w:rsid w:val="005B4818"/>
    <w:rsid w:val="005B73CA"/>
    <w:rsid w:val="005C121A"/>
    <w:rsid w:val="005C6E6D"/>
    <w:rsid w:val="005C6F87"/>
    <w:rsid w:val="005D4088"/>
    <w:rsid w:val="005D4766"/>
    <w:rsid w:val="005D69BA"/>
    <w:rsid w:val="005D7CF2"/>
    <w:rsid w:val="005E439F"/>
    <w:rsid w:val="005E5234"/>
    <w:rsid w:val="005E68A5"/>
    <w:rsid w:val="005F48EF"/>
    <w:rsid w:val="005F4CC1"/>
    <w:rsid w:val="005F62A6"/>
    <w:rsid w:val="005F6958"/>
    <w:rsid w:val="00601E90"/>
    <w:rsid w:val="0060214D"/>
    <w:rsid w:val="00604C4A"/>
    <w:rsid w:val="006124C2"/>
    <w:rsid w:val="00613377"/>
    <w:rsid w:val="00614FA2"/>
    <w:rsid w:val="00614FCA"/>
    <w:rsid w:val="0062062D"/>
    <w:rsid w:val="006222C5"/>
    <w:rsid w:val="006243DB"/>
    <w:rsid w:val="006256B3"/>
    <w:rsid w:val="00626365"/>
    <w:rsid w:val="006271FE"/>
    <w:rsid w:val="00630E52"/>
    <w:rsid w:val="00631E3D"/>
    <w:rsid w:val="006350C3"/>
    <w:rsid w:val="00636275"/>
    <w:rsid w:val="00637D8B"/>
    <w:rsid w:val="006441F9"/>
    <w:rsid w:val="00644CDA"/>
    <w:rsid w:val="0064556E"/>
    <w:rsid w:val="006502C2"/>
    <w:rsid w:val="006514A1"/>
    <w:rsid w:val="00653059"/>
    <w:rsid w:val="00653164"/>
    <w:rsid w:val="006547C7"/>
    <w:rsid w:val="00660DAF"/>
    <w:rsid w:val="00661EB0"/>
    <w:rsid w:val="0066407D"/>
    <w:rsid w:val="00665470"/>
    <w:rsid w:val="00667C98"/>
    <w:rsid w:val="00671E23"/>
    <w:rsid w:val="00675784"/>
    <w:rsid w:val="00681A77"/>
    <w:rsid w:val="00682362"/>
    <w:rsid w:val="006834FE"/>
    <w:rsid w:val="00687483"/>
    <w:rsid w:val="0069003F"/>
    <w:rsid w:val="00691F50"/>
    <w:rsid w:val="006939C7"/>
    <w:rsid w:val="00694D01"/>
    <w:rsid w:val="00694E1A"/>
    <w:rsid w:val="00697450"/>
    <w:rsid w:val="006A247D"/>
    <w:rsid w:val="006A4824"/>
    <w:rsid w:val="006B19D8"/>
    <w:rsid w:val="006B77BA"/>
    <w:rsid w:val="006C197D"/>
    <w:rsid w:val="006C360A"/>
    <w:rsid w:val="006C7DA2"/>
    <w:rsid w:val="006D4390"/>
    <w:rsid w:val="006D6B5B"/>
    <w:rsid w:val="006E0DB1"/>
    <w:rsid w:val="006E1346"/>
    <w:rsid w:val="006E5F77"/>
    <w:rsid w:val="006F4D7B"/>
    <w:rsid w:val="006F4F73"/>
    <w:rsid w:val="006F6D34"/>
    <w:rsid w:val="00701709"/>
    <w:rsid w:val="007046B1"/>
    <w:rsid w:val="00707258"/>
    <w:rsid w:val="00707324"/>
    <w:rsid w:val="007108F8"/>
    <w:rsid w:val="00712D02"/>
    <w:rsid w:val="007131BB"/>
    <w:rsid w:val="0071353A"/>
    <w:rsid w:val="007176A9"/>
    <w:rsid w:val="00720FBD"/>
    <w:rsid w:val="007234E0"/>
    <w:rsid w:val="007259E9"/>
    <w:rsid w:val="00732196"/>
    <w:rsid w:val="0073449B"/>
    <w:rsid w:val="00736E35"/>
    <w:rsid w:val="00741AD1"/>
    <w:rsid w:val="00746629"/>
    <w:rsid w:val="007519F3"/>
    <w:rsid w:val="00751FE8"/>
    <w:rsid w:val="00756329"/>
    <w:rsid w:val="007570ED"/>
    <w:rsid w:val="00757257"/>
    <w:rsid w:val="00757BFE"/>
    <w:rsid w:val="00761C0C"/>
    <w:rsid w:val="00763200"/>
    <w:rsid w:val="007633FE"/>
    <w:rsid w:val="00765A3D"/>
    <w:rsid w:val="007736E2"/>
    <w:rsid w:val="00776197"/>
    <w:rsid w:val="00776D07"/>
    <w:rsid w:val="00776D70"/>
    <w:rsid w:val="00777A7F"/>
    <w:rsid w:val="00780201"/>
    <w:rsid w:val="00781273"/>
    <w:rsid w:val="00783336"/>
    <w:rsid w:val="0078402B"/>
    <w:rsid w:val="0078414A"/>
    <w:rsid w:val="00785F95"/>
    <w:rsid w:val="007A210F"/>
    <w:rsid w:val="007A2244"/>
    <w:rsid w:val="007A4039"/>
    <w:rsid w:val="007A5A6C"/>
    <w:rsid w:val="007A6E3A"/>
    <w:rsid w:val="007B1D0D"/>
    <w:rsid w:val="007B3CBF"/>
    <w:rsid w:val="007B42B3"/>
    <w:rsid w:val="007B6054"/>
    <w:rsid w:val="007C1DFC"/>
    <w:rsid w:val="007C2CF6"/>
    <w:rsid w:val="007C77EE"/>
    <w:rsid w:val="007D1739"/>
    <w:rsid w:val="007D4497"/>
    <w:rsid w:val="007E1930"/>
    <w:rsid w:val="007E252F"/>
    <w:rsid w:val="007E6925"/>
    <w:rsid w:val="007F0774"/>
    <w:rsid w:val="007F0A4F"/>
    <w:rsid w:val="007F0A77"/>
    <w:rsid w:val="007F2A29"/>
    <w:rsid w:val="007F2BBA"/>
    <w:rsid w:val="007F4D06"/>
    <w:rsid w:val="007F5F27"/>
    <w:rsid w:val="007F767E"/>
    <w:rsid w:val="008031AF"/>
    <w:rsid w:val="008060B1"/>
    <w:rsid w:val="00814579"/>
    <w:rsid w:val="00816083"/>
    <w:rsid w:val="00820CF4"/>
    <w:rsid w:val="008251E1"/>
    <w:rsid w:val="00830C91"/>
    <w:rsid w:val="00830FC4"/>
    <w:rsid w:val="00831D29"/>
    <w:rsid w:val="00835277"/>
    <w:rsid w:val="00835C40"/>
    <w:rsid w:val="00843531"/>
    <w:rsid w:val="00845AF6"/>
    <w:rsid w:val="00847396"/>
    <w:rsid w:val="008473A9"/>
    <w:rsid w:val="0085532B"/>
    <w:rsid w:val="00861A56"/>
    <w:rsid w:val="0086469F"/>
    <w:rsid w:val="00866473"/>
    <w:rsid w:val="00874BDD"/>
    <w:rsid w:val="008757D8"/>
    <w:rsid w:val="00877560"/>
    <w:rsid w:val="008775DE"/>
    <w:rsid w:val="008804D3"/>
    <w:rsid w:val="00880650"/>
    <w:rsid w:val="00881C98"/>
    <w:rsid w:val="00883C2C"/>
    <w:rsid w:val="00885E18"/>
    <w:rsid w:val="0088601D"/>
    <w:rsid w:val="008864EB"/>
    <w:rsid w:val="008869DF"/>
    <w:rsid w:val="00891CA1"/>
    <w:rsid w:val="0089410A"/>
    <w:rsid w:val="008956CD"/>
    <w:rsid w:val="008A2CC4"/>
    <w:rsid w:val="008A6626"/>
    <w:rsid w:val="008B05A8"/>
    <w:rsid w:val="008B0E64"/>
    <w:rsid w:val="008B21EC"/>
    <w:rsid w:val="008B4273"/>
    <w:rsid w:val="008B47EB"/>
    <w:rsid w:val="008C1E90"/>
    <w:rsid w:val="008C7764"/>
    <w:rsid w:val="008D06A5"/>
    <w:rsid w:val="008D32A8"/>
    <w:rsid w:val="008E2BB3"/>
    <w:rsid w:val="008E43A2"/>
    <w:rsid w:val="008E5DC8"/>
    <w:rsid w:val="008E6696"/>
    <w:rsid w:val="008E6A95"/>
    <w:rsid w:val="008E728F"/>
    <w:rsid w:val="008F6E22"/>
    <w:rsid w:val="00903E04"/>
    <w:rsid w:val="009065E2"/>
    <w:rsid w:val="009151D7"/>
    <w:rsid w:val="009160F0"/>
    <w:rsid w:val="00916977"/>
    <w:rsid w:val="009175E2"/>
    <w:rsid w:val="00917BF6"/>
    <w:rsid w:val="00930A0F"/>
    <w:rsid w:val="00930F58"/>
    <w:rsid w:val="00931648"/>
    <w:rsid w:val="00931DE3"/>
    <w:rsid w:val="0093340A"/>
    <w:rsid w:val="00935332"/>
    <w:rsid w:val="0093582A"/>
    <w:rsid w:val="00935A68"/>
    <w:rsid w:val="009449BF"/>
    <w:rsid w:val="00947A81"/>
    <w:rsid w:val="009604BA"/>
    <w:rsid w:val="00964112"/>
    <w:rsid w:val="00964E50"/>
    <w:rsid w:val="00965019"/>
    <w:rsid w:val="00966761"/>
    <w:rsid w:val="0097045B"/>
    <w:rsid w:val="00971127"/>
    <w:rsid w:val="00973E2C"/>
    <w:rsid w:val="00973FA2"/>
    <w:rsid w:val="00977F26"/>
    <w:rsid w:val="00987701"/>
    <w:rsid w:val="00987DB6"/>
    <w:rsid w:val="00995D46"/>
    <w:rsid w:val="009976B0"/>
    <w:rsid w:val="00997D3C"/>
    <w:rsid w:val="009A4C15"/>
    <w:rsid w:val="009A4F7D"/>
    <w:rsid w:val="009B1727"/>
    <w:rsid w:val="009B243B"/>
    <w:rsid w:val="009B64AE"/>
    <w:rsid w:val="009B6F24"/>
    <w:rsid w:val="009C1595"/>
    <w:rsid w:val="009D55EF"/>
    <w:rsid w:val="009E304B"/>
    <w:rsid w:val="009E7F2F"/>
    <w:rsid w:val="009F2AD4"/>
    <w:rsid w:val="009F3161"/>
    <w:rsid w:val="00A010F1"/>
    <w:rsid w:val="00A01CCE"/>
    <w:rsid w:val="00A023FC"/>
    <w:rsid w:val="00A039D6"/>
    <w:rsid w:val="00A049C2"/>
    <w:rsid w:val="00A04D1B"/>
    <w:rsid w:val="00A052C6"/>
    <w:rsid w:val="00A1169E"/>
    <w:rsid w:val="00A12F19"/>
    <w:rsid w:val="00A13072"/>
    <w:rsid w:val="00A162D2"/>
    <w:rsid w:val="00A16916"/>
    <w:rsid w:val="00A17592"/>
    <w:rsid w:val="00A247F5"/>
    <w:rsid w:val="00A25358"/>
    <w:rsid w:val="00A263BB"/>
    <w:rsid w:val="00A27CF1"/>
    <w:rsid w:val="00A30F19"/>
    <w:rsid w:val="00A35968"/>
    <w:rsid w:val="00A36DA3"/>
    <w:rsid w:val="00A40AD5"/>
    <w:rsid w:val="00A428D4"/>
    <w:rsid w:val="00A50170"/>
    <w:rsid w:val="00A506C4"/>
    <w:rsid w:val="00A51B88"/>
    <w:rsid w:val="00A527EF"/>
    <w:rsid w:val="00A54AAD"/>
    <w:rsid w:val="00A57128"/>
    <w:rsid w:val="00A60087"/>
    <w:rsid w:val="00A6108A"/>
    <w:rsid w:val="00A6173E"/>
    <w:rsid w:val="00A7578D"/>
    <w:rsid w:val="00A759D6"/>
    <w:rsid w:val="00A77332"/>
    <w:rsid w:val="00A77ACC"/>
    <w:rsid w:val="00A83287"/>
    <w:rsid w:val="00A85425"/>
    <w:rsid w:val="00A874B1"/>
    <w:rsid w:val="00A877CB"/>
    <w:rsid w:val="00A87EDB"/>
    <w:rsid w:val="00A900FF"/>
    <w:rsid w:val="00A927BF"/>
    <w:rsid w:val="00A95E1F"/>
    <w:rsid w:val="00A95EB7"/>
    <w:rsid w:val="00A97567"/>
    <w:rsid w:val="00A97BA4"/>
    <w:rsid w:val="00AA5B15"/>
    <w:rsid w:val="00AB1C2A"/>
    <w:rsid w:val="00AB3E1E"/>
    <w:rsid w:val="00AB494C"/>
    <w:rsid w:val="00AB532F"/>
    <w:rsid w:val="00AC0243"/>
    <w:rsid w:val="00AC3A48"/>
    <w:rsid w:val="00AC3FB0"/>
    <w:rsid w:val="00AC772B"/>
    <w:rsid w:val="00AD3685"/>
    <w:rsid w:val="00AD4339"/>
    <w:rsid w:val="00AE0599"/>
    <w:rsid w:val="00AE077D"/>
    <w:rsid w:val="00AE1AD5"/>
    <w:rsid w:val="00AE7351"/>
    <w:rsid w:val="00AF0653"/>
    <w:rsid w:val="00AF2F85"/>
    <w:rsid w:val="00AF5B97"/>
    <w:rsid w:val="00B0369A"/>
    <w:rsid w:val="00B03DC9"/>
    <w:rsid w:val="00B04B4F"/>
    <w:rsid w:val="00B07CAE"/>
    <w:rsid w:val="00B10B86"/>
    <w:rsid w:val="00B115EC"/>
    <w:rsid w:val="00B11F2D"/>
    <w:rsid w:val="00B16E99"/>
    <w:rsid w:val="00B17E67"/>
    <w:rsid w:val="00B2024E"/>
    <w:rsid w:val="00B21EF5"/>
    <w:rsid w:val="00B229C0"/>
    <w:rsid w:val="00B25465"/>
    <w:rsid w:val="00B3243A"/>
    <w:rsid w:val="00B33EC9"/>
    <w:rsid w:val="00B411EC"/>
    <w:rsid w:val="00B447F9"/>
    <w:rsid w:val="00B44A31"/>
    <w:rsid w:val="00B526F3"/>
    <w:rsid w:val="00B528AB"/>
    <w:rsid w:val="00B53358"/>
    <w:rsid w:val="00B55641"/>
    <w:rsid w:val="00B62F48"/>
    <w:rsid w:val="00B701D7"/>
    <w:rsid w:val="00B72082"/>
    <w:rsid w:val="00B76C8A"/>
    <w:rsid w:val="00B771DB"/>
    <w:rsid w:val="00B808E6"/>
    <w:rsid w:val="00B811B1"/>
    <w:rsid w:val="00B85BA1"/>
    <w:rsid w:val="00B86BAB"/>
    <w:rsid w:val="00B97140"/>
    <w:rsid w:val="00BA389C"/>
    <w:rsid w:val="00BA3DEA"/>
    <w:rsid w:val="00BA4268"/>
    <w:rsid w:val="00BA5883"/>
    <w:rsid w:val="00BA5AB7"/>
    <w:rsid w:val="00BA6F6E"/>
    <w:rsid w:val="00BB219E"/>
    <w:rsid w:val="00BB4162"/>
    <w:rsid w:val="00BB602E"/>
    <w:rsid w:val="00BB72E5"/>
    <w:rsid w:val="00BC063D"/>
    <w:rsid w:val="00BC2533"/>
    <w:rsid w:val="00BC3397"/>
    <w:rsid w:val="00BC4008"/>
    <w:rsid w:val="00BC401D"/>
    <w:rsid w:val="00BD05A4"/>
    <w:rsid w:val="00BD40BC"/>
    <w:rsid w:val="00BD61D1"/>
    <w:rsid w:val="00BD6D02"/>
    <w:rsid w:val="00BE2595"/>
    <w:rsid w:val="00BE33D0"/>
    <w:rsid w:val="00BE46E1"/>
    <w:rsid w:val="00BE7C1B"/>
    <w:rsid w:val="00BF1229"/>
    <w:rsid w:val="00BF47CB"/>
    <w:rsid w:val="00C05E18"/>
    <w:rsid w:val="00C1020E"/>
    <w:rsid w:val="00C1154A"/>
    <w:rsid w:val="00C11DBC"/>
    <w:rsid w:val="00C12A2D"/>
    <w:rsid w:val="00C16A9B"/>
    <w:rsid w:val="00C16F97"/>
    <w:rsid w:val="00C17CE9"/>
    <w:rsid w:val="00C22CAE"/>
    <w:rsid w:val="00C2535B"/>
    <w:rsid w:val="00C326F0"/>
    <w:rsid w:val="00C32D89"/>
    <w:rsid w:val="00C34438"/>
    <w:rsid w:val="00C35341"/>
    <w:rsid w:val="00C36723"/>
    <w:rsid w:val="00C40295"/>
    <w:rsid w:val="00C40FCB"/>
    <w:rsid w:val="00C4553B"/>
    <w:rsid w:val="00C45645"/>
    <w:rsid w:val="00C55E31"/>
    <w:rsid w:val="00C56F18"/>
    <w:rsid w:val="00C63D04"/>
    <w:rsid w:val="00C648EC"/>
    <w:rsid w:val="00C66C1B"/>
    <w:rsid w:val="00C670EB"/>
    <w:rsid w:val="00C72399"/>
    <w:rsid w:val="00C808E3"/>
    <w:rsid w:val="00C812D9"/>
    <w:rsid w:val="00C8491D"/>
    <w:rsid w:val="00C87685"/>
    <w:rsid w:val="00CA0170"/>
    <w:rsid w:val="00CB094C"/>
    <w:rsid w:val="00CB1A0C"/>
    <w:rsid w:val="00CB65A7"/>
    <w:rsid w:val="00CB7DED"/>
    <w:rsid w:val="00CC2B8D"/>
    <w:rsid w:val="00CC3276"/>
    <w:rsid w:val="00CC5E33"/>
    <w:rsid w:val="00CC7036"/>
    <w:rsid w:val="00CD2D5B"/>
    <w:rsid w:val="00CD79DA"/>
    <w:rsid w:val="00CE186C"/>
    <w:rsid w:val="00CE325F"/>
    <w:rsid w:val="00CE597F"/>
    <w:rsid w:val="00CE631E"/>
    <w:rsid w:val="00CE782A"/>
    <w:rsid w:val="00CF085A"/>
    <w:rsid w:val="00D01A4C"/>
    <w:rsid w:val="00D05072"/>
    <w:rsid w:val="00D073AD"/>
    <w:rsid w:val="00D1080B"/>
    <w:rsid w:val="00D11DBB"/>
    <w:rsid w:val="00D13F8A"/>
    <w:rsid w:val="00D15BB4"/>
    <w:rsid w:val="00D2280B"/>
    <w:rsid w:val="00D23577"/>
    <w:rsid w:val="00D2724C"/>
    <w:rsid w:val="00D309FD"/>
    <w:rsid w:val="00D31ABF"/>
    <w:rsid w:val="00D31C28"/>
    <w:rsid w:val="00D32FAA"/>
    <w:rsid w:val="00D33062"/>
    <w:rsid w:val="00D33238"/>
    <w:rsid w:val="00D36609"/>
    <w:rsid w:val="00D44F8B"/>
    <w:rsid w:val="00D45809"/>
    <w:rsid w:val="00D46215"/>
    <w:rsid w:val="00D56900"/>
    <w:rsid w:val="00D60C9E"/>
    <w:rsid w:val="00D71545"/>
    <w:rsid w:val="00D76B90"/>
    <w:rsid w:val="00D82083"/>
    <w:rsid w:val="00D84287"/>
    <w:rsid w:val="00D8712A"/>
    <w:rsid w:val="00D918D5"/>
    <w:rsid w:val="00D96999"/>
    <w:rsid w:val="00D96DDA"/>
    <w:rsid w:val="00D97FE8"/>
    <w:rsid w:val="00DA0070"/>
    <w:rsid w:val="00DA03C6"/>
    <w:rsid w:val="00DA5F15"/>
    <w:rsid w:val="00DA69D1"/>
    <w:rsid w:val="00DB27CA"/>
    <w:rsid w:val="00DB4888"/>
    <w:rsid w:val="00DC2E77"/>
    <w:rsid w:val="00DC4839"/>
    <w:rsid w:val="00DD3815"/>
    <w:rsid w:val="00DD5A20"/>
    <w:rsid w:val="00DD7EB0"/>
    <w:rsid w:val="00DF0396"/>
    <w:rsid w:val="00DF307D"/>
    <w:rsid w:val="00DF66D1"/>
    <w:rsid w:val="00E0252E"/>
    <w:rsid w:val="00E04CBB"/>
    <w:rsid w:val="00E054E2"/>
    <w:rsid w:val="00E142EC"/>
    <w:rsid w:val="00E15769"/>
    <w:rsid w:val="00E17F93"/>
    <w:rsid w:val="00E21330"/>
    <w:rsid w:val="00E2291B"/>
    <w:rsid w:val="00E2598E"/>
    <w:rsid w:val="00E30E27"/>
    <w:rsid w:val="00E30EC2"/>
    <w:rsid w:val="00E3346E"/>
    <w:rsid w:val="00E35D79"/>
    <w:rsid w:val="00E40F21"/>
    <w:rsid w:val="00E440FA"/>
    <w:rsid w:val="00E44BA7"/>
    <w:rsid w:val="00E45469"/>
    <w:rsid w:val="00E51F82"/>
    <w:rsid w:val="00E539B0"/>
    <w:rsid w:val="00E546E9"/>
    <w:rsid w:val="00E57B45"/>
    <w:rsid w:val="00E604FD"/>
    <w:rsid w:val="00E73350"/>
    <w:rsid w:val="00E769F0"/>
    <w:rsid w:val="00E809EA"/>
    <w:rsid w:val="00E82F07"/>
    <w:rsid w:val="00E844E1"/>
    <w:rsid w:val="00E86F27"/>
    <w:rsid w:val="00E905BC"/>
    <w:rsid w:val="00E91453"/>
    <w:rsid w:val="00E97A34"/>
    <w:rsid w:val="00E97CD9"/>
    <w:rsid w:val="00EA1BB7"/>
    <w:rsid w:val="00EA5990"/>
    <w:rsid w:val="00EA5D4E"/>
    <w:rsid w:val="00EA7651"/>
    <w:rsid w:val="00EB1567"/>
    <w:rsid w:val="00EB1B32"/>
    <w:rsid w:val="00EB321E"/>
    <w:rsid w:val="00EB3707"/>
    <w:rsid w:val="00EB413E"/>
    <w:rsid w:val="00EB4D27"/>
    <w:rsid w:val="00EB66B9"/>
    <w:rsid w:val="00EC0942"/>
    <w:rsid w:val="00EC10C6"/>
    <w:rsid w:val="00EC13AA"/>
    <w:rsid w:val="00ED0264"/>
    <w:rsid w:val="00ED359B"/>
    <w:rsid w:val="00ED6749"/>
    <w:rsid w:val="00ED6BE3"/>
    <w:rsid w:val="00EE2B8D"/>
    <w:rsid w:val="00EE4CB8"/>
    <w:rsid w:val="00EF1771"/>
    <w:rsid w:val="00EF245F"/>
    <w:rsid w:val="00EF61D2"/>
    <w:rsid w:val="00EF6C3A"/>
    <w:rsid w:val="00EF7AA3"/>
    <w:rsid w:val="00F05876"/>
    <w:rsid w:val="00F07958"/>
    <w:rsid w:val="00F12210"/>
    <w:rsid w:val="00F13055"/>
    <w:rsid w:val="00F13FD7"/>
    <w:rsid w:val="00F15470"/>
    <w:rsid w:val="00F15E57"/>
    <w:rsid w:val="00F21495"/>
    <w:rsid w:val="00F21D4B"/>
    <w:rsid w:val="00F226F5"/>
    <w:rsid w:val="00F239EB"/>
    <w:rsid w:val="00F2448E"/>
    <w:rsid w:val="00F26085"/>
    <w:rsid w:val="00F26DFC"/>
    <w:rsid w:val="00F26EF5"/>
    <w:rsid w:val="00F34DD8"/>
    <w:rsid w:val="00F34E6E"/>
    <w:rsid w:val="00F35094"/>
    <w:rsid w:val="00F4143C"/>
    <w:rsid w:val="00F41B01"/>
    <w:rsid w:val="00F43560"/>
    <w:rsid w:val="00F5034C"/>
    <w:rsid w:val="00F51EA9"/>
    <w:rsid w:val="00F55166"/>
    <w:rsid w:val="00F57DEC"/>
    <w:rsid w:val="00F609DF"/>
    <w:rsid w:val="00F63532"/>
    <w:rsid w:val="00F707B1"/>
    <w:rsid w:val="00F84F13"/>
    <w:rsid w:val="00F867CD"/>
    <w:rsid w:val="00F922E5"/>
    <w:rsid w:val="00F936CD"/>
    <w:rsid w:val="00F944DA"/>
    <w:rsid w:val="00F9576F"/>
    <w:rsid w:val="00F95854"/>
    <w:rsid w:val="00F96F3A"/>
    <w:rsid w:val="00FA7E75"/>
    <w:rsid w:val="00FB10B0"/>
    <w:rsid w:val="00FB19A5"/>
    <w:rsid w:val="00FB2B39"/>
    <w:rsid w:val="00FC2DC6"/>
    <w:rsid w:val="00FC6157"/>
    <w:rsid w:val="00FD0C12"/>
    <w:rsid w:val="00FD1DD0"/>
    <w:rsid w:val="00FD4275"/>
    <w:rsid w:val="00FD61FB"/>
    <w:rsid w:val="00FD7D02"/>
    <w:rsid w:val="00FD7FC0"/>
    <w:rsid w:val="00FE4968"/>
    <w:rsid w:val="00FE52A4"/>
    <w:rsid w:val="00FE5D7B"/>
    <w:rsid w:val="00FF2A26"/>
    <w:rsid w:val="00FF3D73"/>
    <w:rsid w:val="00FF683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F6C8"/>
  <w15:chartTrackingRefBased/>
  <w15:docId w15:val="{1C85FDA5-E54C-4588-B353-E83E819D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F9"/>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5870C8"/>
    <w:pPr>
      <w:keepNext/>
      <w:keepLines/>
      <w:spacing w:before="360" w:line="240" w:lineRule="atLeast"/>
      <w:jc w:val="both"/>
      <w:outlineLvl w:val="3"/>
    </w:pPr>
    <w:rPr>
      <w:rFonts w:eastAsia="Cambria" w:cs="Times New Roman"/>
      <w:bCs/>
      <w:color w:val="001871"/>
      <w:sz w:val="28"/>
      <w:szCs w:val="22"/>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11570D"/>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5870C8"/>
    <w:rPr>
      <w:rFonts w:eastAsia="Cambria" w:cs="Times New Roman"/>
      <w:bCs/>
      <w:color w:val="001871"/>
      <w:sz w:val="28"/>
      <w:szCs w:val="22"/>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aliases w:val="OECD 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8E6A95"/>
    <w:pPr>
      <w:spacing w:before="80" w:after="180" w:line="240" w:lineRule="atLeast"/>
      <w:ind w:left="113"/>
    </w:pPr>
    <w:rPr>
      <w:rFonts w:eastAsia="Cambria" w:cs="Times New Roman"/>
      <w:color w:val="000000"/>
      <w:sz w:val="18"/>
      <w:szCs w:val="21"/>
      <w:lang w:eastAsia="en-AU"/>
    </w:rPr>
  </w:style>
  <w:style w:type="paragraph" w:customStyle="1" w:styleId="Numberbullet0">
    <w:name w:val="Number bullet"/>
    <w:basedOn w:val="ListBullet"/>
    <w:uiPriority w:val="3"/>
    <w:qFormat/>
    <w:rsid w:val="005F6958"/>
    <w:pPr>
      <w:numPr>
        <w:numId w:val="6"/>
      </w:numPr>
    </w:pPr>
  </w:style>
  <w:style w:type="paragraph" w:customStyle="1" w:styleId="Legislation-list">
    <w:name w:val="Legislation-list"/>
    <w:basedOn w:val="Numberbullet0"/>
    <w:qFormat/>
    <w:rsid w:val="005F6958"/>
    <w:pPr>
      <w:numPr>
        <w:numId w:val="3"/>
      </w:numPr>
      <w:jc w:val="center"/>
    </w:pPr>
    <w:rPr>
      <w:i/>
    </w:rPr>
  </w:style>
  <w:style w:type="paragraph" w:customStyle="1" w:styleId="ListBullet-dotick">
    <w:name w:val="List Bullet - do (tick)"/>
    <w:basedOn w:val="ListBullet"/>
    <w:autoRedefine/>
    <w:uiPriority w:val="1"/>
    <w:rsid w:val="00302136"/>
    <w:pPr>
      <w:ind w:left="0"/>
    </w:pPr>
    <w:rPr>
      <w:sz w:val="20"/>
      <w:szCs w:val="20"/>
    </w:rPr>
  </w:style>
  <w:style w:type="paragraph" w:customStyle="1" w:styleId="ListBullet-donotcross">
    <w:name w:val="List Bullet - do not (cross)"/>
    <w:basedOn w:val="ListBullet"/>
    <w:autoRedefine/>
    <w:uiPriority w:val="1"/>
    <w:rsid w:val="000929FD"/>
  </w:style>
  <w:style w:type="paragraph" w:styleId="ListBullet2">
    <w:name w:val="List Bullet 2"/>
    <w:basedOn w:val="Normal"/>
    <w:uiPriority w:val="2"/>
    <w:qFormat/>
    <w:rsid w:val="0085532B"/>
    <w:pPr>
      <w:numPr>
        <w:ilvl w:val="1"/>
        <w:numId w:val="7"/>
      </w:numPr>
      <w:spacing w:before="120" w:after="180" w:line="240" w:lineRule="atLeast"/>
    </w:pPr>
    <w:rPr>
      <w:rFonts w:eastAsia="Cambria" w:cs="Times New Roman"/>
    </w:rPr>
  </w:style>
  <w:style w:type="paragraph" w:styleId="ListBullet3">
    <w:name w:val="List Bullet 3"/>
    <w:basedOn w:val="Normal"/>
    <w:uiPriority w:val="2"/>
    <w:qFormat/>
    <w:rsid w:val="005F6958"/>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1"/>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6"/>
      </w:numPr>
    </w:pPr>
  </w:style>
  <w:style w:type="paragraph" w:customStyle="1" w:styleId="Numberbullet3">
    <w:name w:val="Number bullet 3"/>
    <w:basedOn w:val="Normal"/>
    <w:uiPriority w:val="3"/>
    <w:qFormat/>
    <w:rsid w:val="005F6958"/>
    <w:pPr>
      <w:numPr>
        <w:numId w:val="5"/>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2"/>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A36DA3"/>
    <w:pPr>
      <w:keepNext/>
      <w:keepLines/>
      <w:tabs>
        <w:tab w:val="right" w:leader="underscore" w:pos="8505"/>
      </w:tabs>
      <w:spacing w:before="60" w:after="0" w:line="240" w:lineRule="atLeast"/>
      <w:ind w:left="425" w:right="521"/>
    </w:pPr>
    <w:rPr>
      <w:rFonts w:eastAsia="Cambria" w:cs="Times New Roman"/>
      <w:b/>
      <w:bCs/>
      <w:noProof/>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364838"/>
    <w:pPr>
      <w:keepLines/>
      <w:numPr>
        <w:numId w:val="12"/>
      </w:numPr>
      <w:spacing w:before="120" w:after="120" w:line="259" w:lineRule="auto"/>
      <w:ind w:left="357" w:hanging="357"/>
      <w:jc w:val="both"/>
      <w:outlineLvl w:val="3"/>
    </w:pPr>
    <w:rPr>
      <w:sz w:val="20"/>
    </w:rPr>
  </w:style>
  <w:style w:type="character" w:styleId="CommentReference">
    <w:name w:val="annotation reference"/>
    <w:basedOn w:val="DefaultParagraphFont"/>
    <w:uiPriority w:val="99"/>
    <w:semiHidden/>
    <w:unhideWhenUsed/>
    <w:rsid w:val="006350C3"/>
    <w:rPr>
      <w:sz w:val="16"/>
      <w:szCs w:val="16"/>
    </w:rPr>
  </w:style>
  <w:style w:type="paragraph" w:styleId="CommentText">
    <w:name w:val="annotation text"/>
    <w:basedOn w:val="Normal"/>
    <w:link w:val="CommentTextChar"/>
    <w:uiPriority w:val="99"/>
    <w:unhideWhenUsed/>
    <w:rsid w:val="006350C3"/>
    <w:pPr>
      <w:spacing w:before="120" w:after="180" w:line="240" w:lineRule="auto"/>
    </w:pPr>
    <w:rPr>
      <w:rFonts w:ascii="Cambria" w:eastAsia="Cambria" w:hAnsi="Cambria" w:cs="Times New Roman"/>
      <w:color w:val="002C47" w:themeColor="text1"/>
      <w:sz w:val="22"/>
    </w:rPr>
  </w:style>
  <w:style w:type="character" w:customStyle="1" w:styleId="CommentTextChar">
    <w:name w:val="Comment Text Char"/>
    <w:basedOn w:val="DefaultParagraphFont"/>
    <w:link w:val="CommentText"/>
    <w:uiPriority w:val="99"/>
    <w:rsid w:val="006350C3"/>
    <w:rPr>
      <w:rFonts w:ascii="Cambria" w:eastAsia="Cambria" w:hAnsi="Cambria" w:cs="Times New Roman"/>
      <w:color w:val="002C47" w:themeColor="text1"/>
      <w:sz w:val="22"/>
    </w:rPr>
  </w:style>
  <w:style w:type="paragraph" w:styleId="CommentSubject">
    <w:name w:val="annotation subject"/>
    <w:basedOn w:val="CommentText"/>
    <w:next w:val="CommentText"/>
    <w:link w:val="CommentSubjectChar"/>
    <w:uiPriority w:val="99"/>
    <w:semiHidden/>
    <w:unhideWhenUsed/>
    <w:rsid w:val="0028705E"/>
    <w:pPr>
      <w:spacing w:before="0" w:after="120"/>
    </w:pPr>
    <w:rPr>
      <w:rFonts w:ascii="Arial" w:eastAsiaTheme="minorHAnsi" w:hAnsi="Arial" w:cstheme="minorBidi"/>
      <w:b/>
      <w:bCs/>
      <w:color w:val="auto"/>
      <w:sz w:val="20"/>
    </w:rPr>
  </w:style>
  <w:style w:type="character" w:customStyle="1" w:styleId="CommentSubjectChar">
    <w:name w:val="Comment Subject Char"/>
    <w:basedOn w:val="CommentTextChar"/>
    <w:link w:val="CommentSubject"/>
    <w:uiPriority w:val="99"/>
    <w:semiHidden/>
    <w:rsid w:val="0028705E"/>
    <w:rPr>
      <w:rFonts w:ascii="Cambria" w:eastAsia="Cambria" w:hAnsi="Cambria" w:cs="Times New Roman"/>
      <w:b/>
      <w:bCs/>
      <w:color w:val="002C47" w:themeColor="text1"/>
      <w:sz w:val="22"/>
    </w:rPr>
  </w:style>
  <w:style w:type="character" w:styleId="UnresolvedMention">
    <w:name w:val="Unresolved Mention"/>
    <w:basedOn w:val="DefaultParagraphFont"/>
    <w:uiPriority w:val="99"/>
    <w:semiHidden/>
    <w:unhideWhenUsed/>
    <w:rsid w:val="00092FED"/>
    <w:rPr>
      <w:color w:val="605E5C"/>
      <w:shd w:val="clear" w:color="auto" w:fill="E1DFDD"/>
    </w:rPr>
  </w:style>
  <w:style w:type="character" w:styleId="FollowedHyperlink">
    <w:name w:val="FollowedHyperlink"/>
    <w:basedOn w:val="DefaultParagraphFont"/>
    <w:uiPriority w:val="99"/>
    <w:semiHidden/>
    <w:unhideWhenUsed/>
    <w:rsid w:val="00092FED"/>
    <w:rPr>
      <w:color w:val="6E2B62" w:themeColor="followedHyperlink"/>
      <w:u w:val="single"/>
    </w:rPr>
  </w:style>
  <w:style w:type="paragraph" w:customStyle="1" w:styleId="Default">
    <w:name w:val="Default"/>
    <w:rsid w:val="000D0D4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74C9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TGAblue">
    <w:name w:val="Table TGA blue"/>
    <w:basedOn w:val="TableNormal"/>
    <w:uiPriority w:val="99"/>
    <w:qFormat/>
    <w:rsid w:val="00DA03C6"/>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A506C4"/>
    <w:pPr>
      <w:spacing w:after="0" w:line="240" w:lineRule="auto"/>
    </w:pPr>
  </w:style>
  <w:style w:type="paragraph" w:styleId="DocumentMap">
    <w:name w:val="Document Map"/>
    <w:basedOn w:val="Normal"/>
    <w:link w:val="DocumentMapChar"/>
    <w:uiPriority w:val="99"/>
    <w:semiHidden/>
    <w:unhideWhenUsed/>
    <w:rsid w:val="00DF0396"/>
    <w:pPr>
      <w:spacing w:after="0" w:line="240" w:lineRule="auto"/>
    </w:pPr>
    <w:rPr>
      <w:rFonts w:ascii="Tahoma" w:eastAsia="Cambria" w:hAnsi="Tahoma" w:cs="Tahoma"/>
      <w:color w:val="002C47" w:themeColor="text1"/>
      <w:sz w:val="16"/>
      <w:szCs w:val="16"/>
    </w:rPr>
  </w:style>
  <w:style w:type="character" w:customStyle="1" w:styleId="DocumentMapChar">
    <w:name w:val="Document Map Char"/>
    <w:basedOn w:val="DefaultParagraphFont"/>
    <w:link w:val="DocumentMap"/>
    <w:uiPriority w:val="99"/>
    <w:semiHidden/>
    <w:rsid w:val="00DF0396"/>
    <w:rPr>
      <w:rFonts w:ascii="Tahoma" w:eastAsia="Cambria" w:hAnsi="Tahoma" w:cs="Tahoma"/>
      <w:color w:val="002C47" w:themeColor="text1"/>
      <w:sz w:val="16"/>
      <w:szCs w:val="16"/>
    </w:rPr>
  </w:style>
  <w:style w:type="paragraph" w:customStyle="1" w:styleId="ListBulleta">
    <w:name w:val="List Bullet a)"/>
    <w:basedOn w:val="ListBullet"/>
    <w:uiPriority w:val="1"/>
    <w:qFormat/>
    <w:rsid w:val="00432C11"/>
    <w:pPr>
      <w:keepNext/>
      <w:keepLines/>
      <w:numPr>
        <w:numId w:val="8"/>
      </w:numPr>
      <w:spacing w:before="120" w:after="120" w:line="259" w:lineRule="auto"/>
      <w:ind w:left="1145" w:hanging="357"/>
    </w:pPr>
    <w:rPr>
      <w:rFonts w:cs="Arial"/>
      <w:color w:val="auto"/>
      <w:sz w:val="20"/>
      <w:szCs w:val="20"/>
      <w:lang w:eastAsia="en-US"/>
    </w:rPr>
  </w:style>
  <w:style w:type="paragraph" w:customStyle="1" w:styleId="ListBulleti">
    <w:name w:val="List Bullet i)"/>
    <w:basedOn w:val="ListBullet"/>
    <w:autoRedefine/>
    <w:uiPriority w:val="1"/>
    <w:qFormat/>
    <w:rsid w:val="00661EB0"/>
    <w:pPr>
      <w:keepNext/>
      <w:keepLines/>
      <w:numPr>
        <w:numId w:val="9"/>
      </w:numPr>
      <w:spacing w:before="120"/>
    </w:pPr>
    <w:rPr>
      <w:rFonts w:cs="Arial"/>
      <w:color w:val="auto"/>
      <w:sz w:val="22"/>
      <w:szCs w:val="20"/>
      <w:lang w:eastAsia="en-US"/>
    </w:rPr>
  </w:style>
  <w:style w:type="paragraph" w:customStyle="1" w:styleId="Tabletext">
    <w:name w:val="Tabletext"/>
    <w:aliases w:val="tt"/>
    <w:basedOn w:val="Normal"/>
    <w:rsid w:val="00661EB0"/>
    <w:pPr>
      <w:spacing w:before="60" w:after="0" w:line="240" w:lineRule="atLeast"/>
    </w:pPr>
    <w:rPr>
      <w:rFonts w:ascii="Times New Roman" w:eastAsia="Times New Roman" w:hAnsi="Times New Roman" w:cs="Times New Roman"/>
      <w:lang w:eastAsia="en-AU"/>
    </w:rPr>
  </w:style>
  <w:style w:type="paragraph" w:customStyle="1" w:styleId="TableHeading">
    <w:name w:val="TableHeading"/>
    <w:aliases w:val="th"/>
    <w:basedOn w:val="Normal"/>
    <w:next w:val="Tabletext"/>
    <w:rsid w:val="00661EB0"/>
    <w:pPr>
      <w:keepNext/>
      <w:spacing w:before="60" w:after="0" w:line="240" w:lineRule="atLeast"/>
    </w:pPr>
    <w:rPr>
      <w:rFonts w:ascii="Times New Roman" w:eastAsia="Times New Roman" w:hAnsi="Times New Roman" w:cs="Times New Roman"/>
      <w:b/>
      <w:lang w:eastAsia="en-AU"/>
    </w:rPr>
  </w:style>
  <w:style w:type="paragraph" w:customStyle="1" w:styleId="Modifiedlistbullet">
    <w:name w:val="Modified list bullet"/>
    <w:link w:val="ModifiedlistbulletChar"/>
    <w:autoRedefine/>
    <w:qFormat/>
    <w:rsid w:val="00661EB0"/>
    <w:pPr>
      <w:numPr>
        <w:numId w:val="10"/>
      </w:numPr>
    </w:pPr>
    <w:rPr>
      <w:rFonts w:eastAsia="Cambria" w:cs="Arial"/>
      <w:color w:val="00B050"/>
      <w:sz w:val="22"/>
      <w:u w:val="single"/>
    </w:rPr>
  </w:style>
  <w:style w:type="character" w:customStyle="1" w:styleId="ModifiedlistbulletChar">
    <w:name w:val="Modified list bullet Char"/>
    <w:basedOn w:val="DefaultParagraphFont"/>
    <w:link w:val="Modifiedlistbullet"/>
    <w:rsid w:val="00661EB0"/>
    <w:rPr>
      <w:rFonts w:eastAsia="Cambria" w:cs="Arial"/>
      <w:color w:val="00B05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379825">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484855069">
      <w:bodyDiv w:val="1"/>
      <w:marLeft w:val="0"/>
      <w:marRight w:val="0"/>
      <w:marTop w:val="0"/>
      <w:marBottom w:val="0"/>
      <w:divBdr>
        <w:top w:val="none" w:sz="0" w:space="0" w:color="auto"/>
        <w:left w:val="none" w:sz="0" w:space="0" w:color="auto"/>
        <w:bottom w:val="none" w:sz="0" w:space="0" w:color="auto"/>
        <w:right w:val="none" w:sz="0" w:space="0" w:color="auto"/>
      </w:divBdr>
      <w:divsChild>
        <w:div w:id="811168430">
          <w:marLeft w:val="274"/>
          <w:marRight w:val="0"/>
          <w:marTop w:val="0"/>
          <w:marBottom w:val="0"/>
          <w:divBdr>
            <w:top w:val="none" w:sz="0" w:space="0" w:color="auto"/>
            <w:left w:val="none" w:sz="0" w:space="0" w:color="auto"/>
            <w:bottom w:val="none" w:sz="0" w:space="0" w:color="auto"/>
            <w:right w:val="none" w:sz="0" w:space="0" w:color="auto"/>
          </w:divBdr>
        </w:div>
        <w:div w:id="1500193223">
          <w:marLeft w:val="274"/>
          <w:marRight w:val="0"/>
          <w:marTop w:val="0"/>
          <w:marBottom w:val="0"/>
          <w:divBdr>
            <w:top w:val="none" w:sz="0" w:space="0" w:color="auto"/>
            <w:left w:val="none" w:sz="0" w:space="0" w:color="auto"/>
            <w:bottom w:val="none" w:sz="0" w:space="0" w:color="auto"/>
            <w:right w:val="none" w:sz="0" w:space="0" w:color="auto"/>
          </w:divBdr>
        </w:div>
      </w:divsChild>
    </w:div>
    <w:div w:id="186570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aspub.epa.gov/apex/pesticides/f?p=chemicalsearch:1" TargetMode="External"/><Relationship Id="rId21" Type="http://schemas.openxmlformats.org/officeDocument/2006/relationships/hyperlink" Target="https://www.legislation.gov.au/Details/F2021L01888" TargetMode="External"/><Relationship Id="rId34" Type="http://schemas.openxmlformats.org/officeDocument/2006/relationships/hyperlink" Target="https://cdnservices.industrialchemicals.gov.au/statements/EVA00125%20-%20Evaluation%20Statement%20-%2014%20December%202023.pdf" TargetMode="External"/><Relationship Id="rId42" Type="http://schemas.openxmlformats.org/officeDocument/2006/relationships/hyperlink" Target="http://www.ebs.tga.gov.au" TargetMode="External"/><Relationship Id="rId47" Type="http://schemas.openxmlformats.org/officeDocument/2006/relationships/hyperlink" Target="https://www.epa.govt.nz/database-search/new-zealand-inventory-of-chemicals-nzioc/DatabaseSearchForm/?SiteDatabaseSearchFilters=36&amp;Keyword=acequinocyl&amp;DatabaseType=NZIOC" TargetMode="External"/><Relationship Id="rId50" Type="http://schemas.openxmlformats.org/officeDocument/2006/relationships/hyperlink" Target="https://www.ebs.tga.gov.au/" TargetMode="External"/><Relationship Id="rId55" Type="http://schemas.openxmlformats.org/officeDocument/2006/relationships/hyperlink" Target="https://ec.europa.eu/growth/tools-databases/cosing/details/57584" TargetMode="External"/><Relationship Id="rId63" Type="http://schemas.openxmlformats.org/officeDocument/2006/relationships/hyperlink" Target="https://compliance.health.gov.au/artg/" TargetMode="External"/><Relationship Id="rId68" Type="http://schemas.openxmlformats.org/officeDocument/2006/relationships/hyperlink" Target="https://portal.apvma.gov.au/pubcris" TargetMode="External"/><Relationship Id="rId76" Type="http://schemas.openxmlformats.org/officeDocument/2006/relationships/hyperlink" Target="https://www.tga.gov.au/products/medicines/find-information-about-medicine/prescribing-medicines-pregnancy-database" TargetMode="External"/><Relationship Id="rId84" Type="http://schemas.openxmlformats.org/officeDocument/2006/relationships/hyperlink" Target="https://ec.europa.eu/growth/tools-databases/cosing/" TargetMode="External"/><Relationship Id="rId89" Type="http://schemas.openxmlformats.org/officeDocument/2006/relationships/hyperlink" Target="https://health-products.canada.ca/dpd-bdpp/index-eng.jsp" TargetMode="External"/><Relationship Id="rId97" Type="http://schemas.openxmlformats.org/officeDocument/2006/relationships/hyperlink" Target="https://www.tga.gov.au/resources/publication/scheduling-decisions-interim" TargetMode="External"/><Relationship Id="rId7" Type="http://schemas.openxmlformats.org/officeDocument/2006/relationships/endnotes" Target="endnotes.xml"/><Relationship Id="rId71" Type="http://schemas.openxmlformats.org/officeDocument/2006/relationships/hyperlink" Target="https://ec.europa.eu/growth/tools-databases/cosing/" TargetMode="External"/><Relationship Id="rId92" Type="http://schemas.openxmlformats.org/officeDocument/2006/relationships/hyperlink" Target="https://www.tga.gov.au/about-tga/advisory-bodies-and-committees/advisory-committee-medicines-scheduling-acms" TargetMode="External"/><Relationship Id="rId2" Type="http://schemas.openxmlformats.org/officeDocument/2006/relationships/numbering" Target="numbering.xml"/><Relationship Id="rId16" Type="http://schemas.openxmlformats.org/officeDocument/2006/relationships/hyperlink" Target="mailto:medicines.scheduling@health.gov.au" TargetMode="External"/><Relationship Id="rId29" Type="http://schemas.openxmlformats.org/officeDocument/2006/relationships/hyperlink" Target="https://echa.europa.eu/search-for-chemicals" TargetMode="External"/><Relationship Id="rId11" Type="http://schemas.openxmlformats.org/officeDocument/2006/relationships/hyperlink" Target="https://www.tga.gov.au/committee/advisory-committee-chemicals-scheduling-accs" TargetMode="External"/><Relationship Id="rId24" Type="http://schemas.openxmlformats.org/officeDocument/2006/relationships/hyperlink" Target="https://apvma.gov.au/node/10946" TargetMode="External"/><Relationship Id="rId32" Type="http://schemas.openxmlformats.org/officeDocument/2006/relationships/hyperlink" Target="https://pesticide-registry.canada.ca/en/active-ingredient-search.html" TargetMode="External"/><Relationship Id="rId37" Type="http://schemas.openxmlformats.org/officeDocument/2006/relationships/hyperlink" Target="https://services.industrialchemicals.gov.au/search-inventory/" TargetMode="External"/><Relationship Id="rId40" Type="http://schemas.openxmlformats.org/officeDocument/2006/relationships/hyperlink" Target="https://www.epa.govt.nz/database-search/new-zealand-inventory-of-chemicals-nzioc/DatabaseSearchForm/?SiteDatabaseSearchFilters=36&amp;Keyword=acequinocyl&amp;DatabaseType=NZIOC" TargetMode="External"/><Relationship Id="rId45" Type="http://schemas.openxmlformats.org/officeDocument/2006/relationships/hyperlink" Target="https://ec.europa.eu/growth/tools-databases/cosing/" TargetMode="External"/><Relationship Id="rId53" Type="http://schemas.openxmlformats.org/officeDocument/2006/relationships/hyperlink" Target="https://www.industrialchemicals.gov.au/" TargetMode="External"/><Relationship Id="rId58" Type="http://schemas.openxmlformats.org/officeDocument/2006/relationships/hyperlink" Target="https://www.epa.govt.nz/database-search/new-zealand-inventory-of-chemicals-nzioc/view/795B2AC2-C1CD-4424-BDD5-B16EC8EE5361" TargetMode="External"/><Relationship Id="rId66" Type="http://schemas.openxmlformats.org/officeDocument/2006/relationships/hyperlink" Target="https://www.legislation.gov.au/Series/F2021L01888" TargetMode="External"/><Relationship Id="rId74" Type="http://schemas.openxmlformats.org/officeDocument/2006/relationships/hyperlink" Target="https://compliance.health.gov.au/artg/" TargetMode="External"/><Relationship Id="rId79" Type="http://schemas.openxmlformats.org/officeDocument/2006/relationships/hyperlink" Target="https://portal.apvma.gov.au/pubcris" TargetMode="External"/><Relationship Id="rId87" Type="http://schemas.openxmlformats.org/officeDocument/2006/relationships/hyperlink" Target="https://pesticide-registry.canada.ca/en/active-ingredient-search.html" TargetMode="External"/><Relationship Id="rId5" Type="http://schemas.openxmlformats.org/officeDocument/2006/relationships/webSettings" Target="webSettings.xml"/><Relationship Id="rId61" Type="http://schemas.openxmlformats.org/officeDocument/2006/relationships/hyperlink" Target="https://www.industrialchemicals.gov.au/sites/default/files/2024-06/EVA00146%20-%20Evaluation%20Statement%20-%2026%20June%202024.pdf" TargetMode="External"/><Relationship Id="rId82" Type="http://schemas.openxmlformats.org/officeDocument/2006/relationships/hyperlink" Target="https://iaspub.epa.gov/apex/pesticides/f?p=CHEMICALSEARCH:1:" TargetMode="External"/><Relationship Id="rId90" Type="http://schemas.openxmlformats.org/officeDocument/2006/relationships/hyperlink" Target="https://consultations.tga.gov.au/" TargetMode="External"/><Relationship Id="rId95" Type="http://schemas.openxmlformats.org/officeDocument/2006/relationships/footer" Target="footer1.xml"/><Relationship Id="rId19" Type="http://schemas.openxmlformats.org/officeDocument/2006/relationships/hyperlink" Target="https://www.legislation.gov.au/Search/Therapeutic%20Goods%20$LB$Permissible%20Ingredients$RB$%20Determination" TargetMode="External"/><Relationship Id="rId14" Type="http://schemas.openxmlformats.org/officeDocument/2006/relationships/hyperlink" Target="https://www.tga.gov.au/committee/advisory-committee-medicines-scheduling-acms" TargetMode="External"/><Relationship Id="rId22" Type="http://schemas.openxmlformats.org/officeDocument/2006/relationships/hyperlink" Target="https://apps.tga.gov.au/Prod/daen/daen-entry.aspx" TargetMode="External"/><Relationship Id="rId27" Type="http://schemas.openxmlformats.org/officeDocument/2006/relationships/hyperlink" Target="https://www.accessdata.fda.gov/scripts/cder/daf/" TargetMode="External"/><Relationship Id="rId30" Type="http://schemas.openxmlformats.org/officeDocument/2006/relationships/hyperlink" Target="https://ec.europa.eu/growth/tools-databases/cosing/" TargetMode="External"/><Relationship Id="rId35" Type="http://schemas.openxmlformats.org/officeDocument/2006/relationships/hyperlink" Target="https://www.ebs.tga.gov.au/" TargetMode="External"/><Relationship Id="rId43" Type="http://schemas.openxmlformats.org/officeDocument/2006/relationships/hyperlink" Target="https://portal.apvma.gov.au/pubcris" TargetMode="External"/><Relationship Id="rId48" Type="http://schemas.openxmlformats.org/officeDocument/2006/relationships/hyperlink" Target="https://www.industrialchemicals.gov.au/sites/default/files/2024-04/EVA00130%20-%20Draft%20Evaluation%20Statement%20-%2015%20April%202024.pdf" TargetMode="External"/><Relationship Id="rId56" Type="http://schemas.openxmlformats.org/officeDocument/2006/relationships/hyperlink" Target="https://ec.europa.eu/food/plant/pesticides/eu-pesticides-database/start/screen/active-substances" TargetMode="External"/><Relationship Id="rId64" Type="http://schemas.openxmlformats.org/officeDocument/2006/relationships/hyperlink" Target="https://www.legislation.gov.au/F2024L01196/asmade/text" TargetMode="External"/><Relationship Id="rId69" Type="http://schemas.openxmlformats.org/officeDocument/2006/relationships/hyperlink" Target="https://www.apvma.gov.au/regulation/adverse-experience-reporting-program/adverse-experience-reporting-program-annual-reports" TargetMode="External"/><Relationship Id="rId77" Type="http://schemas.openxmlformats.org/officeDocument/2006/relationships/hyperlink" Target="https://www.legislation.gov.au/Details/F2021L01888" TargetMode="External"/><Relationship Id="rId100" Type="http://schemas.openxmlformats.org/officeDocument/2006/relationships/fontTable" Target="fontTable.xml"/><Relationship Id="rId8" Type="http://schemas.openxmlformats.org/officeDocument/2006/relationships/hyperlink" Target="mailto:tga.copyright@tga.gov.au" TargetMode="External"/><Relationship Id="rId51" Type="http://schemas.openxmlformats.org/officeDocument/2006/relationships/hyperlink" Target="https://portal.apvma.gov.au/pubcris" TargetMode="External"/><Relationship Id="rId72" Type="http://schemas.openxmlformats.org/officeDocument/2006/relationships/hyperlink" Target="https://www.epa.govt.nz/database-search/new-zealand-inventory-of-chemicals-nzioc/view/B896B12F-644F-4113-AA64-BA7E94DB77A5" TargetMode="External"/><Relationship Id="rId80" Type="http://schemas.openxmlformats.org/officeDocument/2006/relationships/hyperlink" Target="https://apvma.gov.au/node/10946" TargetMode="External"/><Relationship Id="rId85" Type="http://schemas.openxmlformats.org/officeDocument/2006/relationships/hyperlink" Target="https://www.epa.govt.nz/database-search/new-zealand-inventory-of-chemicals-nzioc/DatabaseSearchForm/?SiteDatabaseSearchFilters=36&amp;Keyword=acequinocyl&amp;DatabaseType=NZIOC" TargetMode="External"/><Relationship Id="rId93" Type="http://schemas.openxmlformats.org/officeDocument/2006/relationships/hyperlink" Target="https://www.tga.gov.au/resources/publication/scheduling-submissions" TargetMode="External"/><Relationship Id="rId98"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medicines.scheduling@health.gov.au" TargetMode="External"/><Relationship Id="rId17" Type="http://schemas.openxmlformats.org/officeDocument/2006/relationships/hyperlink" Target="https://www.ebs.tga.gov.au/" TargetMode="External"/><Relationship Id="rId25" Type="http://schemas.openxmlformats.org/officeDocument/2006/relationships/hyperlink" Target="https://services.industrialchemicals.gov.au/search-inventory/" TargetMode="External"/><Relationship Id="rId33" Type="http://schemas.openxmlformats.org/officeDocument/2006/relationships/hyperlink" Target="https://health-products.canada.ca/dpd-bdpp/index-eng.jsp" TargetMode="External"/><Relationship Id="rId38" Type="http://schemas.openxmlformats.org/officeDocument/2006/relationships/hyperlink" Target="https://ec.europa.eu/growth/tools-databases/cosing/" TargetMode="External"/><Relationship Id="rId46" Type="http://schemas.openxmlformats.org/officeDocument/2006/relationships/hyperlink" Target="https://www.canada.ca/en/health-canada/services/consumer-product-safety/cosmetics/cosmetic-ingredient-hotlist-prohibited-restricted-ingredients/hotlist.html" TargetMode="External"/><Relationship Id="rId59" Type="http://schemas.openxmlformats.org/officeDocument/2006/relationships/hyperlink" Target="https://www.ajcsd.org/chrip_search/cmpInfDsp?cid=C012-036-56A&amp;bcPtn=0&amp;shMd=0&amp;txNumSh=NDY4Ny05NC05&amp;ltNumTp=1&amp;ltNumMh=0&amp;txNmSh=&amp;ltNmTp=&amp;ltNmMh=1&amp;txNmSh1=&amp;ltNmTp1=&amp;txNmSh2=&amp;ltNmTp2=&amp;txNmSh3=&amp;ltNmTp3=&amp;txMlSh=&amp;ltMlMh=0&amp;ltScDp=0&amp;ltPgCtSt=100&amp;rbDp=0&amp;txScSML=&amp;txScSML2=&amp;ltScTp=1&amp;txUpScFl=null&amp;hdUpScPh=&amp;hdUpHash=&amp;rbScMh=1&amp;txScNyMh=&amp;txMlWtSt=&amp;txMlWtEd=&amp;err=" TargetMode="External"/><Relationship Id="rId67" Type="http://schemas.openxmlformats.org/officeDocument/2006/relationships/hyperlink" Target="https://services.industrialchemicals.gov.au/search-inventory/" TargetMode="External"/><Relationship Id="rId20" Type="http://schemas.openxmlformats.org/officeDocument/2006/relationships/hyperlink" Target="https://www.tga.gov.au/prescribing-medicines-pregnancy-database" TargetMode="External"/><Relationship Id="rId41" Type="http://schemas.openxmlformats.org/officeDocument/2006/relationships/hyperlink" Target="https://www.industrialchemicals.gov.au/sites/default/files/2024-06/EVA00141%20-%20Evaluation%20Statement%20-%2026%20June%202024.pdf" TargetMode="External"/><Relationship Id="rId54" Type="http://schemas.openxmlformats.org/officeDocument/2006/relationships/hyperlink" Target="https://echa.europa.eu/substance-information/-/substanceinfo/100.014.880" TargetMode="External"/><Relationship Id="rId62" Type="http://schemas.openxmlformats.org/officeDocument/2006/relationships/hyperlink" Target="http://www.ebs.tga.gov.au" TargetMode="External"/><Relationship Id="rId70" Type="http://schemas.openxmlformats.org/officeDocument/2006/relationships/hyperlink" Target="https://iaspub.epa.gov/apex/pesticides/f?p=CHEMICALSEARCH:1:" TargetMode="External"/><Relationship Id="rId75" Type="http://schemas.openxmlformats.org/officeDocument/2006/relationships/hyperlink" Target="https://www.legislation.gov.au/F2024L01196/asmade/text" TargetMode="External"/><Relationship Id="rId83" Type="http://schemas.openxmlformats.org/officeDocument/2006/relationships/hyperlink" Target="https://www.accessdata.fda.gov/scripts/cder/daf/" TargetMode="External"/><Relationship Id="rId88" Type="http://schemas.openxmlformats.org/officeDocument/2006/relationships/hyperlink" Target="file:///C:\Users\chakap\AppData\Roaming\Micro%20focus\content%20manager\TRIM\TEMP\HPTRIM.16252\hpra.ie" TargetMode="External"/><Relationship Id="rId91" Type="http://schemas.openxmlformats.org/officeDocument/2006/relationships/hyperlink" Target="https://www.tga.gov.au/about-tga/advisory-bodies-and-committees/advisory-committee-chemicals-scheduling-accs"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committee/advisory-committee-chemicals-scheduling-accs" TargetMode="External"/><Relationship Id="rId23" Type="http://schemas.openxmlformats.org/officeDocument/2006/relationships/hyperlink" Target="https://portal.apvma.gov.au/pubcris" TargetMode="External"/><Relationship Id="rId28" Type="http://schemas.openxmlformats.org/officeDocument/2006/relationships/hyperlink" Target="https://precision.fda.gov/uniisearch" TargetMode="External"/><Relationship Id="rId36" Type="http://schemas.openxmlformats.org/officeDocument/2006/relationships/hyperlink" Target="https://portal.apvma.gov.au/pubcris" TargetMode="External"/><Relationship Id="rId49" Type="http://schemas.openxmlformats.org/officeDocument/2006/relationships/hyperlink" Target="https://cir-safety.org/" TargetMode="External"/><Relationship Id="rId57" Type="http://schemas.openxmlformats.org/officeDocument/2006/relationships/hyperlink" Target="https://pesticide-registry.canada.ca/en/active-ingredient-search.html" TargetMode="External"/><Relationship Id="rId10" Type="http://schemas.openxmlformats.org/officeDocument/2006/relationships/hyperlink" Target="https://www.tga.gov.au/committee/advisory-committee-medicines-scheduling-acms" TargetMode="External"/><Relationship Id="rId31" Type="http://schemas.openxmlformats.org/officeDocument/2006/relationships/hyperlink" Target="https://products.mhra.gov.uk/substance/?substance=SODIUM%20HYDROXIDE" TargetMode="External"/><Relationship Id="rId44" Type="http://schemas.openxmlformats.org/officeDocument/2006/relationships/hyperlink" Target="https://services.industrialchemicals.gov.au/search-inventory/" TargetMode="External"/><Relationship Id="rId52" Type="http://schemas.openxmlformats.org/officeDocument/2006/relationships/hyperlink" Target="https://apvma.gov.au/node/10946" TargetMode="External"/><Relationship Id="rId60" Type="http://schemas.openxmlformats.org/officeDocument/2006/relationships/hyperlink" Target="https://cir-reports.cir-safety.org/" TargetMode="External"/><Relationship Id="rId65" Type="http://schemas.openxmlformats.org/officeDocument/2006/relationships/hyperlink" Target="https://www.tga.gov.au/products/medicines/find-information-about-medicine/prescribing-medicines-pregnancy-database" TargetMode="External"/><Relationship Id="rId73" Type="http://schemas.openxmlformats.org/officeDocument/2006/relationships/hyperlink" Target="http://www.ebs.tga.gov.au" TargetMode="External"/><Relationship Id="rId78" Type="http://schemas.openxmlformats.org/officeDocument/2006/relationships/hyperlink" Target="https://apps.tga.gov.au/Prod/daen/daen-entry.aspx" TargetMode="External"/><Relationship Id="rId81" Type="http://schemas.openxmlformats.org/officeDocument/2006/relationships/hyperlink" Target="https://www.industrialchemicals.gov.au/" TargetMode="External"/><Relationship Id="rId86" Type="http://schemas.openxmlformats.org/officeDocument/2006/relationships/hyperlink" Target="https://www.medsafe.govt.nz/profs/class/classintro.asp" TargetMode="External"/><Relationship Id="rId94" Type="http://schemas.openxmlformats.org/officeDocument/2006/relationships/header" Target="header1.xm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sultations.tga.gov.au/tga/november_2021_interim" TargetMode="External"/><Relationship Id="rId13" Type="http://schemas.openxmlformats.org/officeDocument/2006/relationships/hyperlink" Target="https://consultations.tga.gov.au/tga/november_2021_interim" TargetMode="External"/><Relationship Id="rId18" Type="http://schemas.openxmlformats.org/officeDocument/2006/relationships/hyperlink" Target="https://www.tga.gov.au/artg" TargetMode="External"/><Relationship Id="rId39" Type="http://schemas.openxmlformats.org/officeDocument/2006/relationships/hyperlink" Target="https://www.ajcsd.org/chrip_search/cmpInfDsp?cid=C005-148-23A&amp;bcPtn=1&amp;shMd=0&amp;txNumSh=&amp;ltNumTp=1&amp;ltNumMh=0&amp;txNmSh=YnV0YW5vbmUgb3hpbWU=&amp;ltNmTp=&amp;ltNmMh=1&amp;txNmSh1=&amp;ltNmTp1=&amp;txNmSh2=&amp;ltNmTp2=&amp;txNmSh3=&amp;ltNmTp3=&amp;txMlSh=&amp;ltMlMh=0&amp;ltScDp=0&amp;ltPgCtSt=10&amp;rbDp=0&amp;txScSML=&amp;txScSML2=&amp;ltScTp=&amp;txUpScFl=null&amp;hdUpScPh=&amp;hdUpHash=&amp;rbScMh=&amp;txScNyMh=&amp;txMlWtSt=&amp;txMlWtEd=&amp;er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pa.govt.nz/assets/FileAPI/hsno-ar/APP204297/Cosmetic-Products-Group-Standard-2020-consolidated-and-effective-1-January-2026.pdf" TargetMode="External"/><Relationship Id="rId3" Type="http://schemas.openxmlformats.org/officeDocument/2006/relationships/hyperlink" Target="https://www.canada.ca/en/health-canada/services/chemical-substances/challenge/batch-7/butanone-oxime.html" TargetMode="External"/><Relationship Id="rId7" Type="http://schemas.openxmlformats.org/officeDocument/2006/relationships/hyperlink" Target="https://aseancosmetics.org/wp-content/uploads/2019/11/Annex-II_Release_29102019.pdf" TargetMode="External"/><Relationship Id="rId12" Type="http://schemas.openxmlformats.org/officeDocument/2006/relationships/hyperlink" Target="https://incipedia.personalcarecouncil.org/view-attachment/?id=e25a3c2f-8e74-ec11-8943-0022482f06a6" TargetMode="External"/><Relationship Id="rId2" Type="http://schemas.openxmlformats.org/officeDocument/2006/relationships/hyperlink" Target="https://eur-lex.europa.eu/legal-content/EN/TXT/PDF/?uri=CELEX:32023R1132&amp;qid=1695257194956" TargetMode="External"/><Relationship Id="rId1" Type="http://schemas.openxmlformats.org/officeDocument/2006/relationships/hyperlink" Target="https://eur-lex.europa.eu/legal-content/EN/TXT/PDF/?uri=CELEX:32021R2204&amp;qid=1695254096411" TargetMode="External"/><Relationship Id="rId6" Type="http://schemas.openxmlformats.org/officeDocument/2006/relationships/hyperlink" Target="https://echa.europa.eu/pact?p_p_id=disspact_WAR_disspactportlet&amp;p_p_lifecycle=0&amp;_disspact_WAR_disspactportlet_substanceId=100.002.270&amp;_disspact_WAR_disspactportlet_jspPage=%2FdetailsPage%2Fview_detailsPage.jsp" TargetMode="External"/><Relationship Id="rId11" Type="http://schemas.openxmlformats.org/officeDocument/2006/relationships/hyperlink" Target="https://incipedia.personalcarecouncil.org/view-attachment/?id=f876505d-1527-c1b5-9039-df537f4c8677" TargetMode="External"/><Relationship Id="rId5" Type="http://schemas.openxmlformats.org/officeDocument/2006/relationships/hyperlink" Target="https://echa.europa.eu/documents/10162/9ab05762-c9c4-e75e-b41a-9fbacb6f9d88" TargetMode="External"/><Relationship Id="rId10" Type="http://schemas.openxmlformats.org/officeDocument/2006/relationships/hyperlink" Target="https://www.epa.govt.nz/assets/RecordsAPI/2-Butanone_oxime_HSR001191.pdf" TargetMode="External"/><Relationship Id="rId4" Type="http://schemas.openxmlformats.org/officeDocument/2006/relationships/hyperlink" Target="https://echa.europa.eu/search-for-chemicals" TargetMode="External"/><Relationship Id="rId9" Type="http://schemas.openxmlformats.org/officeDocument/2006/relationships/hyperlink" Target="https://www.epa.govt.nz/database-search/new-zealand-inventory-of-chemicals-nzioc/DatabaseSearchForm/?SiteDatabaseSearchFilters=36&amp;Keyword=acequinocyl&amp;DatabaseType=NZIO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C35B-B5AA-45F0-B63D-4405AF65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939</TotalTime>
  <Pages>30</Pages>
  <Words>10265</Words>
  <Characters>58517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CHAKRABARTI, Apratim</cp:lastModifiedBy>
  <cp:revision>265</cp:revision>
  <dcterms:created xsi:type="dcterms:W3CDTF">2025-01-14T03:40:00Z</dcterms:created>
  <dcterms:modified xsi:type="dcterms:W3CDTF">2025-01-16T05:22:00Z</dcterms:modified>
</cp:coreProperties>
</file>