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DA127" w14:textId="77777777" w:rsidR="00F02AEC" w:rsidRDefault="00F02AEC" w:rsidP="00C417B6">
      <w:bookmarkStart w:id="0" w:name="_Hlk165881389"/>
    </w:p>
    <w:p w14:paraId="665C3A2B" w14:textId="77777777" w:rsidR="00F57320" w:rsidRPr="00F57320" w:rsidRDefault="00F57320" w:rsidP="00F57320"/>
    <w:p w14:paraId="7B307E20" w14:textId="017B1C2D" w:rsidR="003D51C5" w:rsidRDefault="00F57320" w:rsidP="003D51C5">
      <w:pPr>
        <w:pStyle w:val="Title"/>
      </w:pPr>
      <w:r w:rsidRPr="00C417B6">
        <w:t xml:space="preserve">Consultation: Proposed amendments to the Poisons Standard </w:t>
      </w:r>
      <w:r w:rsidR="020A595E">
        <w:t xml:space="preserve">in relation to </w:t>
      </w:r>
      <w:r w:rsidR="6A8C7FE8" w:rsidRPr="610D3DA6">
        <w:t>4-methylbenzylidene camphor (4-MBC)</w:t>
      </w:r>
      <w:r w:rsidR="020A595E">
        <w:t xml:space="preserve"> –</w:t>
      </w:r>
      <w:r w:rsidRPr="00C417B6">
        <w:t xml:space="preserve"> Joint ACMS-ACCS </w:t>
      </w:r>
      <w:r w:rsidRPr="001F3CBD">
        <w:t>#</w:t>
      </w:r>
      <w:r w:rsidR="001F3CBD">
        <w:t>45</w:t>
      </w:r>
      <w:r w:rsidRPr="00C417B6">
        <w:t xml:space="preserve"> </w:t>
      </w:r>
      <w:r w:rsidR="3F0668FB">
        <w:t>meeting</w:t>
      </w:r>
      <w:r w:rsidRPr="00C417B6">
        <w:t xml:space="preserve">, </w:t>
      </w:r>
      <w:r w:rsidR="00D716D8">
        <w:t xml:space="preserve">November </w:t>
      </w:r>
      <w:r w:rsidRPr="00C417B6">
        <w:t>20</w:t>
      </w:r>
      <w:r w:rsidR="00D716D8">
        <w:t>26</w:t>
      </w:r>
    </w:p>
    <w:p w14:paraId="0E639128" w14:textId="444DC686" w:rsidR="003D51C5" w:rsidRPr="00F57320" w:rsidRDefault="001F3CBD" w:rsidP="00843AFF">
      <w:pPr>
        <w:pStyle w:val="Subtitle"/>
        <w:spacing w:before="360" w:line="240" w:lineRule="auto"/>
        <w:ind w:left="0"/>
        <w:sectPr w:rsidR="003D51C5" w:rsidRPr="00F57320" w:rsidSect="000D6BB2">
          <w:headerReference w:type="even" r:id="rId11"/>
          <w:headerReference w:type="default" r:id="rId12"/>
          <w:footerReference w:type="even" r:id="rId13"/>
          <w:footerReference w:type="default" r:id="rId14"/>
          <w:headerReference w:type="first" r:id="rId15"/>
          <w:footerReference w:type="first" r:id="rId16"/>
          <w:pgSz w:w="11906" w:h="16838"/>
          <w:pgMar w:top="1006" w:right="1440" w:bottom="1440" w:left="1440" w:header="708" w:footer="708" w:gutter="0"/>
          <w:cols w:space="708"/>
          <w:titlePg/>
          <w:docGrid w:linePitch="360"/>
        </w:sectPr>
      </w:pPr>
      <w:r w:rsidRPr="001F3CBD">
        <w:t>11</w:t>
      </w:r>
      <w:r w:rsidR="00F41EC8" w:rsidRPr="001F3CBD">
        <w:t xml:space="preserve"> </w:t>
      </w:r>
      <w:r w:rsidRPr="001F3CBD">
        <w:t>September</w:t>
      </w:r>
      <w:r w:rsidR="00D716D8" w:rsidRPr="001F3CBD">
        <w:t xml:space="preserve"> 2026</w:t>
      </w:r>
    </w:p>
    <w:p w14:paraId="1CC46501" w14:textId="77777777" w:rsidR="00F02AEC" w:rsidRPr="00BF2FE0" w:rsidRDefault="00F02AEC" w:rsidP="00BF2FE0">
      <w:pPr>
        <w:pStyle w:val="LegalSubheading"/>
        <w:rPr>
          <w:b/>
          <w:bCs/>
        </w:rPr>
      </w:pPr>
      <w:bookmarkStart w:id="1" w:name="_Hlk139891783"/>
      <w:r w:rsidRPr="00BF2FE0">
        <w:rPr>
          <w:b/>
          <w:bCs/>
        </w:rPr>
        <w:lastRenderedPageBreak/>
        <w:t>Copyright</w:t>
      </w:r>
    </w:p>
    <w:p w14:paraId="3563970E" w14:textId="35F753F5" w:rsidR="00930D58" w:rsidRPr="00C417B6" w:rsidRDefault="00F02AEC" w:rsidP="00BF2FE0">
      <w:pPr>
        <w:pStyle w:val="LegalSubheading"/>
      </w:pPr>
      <w:r w:rsidRPr="00C417B6">
        <w:t>© Commonwealth of Australia 202</w:t>
      </w:r>
      <w:r w:rsidR="00170EA1">
        <w:t>6</w:t>
      </w:r>
      <w:r w:rsidRPr="00C417B6">
        <w:br/>
        <w:t xml:space="preserve">This work is copyright. You may reproduce the whole or part of this work in unaltered form for your own personal use or, if you are part of an organisation, for internal use within your organisation, but only if you or your organisation do not use the reproduction for any commercial purpose and retain this copyright notice and all disclaimer notices as part of that reproduction. Apart from rights to use as permitted by the Copyright Act 1968 or allowed by this copyright notice, all other rights are reserved and you are not allowed to reproduce the whole or any part of this work in any way (electronic or otherwise) without first being given specific written permission from the Commonwealth to do so. Requests and inquiries concerning reproduction and rights are to be sent to the TGA Copyright Officer, Therapeutic Goods Administration, PO Box 100, Woden ACT 2606 or emailed to </w:t>
      </w:r>
      <w:hyperlink r:id="rId17" w:history="1">
        <w:r w:rsidR="002C0C6F" w:rsidRPr="004B44EF">
          <w:rPr>
            <w:rStyle w:val="Hyperlink"/>
          </w:rPr>
          <w:t>tga.copyright@tga.gov.au</w:t>
        </w:r>
      </w:hyperlink>
      <w:r w:rsidRPr="00C417B6">
        <w:t>.</w:t>
      </w:r>
    </w:p>
    <w:p w14:paraId="48A6B6B2" w14:textId="77777777" w:rsidR="00175CD8" w:rsidRPr="00C417B6" w:rsidRDefault="00175CD8" w:rsidP="00C417B6"/>
    <w:p w14:paraId="3EBBB6DC" w14:textId="77777777" w:rsidR="0088292E" w:rsidRPr="00BF2FE0" w:rsidRDefault="0088292E" w:rsidP="00BF2FE0">
      <w:pPr>
        <w:pStyle w:val="LegalSubheading"/>
        <w:rPr>
          <w:b/>
          <w:bCs/>
        </w:rPr>
      </w:pPr>
      <w:bookmarkStart w:id="2" w:name="_Hlk139901247"/>
      <w:r w:rsidRPr="00BF2FE0">
        <w:rPr>
          <w:b/>
          <w:bCs/>
        </w:rPr>
        <w:t>Confidentiality</w:t>
      </w:r>
    </w:p>
    <w:p w14:paraId="4262FADA" w14:textId="77777777" w:rsidR="00BF2FE0" w:rsidRDefault="0088292E" w:rsidP="00F41EC8">
      <w:pPr>
        <w:pStyle w:val="LegalSubheading"/>
      </w:pPr>
      <w:r w:rsidRPr="00C417B6">
        <w:t>All submissions received will be placed on the TGA’s Internet site, unless marked confidential. Any confidential material contained within your submission should be provided under a separate cover and clearly marked “IN CONFIDENCE”. Reasons for a claim to confidentiality must be included in the space provided on the TGA submission form. For submission made by individuals, all personal details, other than your name, will be removed from your submission before it is published on the TGA’s Internet site. In addition, a list of parties making submissions will be published. If you do not wish to be identified with your submission you must specifically request this in the space provided on the submission form.</w:t>
      </w:r>
      <w:bookmarkEnd w:id="2"/>
    </w:p>
    <w:p w14:paraId="6A3E4A5F" w14:textId="77777777" w:rsidR="0088292E" w:rsidRPr="00C417B6" w:rsidRDefault="0088292E" w:rsidP="00C417B6"/>
    <w:bookmarkEnd w:id="1" w:displacedByCustomXml="next"/>
    <w:bookmarkStart w:id="3" w:name="_Hlk139892237" w:displacedByCustomXml="next"/>
    <w:sdt>
      <w:sdtPr>
        <w:rPr>
          <w:rFonts w:eastAsiaTheme="minorEastAsia" w:cstheme="minorBidi"/>
          <w:b w:val="0"/>
          <w:color w:val="auto"/>
          <w:sz w:val="20"/>
        </w:rPr>
        <w:id w:val="21514769"/>
        <w:docPartObj>
          <w:docPartGallery w:val="Table of Contents"/>
          <w:docPartUnique/>
        </w:docPartObj>
      </w:sdtPr>
      <w:sdtEndPr/>
      <w:sdtContent>
        <w:p w14:paraId="72B7FBCB" w14:textId="77777777" w:rsidR="00F02AEC" w:rsidRPr="00C417B6" w:rsidRDefault="00F02AEC" w:rsidP="00F41EC8">
          <w:pPr>
            <w:pStyle w:val="NonTOCheading2"/>
          </w:pPr>
          <w:r w:rsidRPr="00C417B6">
            <w:t>Contents</w:t>
          </w:r>
        </w:p>
        <w:p w14:paraId="49133830" w14:textId="297CBC2A" w:rsidR="007E7CC4" w:rsidRDefault="00F02AEC">
          <w:pPr>
            <w:pStyle w:val="TOC1"/>
            <w:rPr>
              <w:rFonts w:asciiTheme="minorHAnsi" w:eastAsiaTheme="minorEastAsia" w:hAnsiTheme="minorHAnsi" w:cstheme="minorBidi"/>
              <w:b w:val="0"/>
              <w:noProof/>
              <w:color w:val="auto"/>
              <w:kern w:val="2"/>
              <w:sz w:val="24"/>
              <w:szCs w:val="24"/>
              <w:lang w:eastAsia="en-AU"/>
              <w14:ligatures w14:val="standardContextual"/>
            </w:rPr>
          </w:pPr>
          <w:r w:rsidRPr="00C417B6">
            <w:fldChar w:fldCharType="begin"/>
          </w:r>
          <w:r w:rsidRPr="00C417B6">
            <w:instrText xml:space="preserve"> TOC \h \z \u \t "Heading 2,1,Heading 3,2,Heading 4,3" </w:instrText>
          </w:r>
          <w:r w:rsidRPr="00C417B6">
            <w:fldChar w:fldCharType="separate"/>
          </w:r>
          <w:hyperlink w:anchor="_Toc239862078" w:history="1">
            <w:r w:rsidR="007E7CC4" w:rsidRPr="00D5515C">
              <w:rPr>
                <w:rStyle w:val="Hyperlink"/>
                <w:noProof/>
              </w:rPr>
              <w:t>About this consultation</w:t>
            </w:r>
            <w:r w:rsidR="007E7CC4">
              <w:rPr>
                <w:noProof/>
                <w:webHidden/>
              </w:rPr>
              <w:tab/>
            </w:r>
            <w:r w:rsidR="007E7CC4">
              <w:rPr>
                <w:noProof/>
                <w:webHidden/>
              </w:rPr>
              <w:fldChar w:fldCharType="begin"/>
            </w:r>
            <w:r w:rsidR="007E7CC4">
              <w:rPr>
                <w:noProof/>
                <w:webHidden/>
              </w:rPr>
              <w:instrText xml:space="preserve"> PAGEREF _Toc239862078 \h </w:instrText>
            </w:r>
            <w:r w:rsidR="007E7CC4">
              <w:rPr>
                <w:noProof/>
                <w:webHidden/>
              </w:rPr>
            </w:r>
            <w:r w:rsidR="007E7CC4">
              <w:rPr>
                <w:noProof/>
                <w:webHidden/>
              </w:rPr>
              <w:fldChar w:fldCharType="separate"/>
            </w:r>
            <w:r w:rsidR="007E7CC4">
              <w:rPr>
                <w:noProof/>
                <w:webHidden/>
              </w:rPr>
              <w:t>4</w:t>
            </w:r>
            <w:r w:rsidR="007E7CC4">
              <w:rPr>
                <w:noProof/>
                <w:webHidden/>
              </w:rPr>
              <w:fldChar w:fldCharType="end"/>
            </w:r>
          </w:hyperlink>
        </w:p>
        <w:p w14:paraId="015F5532" w14:textId="3178F4B8" w:rsidR="007E7CC4" w:rsidRDefault="007E7CC4">
          <w:pPr>
            <w:pStyle w:val="TOC1"/>
            <w:rPr>
              <w:rFonts w:asciiTheme="minorHAnsi" w:eastAsiaTheme="minorEastAsia" w:hAnsiTheme="minorHAnsi" w:cstheme="minorBidi"/>
              <w:b w:val="0"/>
              <w:noProof/>
              <w:color w:val="auto"/>
              <w:kern w:val="2"/>
              <w:sz w:val="24"/>
              <w:szCs w:val="24"/>
              <w:lang w:eastAsia="en-AU"/>
              <w14:ligatures w14:val="standardContextual"/>
            </w:rPr>
          </w:pPr>
          <w:hyperlink w:anchor="_Toc239862079" w:history="1">
            <w:r w:rsidRPr="00D5515C">
              <w:rPr>
                <w:rStyle w:val="Hyperlink"/>
                <w:noProof/>
              </w:rPr>
              <w:t>Preamble</w:t>
            </w:r>
            <w:r>
              <w:rPr>
                <w:noProof/>
                <w:webHidden/>
              </w:rPr>
              <w:tab/>
            </w:r>
            <w:r>
              <w:rPr>
                <w:noProof/>
                <w:webHidden/>
              </w:rPr>
              <w:fldChar w:fldCharType="begin"/>
            </w:r>
            <w:r>
              <w:rPr>
                <w:noProof/>
                <w:webHidden/>
              </w:rPr>
              <w:instrText xml:space="preserve"> PAGEREF _Toc239862079 \h </w:instrText>
            </w:r>
            <w:r>
              <w:rPr>
                <w:noProof/>
                <w:webHidden/>
              </w:rPr>
            </w:r>
            <w:r>
              <w:rPr>
                <w:noProof/>
                <w:webHidden/>
              </w:rPr>
              <w:fldChar w:fldCharType="separate"/>
            </w:r>
            <w:r>
              <w:rPr>
                <w:noProof/>
                <w:webHidden/>
              </w:rPr>
              <w:t>5</w:t>
            </w:r>
            <w:r>
              <w:rPr>
                <w:noProof/>
                <w:webHidden/>
              </w:rPr>
              <w:fldChar w:fldCharType="end"/>
            </w:r>
          </w:hyperlink>
        </w:p>
        <w:p w14:paraId="415404C7" w14:textId="26EBD2EA" w:rsidR="007E7CC4" w:rsidRDefault="007E7CC4">
          <w:pPr>
            <w:pStyle w:val="TOC1"/>
            <w:tabs>
              <w:tab w:val="left" w:pos="425"/>
            </w:tabs>
            <w:rPr>
              <w:rFonts w:asciiTheme="minorHAnsi" w:eastAsiaTheme="minorEastAsia" w:hAnsiTheme="minorHAnsi" w:cstheme="minorBidi"/>
              <w:b w:val="0"/>
              <w:noProof/>
              <w:color w:val="auto"/>
              <w:kern w:val="2"/>
              <w:sz w:val="24"/>
              <w:szCs w:val="24"/>
              <w:lang w:eastAsia="en-AU"/>
              <w14:ligatures w14:val="standardContextual"/>
            </w:rPr>
          </w:pPr>
          <w:hyperlink w:anchor="_Toc239862080" w:history="1">
            <w:r w:rsidRPr="00D5515C">
              <w:rPr>
                <w:rStyle w:val="Hyperlink"/>
                <w:noProof/>
              </w:rPr>
              <w:t>1</w:t>
            </w:r>
            <w:r>
              <w:rPr>
                <w:rFonts w:asciiTheme="minorHAnsi" w:eastAsiaTheme="minorEastAsia" w:hAnsiTheme="minorHAnsi" w:cstheme="minorBidi"/>
                <w:b w:val="0"/>
                <w:noProof/>
                <w:color w:val="auto"/>
                <w:kern w:val="2"/>
                <w:sz w:val="24"/>
                <w:szCs w:val="24"/>
                <w:lang w:eastAsia="en-AU"/>
                <w14:ligatures w14:val="standardContextual"/>
              </w:rPr>
              <w:tab/>
            </w:r>
            <w:r w:rsidRPr="00D5515C">
              <w:rPr>
                <w:rStyle w:val="Hyperlink"/>
                <w:noProof/>
              </w:rPr>
              <w:t>Proposed amendment referred for scheduling advice to the Joint ACMS-ACCS meeting #45</w:t>
            </w:r>
            <w:r>
              <w:rPr>
                <w:noProof/>
                <w:webHidden/>
              </w:rPr>
              <w:tab/>
            </w:r>
            <w:r>
              <w:rPr>
                <w:noProof/>
                <w:webHidden/>
              </w:rPr>
              <w:fldChar w:fldCharType="begin"/>
            </w:r>
            <w:r>
              <w:rPr>
                <w:noProof/>
                <w:webHidden/>
              </w:rPr>
              <w:instrText xml:space="preserve"> PAGEREF _Toc239862080 \h </w:instrText>
            </w:r>
            <w:r>
              <w:rPr>
                <w:noProof/>
                <w:webHidden/>
              </w:rPr>
            </w:r>
            <w:r>
              <w:rPr>
                <w:noProof/>
                <w:webHidden/>
              </w:rPr>
              <w:fldChar w:fldCharType="separate"/>
            </w:r>
            <w:r>
              <w:rPr>
                <w:noProof/>
                <w:webHidden/>
              </w:rPr>
              <w:t>7</w:t>
            </w:r>
            <w:r>
              <w:rPr>
                <w:noProof/>
                <w:webHidden/>
              </w:rPr>
              <w:fldChar w:fldCharType="end"/>
            </w:r>
          </w:hyperlink>
        </w:p>
        <w:p w14:paraId="4F48272D" w14:textId="6D7AF1E9" w:rsidR="007E7CC4" w:rsidRDefault="007E7CC4">
          <w:pPr>
            <w:pStyle w:val="TOC2"/>
            <w:rPr>
              <w:rFonts w:asciiTheme="minorHAnsi" w:eastAsiaTheme="minorEastAsia" w:hAnsiTheme="minorHAnsi" w:cstheme="minorBidi"/>
              <w:noProof/>
              <w:color w:val="auto"/>
              <w:kern w:val="2"/>
              <w:szCs w:val="24"/>
              <w:lang w:eastAsia="en-AU"/>
              <w14:ligatures w14:val="standardContextual"/>
            </w:rPr>
          </w:pPr>
          <w:hyperlink w:anchor="_Toc239862081" w:history="1">
            <w:r w:rsidRPr="00D5515C">
              <w:rPr>
                <w:rStyle w:val="Hyperlink"/>
                <w:noProof/>
              </w:rPr>
              <w:t>1.1 4-Methylbenzylidene Camphor (4-MBC)</w:t>
            </w:r>
            <w:r>
              <w:rPr>
                <w:noProof/>
                <w:webHidden/>
              </w:rPr>
              <w:tab/>
            </w:r>
            <w:r>
              <w:rPr>
                <w:noProof/>
                <w:webHidden/>
              </w:rPr>
              <w:fldChar w:fldCharType="begin"/>
            </w:r>
            <w:r>
              <w:rPr>
                <w:noProof/>
                <w:webHidden/>
              </w:rPr>
              <w:instrText xml:space="preserve"> PAGEREF _Toc239862081 \h </w:instrText>
            </w:r>
            <w:r>
              <w:rPr>
                <w:noProof/>
                <w:webHidden/>
              </w:rPr>
            </w:r>
            <w:r>
              <w:rPr>
                <w:noProof/>
                <w:webHidden/>
              </w:rPr>
              <w:fldChar w:fldCharType="separate"/>
            </w:r>
            <w:r>
              <w:rPr>
                <w:noProof/>
                <w:webHidden/>
              </w:rPr>
              <w:t>7</w:t>
            </w:r>
            <w:r>
              <w:rPr>
                <w:noProof/>
                <w:webHidden/>
              </w:rPr>
              <w:fldChar w:fldCharType="end"/>
            </w:r>
          </w:hyperlink>
        </w:p>
        <w:p w14:paraId="1E13C955" w14:textId="1D811724" w:rsidR="007E7CC4" w:rsidRDefault="007E7CC4">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862082" w:history="1">
            <w:r w:rsidRPr="00D5515C">
              <w:rPr>
                <w:rStyle w:val="Hyperlink"/>
                <w:noProof/>
              </w:rPr>
              <w:t>Delegate’s proposal</w:t>
            </w:r>
            <w:r>
              <w:rPr>
                <w:noProof/>
                <w:webHidden/>
              </w:rPr>
              <w:tab/>
            </w:r>
            <w:r>
              <w:rPr>
                <w:noProof/>
                <w:webHidden/>
              </w:rPr>
              <w:fldChar w:fldCharType="begin"/>
            </w:r>
            <w:r>
              <w:rPr>
                <w:noProof/>
                <w:webHidden/>
              </w:rPr>
              <w:instrText xml:space="preserve"> PAGEREF _Toc239862082 \h </w:instrText>
            </w:r>
            <w:r>
              <w:rPr>
                <w:noProof/>
                <w:webHidden/>
              </w:rPr>
            </w:r>
            <w:r>
              <w:rPr>
                <w:noProof/>
                <w:webHidden/>
              </w:rPr>
              <w:fldChar w:fldCharType="separate"/>
            </w:r>
            <w:r>
              <w:rPr>
                <w:noProof/>
                <w:webHidden/>
              </w:rPr>
              <w:t>7</w:t>
            </w:r>
            <w:r>
              <w:rPr>
                <w:noProof/>
                <w:webHidden/>
              </w:rPr>
              <w:fldChar w:fldCharType="end"/>
            </w:r>
          </w:hyperlink>
        </w:p>
        <w:p w14:paraId="781F8F80" w14:textId="4307EFD5" w:rsidR="007E7CC4" w:rsidRDefault="007E7CC4">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862083" w:history="1">
            <w:r w:rsidRPr="00D5515C">
              <w:rPr>
                <w:rStyle w:val="Hyperlink"/>
                <w:noProof/>
              </w:rPr>
              <w:t>Applicants’ proposal</w:t>
            </w:r>
            <w:r>
              <w:rPr>
                <w:noProof/>
                <w:webHidden/>
              </w:rPr>
              <w:tab/>
            </w:r>
            <w:r>
              <w:rPr>
                <w:noProof/>
                <w:webHidden/>
              </w:rPr>
              <w:fldChar w:fldCharType="begin"/>
            </w:r>
            <w:r>
              <w:rPr>
                <w:noProof/>
                <w:webHidden/>
              </w:rPr>
              <w:instrText xml:space="preserve"> PAGEREF _Toc239862083 \h </w:instrText>
            </w:r>
            <w:r>
              <w:rPr>
                <w:noProof/>
                <w:webHidden/>
              </w:rPr>
            </w:r>
            <w:r>
              <w:rPr>
                <w:noProof/>
                <w:webHidden/>
              </w:rPr>
              <w:fldChar w:fldCharType="separate"/>
            </w:r>
            <w:r>
              <w:rPr>
                <w:noProof/>
                <w:webHidden/>
              </w:rPr>
              <w:t>8</w:t>
            </w:r>
            <w:r>
              <w:rPr>
                <w:noProof/>
                <w:webHidden/>
              </w:rPr>
              <w:fldChar w:fldCharType="end"/>
            </w:r>
          </w:hyperlink>
        </w:p>
        <w:p w14:paraId="6DD12898" w14:textId="6F4416FE" w:rsidR="007E7CC4" w:rsidRDefault="007E7CC4">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862084" w:history="1">
            <w:r w:rsidRPr="00D5515C">
              <w:rPr>
                <w:rStyle w:val="Hyperlink"/>
                <w:noProof/>
              </w:rPr>
              <w:t>CAS Number</w:t>
            </w:r>
            <w:r>
              <w:rPr>
                <w:noProof/>
                <w:webHidden/>
              </w:rPr>
              <w:tab/>
            </w:r>
            <w:r>
              <w:rPr>
                <w:noProof/>
                <w:webHidden/>
              </w:rPr>
              <w:fldChar w:fldCharType="begin"/>
            </w:r>
            <w:r>
              <w:rPr>
                <w:noProof/>
                <w:webHidden/>
              </w:rPr>
              <w:instrText xml:space="preserve"> PAGEREF _Toc239862084 \h </w:instrText>
            </w:r>
            <w:r>
              <w:rPr>
                <w:noProof/>
                <w:webHidden/>
              </w:rPr>
            </w:r>
            <w:r>
              <w:rPr>
                <w:noProof/>
                <w:webHidden/>
              </w:rPr>
              <w:fldChar w:fldCharType="separate"/>
            </w:r>
            <w:r>
              <w:rPr>
                <w:noProof/>
                <w:webHidden/>
              </w:rPr>
              <w:t>9</w:t>
            </w:r>
            <w:r>
              <w:rPr>
                <w:noProof/>
                <w:webHidden/>
              </w:rPr>
              <w:fldChar w:fldCharType="end"/>
            </w:r>
          </w:hyperlink>
        </w:p>
        <w:p w14:paraId="0C0F3C3E" w14:textId="1AFBB8DD" w:rsidR="007E7CC4" w:rsidRDefault="007E7CC4">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862085" w:history="1">
            <w:r w:rsidRPr="00D5515C">
              <w:rPr>
                <w:rStyle w:val="Hyperlink"/>
                <w:noProof/>
              </w:rPr>
              <w:t>Alternative names</w:t>
            </w:r>
            <w:r>
              <w:rPr>
                <w:noProof/>
                <w:webHidden/>
              </w:rPr>
              <w:tab/>
            </w:r>
            <w:r>
              <w:rPr>
                <w:noProof/>
                <w:webHidden/>
              </w:rPr>
              <w:fldChar w:fldCharType="begin"/>
            </w:r>
            <w:r>
              <w:rPr>
                <w:noProof/>
                <w:webHidden/>
              </w:rPr>
              <w:instrText xml:space="preserve"> PAGEREF _Toc239862085 \h </w:instrText>
            </w:r>
            <w:r>
              <w:rPr>
                <w:noProof/>
                <w:webHidden/>
              </w:rPr>
            </w:r>
            <w:r>
              <w:rPr>
                <w:noProof/>
                <w:webHidden/>
              </w:rPr>
              <w:fldChar w:fldCharType="separate"/>
            </w:r>
            <w:r>
              <w:rPr>
                <w:noProof/>
                <w:webHidden/>
              </w:rPr>
              <w:t>9</w:t>
            </w:r>
            <w:r>
              <w:rPr>
                <w:noProof/>
                <w:webHidden/>
              </w:rPr>
              <w:fldChar w:fldCharType="end"/>
            </w:r>
          </w:hyperlink>
        </w:p>
        <w:p w14:paraId="3F86D517" w14:textId="190AF017" w:rsidR="007E7CC4" w:rsidRDefault="007E7CC4">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862086" w:history="1">
            <w:r w:rsidRPr="00D5515C">
              <w:rPr>
                <w:rStyle w:val="Hyperlink"/>
                <w:noProof/>
              </w:rPr>
              <w:t>Key uses / expected use</w:t>
            </w:r>
            <w:r>
              <w:rPr>
                <w:noProof/>
                <w:webHidden/>
              </w:rPr>
              <w:tab/>
            </w:r>
            <w:r>
              <w:rPr>
                <w:noProof/>
                <w:webHidden/>
              </w:rPr>
              <w:fldChar w:fldCharType="begin"/>
            </w:r>
            <w:r>
              <w:rPr>
                <w:noProof/>
                <w:webHidden/>
              </w:rPr>
              <w:instrText xml:space="preserve"> PAGEREF _Toc239862086 \h </w:instrText>
            </w:r>
            <w:r>
              <w:rPr>
                <w:noProof/>
                <w:webHidden/>
              </w:rPr>
            </w:r>
            <w:r>
              <w:rPr>
                <w:noProof/>
                <w:webHidden/>
              </w:rPr>
              <w:fldChar w:fldCharType="separate"/>
            </w:r>
            <w:r>
              <w:rPr>
                <w:noProof/>
                <w:webHidden/>
              </w:rPr>
              <w:t>9</w:t>
            </w:r>
            <w:r>
              <w:rPr>
                <w:noProof/>
                <w:webHidden/>
              </w:rPr>
              <w:fldChar w:fldCharType="end"/>
            </w:r>
          </w:hyperlink>
        </w:p>
        <w:p w14:paraId="32A9A088" w14:textId="21A505AF" w:rsidR="007E7CC4" w:rsidRDefault="007E7CC4">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862087" w:history="1">
            <w:r w:rsidRPr="00D5515C">
              <w:rPr>
                <w:rStyle w:val="Hyperlink"/>
                <w:noProof/>
              </w:rPr>
              <w:t>Australian regulations</w:t>
            </w:r>
            <w:r>
              <w:rPr>
                <w:noProof/>
                <w:webHidden/>
              </w:rPr>
              <w:tab/>
            </w:r>
            <w:r>
              <w:rPr>
                <w:noProof/>
                <w:webHidden/>
              </w:rPr>
              <w:fldChar w:fldCharType="begin"/>
            </w:r>
            <w:r>
              <w:rPr>
                <w:noProof/>
                <w:webHidden/>
              </w:rPr>
              <w:instrText xml:space="preserve"> PAGEREF _Toc239862087 \h </w:instrText>
            </w:r>
            <w:r>
              <w:rPr>
                <w:noProof/>
                <w:webHidden/>
              </w:rPr>
            </w:r>
            <w:r>
              <w:rPr>
                <w:noProof/>
                <w:webHidden/>
              </w:rPr>
              <w:fldChar w:fldCharType="separate"/>
            </w:r>
            <w:r>
              <w:rPr>
                <w:noProof/>
                <w:webHidden/>
              </w:rPr>
              <w:t>9</w:t>
            </w:r>
            <w:r>
              <w:rPr>
                <w:noProof/>
                <w:webHidden/>
              </w:rPr>
              <w:fldChar w:fldCharType="end"/>
            </w:r>
          </w:hyperlink>
        </w:p>
        <w:p w14:paraId="30805EB1" w14:textId="3B82D4CC" w:rsidR="007E7CC4" w:rsidRDefault="007E7CC4">
          <w:pPr>
            <w:pStyle w:val="TOC3"/>
            <w:rPr>
              <w:rFonts w:asciiTheme="minorHAnsi" w:eastAsiaTheme="minorEastAsia" w:hAnsiTheme="minorHAnsi" w:cstheme="minorBidi"/>
              <w:noProof/>
              <w:color w:val="auto"/>
              <w:kern w:val="2"/>
              <w:sz w:val="24"/>
              <w:szCs w:val="24"/>
              <w:lang w:eastAsia="en-AU"/>
              <w14:ligatures w14:val="standardContextual"/>
            </w:rPr>
          </w:pPr>
          <w:hyperlink w:anchor="_Toc239862088" w:history="1">
            <w:r w:rsidRPr="00D5515C">
              <w:rPr>
                <w:rStyle w:val="Hyperlink"/>
                <w:noProof/>
              </w:rPr>
              <w:t>International regulations</w:t>
            </w:r>
            <w:r>
              <w:rPr>
                <w:noProof/>
                <w:webHidden/>
              </w:rPr>
              <w:tab/>
            </w:r>
            <w:r>
              <w:rPr>
                <w:noProof/>
                <w:webHidden/>
              </w:rPr>
              <w:fldChar w:fldCharType="begin"/>
            </w:r>
            <w:r>
              <w:rPr>
                <w:noProof/>
                <w:webHidden/>
              </w:rPr>
              <w:instrText xml:space="preserve"> PAGEREF _Toc239862088 \h </w:instrText>
            </w:r>
            <w:r>
              <w:rPr>
                <w:noProof/>
                <w:webHidden/>
              </w:rPr>
            </w:r>
            <w:r>
              <w:rPr>
                <w:noProof/>
                <w:webHidden/>
              </w:rPr>
              <w:fldChar w:fldCharType="separate"/>
            </w:r>
            <w:r>
              <w:rPr>
                <w:noProof/>
                <w:webHidden/>
              </w:rPr>
              <w:t>10</w:t>
            </w:r>
            <w:r>
              <w:rPr>
                <w:noProof/>
                <w:webHidden/>
              </w:rPr>
              <w:fldChar w:fldCharType="end"/>
            </w:r>
          </w:hyperlink>
        </w:p>
        <w:p w14:paraId="47BD8B9C" w14:textId="685D6BB7" w:rsidR="007E7CC4" w:rsidRDefault="007E7CC4">
          <w:pPr>
            <w:pStyle w:val="TOC1"/>
            <w:rPr>
              <w:rFonts w:asciiTheme="minorHAnsi" w:eastAsiaTheme="minorEastAsia" w:hAnsiTheme="minorHAnsi" w:cstheme="minorBidi"/>
              <w:b w:val="0"/>
              <w:noProof/>
              <w:color w:val="auto"/>
              <w:kern w:val="2"/>
              <w:sz w:val="24"/>
              <w:szCs w:val="24"/>
              <w:lang w:eastAsia="en-AU"/>
              <w14:ligatures w14:val="standardContextual"/>
            </w:rPr>
          </w:pPr>
          <w:hyperlink w:anchor="_Toc239862089" w:history="1">
            <w:r w:rsidRPr="00D5515C">
              <w:rPr>
                <w:rStyle w:val="Hyperlink"/>
                <w:noProof/>
              </w:rPr>
              <w:t>How to respond</w:t>
            </w:r>
            <w:r>
              <w:rPr>
                <w:noProof/>
                <w:webHidden/>
              </w:rPr>
              <w:tab/>
            </w:r>
            <w:r>
              <w:rPr>
                <w:noProof/>
                <w:webHidden/>
              </w:rPr>
              <w:fldChar w:fldCharType="begin"/>
            </w:r>
            <w:r>
              <w:rPr>
                <w:noProof/>
                <w:webHidden/>
              </w:rPr>
              <w:instrText xml:space="preserve"> PAGEREF _Toc239862089 \h </w:instrText>
            </w:r>
            <w:r>
              <w:rPr>
                <w:noProof/>
                <w:webHidden/>
              </w:rPr>
            </w:r>
            <w:r>
              <w:rPr>
                <w:noProof/>
                <w:webHidden/>
              </w:rPr>
              <w:fldChar w:fldCharType="separate"/>
            </w:r>
            <w:r>
              <w:rPr>
                <w:noProof/>
                <w:webHidden/>
              </w:rPr>
              <w:t>10</w:t>
            </w:r>
            <w:r>
              <w:rPr>
                <w:noProof/>
                <w:webHidden/>
              </w:rPr>
              <w:fldChar w:fldCharType="end"/>
            </w:r>
          </w:hyperlink>
        </w:p>
        <w:p w14:paraId="4DA1BB4F" w14:textId="3334186B" w:rsidR="007E7CC4" w:rsidRDefault="007E7CC4">
          <w:pPr>
            <w:pStyle w:val="TOC1"/>
            <w:rPr>
              <w:rFonts w:asciiTheme="minorHAnsi" w:eastAsiaTheme="minorEastAsia" w:hAnsiTheme="minorHAnsi" w:cstheme="minorBidi"/>
              <w:b w:val="0"/>
              <w:noProof/>
              <w:color w:val="auto"/>
              <w:kern w:val="2"/>
              <w:sz w:val="24"/>
              <w:szCs w:val="24"/>
              <w:lang w:eastAsia="en-AU"/>
              <w14:ligatures w14:val="standardContextual"/>
            </w:rPr>
          </w:pPr>
          <w:hyperlink w:anchor="_Toc239862090" w:history="1">
            <w:r w:rsidRPr="00D5515C">
              <w:rPr>
                <w:rStyle w:val="Hyperlink"/>
                <w:noProof/>
              </w:rPr>
              <w:t>What will happen</w:t>
            </w:r>
            <w:r>
              <w:rPr>
                <w:noProof/>
                <w:webHidden/>
              </w:rPr>
              <w:tab/>
            </w:r>
            <w:r>
              <w:rPr>
                <w:noProof/>
                <w:webHidden/>
              </w:rPr>
              <w:fldChar w:fldCharType="begin"/>
            </w:r>
            <w:r>
              <w:rPr>
                <w:noProof/>
                <w:webHidden/>
              </w:rPr>
              <w:instrText xml:space="preserve"> PAGEREF _Toc239862090 \h </w:instrText>
            </w:r>
            <w:r>
              <w:rPr>
                <w:noProof/>
                <w:webHidden/>
              </w:rPr>
            </w:r>
            <w:r>
              <w:rPr>
                <w:noProof/>
                <w:webHidden/>
              </w:rPr>
              <w:fldChar w:fldCharType="separate"/>
            </w:r>
            <w:r>
              <w:rPr>
                <w:noProof/>
                <w:webHidden/>
              </w:rPr>
              <w:t>11</w:t>
            </w:r>
            <w:r>
              <w:rPr>
                <w:noProof/>
                <w:webHidden/>
              </w:rPr>
              <w:fldChar w:fldCharType="end"/>
            </w:r>
          </w:hyperlink>
        </w:p>
        <w:p w14:paraId="58D2A9A2" w14:textId="509BA528" w:rsidR="00F02AEC" w:rsidRPr="00C417B6" w:rsidRDefault="00F02AEC" w:rsidP="00C417B6">
          <w:r w:rsidRPr="00C417B6">
            <w:fldChar w:fldCharType="end"/>
          </w:r>
        </w:p>
      </w:sdtContent>
    </w:sdt>
    <w:bookmarkEnd w:id="3" w:displacedByCustomXml="prev"/>
    <w:p w14:paraId="24C28624" w14:textId="77777777" w:rsidR="00F02AEC" w:rsidRPr="00C417B6" w:rsidRDefault="00F02AEC" w:rsidP="00C417B6">
      <w:r w:rsidRPr="00C417B6">
        <w:br w:type="page"/>
      </w:r>
    </w:p>
    <w:p w14:paraId="55A0E832" w14:textId="77777777" w:rsidR="00F02AEC" w:rsidRPr="00C417B6" w:rsidRDefault="00685E72" w:rsidP="00395107">
      <w:pPr>
        <w:pStyle w:val="Heading2"/>
      </w:pPr>
      <w:bookmarkStart w:id="4" w:name="_Toc239862078"/>
      <w:bookmarkStart w:id="5" w:name="_Hlk139892263"/>
      <w:r w:rsidRPr="00C417B6">
        <w:lastRenderedPageBreak/>
        <w:t>About this consultation</w:t>
      </w:r>
      <w:bookmarkEnd w:id="4"/>
    </w:p>
    <w:p w14:paraId="18F8AD31" w14:textId="4A6422C3" w:rsidR="00685E72" w:rsidRPr="00C417B6" w:rsidRDefault="00685E72" w:rsidP="00F53761">
      <w:bookmarkStart w:id="6" w:name="_Toc323739591"/>
      <w:bookmarkStart w:id="7" w:name="_Toc356305218"/>
      <w:r w:rsidRPr="00C417B6">
        <w:t>Subdivision 3D.2 of the </w:t>
      </w:r>
      <w:r w:rsidRPr="00F774D1">
        <w:rPr>
          <w:i/>
        </w:rPr>
        <w:t>Therapeutic Goods Regulations</w:t>
      </w:r>
      <w:r w:rsidR="00F774D1" w:rsidRPr="00F774D1">
        <w:rPr>
          <w:i/>
          <w:iCs/>
        </w:rPr>
        <w:t>,</w:t>
      </w:r>
      <w:r w:rsidRPr="00F774D1">
        <w:rPr>
          <w:i/>
        </w:rPr>
        <w:t xml:space="preserve"> 1990</w:t>
      </w:r>
      <w:r w:rsidRPr="00C417B6">
        <w:t> (the Regulations) sets out the procedure to be followed where the Secretary receives an application under section 52EAA of the </w:t>
      </w:r>
      <w:r w:rsidRPr="00F774D1">
        <w:rPr>
          <w:i/>
        </w:rPr>
        <w:t>Therapeutic Goods Act</w:t>
      </w:r>
      <w:r w:rsidR="00F774D1" w:rsidRPr="00F774D1">
        <w:rPr>
          <w:i/>
          <w:iCs/>
        </w:rPr>
        <w:t>,</w:t>
      </w:r>
      <w:r w:rsidRPr="00F774D1">
        <w:rPr>
          <w:i/>
        </w:rPr>
        <w:t xml:space="preserve"> 1989</w:t>
      </w:r>
      <w:r w:rsidRPr="00C417B6">
        <w:t> (the Act) to amend the current Poisons Standard or decides to amend the Poisons Standard on his or her own initiative and decides to refer the proposed amendment to an expert advisory committee. These include, under regulation 42ZCZK, that the Secretary publish (in a manner the Secretary considers appropriate) the proposed amendment to be referred to an expert advisory committee, the committee to which the proposed amendment will be referred, and the date of the committee meeting. The Secretary must also invite public submissions to be made to the expert advisory committee by a date mentioned in the notice as the closing date, allowing at least 20 business days after publication of the notice.</w:t>
      </w:r>
    </w:p>
    <w:p w14:paraId="17190147" w14:textId="2B7CDC78" w:rsidR="00685E72" w:rsidRPr="00C417B6" w:rsidRDefault="00685E72" w:rsidP="00F53761">
      <w:r w:rsidRPr="00C417B6">
        <w:rPr>
          <w:noProof/>
        </w:rPr>
        <mc:AlternateContent>
          <mc:Choice Requires="wps">
            <w:drawing>
              <wp:anchor distT="0" distB="0" distL="114300" distR="114300" simplePos="0" relativeHeight="251658240" behindDoc="0" locked="0" layoutInCell="1" allowOverlap="1" wp14:anchorId="78822159" wp14:editId="360CEDE6">
                <wp:simplePos x="0" y="0"/>
                <wp:positionH relativeFrom="margin">
                  <wp:posOffset>0</wp:posOffset>
                </wp:positionH>
                <wp:positionV relativeFrom="paragraph">
                  <wp:posOffset>1007110</wp:posOffset>
                </wp:positionV>
                <wp:extent cx="1828800" cy="1828800"/>
                <wp:effectExtent l="0" t="0" r="25400" b="1333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rgbClr val="C6D0E9"/>
                        </a:solidFill>
                        <a:ln w="6350">
                          <a:solidFill>
                            <a:prstClr val="black"/>
                          </a:solidFill>
                        </a:ln>
                      </wps:spPr>
                      <wps:txbx>
                        <w:txbxContent>
                          <w:p w14:paraId="040EBB88" w14:textId="486C3270" w:rsidR="00685E72" w:rsidRPr="00520CD5" w:rsidRDefault="00685E72" w:rsidP="00F53761">
                            <w:pPr>
                              <w:rPr>
                                <w:lang w:val="en"/>
                              </w:rPr>
                            </w:pPr>
                            <w:r w:rsidRPr="00520CD5">
                              <w:t>Submissions should be provided through our</w:t>
                            </w:r>
                            <w:r w:rsidRPr="00520CD5">
                              <w:rPr>
                                <w:lang w:val="en"/>
                              </w:rPr>
                              <w:t xml:space="preserve"> </w:t>
                            </w:r>
                            <w:hyperlink r:id="rId18" w:history="1">
                              <w:r w:rsidRPr="00730012">
                                <w:rPr>
                                  <w:rStyle w:val="Hyperlink"/>
                                  <w:rFonts w:cs="Arial"/>
                                  <w:szCs w:val="18"/>
                                </w:rPr>
                                <w:t>consultation hub</w:t>
                              </w:r>
                            </w:hyperlink>
                            <w:r w:rsidRPr="00520CD5">
                              <w:rPr>
                                <w:lang w:val="en"/>
                              </w:rPr>
                              <w:t xml:space="preserve">. </w:t>
                            </w:r>
                            <w:r w:rsidRPr="00520CD5">
                              <w:t xml:space="preserve">Any submission about any of the proposals to amend the Poisons Standard will be considered at the next </w:t>
                            </w:r>
                            <w:r w:rsidR="005A47CB" w:rsidRPr="00520CD5">
                              <w:t xml:space="preserve">joint </w:t>
                            </w:r>
                            <w:r w:rsidRPr="00520CD5">
                              <w:t>meeting of the</w:t>
                            </w:r>
                            <w:r w:rsidRPr="00520CD5">
                              <w:rPr>
                                <w:lang w:val="en"/>
                              </w:rPr>
                              <w:t xml:space="preserve"> </w:t>
                            </w:r>
                            <w:hyperlink r:id="rId19" w:history="1">
                              <w:r w:rsidRPr="00520CD5">
                                <w:rPr>
                                  <w:rStyle w:val="Hyperlink"/>
                                  <w:rFonts w:cs="Arial"/>
                                  <w:szCs w:val="18"/>
                                </w:rPr>
                                <w:t>Advisory Committee on Medicines Scheduling (ACMS)</w:t>
                              </w:r>
                            </w:hyperlink>
                            <w:r w:rsidR="005A47CB">
                              <w:t xml:space="preserve"> and</w:t>
                            </w:r>
                            <w:r w:rsidRPr="00520CD5">
                              <w:t xml:space="preserve"> the</w:t>
                            </w:r>
                            <w:r w:rsidRPr="00520CD5">
                              <w:rPr>
                                <w:lang w:val="en"/>
                              </w:rPr>
                              <w:t xml:space="preserve"> </w:t>
                            </w:r>
                            <w:hyperlink r:id="rId20" w:history="1">
                              <w:r w:rsidRPr="00520CD5">
                                <w:rPr>
                                  <w:rStyle w:val="Hyperlink"/>
                                  <w:rFonts w:cs="Arial"/>
                                  <w:szCs w:val="18"/>
                                </w:rPr>
                                <w:t>Advisory Committee on Chemicals Scheduling (ACCS)</w:t>
                              </w:r>
                            </w:hyperlink>
                            <w:r w:rsidRPr="00520CD5">
                              <w:t>.</w:t>
                            </w:r>
                          </w:p>
                          <w:p w14:paraId="443CF4F9" w14:textId="6C36B0EA" w:rsidR="00685E72" w:rsidRPr="00520CD5" w:rsidRDefault="00685E72" w:rsidP="00F53761">
                            <w:pPr>
                              <w:rPr>
                                <w:b/>
                                <w:lang w:val="en"/>
                              </w:rPr>
                            </w:pPr>
                            <w:r w:rsidRPr="00520CD5">
                              <w:rPr>
                                <w:b/>
                                <w:lang w:val="en"/>
                              </w:rPr>
                              <w:t xml:space="preserve">This consultation closes on </w:t>
                            </w:r>
                            <w:r w:rsidR="001F3CBD" w:rsidRPr="006C6488">
                              <w:rPr>
                                <w:b/>
                                <w:lang w:val="en"/>
                              </w:rPr>
                              <w:t>12 October</w:t>
                            </w:r>
                            <w:r w:rsidRPr="006C6488">
                              <w:rPr>
                                <w:b/>
                                <w:lang w:val="en"/>
                              </w:rPr>
                              <w:t xml:space="preserve"> </w:t>
                            </w:r>
                            <w:r w:rsidR="001F3CBD" w:rsidRPr="006C6488">
                              <w:rPr>
                                <w:b/>
                                <w:lang w:val="en"/>
                              </w:rPr>
                              <w:t>2026</w:t>
                            </w:r>
                            <w:r w:rsidRPr="006C6488">
                              <w:rPr>
                                <w:b/>
                                <w:lang w:val="en"/>
                              </w:rPr>
                              <w:t>.</w:t>
                            </w:r>
                          </w:p>
                          <w:p w14:paraId="718EC082" w14:textId="77777777" w:rsidR="00685E72" w:rsidRPr="00520CD5" w:rsidRDefault="00685E72" w:rsidP="00F53761">
                            <w:r w:rsidRPr="00520CD5">
                              <w:t>We aim to provide documents in an accessible format. If you're having problems using this document, please contact </w:t>
                            </w:r>
                            <w:hyperlink r:id="rId21" w:history="1">
                              <w:r w:rsidRPr="00520CD5">
                                <w:rPr>
                                  <w:rStyle w:val="Hyperlink"/>
                                  <w:rFonts w:cs="Arial"/>
                                  <w:szCs w:val="18"/>
                                </w:rPr>
                                <w:t>medicines.scheduling@health.gov.au</w:t>
                              </w:r>
                            </w:hyperlink>
                            <w:r w:rsidRPr="00520CD5">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8822159" id="_x0000_t202" coordsize="21600,21600" o:spt="202" path="m,l,21600r21600,l21600,xe">
                <v:stroke joinstyle="miter"/>
                <v:path gradientshapeok="t" o:connecttype="rect"/>
              </v:shapetype>
              <v:shape id="Text Box 1" o:spid="_x0000_s1026" type="#_x0000_t202" style="position:absolute;margin-left:0;margin-top:79.3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" fillcolor="#c6d0e9" strokeweight=".5pt">
                <v:textbox style="mso-fit-shape-to-text:t">
                  <w:txbxContent>
                    <w:p w14:paraId="040EBB88" w14:textId="486C3270" w:rsidR="00685E72" w:rsidRPr="00520CD5" w:rsidRDefault="00685E72" w:rsidP="00F53761">
                      <w:pPr>
                        <w:rPr>
                          <w:lang w:val="en"/>
                        </w:rPr>
                      </w:pPr>
                      <w:r w:rsidRPr="00520CD5">
                        <w:t>Submissions should be provided through our</w:t>
                      </w:r>
                      <w:r w:rsidRPr="00520CD5">
                        <w:rPr>
                          <w:lang w:val="en"/>
                        </w:rPr>
                        <w:t xml:space="preserve"> </w:t>
                      </w:r>
                      <w:hyperlink r:id="rId22" w:history="1">
                        <w:r w:rsidRPr="00730012">
                          <w:rPr>
                            <w:rStyle w:val="Hyperlink"/>
                            <w:rFonts w:cs="Arial"/>
                            <w:szCs w:val="18"/>
                          </w:rPr>
                          <w:t>consultation hub</w:t>
                        </w:r>
                      </w:hyperlink>
                      <w:r w:rsidRPr="00520CD5">
                        <w:rPr>
                          <w:lang w:val="en"/>
                        </w:rPr>
                        <w:t xml:space="preserve">. </w:t>
                      </w:r>
                      <w:r w:rsidRPr="00520CD5">
                        <w:t xml:space="preserve">Any submission about any of the proposals to amend the Poisons Standard will be considered at the next </w:t>
                      </w:r>
                      <w:r w:rsidR="005A47CB" w:rsidRPr="00520CD5">
                        <w:t xml:space="preserve">joint </w:t>
                      </w:r>
                      <w:r w:rsidRPr="00520CD5">
                        <w:t>meeting of the</w:t>
                      </w:r>
                      <w:r w:rsidRPr="00520CD5">
                        <w:rPr>
                          <w:lang w:val="en"/>
                        </w:rPr>
                        <w:t xml:space="preserve"> </w:t>
                      </w:r>
                      <w:hyperlink r:id="rId23" w:history="1">
                        <w:r w:rsidRPr="00520CD5">
                          <w:rPr>
                            <w:rStyle w:val="Hyperlink"/>
                            <w:rFonts w:cs="Arial"/>
                            <w:szCs w:val="18"/>
                          </w:rPr>
                          <w:t>Advisory Committee on Medicines Scheduling (ACMS)</w:t>
                        </w:r>
                      </w:hyperlink>
                      <w:r w:rsidR="005A47CB">
                        <w:t xml:space="preserve"> and</w:t>
                      </w:r>
                      <w:r w:rsidRPr="00520CD5">
                        <w:t xml:space="preserve"> the</w:t>
                      </w:r>
                      <w:r w:rsidRPr="00520CD5">
                        <w:rPr>
                          <w:lang w:val="en"/>
                        </w:rPr>
                        <w:t xml:space="preserve"> </w:t>
                      </w:r>
                      <w:hyperlink r:id="rId24" w:history="1">
                        <w:r w:rsidRPr="00520CD5">
                          <w:rPr>
                            <w:rStyle w:val="Hyperlink"/>
                            <w:rFonts w:cs="Arial"/>
                            <w:szCs w:val="18"/>
                          </w:rPr>
                          <w:t>Advisory Committee on Chemicals Scheduling (ACCS)</w:t>
                        </w:r>
                      </w:hyperlink>
                      <w:r w:rsidRPr="00520CD5">
                        <w:t>.</w:t>
                      </w:r>
                    </w:p>
                    <w:p w14:paraId="443CF4F9" w14:textId="6C36B0EA" w:rsidR="00685E72" w:rsidRPr="00520CD5" w:rsidRDefault="00685E72" w:rsidP="00F53761">
                      <w:pPr>
                        <w:rPr>
                          <w:b/>
                          <w:lang w:val="en"/>
                        </w:rPr>
                      </w:pPr>
                      <w:r w:rsidRPr="00520CD5">
                        <w:rPr>
                          <w:b/>
                          <w:lang w:val="en"/>
                        </w:rPr>
                        <w:t xml:space="preserve">This consultation closes on </w:t>
                      </w:r>
                      <w:r w:rsidR="001F3CBD" w:rsidRPr="006C6488">
                        <w:rPr>
                          <w:b/>
                          <w:lang w:val="en"/>
                        </w:rPr>
                        <w:t>12 October</w:t>
                      </w:r>
                      <w:r w:rsidRPr="006C6488">
                        <w:rPr>
                          <w:b/>
                          <w:lang w:val="en"/>
                        </w:rPr>
                        <w:t xml:space="preserve"> </w:t>
                      </w:r>
                      <w:r w:rsidR="001F3CBD" w:rsidRPr="006C6488">
                        <w:rPr>
                          <w:b/>
                          <w:lang w:val="en"/>
                        </w:rPr>
                        <w:t>2026</w:t>
                      </w:r>
                      <w:r w:rsidRPr="006C6488">
                        <w:rPr>
                          <w:b/>
                          <w:lang w:val="en"/>
                        </w:rPr>
                        <w:t>.</w:t>
                      </w:r>
                    </w:p>
                    <w:p w14:paraId="718EC082" w14:textId="77777777" w:rsidR="00685E72" w:rsidRPr="00520CD5" w:rsidRDefault="00685E72" w:rsidP="00F53761">
                      <w:r w:rsidRPr="00520CD5">
                        <w:t>We aim to provide documents in an accessible format. If you're having problems using this document, please contact </w:t>
                      </w:r>
                      <w:hyperlink r:id="rId25" w:history="1">
                        <w:r w:rsidRPr="00520CD5">
                          <w:rPr>
                            <w:rStyle w:val="Hyperlink"/>
                            <w:rFonts w:cs="Arial"/>
                            <w:szCs w:val="18"/>
                          </w:rPr>
                          <w:t>medicines.scheduling@health.gov.au</w:t>
                        </w:r>
                      </w:hyperlink>
                      <w:r w:rsidRPr="00520CD5">
                        <w:t>.</w:t>
                      </w:r>
                    </w:p>
                  </w:txbxContent>
                </v:textbox>
                <w10:wrap type="square" anchorx="margin"/>
              </v:shape>
            </w:pict>
          </mc:Fallback>
        </mc:AlternateContent>
      </w:r>
      <w:r w:rsidRPr="00C417B6">
        <w:t xml:space="preserve">In accordance with regulation 42ZCZK of the Regulations, the Secretary invites public submissions on </w:t>
      </w:r>
      <w:r w:rsidRPr="001F3CBD">
        <w:t xml:space="preserve">scheduling proposals referred to the </w:t>
      </w:r>
      <w:r w:rsidR="00D716D8" w:rsidRPr="001F3CBD">
        <w:t>NOVEMBER 2026</w:t>
      </w:r>
      <w:r w:rsidR="002327B4" w:rsidRPr="001F3CBD">
        <w:t xml:space="preserve"> </w:t>
      </w:r>
      <w:r w:rsidRPr="001F3CBD">
        <w:t>meeting</w:t>
      </w:r>
      <w:r w:rsidR="00F258A8" w:rsidRPr="001F3CBD">
        <w:t>s</w:t>
      </w:r>
      <w:r w:rsidRPr="001F3CBD">
        <w:t xml:space="preserve"> of the</w:t>
      </w:r>
      <w:r w:rsidR="00F258A8" w:rsidRPr="001F3CBD">
        <w:t xml:space="preserve"> Advisory Committee on Medicines Scheduling (ACMS)</w:t>
      </w:r>
      <w:r w:rsidR="00F441D9">
        <w:t xml:space="preserve"> and the</w:t>
      </w:r>
      <w:r w:rsidR="00F258A8" w:rsidRPr="001F3CBD">
        <w:t xml:space="preserve"> Advisory Committee on Chemicals Scheduling (ACCS) </w:t>
      </w:r>
      <w:r w:rsidR="00F441D9">
        <w:t>in a joint session</w:t>
      </w:r>
      <w:r w:rsidRPr="001F3CBD">
        <w:t xml:space="preserve"> (Joint ACMS-ACCS #</w:t>
      </w:r>
      <w:r w:rsidR="001F3CBD" w:rsidRPr="001F3CBD">
        <w:t>45</w:t>
      </w:r>
      <w:r w:rsidRPr="001F3CBD">
        <w:t>). Submissions</w:t>
      </w:r>
      <w:r w:rsidRPr="00C417B6">
        <w:t xml:space="preserve"> must be received by close of business </w:t>
      </w:r>
      <w:r w:rsidR="001F3CBD" w:rsidRPr="001F3CBD">
        <w:rPr>
          <w:b/>
          <w:bCs/>
        </w:rPr>
        <w:t>12</w:t>
      </w:r>
      <w:r w:rsidR="00D9775E">
        <w:rPr>
          <w:b/>
          <w:bCs/>
        </w:rPr>
        <w:t> </w:t>
      </w:r>
      <w:r w:rsidR="001F3CBD" w:rsidRPr="001F3CBD">
        <w:rPr>
          <w:b/>
          <w:bCs/>
        </w:rPr>
        <w:t>October</w:t>
      </w:r>
      <w:r w:rsidRPr="001F3CBD">
        <w:rPr>
          <w:b/>
          <w:bCs/>
        </w:rPr>
        <w:t xml:space="preserve"> </w:t>
      </w:r>
      <w:r w:rsidR="001F3CBD" w:rsidRPr="001F3CBD">
        <w:rPr>
          <w:b/>
          <w:bCs/>
        </w:rPr>
        <w:t>2026</w:t>
      </w:r>
      <w:r w:rsidRPr="001F3CBD">
        <w:t>.</w:t>
      </w:r>
    </w:p>
    <w:bookmarkEnd w:id="5"/>
    <w:bookmarkEnd w:id="6"/>
    <w:bookmarkEnd w:id="7"/>
    <w:p w14:paraId="3552B76B" w14:textId="77777777" w:rsidR="00685E72" w:rsidRPr="00C417B6" w:rsidRDefault="00685E72" w:rsidP="00C417B6">
      <w:r w:rsidRPr="00C417B6">
        <w:br w:type="page"/>
      </w:r>
    </w:p>
    <w:p w14:paraId="0DF85A38" w14:textId="4CC63B83" w:rsidR="00112A2B" w:rsidRPr="00112A2B" w:rsidRDefault="00112A2B" w:rsidP="00112A2B">
      <w:pPr>
        <w:pStyle w:val="Heading2"/>
      </w:pPr>
      <w:bookmarkStart w:id="8" w:name="_Toc239862079"/>
      <w:bookmarkStart w:id="9" w:name="_Toc122614237"/>
      <w:r w:rsidRPr="00112A2B">
        <w:lastRenderedPageBreak/>
        <w:t>Preamble</w:t>
      </w:r>
      <w:bookmarkEnd w:id="8"/>
    </w:p>
    <w:p w14:paraId="5CA96C0C" w14:textId="553D547A" w:rsidR="00A44F10" w:rsidRPr="00A44F10" w:rsidRDefault="00A44F10" w:rsidP="00A44F10">
      <w:pPr>
        <w:rPr>
          <w:rFonts w:cs="Arial"/>
        </w:rPr>
      </w:pPr>
      <w:r w:rsidRPr="00A44F10">
        <w:rPr>
          <w:rFonts w:cs="Arial"/>
        </w:rPr>
        <w:t>Australia has the highest rates of skin cancer in the world with around 2,000 people dying each year</w:t>
      </w:r>
      <w:r>
        <w:rPr>
          <w:rFonts w:cs="Arial"/>
        </w:rPr>
        <w:t xml:space="preserve"> </w:t>
      </w:r>
      <w:r w:rsidRPr="00A44F10">
        <w:rPr>
          <w:rFonts w:cs="Arial"/>
        </w:rPr>
        <w:t>from skin cancer. Sunscreens provide one of the best ways to protect yourself from the sun’s</w:t>
      </w:r>
      <w:r>
        <w:rPr>
          <w:rFonts w:cs="Arial"/>
        </w:rPr>
        <w:t xml:space="preserve"> </w:t>
      </w:r>
      <w:r w:rsidRPr="00A44F10">
        <w:rPr>
          <w:rFonts w:cs="Arial"/>
        </w:rPr>
        <w:t>ultraviolet (UV) rays which can cause skin cancer. Many Australians use sunscreens daily. This is why</w:t>
      </w:r>
      <w:r>
        <w:rPr>
          <w:rFonts w:cs="Arial"/>
        </w:rPr>
        <w:t xml:space="preserve"> </w:t>
      </w:r>
      <w:r w:rsidRPr="00A44F10">
        <w:rPr>
          <w:rFonts w:cs="Arial"/>
        </w:rPr>
        <w:t xml:space="preserve">sunscreens need to be regulated in Australia to ensure they are safe, effective and of good quality. </w:t>
      </w:r>
    </w:p>
    <w:p w14:paraId="78306EDD" w14:textId="58560C45" w:rsidR="006D38C8" w:rsidRDefault="00A44F10" w:rsidP="00A44F10">
      <w:pPr>
        <w:rPr>
          <w:rFonts w:cs="Arial"/>
        </w:rPr>
      </w:pPr>
      <w:r w:rsidRPr="00A44F10">
        <w:rPr>
          <w:rFonts w:cs="Arial"/>
        </w:rPr>
        <w:t>Sunscreens contain substances that either absorb or reflect UV rays and prevent most UV rays from</w:t>
      </w:r>
      <w:r>
        <w:rPr>
          <w:rFonts w:cs="Arial"/>
        </w:rPr>
        <w:t xml:space="preserve"> </w:t>
      </w:r>
      <w:r w:rsidRPr="00A44F10">
        <w:rPr>
          <w:rFonts w:cs="Arial"/>
        </w:rPr>
        <w:t>penetrating the skin and damaging skin cells.</w:t>
      </w:r>
    </w:p>
    <w:p w14:paraId="3EF6DB03" w14:textId="7CF449C6" w:rsidR="00ED189D" w:rsidRDefault="00ED189D" w:rsidP="00ED189D">
      <w:pPr>
        <w:rPr>
          <w:rFonts w:cs="Arial"/>
        </w:rPr>
      </w:pPr>
      <w:r w:rsidRPr="003F7D83">
        <w:rPr>
          <w:rFonts w:cs="Arial"/>
        </w:rPr>
        <w:t>In Australia, sunscreens are divided into 2 categories: therapeutic sunscreens and cosmetic sunscreens. Therapeutic sunscreens include primary sunscreens (used primarily for protection from UV rays) and some secondary sunscreens (used mainly for other purposes but contain sun screening agents, for example, sunbathing and moisturising skin care products with an SPF of over 15). Therapeutic sunscreens are regulated by the Therapeutic Goods Administration (TGA).</w:t>
      </w:r>
    </w:p>
    <w:p w14:paraId="48330637" w14:textId="77777777" w:rsidR="004A26C6" w:rsidRDefault="003455CF" w:rsidP="003455CF">
      <w:pPr>
        <w:rPr>
          <w:rFonts w:cs="Arial"/>
        </w:rPr>
      </w:pPr>
      <w:r w:rsidRPr="003F7D83">
        <w:rPr>
          <w:rFonts w:cs="Arial"/>
        </w:rPr>
        <w:t>Cosmetic sunscreens are the majority of the secondary sunscreen products. They are not considered to be therapeutic goods and are 'excluded' from the therapeutic goods legislation. Examples are lipsticks and lip balms that contain sunscreen with an SPF of 4 or more. Ingredients in cosmetic sunscreens are regulated by the Australian Industrial Chemicals Introduction Scheme (AICIS).</w:t>
      </w:r>
    </w:p>
    <w:p w14:paraId="68825195" w14:textId="143FFE6D" w:rsidR="004A26C6" w:rsidRPr="00D06D0C" w:rsidRDefault="004A26C6" w:rsidP="004A26C6">
      <w:r w:rsidRPr="00D06D0C">
        <w:t xml:space="preserve">Sunscreen products that </w:t>
      </w:r>
      <w:proofErr w:type="gramStart"/>
      <w:r w:rsidRPr="00D06D0C">
        <w:t>are considered to be</w:t>
      </w:r>
      <w:proofErr w:type="gramEnd"/>
      <w:r w:rsidRPr="00D06D0C">
        <w:t xml:space="preserve"> industrial uses are defined in under the </w:t>
      </w:r>
      <w:hyperlink r:id="rId26" w:history="1">
        <w:r w:rsidRPr="009151FA">
          <w:rPr>
            <w:rStyle w:val="Hyperlink"/>
          </w:rPr>
          <w:t>Therapeutic Goods (Excluded Goods) Determination 2018</w:t>
        </w:r>
      </w:hyperlink>
      <w:r w:rsidRPr="00D06D0C">
        <w:t xml:space="preserve"> (TGA 2018). These include the following products that contain sunscreen:</w:t>
      </w:r>
    </w:p>
    <w:p w14:paraId="6A80A6A8" w14:textId="2F5CC00A" w:rsidR="004A26C6" w:rsidRPr="00D06D0C" w:rsidRDefault="004A26C6" w:rsidP="004A26C6">
      <w:pPr>
        <w:pStyle w:val="ListParagraph"/>
        <w:numPr>
          <w:ilvl w:val="0"/>
          <w:numId w:val="22"/>
        </w:numPr>
      </w:pPr>
      <w:r w:rsidRPr="00D06D0C">
        <w:t>products applied to the lips (such as lipsticks and lip balms)</w:t>
      </w:r>
    </w:p>
    <w:p w14:paraId="64865997" w14:textId="28BB2A91" w:rsidR="004A26C6" w:rsidRPr="00D06D0C" w:rsidRDefault="004A26C6" w:rsidP="004A26C6">
      <w:pPr>
        <w:pStyle w:val="ListParagraph"/>
        <w:numPr>
          <w:ilvl w:val="0"/>
          <w:numId w:val="22"/>
        </w:numPr>
      </w:pPr>
      <w:r w:rsidRPr="00D06D0C">
        <w:t>tinted bases and foundations (including liquids, pastes and powders)</w:t>
      </w:r>
    </w:p>
    <w:p w14:paraId="1127D88A" w14:textId="6BF28F59" w:rsidR="004A26C6" w:rsidRPr="00D06D0C" w:rsidRDefault="004A26C6" w:rsidP="004A26C6">
      <w:pPr>
        <w:pStyle w:val="ListParagraph"/>
        <w:numPr>
          <w:ilvl w:val="0"/>
          <w:numId w:val="22"/>
        </w:numPr>
      </w:pPr>
      <w:r w:rsidRPr="00D06D0C">
        <w:t>moisturising skin care products</w:t>
      </w:r>
    </w:p>
    <w:p w14:paraId="40AAE213" w14:textId="76105750" w:rsidR="004A26C6" w:rsidRPr="00D06D0C" w:rsidRDefault="004A26C6" w:rsidP="004A26C6">
      <w:pPr>
        <w:pStyle w:val="ListParagraph"/>
        <w:numPr>
          <w:ilvl w:val="0"/>
          <w:numId w:val="22"/>
        </w:numPr>
      </w:pPr>
      <w:r w:rsidRPr="00D06D0C">
        <w:t>sunbathing skin care products.</w:t>
      </w:r>
    </w:p>
    <w:p w14:paraId="6E154CA5" w14:textId="537229C4" w:rsidR="00581452" w:rsidRDefault="00581452" w:rsidP="00581452">
      <w:pPr>
        <w:rPr>
          <w:rFonts w:cs="Arial"/>
        </w:rPr>
      </w:pPr>
      <w:r w:rsidRPr="003F7D83">
        <w:rPr>
          <w:rFonts w:cs="Arial"/>
        </w:rPr>
        <w:t xml:space="preserve">The </w:t>
      </w:r>
      <w:hyperlink r:id="rId27" w:history="1">
        <w:r w:rsidRPr="00381089">
          <w:rPr>
            <w:rStyle w:val="Hyperlink"/>
            <w:rFonts w:cs="Arial"/>
          </w:rPr>
          <w:t>Therapeutic Goods (Permissible Ingredients) Determination (No. 2) 2026</w:t>
        </w:r>
      </w:hyperlink>
      <w:r w:rsidRPr="003F7D83">
        <w:rPr>
          <w:rFonts w:cs="Arial"/>
        </w:rPr>
        <w:t xml:space="preserve"> currently lists sunscreen active ingredients approved for use in Australia. The safety of these ingredients has been examined by various means, including the assessment of toxicological data, utilisation of overseas regulatory reports, and consideration by committees such as the Medicines Evaluation Committee.</w:t>
      </w:r>
    </w:p>
    <w:p w14:paraId="75066B31" w14:textId="5DB91559" w:rsidR="00E36DD7" w:rsidRPr="00D06D0C" w:rsidRDefault="00581452" w:rsidP="00E36DD7">
      <w:r w:rsidRPr="00467889">
        <w:t xml:space="preserve">4-MBC is currently permitted at a maximum concentration of 4% in topical therapeutic sunscreen and cosmetic preparations in Australia. </w:t>
      </w:r>
      <w:r w:rsidR="00E36DD7" w:rsidRPr="00D06D0C">
        <w:t xml:space="preserve">Personal care products (cosmetics) </w:t>
      </w:r>
      <w:r w:rsidR="00997039">
        <w:t xml:space="preserve">are also able to </w:t>
      </w:r>
      <w:r w:rsidR="00E36DD7" w:rsidRPr="00D06D0C">
        <w:t>contain</w:t>
      </w:r>
      <w:r w:rsidR="00E36DD7" w:rsidRPr="00B43FD4">
        <w:t xml:space="preserve"> </w:t>
      </w:r>
      <w:r w:rsidR="00E36DD7" w:rsidRPr="00D06D0C">
        <w:t>4-MBC.</w:t>
      </w:r>
    </w:p>
    <w:p w14:paraId="63362C2B" w14:textId="5FE0D41C" w:rsidR="001A31EA" w:rsidRDefault="001A31EA" w:rsidP="001A31EA">
      <w:pPr>
        <w:pStyle w:val="ListBullet-dotick"/>
        <w:numPr>
          <w:ilvl w:val="0"/>
          <w:numId w:val="0"/>
        </w:numPr>
        <w:rPr>
          <w:lang w:eastAsia="en-AU"/>
        </w:rPr>
      </w:pPr>
      <w:r w:rsidRPr="008858F9">
        <w:rPr>
          <w:lang w:eastAsia="en-AU"/>
        </w:rPr>
        <w:t xml:space="preserve">In 2015, a </w:t>
      </w:r>
      <w:r w:rsidRPr="00DB6F69">
        <w:rPr>
          <w:sz w:val="21"/>
          <w:szCs w:val="21"/>
          <w:lang w:eastAsia="en-AU"/>
        </w:rPr>
        <w:t>proposed order by the FDA</w:t>
      </w:r>
      <w:r w:rsidRPr="008858F9">
        <w:rPr>
          <w:lang w:eastAsia="en-AU"/>
        </w:rPr>
        <w:t xml:space="preserve"> stat</w:t>
      </w:r>
      <w:r w:rsidR="00FE291B">
        <w:rPr>
          <w:lang w:eastAsia="en-AU"/>
        </w:rPr>
        <w:t>ed</w:t>
      </w:r>
      <w:r w:rsidRPr="008858F9">
        <w:rPr>
          <w:lang w:eastAsia="en-AU"/>
        </w:rPr>
        <w:t xml:space="preserve"> that 4-</w:t>
      </w:r>
      <w:r w:rsidR="004A7075">
        <w:rPr>
          <w:lang w:eastAsia="en-AU"/>
        </w:rPr>
        <w:t>m</w:t>
      </w:r>
      <w:r w:rsidRPr="008858F9">
        <w:rPr>
          <w:lang w:eastAsia="en-AU"/>
        </w:rPr>
        <w:t xml:space="preserve">ethylbenzylidene </w:t>
      </w:r>
      <w:r w:rsidR="00AB5224">
        <w:rPr>
          <w:lang w:eastAsia="en-AU"/>
        </w:rPr>
        <w:t>c</w:t>
      </w:r>
      <w:r w:rsidRPr="008858F9">
        <w:rPr>
          <w:lang w:eastAsia="en-AU"/>
        </w:rPr>
        <w:t xml:space="preserve">amphor (4-MBC), a sunscreen active ingredient, is not “generally recognized as safe and effective” (GRASE) for use in </w:t>
      </w:r>
      <w:proofErr w:type="gramStart"/>
      <w:r w:rsidRPr="008858F9">
        <w:rPr>
          <w:lang w:eastAsia="en-AU"/>
        </w:rPr>
        <w:t>over-the-counter</w:t>
      </w:r>
      <w:proofErr w:type="gramEnd"/>
      <w:r w:rsidRPr="008858F9">
        <w:rPr>
          <w:lang w:eastAsia="en-AU"/>
        </w:rPr>
        <w:t xml:space="preserve"> (OTC) sunscreens, which is not because of proven risk but due to insufficient safety and efficacy data.</w:t>
      </w:r>
      <w:r w:rsidR="00FF4CA1">
        <w:rPr>
          <w:rStyle w:val="FootnoteReference"/>
          <w:lang w:eastAsia="en-AU"/>
        </w:rPr>
        <w:footnoteReference w:id="1"/>
      </w:r>
      <w:r w:rsidRPr="008858F9">
        <w:rPr>
          <w:lang w:eastAsia="en-AU"/>
        </w:rPr>
        <w:t xml:space="preserve"> Consequently, products containing 4-MBC would be considered misbranded unless further evidence is provided to support its use.</w:t>
      </w:r>
    </w:p>
    <w:p w14:paraId="7A16A6C5" w14:textId="77777777" w:rsidR="00302CD2" w:rsidRDefault="001A31EA" w:rsidP="00302CD2">
      <w:r>
        <w:t xml:space="preserve">In the European Union (EU), </w:t>
      </w:r>
      <w:r w:rsidRPr="008A6660">
        <w:t>4-MBC</w:t>
      </w:r>
      <w:r>
        <w:t xml:space="preserve"> i</w:t>
      </w:r>
      <w:r w:rsidRPr="008A6660">
        <w:t>n cosmetic products is being phased out</w:t>
      </w:r>
      <w:r>
        <w:t xml:space="preserve">, </w:t>
      </w:r>
      <w:r w:rsidRPr="008A6660">
        <w:t xml:space="preserve">due to concerns about its potential as an endocrine disruptor. </w:t>
      </w:r>
      <w:r w:rsidR="00A04492">
        <w:t>Since</w:t>
      </w:r>
      <w:r w:rsidRPr="008A6660">
        <w:t xml:space="preserve"> 1 May 2025, products containing 4-MBC cannot be placed on the EU market, and </w:t>
      </w:r>
      <w:r w:rsidR="00A04492">
        <w:t>since</w:t>
      </w:r>
      <w:r w:rsidR="007C3818">
        <w:t xml:space="preserve"> </w:t>
      </w:r>
      <w:r w:rsidRPr="008A6660">
        <w:t>1 May 2026, they cannot be sold within the EU. Additionally, 4-MBC has been removed from Annex VI of the EU Cosmetics Regulation, which lists approved UV filter</w:t>
      </w:r>
      <w:r w:rsidRPr="00454B01">
        <w:t>.</w:t>
      </w:r>
      <w:r>
        <w:rPr>
          <w:rStyle w:val="FootnoteReference"/>
        </w:rPr>
        <w:footnoteReference w:id="2"/>
      </w:r>
      <w:r>
        <w:t xml:space="preserve"> I</w:t>
      </w:r>
      <w:r w:rsidRPr="000F4F1C">
        <w:t xml:space="preserve">n the UK, new cosmetic products containing 4-MBC cannot be released into the market </w:t>
      </w:r>
      <w:r w:rsidR="004640E2">
        <w:t>since</w:t>
      </w:r>
      <w:r w:rsidRPr="000F4F1C">
        <w:t xml:space="preserve"> 15 July 2026, and products containing 4-MBC cannot be sold from 15 January 2027.</w:t>
      </w:r>
      <w:r w:rsidR="00995488" w:rsidRPr="00995488">
        <w:t xml:space="preserve"> </w:t>
      </w:r>
    </w:p>
    <w:p w14:paraId="7A580951" w14:textId="3D3C07B2" w:rsidR="00302CD2" w:rsidRDefault="00302CD2" w:rsidP="00302CD2">
      <w:r w:rsidRPr="00AE321A">
        <w:t>Health Canada currently permits the use of 4-MBC</w:t>
      </w:r>
      <w:r>
        <w:t xml:space="preserve"> </w:t>
      </w:r>
      <w:r w:rsidRPr="00050F8C">
        <w:t>at concentrations up to 4%</w:t>
      </w:r>
      <w:r>
        <w:t>.</w:t>
      </w:r>
      <w:r>
        <w:rPr>
          <w:rStyle w:val="FootnoteReference"/>
        </w:rPr>
        <w:footnoteReference w:id="3"/>
      </w:r>
    </w:p>
    <w:p w14:paraId="68EA9CF6" w14:textId="55F73121" w:rsidR="008C6ABE" w:rsidRPr="00D142C8" w:rsidRDefault="00481C5F" w:rsidP="009F4E46">
      <w:pPr>
        <w:rPr>
          <w:rFonts w:cs="Times New Roman"/>
        </w:rPr>
      </w:pPr>
      <w:r w:rsidRPr="004F2AC3">
        <w:rPr>
          <w:rFonts w:cs="Arial"/>
        </w:rPr>
        <w:t>Recently, the TGA has assessed the risks of 4-MBC as an active ingredient in therapeutic sunscreens (</w:t>
      </w:r>
      <w:hyperlink r:id="rId28" w:history="1">
        <w:r w:rsidRPr="00270AC9">
          <w:rPr>
            <w:rStyle w:val="Hyperlink"/>
            <w:rFonts w:cs="Arial"/>
          </w:rPr>
          <w:t xml:space="preserve">Safety </w:t>
        </w:r>
        <w:r w:rsidR="005F16EA" w:rsidRPr="00270AC9">
          <w:rPr>
            <w:rStyle w:val="Hyperlink"/>
            <w:rFonts w:cs="Arial"/>
          </w:rPr>
          <w:t>Review of 4-Methylbenzylidene Camphor</w:t>
        </w:r>
        <w:r w:rsidR="007E2E40" w:rsidRPr="00270AC9">
          <w:rPr>
            <w:rStyle w:val="Hyperlink"/>
            <w:rFonts w:cs="Arial"/>
          </w:rPr>
          <w:t xml:space="preserve">; the Safety </w:t>
        </w:r>
        <w:r w:rsidR="005F16EA" w:rsidRPr="00270AC9">
          <w:rPr>
            <w:rStyle w:val="Hyperlink"/>
            <w:rFonts w:cs="Arial"/>
          </w:rPr>
          <w:t>Review</w:t>
        </w:r>
      </w:hyperlink>
      <w:r w:rsidRPr="004F2AC3">
        <w:rPr>
          <w:rFonts w:cs="Arial"/>
        </w:rPr>
        <w:t>).</w:t>
      </w:r>
      <w:r w:rsidR="006C3652">
        <w:rPr>
          <w:rFonts w:cs="Arial"/>
        </w:rPr>
        <w:t xml:space="preserve"> </w:t>
      </w:r>
      <w:r w:rsidR="003F7D83" w:rsidRPr="003F7D83">
        <w:rPr>
          <w:rFonts w:cs="Arial"/>
        </w:rPr>
        <w:t xml:space="preserve">The TGA has considered </w:t>
      </w:r>
      <w:r w:rsidR="008C6ABE">
        <w:rPr>
          <w:rFonts w:cs="Arial"/>
        </w:rPr>
        <w:lastRenderedPageBreak/>
        <w:t>national a</w:t>
      </w:r>
      <w:r w:rsidR="00EE3836">
        <w:rPr>
          <w:rFonts w:cs="Arial"/>
        </w:rPr>
        <w:t>nd international safety assessment reports</w:t>
      </w:r>
      <w:r w:rsidR="00CA2AA7">
        <w:rPr>
          <w:rFonts w:cs="Arial"/>
        </w:rPr>
        <w:t>,</w:t>
      </w:r>
      <w:r w:rsidR="00EE3836">
        <w:rPr>
          <w:rFonts w:cs="Arial"/>
        </w:rPr>
        <w:t xml:space="preserve"> and peer</w:t>
      </w:r>
      <w:r>
        <w:rPr>
          <w:rFonts w:cs="Arial"/>
        </w:rPr>
        <w:t xml:space="preserve"> </w:t>
      </w:r>
      <w:r w:rsidRPr="00800D30">
        <w:t xml:space="preserve">reviewed publications investigating the safety and </w:t>
      </w:r>
      <w:proofErr w:type="spellStart"/>
      <w:r w:rsidRPr="00800D30">
        <w:t>toxicokinetics</w:t>
      </w:r>
      <w:proofErr w:type="spellEnd"/>
      <w:r w:rsidRPr="00800D30">
        <w:t xml:space="preserve"> of 4-MBC, where available</w:t>
      </w:r>
      <w:r>
        <w:t>.</w:t>
      </w:r>
    </w:p>
    <w:p w14:paraId="34F997E8" w14:textId="71638D15" w:rsidR="00D36C9B" w:rsidRDefault="00F12D49" w:rsidP="00BB6424">
      <w:r w:rsidRPr="004451FD">
        <w:t>The review</w:t>
      </w:r>
      <w:r>
        <w:t xml:space="preserve"> w</w:t>
      </w:r>
      <w:r w:rsidR="00452F01">
        <w:t>as</w:t>
      </w:r>
      <w:r>
        <w:t xml:space="preserve"> conducted following the TGA’s development of an </w:t>
      </w:r>
      <w:hyperlink r:id="rId29" w:history="1">
        <w:r w:rsidRPr="002B4B5F">
          <w:rPr>
            <w:rStyle w:val="Hyperlink"/>
          </w:rPr>
          <w:t>Australian Sunscreen Exposure Model (ASEM)</w:t>
        </w:r>
      </w:hyperlink>
      <w:r>
        <w:t xml:space="preserve"> in July 2024</w:t>
      </w:r>
      <w:r w:rsidR="009F71D9">
        <w:t>.</w:t>
      </w:r>
      <w:r w:rsidDel="009F71D9">
        <w:t xml:space="preserve"> </w:t>
      </w:r>
      <w:r w:rsidR="009F71D9">
        <w:t>The</w:t>
      </w:r>
      <w:r>
        <w:t xml:space="preserve"> ASEM model is based on current sun protection practices and recommendations in Australia, estimating how much sunscreen Australians use, rather than relying on international models that may not reflect Australia’s unique environment and practices. The model was subject to targeted and </w:t>
      </w:r>
      <w:hyperlink r:id="rId30" w:history="1">
        <w:r w:rsidRPr="00FE096F">
          <w:rPr>
            <w:rStyle w:val="Hyperlink"/>
          </w:rPr>
          <w:t>public consultation</w:t>
        </w:r>
      </w:hyperlink>
      <w:r>
        <w:t xml:space="preserve"> in 2024 before it was adopted in January 2025. The model incorporates evidence-based data on sunscreen application frequency and quantity, highlighting that Australians apply sunscreen more often and in larger amounts than populations in other countries.</w:t>
      </w:r>
    </w:p>
    <w:p w14:paraId="6F3BF233" w14:textId="21B9B86B" w:rsidR="00BB6424" w:rsidRPr="00800D30" w:rsidRDefault="00F12D49" w:rsidP="00BB6424">
      <w:r>
        <w:t xml:space="preserve">Considering the higher use of sunscreens in Australia </w:t>
      </w:r>
      <w:proofErr w:type="gramStart"/>
      <w:r>
        <w:t>on a daily basis</w:t>
      </w:r>
      <w:proofErr w:type="gramEnd"/>
      <w:r>
        <w:t xml:space="preserve">, the </w:t>
      </w:r>
      <w:r w:rsidR="00113C18">
        <w:t>S</w:t>
      </w:r>
      <w:r>
        <w:t xml:space="preserve">afety </w:t>
      </w:r>
      <w:r w:rsidR="00C77173">
        <w:t>Review</w:t>
      </w:r>
      <w:r>
        <w:t xml:space="preserve"> recommends </w:t>
      </w:r>
      <w:r w:rsidR="00BB6424" w:rsidRPr="00800D30">
        <w:t xml:space="preserve">regulatory controls for 4-MBC to restrict its </w:t>
      </w:r>
      <w:r w:rsidR="00AE28C2" w:rsidRPr="00800D30">
        <w:t xml:space="preserve">use </w:t>
      </w:r>
      <w:r w:rsidR="00AE28C2">
        <w:t xml:space="preserve">and </w:t>
      </w:r>
      <w:r w:rsidR="00BB6424" w:rsidRPr="00800D30">
        <w:t>permitted concentration in therapeutic sunscreens.</w:t>
      </w:r>
    </w:p>
    <w:p w14:paraId="019B4EC8" w14:textId="4257254D" w:rsidR="003B605E" w:rsidRDefault="00F12D49" w:rsidP="7117B6BC">
      <w:r>
        <w:t xml:space="preserve">The Poisons Standard is a legislative instrument that can create controls on substances used in both therapeutic and cosmetic products. </w:t>
      </w:r>
      <w:r w:rsidR="00B42685">
        <w:t>Currently, 4-MBC is not specifically scheduled in the current Poisons Standard.</w:t>
      </w:r>
    </w:p>
    <w:p w14:paraId="7F1F96A0" w14:textId="3C052ED4" w:rsidR="003B605E" w:rsidRDefault="00F12D49" w:rsidP="00A44F10">
      <w:r>
        <w:t xml:space="preserve">To ensure the highest standards of safety for long-term and frequent use of all sunscreens, the delegate of the Secretary of the Department of Health, Disability and Ageing (the Delegate) is proposing to amend the Poisons Standard in relation to </w:t>
      </w:r>
      <w:r w:rsidR="4A4F143A">
        <w:t>4-MBC</w:t>
      </w:r>
      <w:r>
        <w:t>.</w:t>
      </w:r>
    </w:p>
    <w:p w14:paraId="3D47F4EC" w14:textId="7AAF963A" w:rsidR="00031B5A" w:rsidRDefault="00F12D49" w:rsidP="00A44F10">
      <w:r>
        <w:t>The proposed amendments include options for:</w:t>
      </w:r>
    </w:p>
    <w:p w14:paraId="21F902CB" w14:textId="671062EA" w:rsidR="00C91A4E" w:rsidRDefault="00F12D49" w:rsidP="002921D1">
      <w:pPr>
        <w:pStyle w:val="ListBullet"/>
      </w:pPr>
      <w:r>
        <w:t xml:space="preserve">restrictions on the maximum concentration of </w:t>
      </w:r>
      <w:r w:rsidR="008D1A87">
        <w:t>4-MBC</w:t>
      </w:r>
      <w:r>
        <w:t xml:space="preserve"> in </w:t>
      </w:r>
      <w:r w:rsidR="004F6D2D">
        <w:t xml:space="preserve">all </w:t>
      </w:r>
      <w:r>
        <w:t>sunscreens</w:t>
      </w:r>
    </w:p>
    <w:p w14:paraId="629DE2A2" w14:textId="16FA9013" w:rsidR="00C91A4E" w:rsidRDefault="00F12D49" w:rsidP="002921D1">
      <w:pPr>
        <w:pStyle w:val="ListBullet"/>
      </w:pPr>
      <w:r>
        <w:t xml:space="preserve">restrictions based on application to parts of the body </w:t>
      </w:r>
    </w:p>
    <w:p w14:paraId="1A78B8D5" w14:textId="68F87C38" w:rsidR="00C91A4E" w:rsidRDefault="00F12D49" w:rsidP="002921D1">
      <w:pPr>
        <w:pStyle w:val="ListBullet"/>
      </w:pPr>
      <w:r>
        <w:t>restrictions based on age of the consumer</w:t>
      </w:r>
    </w:p>
    <w:p w14:paraId="1DF3654E" w14:textId="247623C9" w:rsidR="0063114A" w:rsidRDefault="00F12D49" w:rsidP="00A44F10">
      <w:r>
        <w:t>Each option should be considered in conjunction with the TGA Safety Review and</w:t>
      </w:r>
      <w:r w:rsidR="003C5ACF">
        <w:t xml:space="preserve"> the </w:t>
      </w:r>
      <w:r w:rsidR="00D21AAB">
        <w:t>ASEM</w:t>
      </w:r>
      <w:r w:rsidR="152844B1">
        <w:t>.</w:t>
      </w:r>
    </w:p>
    <w:p w14:paraId="0C8CDBFA" w14:textId="7334AEF3" w:rsidR="00CC1383" w:rsidRDefault="001E4F69" w:rsidP="00A44F10">
      <w:r>
        <w:t xml:space="preserve">Additionally, </w:t>
      </w:r>
      <w:r w:rsidR="004F6D2D">
        <w:t xml:space="preserve">the Delegate received 2 applications to </w:t>
      </w:r>
      <w:r w:rsidR="00CA0B1D">
        <w:t xml:space="preserve">amend the </w:t>
      </w:r>
      <w:r w:rsidR="007E2BAC">
        <w:t xml:space="preserve">Poisons Standard </w:t>
      </w:r>
      <w:r w:rsidR="00CA0B1D">
        <w:t xml:space="preserve">to </w:t>
      </w:r>
      <w:r w:rsidR="00CC1383">
        <w:t>prohibit</w:t>
      </w:r>
      <w:r w:rsidR="00CA0B1D">
        <w:t xml:space="preserve"> </w:t>
      </w:r>
      <w:r w:rsidR="00136CBE">
        <w:t xml:space="preserve">the use of 4-MBC </w:t>
      </w:r>
      <w:r w:rsidR="00CC1383" w:rsidRPr="0093551B" w:rsidDel="00136CBE">
        <w:t>i</w:t>
      </w:r>
      <w:r w:rsidR="00CC1383" w:rsidRPr="0093551B">
        <w:t xml:space="preserve">n therapeutic goods </w:t>
      </w:r>
      <w:r w:rsidR="00CA0260">
        <w:t>and</w:t>
      </w:r>
      <w:r w:rsidR="00CC1383" w:rsidRPr="0093551B">
        <w:t xml:space="preserve"> cosmetic products</w:t>
      </w:r>
      <w:r w:rsidR="00296750">
        <w:t>.</w:t>
      </w:r>
    </w:p>
    <w:p w14:paraId="1F85A6C1" w14:textId="22B34E56" w:rsidR="00937AEB" w:rsidRDefault="00F12D49" w:rsidP="00A44F10">
      <w:r>
        <w:t>The Delegate is seeking public comments on the proposed amendments for further consideration at the joint meeting of the Advisory Committee on Medicines Scheduling (ACMS) and the Advisory Committee on Chemicals Scheduling (ACCS). Following the public consultation and subsequent recommendations and advice from the Joint ACMS-ACCS, the Delegate will make an interim decision.</w:t>
      </w:r>
    </w:p>
    <w:p w14:paraId="18253B37" w14:textId="77777777" w:rsidR="003B605E" w:rsidRPr="003B605E" w:rsidRDefault="00F12D49" w:rsidP="00A44F10">
      <w:pPr>
        <w:rPr>
          <w:b/>
          <w:bCs/>
        </w:rPr>
      </w:pPr>
      <w:r w:rsidRPr="003B605E">
        <w:rPr>
          <w:b/>
          <w:bCs/>
        </w:rPr>
        <w:t xml:space="preserve">Neither the TGA nor the Delegate have formed a view at this time as to which options should be implemented or are preferred. </w:t>
      </w:r>
    </w:p>
    <w:p w14:paraId="1EAAF3D9" w14:textId="7B376B88" w:rsidR="00F12D49" w:rsidRPr="00A44F10" w:rsidRDefault="00F12D49" w:rsidP="00A44F10">
      <w:pPr>
        <w:rPr>
          <w:rFonts w:cs="Arial"/>
        </w:rPr>
      </w:pPr>
      <w:r>
        <w:t>The benefits of sunscreen in preventing sunburn and skin cancers are well established. Australians should continue to protect themselves from the sun by following the 5 SunSmart S’s – slip, slop, slap, seek, slide – the protective measures include seeking shade, wearing a hat, wearing protective clothing and eyewear and using sunscreen.</w:t>
      </w:r>
    </w:p>
    <w:p w14:paraId="57F7D87B" w14:textId="2FC8154E" w:rsidR="004B300D" w:rsidRDefault="004B300D">
      <w:pPr>
        <w:rPr>
          <w:rFonts w:eastAsia="Times New Roman" w:cs="Times New Roman"/>
          <w:b/>
          <w:bCs/>
          <w:color w:val="001871"/>
          <w:sz w:val="38"/>
          <w:szCs w:val="38"/>
        </w:rPr>
      </w:pPr>
      <w:r>
        <w:br w:type="page"/>
      </w:r>
    </w:p>
    <w:p w14:paraId="7355628F" w14:textId="6E5B34BC" w:rsidR="00685E72" w:rsidRDefault="00985AEB" w:rsidP="009C3C0E">
      <w:pPr>
        <w:pStyle w:val="Heading2"/>
        <w:rPr>
          <w:b w:val="0"/>
        </w:rPr>
      </w:pPr>
      <w:bookmarkStart w:id="10" w:name="_Toc239862080"/>
      <w:r>
        <w:lastRenderedPageBreak/>
        <w:t>1</w:t>
      </w:r>
      <w:r w:rsidR="009C3C0E">
        <w:tab/>
      </w:r>
      <w:r w:rsidR="00685E72" w:rsidRPr="00C417B6">
        <w:t>Proposed amendment referred for scheduling advice to the</w:t>
      </w:r>
      <w:r w:rsidR="00F258A8" w:rsidRPr="00C417B6">
        <w:t> </w:t>
      </w:r>
      <w:r w:rsidR="00685E72" w:rsidRPr="00C417B6">
        <w:t>Joint</w:t>
      </w:r>
      <w:r w:rsidR="00F258A8" w:rsidRPr="00C417B6">
        <w:t> </w:t>
      </w:r>
      <w:r w:rsidR="00685E72" w:rsidRPr="00C417B6">
        <w:t>ACMS-ACCS</w:t>
      </w:r>
      <w:r w:rsidR="00F258A8" w:rsidRPr="00C417B6">
        <w:t> </w:t>
      </w:r>
      <w:r w:rsidR="00685E72" w:rsidRPr="00C417B6">
        <w:t>meeting</w:t>
      </w:r>
      <w:r w:rsidR="00F258A8" w:rsidRPr="00C417B6">
        <w:t> </w:t>
      </w:r>
      <w:r w:rsidR="00685E72" w:rsidRPr="00C417B6">
        <w:t>#</w:t>
      </w:r>
      <w:bookmarkEnd w:id="9"/>
      <w:r w:rsidR="0099171F">
        <w:t>45</w:t>
      </w:r>
      <w:bookmarkEnd w:id="10"/>
    </w:p>
    <w:p w14:paraId="6EBF327C" w14:textId="47B60838" w:rsidR="00685E72" w:rsidRPr="00C417B6" w:rsidRDefault="00985AEB" w:rsidP="009C3C0E">
      <w:pPr>
        <w:pStyle w:val="Heading3"/>
      </w:pPr>
      <w:bookmarkStart w:id="11" w:name="_Toc122614238"/>
      <w:bookmarkStart w:id="12" w:name="_Toc239862081"/>
      <w:r>
        <w:t>1</w:t>
      </w:r>
      <w:r w:rsidR="009C3C0E" w:rsidRPr="00AA0EA2">
        <w:t xml:space="preserve">.1 </w:t>
      </w:r>
      <w:bookmarkEnd w:id="11"/>
      <w:r w:rsidR="005F2D2C" w:rsidRPr="005F2D2C">
        <w:t>4-</w:t>
      </w:r>
      <w:r w:rsidR="00355302">
        <w:t>m</w:t>
      </w:r>
      <w:r w:rsidR="005F2D2C" w:rsidRPr="005F2D2C">
        <w:t xml:space="preserve">ethylbenzylidene </w:t>
      </w:r>
      <w:r w:rsidR="00355302">
        <w:t>c</w:t>
      </w:r>
      <w:r w:rsidR="005F2D2C" w:rsidRPr="005F2D2C">
        <w:t>amphor (4-MBC)</w:t>
      </w:r>
      <w:bookmarkEnd w:id="12"/>
    </w:p>
    <w:p w14:paraId="3353D20C" w14:textId="17678720" w:rsidR="00B671E6" w:rsidRDefault="00B671E6" w:rsidP="00B671E6">
      <w:pPr>
        <w:pStyle w:val="Heading4"/>
      </w:pPr>
      <w:bookmarkStart w:id="13" w:name="_Toc239862082"/>
      <w:bookmarkStart w:id="14" w:name="_Toc122614249"/>
      <w:r>
        <w:t>Delegate</w:t>
      </w:r>
      <w:r w:rsidR="00CB79BD">
        <w:t>’s proposal</w:t>
      </w:r>
      <w:bookmarkEnd w:id="13"/>
    </w:p>
    <w:p w14:paraId="1518C0C0" w14:textId="47AC2D54" w:rsidR="00235A0B" w:rsidRDefault="00EF0C22" w:rsidP="00C64BEA">
      <w:r w:rsidRPr="00EF0C22">
        <w:t xml:space="preserve">The Delegate is proposing </w:t>
      </w:r>
      <w:r w:rsidR="002E4EEF">
        <w:t>2</w:t>
      </w:r>
      <w:r w:rsidRPr="00EF0C22">
        <w:t xml:space="preserve"> options to amend the current Poisons Standard in relation to</w:t>
      </w:r>
      <w:r>
        <w:t xml:space="preserve"> 4-MBC</w:t>
      </w:r>
      <w:r w:rsidR="4C126F15">
        <w:t>.</w:t>
      </w:r>
      <w:r w:rsidR="00F56824">
        <w:t xml:space="preserve"> </w:t>
      </w:r>
      <w:r w:rsidR="00235A0B" w:rsidRPr="00235A0B">
        <w:t xml:space="preserve">Each option proposes a new CAUTION (Schedule 5) entry for </w:t>
      </w:r>
      <w:r w:rsidR="00235A0B">
        <w:t>4-MBC</w:t>
      </w:r>
      <w:r w:rsidR="00235A0B" w:rsidRPr="00235A0B">
        <w:t xml:space="preserve"> unless the product meets certain exemption criteria. Products containing substances that are covered by a Schedule 5 entry require a C</w:t>
      </w:r>
      <w:r w:rsidR="00344B09">
        <w:t>AUTION</w:t>
      </w:r>
      <w:r w:rsidR="00235A0B" w:rsidRPr="00235A0B">
        <w:t xml:space="preserve"> signal word on the main label and cannot be </w:t>
      </w:r>
      <w:r w:rsidR="00344B09">
        <w:t xml:space="preserve">used </w:t>
      </w:r>
      <w:r w:rsidR="00235A0B" w:rsidRPr="00235A0B">
        <w:t xml:space="preserve">in Listed medicines. </w:t>
      </w:r>
    </w:p>
    <w:p w14:paraId="698639ED" w14:textId="069D2578" w:rsidR="00317F2F" w:rsidRPr="00550CC9" w:rsidRDefault="00317F2F" w:rsidP="00A4070A">
      <w:pPr>
        <w:pStyle w:val="TableTitle0"/>
      </w:pPr>
      <w:r w:rsidRPr="00550CC9">
        <w:t>Option 1</w:t>
      </w:r>
      <w:r w:rsidR="00311924" w:rsidRPr="00550CC9">
        <w:t>:</w:t>
      </w:r>
      <w:r w:rsidR="0063694A" w:rsidRPr="00550CC9">
        <w:t xml:space="preserve"> Schedule 5 entry with a general exemption up to a specific concentration</w:t>
      </w:r>
    </w:p>
    <w:p w14:paraId="78EF1961" w14:textId="77777777" w:rsidR="00F45977" w:rsidRPr="00BE55DD" w:rsidRDefault="00F45977" w:rsidP="00F45977">
      <w:pPr>
        <w:rPr>
          <w:i/>
          <w:iCs/>
          <w:u w:val="single"/>
        </w:rPr>
      </w:pPr>
      <w:r w:rsidRPr="00BE55DD">
        <w:rPr>
          <w:i/>
          <w:iCs/>
          <w:u w:val="single"/>
        </w:rPr>
        <w:t>Proposed amendments</w:t>
      </w:r>
    </w:p>
    <w:p w14:paraId="07ADA018" w14:textId="77777777" w:rsidR="00F45977" w:rsidRPr="006E527A" w:rsidRDefault="00F45977" w:rsidP="00F45977">
      <w:pPr>
        <w:ind w:left="284"/>
        <w:rPr>
          <w:b/>
          <w:bCs/>
        </w:rPr>
      </w:pPr>
      <w:r w:rsidRPr="006E527A">
        <w:rPr>
          <w:b/>
          <w:bCs/>
        </w:rPr>
        <w:t xml:space="preserve">Schedule </w:t>
      </w:r>
      <w:r>
        <w:rPr>
          <w:b/>
          <w:bCs/>
        </w:rPr>
        <w:t>5</w:t>
      </w:r>
      <w:r w:rsidRPr="006E527A">
        <w:rPr>
          <w:b/>
          <w:bCs/>
        </w:rPr>
        <w:t xml:space="preserve"> </w:t>
      </w:r>
      <w:r w:rsidRPr="0044537E">
        <w:rPr>
          <w:b/>
          <w:bCs/>
        </w:rPr>
        <w:t>– New Entry</w:t>
      </w:r>
    </w:p>
    <w:p w14:paraId="2AE363F4" w14:textId="6AD5278F" w:rsidR="00F45977" w:rsidRPr="002E6EFB" w:rsidRDefault="00F45977" w:rsidP="00F45977">
      <w:pPr>
        <w:ind w:left="284"/>
      </w:pPr>
      <w:r w:rsidRPr="21292FDE">
        <w:rPr>
          <w:color w:val="00B050"/>
        </w:rPr>
        <w:t>4-</w:t>
      </w:r>
      <w:r w:rsidRPr="21292FDE" w:rsidDel="003967BE">
        <w:rPr>
          <w:color w:val="00B050"/>
        </w:rPr>
        <w:t>M</w:t>
      </w:r>
      <w:r w:rsidR="008F1625" w:rsidRPr="21292FDE">
        <w:rPr>
          <w:color w:val="00B050"/>
        </w:rPr>
        <w:t>ETHYLBENZYLIDENE CAMPHOR</w:t>
      </w:r>
      <w:r w:rsidRPr="21292FDE">
        <w:rPr>
          <w:color w:val="00B050"/>
        </w:rPr>
        <w:t xml:space="preserve"> </w:t>
      </w:r>
      <w:r w:rsidR="00E8333B">
        <w:rPr>
          <w:color w:val="00B050"/>
        </w:rPr>
        <w:t>i</w:t>
      </w:r>
      <w:r w:rsidRPr="21292FDE">
        <w:rPr>
          <w:color w:val="00B050"/>
        </w:rPr>
        <w:t xml:space="preserve">n therapeutic sunscreens </w:t>
      </w:r>
      <w:r w:rsidR="00341D83">
        <w:rPr>
          <w:color w:val="00B050"/>
        </w:rPr>
        <w:t xml:space="preserve">and cosmetic preparations </w:t>
      </w:r>
      <w:r w:rsidRPr="00140A11">
        <w:rPr>
          <w:b/>
          <w:bCs/>
          <w:color w:val="00B050"/>
        </w:rPr>
        <w:t>except</w:t>
      </w:r>
      <w:r w:rsidRPr="00591C4C">
        <w:rPr>
          <w:color w:val="00B050"/>
        </w:rPr>
        <w:t xml:space="preserve"> </w:t>
      </w:r>
      <w:r w:rsidR="00F66E27" w:rsidRPr="00591C4C">
        <w:rPr>
          <w:color w:val="00B050"/>
        </w:rPr>
        <w:t xml:space="preserve">in preparations </w:t>
      </w:r>
      <w:r w:rsidRPr="21292FDE">
        <w:rPr>
          <w:color w:val="00B050"/>
        </w:rPr>
        <w:t>containing 0.39% or less of 4-</w:t>
      </w:r>
      <w:r w:rsidR="003967BE">
        <w:rPr>
          <w:color w:val="00B050"/>
        </w:rPr>
        <w:t>m</w:t>
      </w:r>
      <w:r w:rsidRPr="21292FDE">
        <w:rPr>
          <w:color w:val="00B050"/>
        </w:rPr>
        <w:t>ethylbenzylidene camphor</w:t>
      </w:r>
    </w:p>
    <w:p w14:paraId="706C68BE" w14:textId="1E4A0F7A" w:rsidR="008A391C" w:rsidRPr="00737D88" w:rsidRDefault="008A391C" w:rsidP="00737D88">
      <w:pPr>
        <w:rPr>
          <w:i/>
          <w:iCs/>
          <w:u w:val="single"/>
        </w:rPr>
      </w:pPr>
      <w:r w:rsidRPr="00737D88">
        <w:rPr>
          <w:i/>
          <w:iCs/>
          <w:u w:val="single"/>
        </w:rPr>
        <w:t>De</w:t>
      </w:r>
      <w:r w:rsidR="00F45977">
        <w:rPr>
          <w:i/>
          <w:iCs/>
          <w:u w:val="single"/>
        </w:rPr>
        <w:t>legate</w:t>
      </w:r>
      <w:r w:rsidR="001E6B11">
        <w:rPr>
          <w:i/>
          <w:iCs/>
          <w:u w:val="single"/>
        </w:rPr>
        <w:t>’</w:t>
      </w:r>
      <w:r w:rsidR="00F45977">
        <w:rPr>
          <w:i/>
          <w:iCs/>
          <w:u w:val="single"/>
        </w:rPr>
        <w:t>s reasons for Option 1</w:t>
      </w:r>
    </w:p>
    <w:p w14:paraId="6C471AC0" w14:textId="78F2C702" w:rsidR="002E446D" w:rsidRDefault="00A026B0" w:rsidP="00D36E6E">
      <w:pPr>
        <w:rPr>
          <w:rFonts w:cs="Arial"/>
        </w:rPr>
      </w:pPr>
      <w:r w:rsidRPr="00263072">
        <w:rPr>
          <w:rFonts w:cs="Arial"/>
        </w:rPr>
        <w:t xml:space="preserve">The Safety Review concluded that </w:t>
      </w:r>
      <w:r w:rsidR="00294EDB" w:rsidRPr="00263072">
        <w:rPr>
          <w:rFonts w:cs="Arial"/>
        </w:rPr>
        <w:t>4-MBC can be deemed low-risk and appropriate for use in general therapeutic sunscreens for daily use at a concentration up to 0.39%.</w:t>
      </w:r>
      <w:r w:rsidR="002813E7" w:rsidRPr="00263072">
        <w:rPr>
          <w:rFonts w:cs="Arial"/>
        </w:rPr>
        <w:t xml:space="preserve"> </w:t>
      </w:r>
    </w:p>
    <w:p w14:paraId="6E544394" w14:textId="38FA0520" w:rsidR="00D47FCC" w:rsidRPr="00C417B6" w:rsidRDefault="00AC3502" w:rsidP="00D47FCC">
      <w:r w:rsidRPr="00AC3502">
        <w:t xml:space="preserve">This option provides one consistent upper limit for </w:t>
      </w:r>
      <w:r w:rsidR="00DE7C9B">
        <w:t>4-MBC</w:t>
      </w:r>
      <w:r w:rsidR="00DE7C9B" w:rsidRPr="00AC3502">
        <w:t xml:space="preserve"> </w:t>
      </w:r>
      <w:r w:rsidR="00DE7C9B">
        <w:t xml:space="preserve">for </w:t>
      </w:r>
      <w:r w:rsidRPr="00AC3502">
        <w:t xml:space="preserve">exempting </w:t>
      </w:r>
      <w:r w:rsidR="00DE7C9B" w:rsidRPr="00DE7C9B">
        <w:t>cosmetics and therapeutic sunscreens</w:t>
      </w:r>
      <w:r w:rsidRPr="00AC3502">
        <w:t xml:space="preserve"> from the Poisons Standard. </w:t>
      </w:r>
      <w:r w:rsidR="002C4E7E" w:rsidRPr="002C4E7E">
        <w:t>This option treats all products consistently</w:t>
      </w:r>
      <w:r w:rsidR="007C3629">
        <w:t>.</w:t>
      </w:r>
    </w:p>
    <w:p w14:paraId="64CED600" w14:textId="55074E39" w:rsidR="00D9559E" w:rsidRPr="005563FE" w:rsidRDefault="00D9559E" w:rsidP="008559A2">
      <w:pPr>
        <w:pStyle w:val="TableTitle0"/>
      </w:pPr>
      <w:r w:rsidRPr="005563FE">
        <w:t xml:space="preserve">Option </w:t>
      </w:r>
      <w:r w:rsidR="00311924" w:rsidRPr="005563FE">
        <w:t>2</w:t>
      </w:r>
      <w:r w:rsidR="002A6581" w:rsidRPr="005563FE">
        <w:t>: Schedule 5 entry with exemptions based on age, use and application site</w:t>
      </w:r>
    </w:p>
    <w:p w14:paraId="66CB9430" w14:textId="77777777" w:rsidR="00C70576" w:rsidRDefault="00C70576" w:rsidP="00C70576">
      <w:pPr>
        <w:rPr>
          <w:i/>
          <w:iCs/>
          <w:u w:val="single"/>
        </w:rPr>
      </w:pPr>
      <w:r w:rsidRPr="21292FDE">
        <w:rPr>
          <w:i/>
          <w:iCs/>
          <w:u w:val="single"/>
        </w:rPr>
        <w:t>Proposed amendments</w:t>
      </w:r>
    </w:p>
    <w:p w14:paraId="2B00EB27" w14:textId="77777777" w:rsidR="00C70576" w:rsidRDefault="00C70576" w:rsidP="00C70576">
      <w:pPr>
        <w:ind w:left="284"/>
        <w:rPr>
          <w:b/>
          <w:bCs/>
        </w:rPr>
      </w:pPr>
      <w:r w:rsidRPr="21292FDE">
        <w:rPr>
          <w:b/>
          <w:bCs/>
        </w:rPr>
        <w:t>Schedule 5 – New Entry</w:t>
      </w:r>
    </w:p>
    <w:p w14:paraId="79C995F2" w14:textId="05025AC0" w:rsidR="00C70576" w:rsidRPr="008D17E3" w:rsidRDefault="00C70576" w:rsidP="00631D8C">
      <w:pPr>
        <w:ind w:left="284"/>
      </w:pPr>
      <w:r w:rsidRPr="008D17E3">
        <w:rPr>
          <w:color w:val="00B050"/>
        </w:rPr>
        <w:t>4-</w:t>
      </w:r>
      <w:r w:rsidR="008F1625" w:rsidRPr="008D17E3">
        <w:rPr>
          <w:color w:val="00B050"/>
        </w:rPr>
        <w:t xml:space="preserve">METHYLBENZYLIDENE CAMPHOR </w:t>
      </w:r>
      <w:r w:rsidRPr="008D17E3">
        <w:rPr>
          <w:color w:val="00B050"/>
        </w:rPr>
        <w:t xml:space="preserve">in therapeutic </w:t>
      </w:r>
      <w:r w:rsidR="00F66E27">
        <w:rPr>
          <w:color w:val="00B050"/>
        </w:rPr>
        <w:t xml:space="preserve">sunscreens and cosmetic </w:t>
      </w:r>
      <w:r w:rsidRPr="008D17E3">
        <w:rPr>
          <w:color w:val="00B050"/>
        </w:rPr>
        <w:t>preparations</w:t>
      </w:r>
      <w:r w:rsidRPr="008D17E3" w:rsidDel="00C265CE">
        <w:rPr>
          <w:color w:val="00B050"/>
        </w:rPr>
        <w:t xml:space="preserve"> </w:t>
      </w:r>
      <w:r w:rsidRPr="008D17E3">
        <w:rPr>
          <w:b/>
          <w:bCs/>
          <w:color w:val="00B050"/>
        </w:rPr>
        <w:t>except</w:t>
      </w:r>
      <w:r w:rsidRPr="008D17E3">
        <w:rPr>
          <w:color w:val="00B050"/>
        </w:rPr>
        <w:t>:</w:t>
      </w:r>
    </w:p>
    <w:p w14:paraId="2CFABD7E" w14:textId="6A2BF8AC" w:rsidR="00EB4A62" w:rsidRPr="007B05AB" w:rsidRDefault="00C70576" w:rsidP="007B05AB">
      <w:pPr>
        <w:pStyle w:val="ListBulleta"/>
        <w:ind w:left="644"/>
        <w:rPr>
          <w:color w:val="00B050"/>
        </w:rPr>
      </w:pPr>
      <w:r w:rsidRPr="007B05AB">
        <w:rPr>
          <w:color w:val="00B050"/>
        </w:rPr>
        <w:t>in therapeutic sunscreens</w:t>
      </w:r>
      <w:r w:rsidR="0080098C" w:rsidRPr="007B05AB">
        <w:rPr>
          <w:color w:val="00B050"/>
        </w:rPr>
        <w:t xml:space="preserve"> for application to the face and hands containing 0.95% or less of </w:t>
      </w:r>
      <w:r w:rsidR="00041A80" w:rsidRPr="007B05AB">
        <w:rPr>
          <w:color w:val="00B050"/>
        </w:rPr>
        <w:t>4-methylbenzylidene camphor; or</w:t>
      </w:r>
    </w:p>
    <w:p w14:paraId="458A4B6A" w14:textId="6D1EEEDC" w:rsidR="00C70576" w:rsidRPr="007B05AB" w:rsidRDefault="00041A80" w:rsidP="007B05AB">
      <w:pPr>
        <w:pStyle w:val="ListBulleta"/>
        <w:ind w:left="644"/>
        <w:rPr>
          <w:color w:val="00B050"/>
        </w:rPr>
      </w:pPr>
      <w:r w:rsidRPr="007B05AB">
        <w:rPr>
          <w:color w:val="00B050"/>
        </w:rPr>
        <w:t xml:space="preserve">in therapeutic sunscreens </w:t>
      </w:r>
      <w:r w:rsidR="007F2189" w:rsidRPr="007B05AB">
        <w:rPr>
          <w:color w:val="00B050"/>
        </w:rPr>
        <w:t>for application to the face and hands</w:t>
      </w:r>
      <w:r w:rsidR="000152E8" w:rsidRPr="007B05AB">
        <w:rPr>
          <w:color w:val="00B050"/>
        </w:rPr>
        <w:t xml:space="preserve"> </w:t>
      </w:r>
    </w:p>
    <w:p w14:paraId="36B43391" w14:textId="05D080AD" w:rsidR="00551513" w:rsidRPr="007B05AB" w:rsidRDefault="00C70576" w:rsidP="007B05AB">
      <w:pPr>
        <w:pStyle w:val="ListBulleta"/>
        <w:numPr>
          <w:ilvl w:val="0"/>
          <w:numId w:val="28"/>
        </w:numPr>
        <w:ind w:left="1364"/>
        <w:rPr>
          <w:color w:val="00B050"/>
        </w:rPr>
      </w:pPr>
      <w:r w:rsidRPr="007B05AB">
        <w:rPr>
          <w:color w:val="00B050"/>
        </w:rPr>
        <w:t>containing 3.8% or less of 4-</w:t>
      </w:r>
      <w:r w:rsidR="003967BE" w:rsidRPr="007B05AB">
        <w:rPr>
          <w:color w:val="00B050"/>
        </w:rPr>
        <w:t>m</w:t>
      </w:r>
      <w:r w:rsidRPr="007B05AB">
        <w:rPr>
          <w:color w:val="00B050"/>
        </w:rPr>
        <w:t>ethylbenzylidene camphor</w:t>
      </w:r>
      <w:r w:rsidR="004512AE" w:rsidRPr="007B05AB">
        <w:rPr>
          <w:color w:val="00B050"/>
        </w:rPr>
        <w:t>; and</w:t>
      </w:r>
      <w:r w:rsidRPr="007B05AB">
        <w:rPr>
          <w:color w:val="00B050"/>
        </w:rPr>
        <w:t xml:space="preserve"> </w:t>
      </w:r>
    </w:p>
    <w:p w14:paraId="632F36EE" w14:textId="350CEB31" w:rsidR="00C70576" w:rsidRPr="007B05AB" w:rsidRDefault="00551513" w:rsidP="007B05AB">
      <w:pPr>
        <w:pStyle w:val="ListBulleta"/>
        <w:numPr>
          <w:ilvl w:val="0"/>
          <w:numId w:val="28"/>
        </w:numPr>
        <w:ind w:left="1364"/>
        <w:rPr>
          <w:color w:val="00B050"/>
        </w:rPr>
      </w:pPr>
      <w:r w:rsidRPr="007B05AB">
        <w:rPr>
          <w:color w:val="00B050"/>
        </w:rPr>
        <w:t xml:space="preserve">for </w:t>
      </w:r>
      <w:r w:rsidR="00C70576" w:rsidRPr="007B05AB">
        <w:rPr>
          <w:color w:val="00B050"/>
        </w:rPr>
        <w:t>use by persons aged 18 years and over;</w:t>
      </w:r>
      <w:r w:rsidRPr="007B05AB">
        <w:rPr>
          <w:color w:val="00B050"/>
        </w:rPr>
        <w:t xml:space="preserve"> </w:t>
      </w:r>
      <w:r w:rsidR="00C70576" w:rsidRPr="007B05AB">
        <w:rPr>
          <w:color w:val="00B050"/>
        </w:rPr>
        <w:t>or</w:t>
      </w:r>
    </w:p>
    <w:p w14:paraId="255B2FA4" w14:textId="18CABB20" w:rsidR="00C70576" w:rsidRPr="007B05AB" w:rsidRDefault="00C70576" w:rsidP="007B05AB">
      <w:pPr>
        <w:pStyle w:val="ListBulleta"/>
        <w:ind w:left="644"/>
        <w:rPr>
          <w:color w:val="00B050"/>
        </w:rPr>
      </w:pPr>
      <w:r w:rsidRPr="007B05AB">
        <w:rPr>
          <w:color w:val="00B050"/>
        </w:rPr>
        <w:t xml:space="preserve">in cosmetic preparations </w:t>
      </w:r>
      <w:r w:rsidR="00F3140E" w:rsidRPr="007B05AB">
        <w:rPr>
          <w:color w:val="00B050"/>
        </w:rPr>
        <w:t>for</w:t>
      </w:r>
      <w:r w:rsidR="00C12BEC" w:rsidRPr="007B05AB">
        <w:rPr>
          <w:color w:val="00B050"/>
        </w:rPr>
        <w:t xml:space="preserve"> application to the</w:t>
      </w:r>
      <w:r w:rsidRPr="007B05AB">
        <w:rPr>
          <w:color w:val="00B050"/>
        </w:rPr>
        <w:t xml:space="preserve"> face and hand</w:t>
      </w:r>
      <w:r w:rsidR="00C12BEC" w:rsidRPr="007B05AB">
        <w:rPr>
          <w:color w:val="00B050"/>
        </w:rPr>
        <w:t>s</w:t>
      </w:r>
      <w:r w:rsidRPr="007B05AB" w:rsidDel="00C12BEC">
        <w:rPr>
          <w:color w:val="00B050"/>
        </w:rPr>
        <w:t xml:space="preserve"> </w:t>
      </w:r>
      <w:r w:rsidRPr="007B05AB">
        <w:rPr>
          <w:color w:val="00B050"/>
        </w:rPr>
        <w:t>containing 3.3% or less of 4-</w:t>
      </w:r>
      <w:r w:rsidR="003967BE" w:rsidRPr="007B05AB">
        <w:rPr>
          <w:color w:val="00B050"/>
        </w:rPr>
        <w:t>m</w:t>
      </w:r>
      <w:r w:rsidRPr="007B05AB">
        <w:rPr>
          <w:color w:val="00B050"/>
        </w:rPr>
        <w:t>ethylbenzylidene camphor</w:t>
      </w:r>
    </w:p>
    <w:p w14:paraId="22B2325E" w14:textId="550FB27F" w:rsidR="00B45851" w:rsidRPr="00737D88" w:rsidRDefault="00B45851" w:rsidP="00B45851">
      <w:pPr>
        <w:rPr>
          <w:i/>
          <w:iCs/>
          <w:u w:val="single"/>
        </w:rPr>
      </w:pPr>
      <w:r w:rsidRPr="00737D88">
        <w:rPr>
          <w:i/>
          <w:iCs/>
          <w:u w:val="single"/>
        </w:rPr>
        <w:t>De</w:t>
      </w:r>
      <w:r>
        <w:rPr>
          <w:i/>
          <w:iCs/>
          <w:u w:val="single"/>
        </w:rPr>
        <w:t>legate</w:t>
      </w:r>
      <w:r w:rsidR="001E6B11">
        <w:rPr>
          <w:i/>
          <w:iCs/>
          <w:u w:val="single"/>
        </w:rPr>
        <w:t>’</w:t>
      </w:r>
      <w:r>
        <w:rPr>
          <w:i/>
          <w:iCs/>
          <w:u w:val="single"/>
        </w:rPr>
        <w:t xml:space="preserve">s reasons for Option </w:t>
      </w:r>
      <w:r w:rsidR="00220B4D">
        <w:rPr>
          <w:i/>
          <w:iCs/>
          <w:u w:val="single"/>
        </w:rPr>
        <w:t>2</w:t>
      </w:r>
    </w:p>
    <w:p w14:paraId="19CC87BC" w14:textId="4E2A9705" w:rsidR="00E5767E" w:rsidRPr="003208DA" w:rsidRDefault="0002224F" w:rsidP="005F0A03">
      <w:pPr>
        <w:pStyle w:val="Tabletitle"/>
        <w:spacing w:after="120" w:line="240" w:lineRule="auto"/>
        <w:rPr>
          <w:color w:val="000000" w:themeColor="text1"/>
        </w:rPr>
      </w:pPr>
      <w:r w:rsidRPr="00631D8C">
        <w:rPr>
          <w:b w:val="0"/>
          <w:color w:val="000000" w:themeColor="text1"/>
        </w:rPr>
        <w:t>Specific use sunscreens are likely to be used differently by consumers, such as daily application to specific parts of the body, compared with the use pattern for general sunscreens</w:t>
      </w:r>
      <w:r w:rsidR="009E6261" w:rsidRPr="00631D8C">
        <w:rPr>
          <w:b w:val="0"/>
          <w:color w:val="000000" w:themeColor="text1"/>
        </w:rPr>
        <w:t xml:space="preserve"> </w:t>
      </w:r>
      <w:r w:rsidRPr="00631D8C">
        <w:rPr>
          <w:b w:val="0"/>
          <w:color w:val="000000" w:themeColor="text1"/>
        </w:rPr>
        <w:t xml:space="preserve">which are applied to </w:t>
      </w:r>
      <w:r w:rsidR="00F56D93">
        <w:rPr>
          <w:b w:val="0"/>
          <w:color w:val="000000" w:themeColor="text1"/>
        </w:rPr>
        <w:t>all</w:t>
      </w:r>
      <w:r w:rsidRPr="00631D8C">
        <w:rPr>
          <w:b w:val="0"/>
          <w:color w:val="000000" w:themeColor="text1"/>
        </w:rPr>
        <w:t xml:space="preserve"> parts of the body. </w:t>
      </w:r>
      <w:r w:rsidR="00E5767E" w:rsidRPr="00631D8C">
        <w:rPr>
          <w:b w:val="0"/>
          <w:color w:val="000000" w:themeColor="text1"/>
        </w:rPr>
        <w:t>This option provides different upper limits for exempting 4-MBC from the Poisons Standard, based on age, sunscreen type and application site.</w:t>
      </w:r>
      <w:r w:rsidR="00A15E44" w:rsidRPr="003208DA">
        <w:rPr>
          <w:rStyle w:val="FootnoteReference"/>
          <w:b w:val="0"/>
          <w:color w:val="000000" w:themeColor="text1"/>
        </w:rPr>
        <w:footnoteReference w:id="4"/>
      </w:r>
    </w:p>
    <w:p w14:paraId="1911C141" w14:textId="77777777" w:rsidR="00AD7474" w:rsidRDefault="00AD7474">
      <w:pPr>
        <w:rPr>
          <w:color w:val="000000" w:themeColor="text1"/>
        </w:rPr>
      </w:pPr>
      <w:r>
        <w:rPr>
          <w:color w:val="000000" w:themeColor="text1"/>
        </w:rPr>
        <w:br w:type="page"/>
      </w:r>
    </w:p>
    <w:p w14:paraId="7622F7AD" w14:textId="5ACD826F" w:rsidR="00BB6273" w:rsidRPr="003208DA" w:rsidRDefault="00C31D3A" w:rsidP="004E76D6">
      <w:pPr>
        <w:spacing w:before="120" w:line="240" w:lineRule="auto"/>
        <w:rPr>
          <w:color w:val="000000" w:themeColor="text1"/>
        </w:rPr>
      </w:pPr>
      <w:r w:rsidRPr="003208DA">
        <w:rPr>
          <w:color w:val="000000" w:themeColor="text1"/>
        </w:rPr>
        <w:lastRenderedPageBreak/>
        <w:t xml:space="preserve">The Safety </w:t>
      </w:r>
      <w:r w:rsidR="00027EFE" w:rsidRPr="003208DA">
        <w:rPr>
          <w:color w:val="000000" w:themeColor="text1"/>
        </w:rPr>
        <w:t>Review</w:t>
      </w:r>
      <w:r w:rsidRPr="003208DA">
        <w:rPr>
          <w:color w:val="000000" w:themeColor="text1"/>
        </w:rPr>
        <w:t xml:space="preserve"> estimated that</w:t>
      </w:r>
      <w:r w:rsidR="57680E4E" w:rsidRPr="003208DA">
        <w:rPr>
          <w:color w:val="000000" w:themeColor="text1"/>
        </w:rPr>
        <w:t xml:space="preserve"> </w:t>
      </w:r>
      <w:r w:rsidR="0059055F" w:rsidRPr="003208DA">
        <w:rPr>
          <w:color w:val="000000" w:themeColor="text1"/>
        </w:rPr>
        <w:t xml:space="preserve">4-MBC </w:t>
      </w:r>
      <w:r w:rsidR="00521526" w:rsidRPr="003208DA">
        <w:rPr>
          <w:color w:val="000000" w:themeColor="text1"/>
        </w:rPr>
        <w:t xml:space="preserve">in therapeutic sunscreens </w:t>
      </w:r>
      <w:r w:rsidR="0059055F" w:rsidRPr="003208DA">
        <w:rPr>
          <w:color w:val="000000" w:themeColor="text1"/>
        </w:rPr>
        <w:t>can be deemed low-risk</w:t>
      </w:r>
      <w:r w:rsidR="00BB6273" w:rsidRPr="003208DA">
        <w:rPr>
          <w:color w:val="000000" w:themeColor="text1"/>
        </w:rPr>
        <w:t>:</w:t>
      </w:r>
    </w:p>
    <w:p w14:paraId="1AE4E466" w14:textId="77777777" w:rsidR="00BB6273" w:rsidRPr="003208DA" w:rsidRDefault="00240127" w:rsidP="004E76D6">
      <w:pPr>
        <w:pStyle w:val="ListBullet2"/>
        <w:numPr>
          <w:ilvl w:val="0"/>
          <w:numId w:val="5"/>
        </w:numPr>
        <w:spacing w:after="120" w:line="240" w:lineRule="auto"/>
        <w:ind w:left="567" w:hanging="283"/>
        <w:rPr>
          <w:color w:val="000000" w:themeColor="text1"/>
        </w:rPr>
      </w:pPr>
      <w:r w:rsidRPr="003208DA">
        <w:rPr>
          <w:color w:val="000000" w:themeColor="text1"/>
        </w:rPr>
        <w:t>at a maximum concentration of 0.95%</w:t>
      </w:r>
      <w:r w:rsidR="00521526" w:rsidRPr="003208DA">
        <w:rPr>
          <w:color w:val="000000" w:themeColor="text1"/>
        </w:rPr>
        <w:t xml:space="preserve"> </w:t>
      </w:r>
    </w:p>
    <w:p w14:paraId="551A3C69" w14:textId="77777777" w:rsidR="00BB6273" w:rsidRPr="003208DA" w:rsidRDefault="00521526" w:rsidP="004E76D6">
      <w:pPr>
        <w:pStyle w:val="ListBullet2"/>
        <w:numPr>
          <w:ilvl w:val="0"/>
          <w:numId w:val="5"/>
        </w:numPr>
        <w:spacing w:after="120" w:line="240" w:lineRule="auto"/>
        <w:ind w:left="567" w:hanging="283"/>
        <w:rPr>
          <w:color w:val="000000" w:themeColor="text1"/>
        </w:rPr>
      </w:pPr>
      <w:r w:rsidRPr="003208DA">
        <w:rPr>
          <w:color w:val="000000" w:themeColor="text1"/>
        </w:rPr>
        <w:t>in products</w:t>
      </w:r>
      <w:r w:rsidR="00240127" w:rsidRPr="003208DA">
        <w:rPr>
          <w:color w:val="000000" w:themeColor="text1"/>
        </w:rPr>
        <w:t xml:space="preserve"> </w:t>
      </w:r>
      <w:r w:rsidR="00835FBC" w:rsidRPr="003208DA">
        <w:rPr>
          <w:color w:val="000000" w:themeColor="text1"/>
        </w:rPr>
        <w:t xml:space="preserve">intended for daily use by the whole family </w:t>
      </w:r>
    </w:p>
    <w:p w14:paraId="017E48E3" w14:textId="5A1AE6EF" w:rsidR="00581266" w:rsidRPr="003208DA" w:rsidRDefault="00835FBC" w:rsidP="004E76D6">
      <w:pPr>
        <w:pStyle w:val="ListBullet2"/>
        <w:numPr>
          <w:ilvl w:val="0"/>
          <w:numId w:val="5"/>
        </w:numPr>
        <w:spacing w:after="120" w:line="240" w:lineRule="auto"/>
        <w:ind w:left="567" w:hanging="283"/>
        <w:rPr>
          <w:color w:val="000000" w:themeColor="text1"/>
        </w:rPr>
      </w:pPr>
      <w:r w:rsidRPr="003208DA">
        <w:rPr>
          <w:color w:val="000000" w:themeColor="text1"/>
        </w:rPr>
        <w:t xml:space="preserve">when limited to </w:t>
      </w:r>
      <w:r w:rsidR="00240127" w:rsidRPr="003208DA">
        <w:rPr>
          <w:color w:val="000000" w:themeColor="text1"/>
        </w:rPr>
        <w:t>application to face or face and hand only</w:t>
      </w:r>
      <w:r w:rsidR="00581266" w:rsidRPr="003208DA">
        <w:rPr>
          <w:color w:val="000000" w:themeColor="text1"/>
        </w:rPr>
        <w:t>.</w:t>
      </w:r>
    </w:p>
    <w:p w14:paraId="557E4E34" w14:textId="523A4074" w:rsidR="005B29E5" w:rsidRPr="003208DA" w:rsidRDefault="00AB3A05" w:rsidP="004E76D6">
      <w:pPr>
        <w:spacing w:before="120" w:line="240" w:lineRule="auto"/>
        <w:rPr>
          <w:color w:val="000000" w:themeColor="text1"/>
        </w:rPr>
      </w:pPr>
      <w:r w:rsidRPr="003208DA">
        <w:rPr>
          <w:color w:val="000000" w:themeColor="text1"/>
        </w:rPr>
        <w:t>F</w:t>
      </w:r>
      <w:r w:rsidR="005B29E5" w:rsidRPr="003208DA">
        <w:rPr>
          <w:color w:val="000000" w:themeColor="text1"/>
        </w:rPr>
        <w:t xml:space="preserve">or </w:t>
      </w:r>
      <w:r w:rsidR="00CB4EBA" w:rsidRPr="003208DA">
        <w:rPr>
          <w:color w:val="000000" w:themeColor="text1"/>
        </w:rPr>
        <w:t xml:space="preserve">therapeutic sunscreens </w:t>
      </w:r>
      <w:r w:rsidRPr="003208DA">
        <w:rPr>
          <w:color w:val="000000" w:themeColor="text1"/>
        </w:rPr>
        <w:t xml:space="preserve">intended for daily use </w:t>
      </w:r>
      <w:r w:rsidR="00CB4EBA" w:rsidRPr="003208DA">
        <w:rPr>
          <w:color w:val="000000" w:themeColor="text1"/>
        </w:rPr>
        <w:t xml:space="preserve">by adults, </w:t>
      </w:r>
      <w:r w:rsidR="005B29E5" w:rsidRPr="003208DA">
        <w:rPr>
          <w:color w:val="000000" w:themeColor="text1"/>
        </w:rPr>
        <w:t xml:space="preserve">4-MBC </w:t>
      </w:r>
      <w:r w:rsidR="00721AC9" w:rsidRPr="003208DA">
        <w:rPr>
          <w:color w:val="000000" w:themeColor="text1"/>
        </w:rPr>
        <w:t>can be deemed low-risk</w:t>
      </w:r>
      <w:r w:rsidR="005B29E5" w:rsidRPr="003208DA">
        <w:rPr>
          <w:color w:val="000000" w:themeColor="text1"/>
        </w:rPr>
        <w:t>:</w:t>
      </w:r>
    </w:p>
    <w:p w14:paraId="698AF8DB" w14:textId="0C1B5C54" w:rsidR="005B29E5" w:rsidRPr="003208DA" w:rsidRDefault="005B29E5" w:rsidP="004E76D6">
      <w:pPr>
        <w:pStyle w:val="ListBullet2"/>
        <w:numPr>
          <w:ilvl w:val="0"/>
          <w:numId w:val="5"/>
        </w:numPr>
        <w:spacing w:after="120" w:line="240" w:lineRule="auto"/>
        <w:ind w:left="567" w:hanging="283"/>
        <w:rPr>
          <w:color w:val="000000" w:themeColor="text1"/>
        </w:rPr>
      </w:pPr>
      <w:r w:rsidRPr="003208DA">
        <w:rPr>
          <w:color w:val="000000" w:themeColor="text1"/>
        </w:rPr>
        <w:t xml:space="preserve">at a maximum concentration of </w:t>
      </w:r>
      <w:r w:rsidR="00CB4EBA" w:rsidRPr="003208DA">
        <w:rPr>
          <w:color w:val="000000" w:themeColor="text1"/>
        </w:rPr>
        <w:t>3.8</w:t>
      </w:r>
      <w:r w:rsidRPr="003208DA">
        <w:rPr>
          <w:color w:val="000000" w:themeColor="text1"/>
        </w:rPr>
        <w:t xml:space="preserve">% </w:t>
      </w:r>
    </w:p>
    <w:p w14:paraId="42B4216E" w14:textId="77777777" w:rsidR="005B29E5" w:rsidRPr="003208DA" w:rsidRDefault="005B29E5" w:rsidP="004E76D6">
      <w:pPr>
        <w:pStyle w:val="ListBullet2"/>
        <w:numPr>
          <w:ilvl w:val="0"/>
          <w:numId w:val="5"/>
        </w:numPr>
        <w:spacing w:after="120" w:line="240" w:lineRule="auto"/>
        <w:ind w:left="567" w:hanging="283"/>
        <w:rPr>
          <w:color w:val="000000" w:themeColor="text1"/>
        </w:rPr>
      </w:pPr>
      <w:r w:rsidRPr="003208DA">
        <w:rPr>
          <w:color w:val="000000" w:themeColor="text1"/>
        </w:rPr>
        <w:t>when limited to application to face or face and hand only.</w:t>
      </w:r>
    </w:p>
    <w:p w14:paraId="26B99C71" w14:textId="605496F9" w:rsidR="005D4FB8" w:rsidRDefault="00390FCF" w:rsidP="005D4FB8">
      <w:pPr>
        <w:pStyle w:val="ListBullet"/>
        <w:numPr>
          <w:ilvl w:val="0"/>
          <w:numId w:val="0"/>
        </w:numPr>
      </w:pPr>
      <w:r w:rsidRPr="00390FCF">
        <w:t>Based on the available information</w:t>
      </w:r>
      <w:r>
        <w:t xml:space="preserve">, </w:t>
      </w:r>
      <w:r w:rsidR="00116CB5">
        <w:t>4-MBC is</w:t>
      </w:r>
      <w:r w:rsidRPr="00390FCF">
        <w:t xml:space="preserve"> most likely to be present in face creams and foundations</w:t>
      </w:r>
      <w:r w:rsidR="00D65B8A">
        <w:t xml:space="preserve"> and</w:t>
      </w:r>
      <w:r w:rsidRPr="00390FCF">
        <w:t xml:space="preserve"> secondary sunscreen products </w:t>
      </w:r>
      <w:r w:rsidR="00D65B8A">
        <w:t>like</w:t>
      </w:r>
      <w:r w:rsidRPr="00390FCF">
        <w:t xml:space="preserve"> hand creams and lip balms.</w:t>
      </w:r>
      <w:r w:rsidR="008468BF">
        <w:t xml:space="preserve"> </w:t>
      </w:r>
      <w:r w:rsidR="00361FCD">
        <w:t>Based on</w:t>
      </w:r>
      <w:r w:rsidR="005D4FB8" w:rsidRPr="00D36E6E">
        <w:t xml:space="preserve"> combined exposure from </w:t>
      </w:r>
      <w:r w:rsidR="008468BF">
        <w:t>these</w:t>
      </w:r>
      <w:r w:rsidR="005D4FB8" w:rsidRPr="00D36E6E">
        <w:t xml:space="preserve"> product</w:t>
      </w:r>
      <w:r w:rsidR="00C171F8">
        <w:t>s</w:t>
      </w:r>
      <w:r w:rsidR="005D4FB8" w:rsidRPr="00D36E6E">
        <w:t xml:space="preserve"> </w:t>
      </w:r>
      <w:r w:rsidR="00941B39">
        <w:t>which</w:t>
      </w:r>
      <w:r w:rsidR="005D4FB8" w:rsidRPr="00D36E6E">
        <w:t xml:space="preserve"> may be used on the same day, </w:t>
      </w:r>
      <w:r w:rsidR="00596391">
        <w:t>a</w:t>
      </w:r>
      <w:r w:rsidR="005D4FB8" w:rsidRPr="00102E71">
        <w:t xml:space="preserve"> maximum concentration of 3.3% 4-MBC </w:t>
      </w:r>
      <w:r w:rsidR="00040D5E">
        <w:t xml:space="preserve">in cosmetics </w:t>
      </w:r>
      <w:proofErr w:type="gramStart"/>
      <w:r w:rsidR="00F93DBA">
        <w:t xml:space="preserve">is </w:t>
      </w:r>
      <w:r w:rsidR="00361FCD">
        <w:t>considered</w:t>
      </w:r>
      <w:r w:rsidR="00F93DBA">
        <w:t xml:space="preserve"> </w:t>
      </w:r>
      <w:r w:rsidR="0056070D">
        <w:t>to be</w:t>
      </w:r>
      <w:proofErr w:type="gramEnd"/>
      <w:r w:rsidR="005D4FB8" w:rsidRPr="00102E71">
        <w:t xml:space="preserve"> acceptable</w:t>
      </w:r>
      <w:r w:rsidR="00E7353E">
        <w:t>.</w:t>
      </w:r>
    </w:p>
    <w:p w14:paraId="7ACE2E19" w14:textId="5466F14E" w:rsidR="00E65903" w:rsidRDefault="00E65903" w:rsidP="00E65903">
      <w:pPr>
        <w:pStyle w:val="Heading4"/>
      </w:pPr>
      <w:bookmarkStart w:id="15" w:name="_Toc239862083"/>
      <w:r>
        <w:t>Applicants’ proposal</w:t>
      </w:r>
      <w:bookmarkEnd w:id="15"/>
    </w:p>
    <w:p w14:paraId="2D2B34A6" w14:textId="709EFA51" w:rsidR="00E65903" w:rsidRPr="002A0240" w:rsidRDefault="00241306" w:rsidP="007665CF">
      <w:pPr>
        <w:pStyle w:val="ListBullet"/>
        <w:numPr>
          <w:ilvl w:val="0"/>
          <w:numId w:val="0"/>
        </w:numPr>
      </w:pPr>
      <w:r w:rsidRPr="002A0240">
        <w:t>Two private applica</w:t>
      </w:r>
      <w:r w:rsidR="00E26DDE" w:rsidRPr="002A0240">
        <w:t xml:space="preserve">nts submitted applications to amend the scheduling of 4-MBC. Both the applications </w:t>
      </w:r>
      <w:r w:rsidR="00662907" w:rsidRPr="002A0240">
        <w:t xml:space="preserve">proposed </w:t>
      </w:r>
      <w:r w:rsidR="006E306B" w:rsidRPr="002A0240">
        <w:t xml:space="preserve">the same </w:t>
      </w:r>
      <w:r w:rsidR="00E62951" w:rsidRPr="002A0240">
        <w:t xml:space="preserve">amendments </w:t>
      </w:r>
      <w:r w:rsidR="005B6234" w:rsidRPr="002A0240">
        <w:t xml:space="preserve">i.e. </w:t>
      </w:r>
      <w:r w:rsidR="0020711F" w:rsidRPr="007665CF">
        <w:rPr>
          <w:rFonts w:cs="Arial"/>
        </w:rPr>
        <w:t xml:space="preserve">to create a new entry for </w:t>
      </w:r>
      <w:r w:rsidR="0020711F">
        <w:t>4-MBC</w:t>
      </w:r>
      <w:r w:rsidR="0020711F" w:rsidRPr="007665CF">
        <w:rPr>
          <w:rFonts w:cs="Arial"/>
        </w:rPr>
        <w:t xml:space="preserve"> to warrant prohibition of sale, supply and use (Schedule 10)</w:t>
      </w:r>
      <w:r w:rsidR="0020711F">
        <w:t xml:space="preserve"> when used in therapeutic goods or cosmetic products.</w:t>
      </w:r>
      <w:r w:rsidR="00C93D04">
        <w:t xml:space="preserve"> </w:t>
      </w:r>
      <w:r w:rsidR="002C6ABD">
        <w:t xml:space="preserve">Therefore, both the proposals are being considered </w:t>
      </w:r>
      <w:r w:rsidR="00A21B01">
        <w:t>together as Option 3.</w:t>
      </w:r>
      <w:r w:rsidR="002C6ABD">
        <w:t xml:space="preserve"> </w:t>
      </w:r>
    </w:p>
    <w:p w14:paraId="651C61E4" w14:textId="542561A6" w:rsidR="007E0D50" w:rsidRPr="00A21B01" w:rsidRDefault="007E0D50" w:rsidP="005563FE">
      <w:pPr>
        <w:pStyle w:val="TableTitle0"/>
      </w:pPr>
      <w:r w:rsidRPr="00A21B01">
        <w:t xml:space="preserve">Option </w:t>
      </w:r>
      <w:r w:rsidR="00A42BE8" w:rsidRPr="00A21B01">
        <w:t>3</w:t>
      </w:r>
      <w:r w:rsidRPr="00A21B01">
        <w:t xml:space="preserve">. </w:t>
      </w:r>
      <w:r w:rsidR="006D6C22">
        <w:t>Prohibiting use of 4-MBC i</w:t>
      </w:r>
      <w:r w:rsidR="00073583">
        <w:t>n</w:t>
      </w:r>
      <w:r w:rsidR="006D6C22">
        <w:t xml:space="preserve"> therapeutic sunscreens and cosmetics</w:t>
      </w:r>
    </w:p>
    <w:p w14:paraId="368E98CD" w14:textId="77777777" w:rsidR="481E8BAD" w:rsidRDefault="481E8BAD" w:rsidP="21292FDE">
      <w:pPr>
        <w:rPr>
          <w:i/>
          <w:iCs/>
          <w:u w:val="single"/>
        </w:rPr>
      </w:pPr>
      <w:r w:rsidRPr="21292FDE">
        <w:rPr>
          <w:i/>
          <w:iCs/>
          <w:u w:val="single"/>
        </w:rPr>
        <w:t>Proposed amendments</w:t>
      </w:r>
    </w:p>
    <w:p w14:paraId="1788C5BE" w14:textId="77777777" w:rsidR="006D6C22" w:rsidRPr="006E527A" w:rsidRDefault="006D6C22" w:rsidP="006D6C22">
      <w:pPr>
        <w:ind w:left="284"/>
        <w:rPr>
          <w:b/>
          <w:bCs/>
        </w:rPr>
      </w:pPr>
      <w:r w:rsidRPr="006E527A">
        <w:rPr>
          <w:b/>
          <w:bCs/>
        </w:rPr>
        <w:t xml:space="preserve">Schedule 10 </w:t>
      </w:r>
      <w:r w:rsidRPr="0044537E">
        <w:rPr>
          <w:b/>
          <w:bCs/>
        </w:rPr>
        <w:t>– New Entry</w:t>
      </w:r>
    </w:p>
    <w:p w14:paraId="7516D89F" w14:textId="5EFFA625" w:rsidR="006D6C22" w:rsidRPr="00AA0EA2" w:rsidRDefault="006D6C22" w:rsidP="006D6C22">
      <w:pPr>
        <w:ind w:left="709"/>
        <w:rPr>
          <w:color w:val="00B050"/>
        </w:rPr>
      </w:pPr>
      <w:r w:rsidRPr="006E527A">
        <w:rPr>
          <w:color w:val="00B050"/>
        </w:rPr>
        <w:t>4-</w:t>
      </w:r>
      <w:r w:rsidR="008F1625" w:rsidRPr="006E527A">
        <w:rPr>
          <w:color w:val="00B050"/>
        </w:rPr>
        <w:t>METHYLBENZYLIDENE CAMPHOR</w:t>
      </w:r>
      <w:r w:rsidR="008F1625" w:rsidRPr="006E527A" w:rsidDel="008F1625">
        <w:rPr>
          <w:color w:val="00B050"/>
        </w:rPr>
        <w:t xml:space="preserve"> </w:t>
      </w:r>
      <w:r w:rsidRPr="006E527A">
        <w:rPr>
          <w:color w:val="00B050"/>
        </w:rPr>
        <w:t xml:space="preserve">in therapeutic goods or cosmetic products. </w:t>
      </w:r>
    </w:p>
    <w:p w14:paraId="2352F006" w14:textId="6F0F507E" w:rsidR="007E0D50" w:rsidRPr="00BD74A0" w:rsidRDefault="00073583" w:rsidP="007E0D50">
      <w:pPr>
        <w:rPr>
          <w:i/>
          <w:iCs/>
          <w:u w:val="single"/>
        </w:rPr>
      </w:pPr>
      <w:r>
        <w:rPr>
          <w:i/>
          <w:iCs/>
          <w:u w:val="single"/>
        </w:rPr>
        <w:t>A</w:t>
      </w:r>
      <w:r w:rsidR="007E0D50" w:rsidRPr="001D79A6">
        <w:rPr>
          <w:i/>
          <w:iCs/>
          <w:u w:val="single"/>
        </w:rPr>
        <w:t>pplicants</w:t>
      </w:r>
      <w:r>
        <w:rPr>
          <w:i/>
          <w:iCs/>
          <w:u w:val="single"/>
        </w:rPr>
        <w:t>’</w:t>
      </w:r>
      <w:r w:rsidR="007E0D50" w:rsidRPr="001D79A6">
        <w:rPr>
          <w:i/>
          <w:iCs/>
          <w:u w:val="single"/>
        </w:rPr>
        <w:t xml:space="preserve"> reasons for this proposal</w:t>
      </w:r>
    </w:p>
    <w:p w14:paraId="3D478294" w14:textId="7849FE9F" w:rsidR="00D56A82" w:rsidRDefault="007E0D50" w:rsidP="003208DA">
      <w:pPr>
        <w:pStyle w:val="ListBullet"/>
        <w:numPr>
          <w:ilvl w:val="0"/>
          <w:numId w:val="0"/>
        </w:numPr>
      </w:pPr>
      <w:r w:rsidRPr="00BA5D5B">
        <w:t>The applicant</w:t>
      </w:r>
      <w:r w:rsidR="00F12D5D">
        <w:t>s</w:t>
      </w:r>
      <w:r w:rsidRPr="00BA5D5B">
        <w:t xml:space="preserve"> stated </w:t>
      </w:r>
      <w:r w:rsidR="00D96A40">
        <w:t>that</w:t>
      </w:r>
      <w:r w:rsidR="00C45ECD">
        <w:t xml:space="preserve"> </w:t>
      </w:r>
      <w:r w:rsidR="00C45ECD" w:rsidRPr="00C45ECD">
        <w:t>4-MBC is a confirmed endocrine disruptor</w:t>
      </w:r>
      <w:r w:rsidR="00195FF4">
        <w:t xml:space="preserve"> and its </w:t>
      </w:r>
      <w:r w:rsidR="002F2674">
        <w:t>genotoxicity cannot be excluded</w:t>
      </w:r>
      <w:r w:rsidR="00C45ECD" w:rsidRPr="00C45ECD">
        <w:t xml:space="preserve">. </w:t>
      </w:r>
      <w:r w:rsidR="004C0E91">
        <w:t>The EU Scientific Committee on Consumer Safety (SCCS, 2022)</w:t>
      </w:r>
      <w:r w:rsidR="000F5174">
        <w:rPr>
          <w:rStyle w:val="FootnoteReference"/>
        </w:rPr>
        <w:footnoteReference w:id="5"/>
      </w:r>
      <w:r w:rsidR="004C0E91">
        <w:t>, the UK Scientific Advisory Group on Chemical Safety (SAG</w:t>
      </w:r>
      <w:r w:rsidR="004F6F95">
        <w:noBreakHyphen/>
      </w:r>
      <w:r w:rsidR="004C0E91">
        <w:t>CS</w:t>
      </w:r>
      <w:r w:rsidR="004F6F95">
        <w:t>)</w:t>
      </w:r>
      <w:r w:rsidR="00BA5177">
        <w:t xml:space="preserve"> and the</w:t>
      </w:r>
      <w:r w:rsidR="00C45ECD" w:rsidRPr="00C45ECD">
        <w:t xml:space="preserve"> European Chemicals Agency (ECHA, 2021)</w:t>
      </w:r>
      <w:r w:rsidR="006110BA">
        <w:rPr>
          <w:rStyle w:val="FootnoteReference"/>
        </w:rPr>
        <w:footnoteReference w:id="6"/>
      </w:r>
      <w:r w:rsidR="004E50B2" w:rsidRPr="004E50B2">
        <w:rPr>
          <w:vertAlign w:val="superscript"/>
        </w:rPr>
        <w:t>,</w:t>
      </w:r>
      <w:r w:rsidR="004E50B2">
        <w:rPr>
          <w:rStyle w:val="FootnoteReference"/>
        </w:rPr>
        <w:footnoteReference w:id="7"/>
      </w:r>
      <w:r w:rsidR="00C45ECD" w:rsidRPr="00C45ECD">
        <w:t xml:space="preserve"> have all concluded that 4-MBC disrupts both the thyroid and estrogen systems. Effects include decreased thyroxine (T4), increased </w:t>
      </w:r>
      <w:r w:rsidR="004A301F">
        <w:t>thyroid stim</w:t>
      </w:r>
      <w:r w:rsidR="004E37DA">
        <w:t>ulating hormone (TSH)</w:t>
      </w:r>
      <w:r w:rsidR="00C45ECD" w:rsidRPr="00C45ECD">
        <w:t xml:space="preserve"> thyroid gland enlargement, estrogenic stimulation of breast cancer cells </w:t>
      </w:r>
      <w:r w:rsidR="00C45ECD" w:rsidRPr="00F12D5D">
        <w:rPr>
          <w:i/>
          <w:iCs/>
        </w:rPr>
        <w:t>in vitro</w:t>
      </w:r>
      <w:r w:rsidR="00C45ECD" w:rsidRPr="00C45ECD">
        <w:t xml:space="preserve">, and reproductive developmental effects in animal studies. </w:t>
      </w:r>
      <w:r w:rsidR="00D56A82" w:rsidRPr="00AA3C46">
        <w:t xml:space="preserve">The SCCS </w:t>
      </w:r>
      <w:r w:rsidR="00D56A82">
        <w:t xml:space="preserve">also </w:t>
      </w:r>
      <w:r w:rsidR="00D56A82" w:rsidRPr="00AA3C46">
        <w:t xml:space="preserve">concluded </w:t>
      </w:r>
      <w:r w:rsidR="00D56A82">
        <w:t xml:space="preserve">that 4-MBC’s </w:t>
      </w:r>
      <w:r w:rsidR="00D56A82" w:rsidRPr="00AA3C46">
        <w:t>genotoxic potential cannot be ruled out.</w:t>
      </w:r>
    </w:p>
    <w:p w14:paraId="4D1B7993" w14:textId="5A6D40BA" w:rsidR="00A46B20" w:rsidRDefault="006046A7" w:rsidP="003208DA">
      <w:pPr>
        <w:pStyle w:val="ListBullet"/>
        <w:numPr>
          <w:ilvl w:val="0"/>
          <w:numId w:val="0"/>
        </w:numPr>
      </w:pPr>
      <w:r>
        <w:t>The applicant</w:t>
      </w:r>
      <w:r w:rsidR="00F12D5D">
        <w:t>s</w:t>
      </w:r>
      <w:r>
        <w:t xml:space="preserve"> submitted that</w:t>
      </w:r>
      <w:r w:rsidR="004C3099">
        <w:t>,</w:t>
      </w:r>
      <w:r>
        <w:t xml:space="preserve"> u</w:t>
      </w:r>
      <w:r w:rsidR="00E44D02" w:rsidRPr="00BA5D5B">
        <w:t>nlike dose-dependent toxicity that can be mitigated by limiting concentration, the potential endocrine disrupting properties of 4-MBC arise from a mechanism that cannot be adequately characterised with a threshold dose given the current state of genotoxicity evidence.</w:t>
      </w:r>
      <w:r w:rsidR="00E44D02">
        <w:t xml:space="preserve"> </w:t>
      </w:r>
      <w:r w:rsidR="00A46B20">
        <w:t xml:space="preserve">The </w:t>
      </w:r>
      <w:r w:rsidR="00A46B20" w:rsidRPr="00156E8D">
        <w:t>SCCS</w:t>
      </w:r>
      <w:r w:rsidR="00A46B20">
        <w:t xml:space="preserve"> and </w:t>
      </w:r>
      <w:r w:rsidR="00A46B20" w:rsidRPr="00156E8D">
        <w:t>SAG-CS</w:t>
      </w:r>
      <w:r w:rsidR="00A46B20">
        <w:t xml:space="preserve"> have concluded that that a maximum safe concentration cannot be determined due to insufficient toxicological data and confirmed endocrine disrupting properties.</w:t>
      </w:r>
    </w:p>
    <w:p w14:paraId="329B376D" w14:textId="12C95EB1" w:rsidR="00831A5F" w:rsidRPr="00BA5D5B" w:rsidRDefault="00F12D5D" w:rsidP="003208DA">
      <w:pPr>
        <w:pStyle w:val="ListBullet"/>
        <w:numPr>
          <w:ilvl w:val="0"/>
          <w:numId w:val="0"/>
        </w:numPr>
      </w:pPr>
      <w:r>
        <w:t>The applicants also argued that n</w:t>
      </w:r>
      <w:r w:rsidR="00B55A67" w:rsidRPr="00BA5D5B">
        <w:t>o warning label can appropriately address the fundamental inability to establish a safe dose for a substance with confirmed endocrine disrupting activity and unresolved genotoxicity.</w:t>
      </w:r>
      <w:r w:rsidR="00B55A67">
        <w:t xml:space="preserve"> </w:t>
      </w:r>
      <w:r w:rsidR="00831A5F" w:rsidRPr="00DC1992">
        <w:rPr>
          <w:rFonts w:eastAsiaTheme="minorHAnsi" w:cs="Arial"/>
        </w:rPr>
        <w:t xml:space="preserve">Sunscreens are used by the </w:t>
      </w:r>
      <w:proofErr w:type="gramStart"/>
      <w:r w:rsidR="00831A5F" w:rsidRPr="00DC1992">
        <w:rPr>
          <w:rFonts w:eastAsiaTheme="minorHAnsi" w:cs="Arial"/>
        </w:rPr>
        <w:t>general public</w:t>
      </w:r>
      <w:proofErr w:type="gramEnd"/>
      <w:r w:rsidR="00831A5F" w:rsidRPr="00DC1992">
        <w:rPr>
          <w:rFonts w:eastAsiaTheme="minorHAnsi" w:cs="Arial"/>
        </w:rPr>
        <w:t xml:space="preserve"> including vulnerable populations (children, pregnant women, individuals with thyroid disorders) without medical supervision. Risk communication via labelling is inherently limited in this consumer context. Further, </w:t>
      </w:r>
      <w:r w:rsidR="00831A5F">
        <w:rPr>
          <w:rFonts w:eastAsiaTheme="minorHAnsi" w:cs="Arial"/>
        </w:rPr>
        <w:t>current</w:t>
      </w:r>
      <w:r w:rsidR="00831A5F" w:rsidRPr="00DC1992">
        <w:rPr>
          <w:rFonts w:cs="Arial"/>
        </w:rPr>
        <w:t xml:space="preserve"> recommended pattern of </w:t>
      </w:r>
      <w:r w:rsidR="00831A5F" w:rsidRPr="00DC1992">
        <w:rPr>
          <w:rFonts w:cs="Arial"/>
        </w:rPr>
        <w:lastRenderedPageBreak/>
        <w:t>use (frequent reapplication to large body surface areas) makes it impossible to control consumer exposure through labelling guidance alone.</w:t>
      </w:r>
      <w:r w:rsidR="00831A5F" w:rsidRPr="00E44161">
        <w:t xml:space="preserve"> </w:t>
      </w:r>
    </w:p>
    <w:p w14:paraId="1603A067" w14:textId="6B237F94" w:rsidR="00731C3F" w:rsidRDefault="008A67FF" w:rsidP="003208DA">
      <w:pPr>
        <w:pStyle w:val="ListBullet"/>
        <w:numPr>
          <w:ilvl w:val="0"/>
          <w:numId w:val="0"/>
        </w:numPr>
      </w:pPr>
      <w:r>
        <w:t xml:space="preserve">Approximately 33 or more countries have taken regulatory action. </w:t>
      </w:r>
      <w:r w:rsidR="00731C3F">
        <w:t>The EU has banned 4-MBC in all cosmetics under Regulation (EU) 2024/996 (effective 2025-2026)</w:t>
      </w:r>
      <w:r w:rsidR="00023E8D">
        <w:rPr>
          <w:rStyle w:val="FootnoteReference"/>
        </w:rPr>
        <w:footnoteReference w:id="8"/>
      </w:r>
      <w:r w:rsidR="00731C3F">
        <w:t>. The</w:t>
      </w:r>
      <w:r w:rsidR="00BB02F6">
        <w:t xml:space="preserve"> </w:t>
      </w:r>
      <w:r w:rsidR="00731C3F">
        <w:t xml:space="preserve">UK enacted a ban effective July 2026. The US FDA classified </w:t>
      </w:r>
      <w:r w:rsidR="00BB02F6">
        <w:t>4-MBC</w:t>
      </w:r>
      <w:r w:rsidR="00731C3F">
        <w:t xml:space="preserve"> as not </w:t>
      </w:r>
      <w:r w:rsidR="00BB02F6">
        <w:t>GRAS</w:t>
      </w:r>
      <w:r w:rsidR="00731C3F">
        <w:t xml:space="preserve"> and effective since 2015.</w:t>
      </w:r>
      <w:r w:rsidR="006535D3">
        <w:rPr>
          <w:rStyle w:val="FootnoteReference"/>
        </w:rPr>
        <w:footnoteReference w:id="9"/>
      </w:r>
      <w:r w:rsidR="00731C3F">
        <w:t xml:space="preserve"> China </w:t>
      </w:r>
      <w:r w:rsidR="00BB02F6">
        <w:t xml:space="preserve">has </w:t>
      </w:r>
      <w:r w:rsidR="00731C3F">
        <w:t>removed it from permitted UV filters in January 2026.</w:t>
      </w:r>
      <w:r w:rsidR="00D43C45">
        <w:rPr>
          <w:rStyle w:val="FootnoteReference"/>
        </w:rPr>
        <w:footnoteReference w:id="10"/>
      </w:r>
    </w:p>
    <w:p w14:paraId="5F7D4255" w14:textId="576C5E6A" w:rsidR="006525F4" w:rsidRDefault="00665849" w:rsidP="003208DA">
      <w:pPr>
        <w:pStyle w:val="ListBullet"/>
        <w:numPr>
          <w:ilvl w:val="0"/>
          <w:numId w:val="0"/>
        </w:numPr>
      </w:pPr>
      <w:r>
        <w:t xml:space="preserve">The </w:t>
      </w:r>
      <w:r w:rsidR="000B49E6">
        <w:t>ASEM, adopted in January 2025, shows Australian consumers apply sunscreens more frequently and in greater quantities than European populations, resulting in higher systemic 4-MBC exposure. Australia has acted less while its consumers are exposed more.</w:t>
      </w:r>
    </w:p>
    <w:p w14:paraId="64FCDFE2" w14:textId="35D02DDC" w:rsidR="002F5A56" w:rsidRDefault="00155CF2" w:rsidP="003208DA">
      <w:pPr>
        <w:pStyle w:val="ListBullet"/>
        <w:numPr>
          <w:ilvl w:val="0"/>
          <w:numId w:val="0"/>
        </w:numPr>
      </w:pPr>
      <w:r>
        <w:t>The a</w:t>
      </w:r>
      <w:r w:rsidR="00B11CEB">
        <w:t>pplicants claim that o</w:t>
      </w:r>
      <w:r w:rsidR="001257BF" w:rsidRPr="001257BF">
        <w:t>ver 20 alternative UV filters approved in Australia fully replicate the UV protection</w:t>
      </w:r>
      <w:r w:rsidR="00690CB4">
        <w:t xml:space="preserve"> </w:t>
      </w:r>
      <w:r w:rsidR="00690CB4" w:rsidRPr="00690CB4">
        <w:t>provided by 4</w:t>
      </w:r>
      <w:r w:rsidR="00690CB4">
        <w:noBreakHyphen/>
      </w:r>
      <w:r w:rsidR="00690CB4" w:rsidRPr="00690CB4">
        <w:t xml:space="preserve">MBC. </w:t>
      </w:r>
      <w:r w:rsidR="00536948" w:rsidRPr="00690CB4">
        <w:t>The 88% of ARTG-listed sunscreens that already omit 4-MBC demonstrate that effective products can be formulated without it.</w:t>
      </w:r>
      <w:r w:rsidR="00536948">
        <w:t xml:space="preserve"> </w:t>
      </w:r>
      <w:r w:rsidR="00690CB4" w:rsidRPr="00690CB4">
        <w:t xml:space="preserve">The EU and China completed their transitions without any reported impact on sunscreen availability or efficacy. </w:t>
      </w:r>
    </w:p>
    <w:p w14:paraId="2ACFAAB5" w14:textId="37DFA3DE" w:rsidR="4EF877C2" w:rsidRDefault="4EF877C2" w:rsidP="00BA11DD">
      <w:pPr>
        <w:pStyle w:val="Heading4"/>
      </w:pPr>
      <w:bookmarkStart w:id="16" w:name="_Toc239862084"/>
      <w:r>
        <w:t>CAS Number</w:t>
      </w:r>
      <w:bookmarkEnd w:id="16"/>
    </w:p>
    <w:p w14:paraId="7EA0DAF4" w14:textId="0E58AD8E" w:rsidR="4EF877C2" w:rsidRDefault="4EF877C2">
      <w:r>
        <w:t>36861-47-9</w:t>
      </w:r>
    </w:p>
    <w:p w14:paraId="53E52030" w14:textId="77777777" w:rsidR="4EF877C2" w:rsidRDefault="4EF877C2" w:rsidP="00BA11DD">
      <w:pPr>
        <w:pStyle w:val="Heading4"/>
      </w:pPr>
      <w:bookmarkStart w:id="17" w:name="_Toc239862085"/>
      <w:r>
        <w:t>Alternative names</w:t>
      </w:r>
      <w:bookmarkEnd w:id="17"/>
    </w:p>
    <w:p w14:paraId="21D2A619" w14:textId="77777777" w:rsidR="4EF877C2" w:rsidRDefault="4EF877C2">
      <w:r>
        <w:t>1,7,7-Trimethyl-3-[(4-</w:t>
      </w:r>
      <w:proofErr w:type="gramStart"/>
      <w:r>
        <w:t>methylphenyl)methylene</w:t>
      </w:r>
      <w:proofErr w:type="gramEnd"/>
      <w:r>
        <w:t>]-</w:t>
      </w:r>
      <w:proofErr w:type="gramStart"/>
      <w:r>
        <w:t>bicyclo[2.2.1]heptan</w:t>
      </w:r>
      <w:proofErr w:type="gramEnd"/>
      <w:r>
        <w:t>-2-one</w:t>
      </w:r>
    </w:p>
    <w:p w14:paraId="5D9B0DB7" w14:textId="77777777" w:rsidR="4EF877C2" w:rsidRDefault="4EF877C2">
      <w:proofErr w:type="spellStart"/>
      <w:r>
        <w:t>Enzacamene</w:t>
      </w:r>
      <w:proofErr w:type="spellEnd"/>
    </w:p>
    <w:p w14:paraId="0E77F0E2" w14:textId="1A3FF4CC" w:rsidR="4EF877C2" w:rsidRDefault="4EF877C2">
      <w:r>
        <w:t>3-(4-Methylbenzylidene)-dl-camphor</w:t>
      </w:r>
    </w:p>
    <w:p w14:paraId="63E35AF8" w14:textId="267EE3D0" w:rsidR="4EF877C2" w:rsidRDefault="4EF877C2">
      <w:r>
        <w:t xml:space="preserve">Neo </w:t>
      </w:r>
      <w:proofErr w:type="spellStart"/>
      <w:r>
        <w:t>Heliopan</w:t>
      </w:r>
      <w:proofErr w:type="spellEnd"/>
    </w:p>
    <w:p w14:paraId="229178A7" w14:textId="77777777" w:rsidR="008F6897" w:rsidRPr="00C417B6" w:rsidRDefault="008F6897" w:rsidP="00BA11DD">
      <w:pPr>
        <w:pStyle w:val="Heading4"/>
      </w:pPr>
      <w:bookmarkStart w:id="18" w:name="_Toc239862086"/>
      <w:r w:rsidRPr="00C417B6">
        <w:t>Key uses / expected use</w:t>
      </w:r>
      <w:bookmarkEnd w:id="18"/>
    </w:p>
    <w:p w14:paraId="41CE6567" w14:textId="2891DA14" w:rsidR="008F6897" w:rsidRPr="00C417B6" w:rsidRDefault="007A5E15" w:rsidP="00C417B6">
      <w:r>
        <w:t>Sunscreen</w:t>
      </w:r>
      <w:r w:rsidR="00BB182B" w:rsidRPr="00BB182B">
        <w:t xml:space="preserve"> products</w:t>
      </w:r>
      <w:r w:rsidR="00DB2726">
        <w:t xml:space="preserve">, </w:t>
      </w:r>
      <w:r w:rsidR="00BB182B" w:rsidRPr="00BB182B">
        <w:t>cosmetic products</w:t>
      </w:r>
      <w:r w:rsidR="005640F3">
        <w:t xml:space="preserve">, </w:t>
      </w:r>
      <w:r w:rsidR="00DB2726">
        <w:t>and</w:t>
      </w:r>
      <w:r w:rsidR="005640F3" w:rsidRPr="00EE2E85">
        <w:t xml:space="preserve"> fragrances</w:t>
      </w:r>
    </w:p>
    <w:p w14:paraId="2614E5E1" w14:textId="77777777" w:rsidR="008F6897" w:rsidRPr="00C417B6" w:rsidRDefault="008F6897" w:rsidP="00BA11DD">
      <w:pPr>
        <w:pStyle w:val="Heading4"/>
      </w:pPr>
      <w:bookmarkStart w:id="19" w:name="_Toc239862087"/>
      <w:r w:rsidRPr="00C417B6">
        <w:t>Australian regulations</w:t>
      </w:r>
      <w:bookmarkEnd w:id="19"/>
    </w:p>
    <w:p w14:paraId="142129F9" w14:textId="5D38367D" w:rsidR="005E37CE" w:rsidRDefault="008F6897" w:rsidP="00464CFC">
      <w:pPr>
        <w:pStyle w:val="ListBullet"/>
      </w:pPr>
      <w:r w:rsidRPr="00C417B6">
        <w:t xml:space="preserve">According to the </w:t>
      </w:r>
      <w:hyperlink r:id="rId31" w:history="1">
        <w:r w:rsidRPr="00C417B6">
          <w:rPr>
            <w:rStyle w:val="Hyperlink"/>
          </w:rPr>
          <w:t>TGA Ingredient Database</w:t>
        </w:r>
      </w:hyperlink>
      <w:r w:rsidRPr="00C417B6">
        <w:t xml:space="preserve">, </w:t>
      </w:r>
      <w:r w:rsidR="00E97380" w:rsidRPr="00E97380">
        <w:t>4-MBC</w:t>
      </w:r>
      <w:r w:rsidRPr="00C417B6">
        <w:t xml:space="preserve"> is</w:t>
      </w:r>
      <w:r w:rsidR="005E37CE">
        <w:t>:</w:t>
      </w:r>
    </w:p>
    <w:p w14:paraId="46A5DF1C" w14:textId="22713B9F" w:rsidR="000D294B" w:rsidRPr="003208DA" w:rsidRDefault="0081406D" w:rsidP="005E37CE">
      <w:pPr>
        <w:pStyle w:val="ListBullet2"/>
        <w:rPr>
          <w:color w:val="000000" w:themeColor="text1"/>
        </w:rPr>
      </w:pPr>
      <w:r w:rsidRPr="003208DA">
        <w:rPr>
          <w:color w:val="000000" w:themeColor="text1"/>
        </w:rPr>
        <w:t xml:space="preserve">available for use as </w:t>
      </w:r>
      <w:r w:rsidR="00C64BEA" w:rsidRPr="003208DA">
        <w:rPr>
          <w:color w:val="000000" w:themeColor="text1"/>
        </w:rPr>
        <w:t xml:space="preserve">an active ingredient in: </w:t>
      </w:r>
      <w:r w:rsidR="000D294B" w:rsidRPr="003208DA">
        <w:rPr>
          <w:color w:val="000000" w:themeColor="text1"/>
        </w:rPr>
        <w:t xml:space="preserve">Biologicals, Export Only, Listed </w:t>
      </w:r>
      <w:r w:rsidR="00F53DAE" w:rsidRPr="003208DA">
        <w:rPr>
          <w:color w:val="000000" w:themeColor="text1"/>
        </w:rPr>
        <w:t>Medicines, Over the Counter, and Prescription Medicines.</w:t>
      </w:r>
    </w:p>
    <w:p w14:paraId="2020349B" w14:textId="0C906BB0" w:rsidR="00E8226F" w:rsidRPr="003208DA" w:rsidRDefault="0081406D" w:rsidP="005E37CE">
      <w:pPr>
        <w:pStyle w:val="ListBullet2"/>
        <w:rPr>
          <w:color w:val="000000" w:themeColor="text1"/>
        </w:rPr>
      </w:pPr>
      <w:r w:rsidRPr="003208DA">
        <w:rPr>
          <w:color w:val="000000" w:themeColor="text1"/>
        </w:rPr>
        <w:t xml:space="preserve">available for use as </w:t>
      </w:r>
      <w:r w:rsidR="00E8226F" w:rsidRPr="003208DA">
        <w:rPr>
          <w:color w:val="000000" w:themeColor="text1"/>
        </w:rPr>
        <w:t>an Excipient Ingredient in: Biologicals, Devices, Prescription Medicines.</w:t>
      </w:r>
    </w:p>
    <w:p w14:paraId="162D11A1" w14:textId="03590D8D" w:rsidR="00E8226F" w:rsidRPr="003208DA" w:rsidRDefault="0081406D" w:rsidP="005E37CE">
      <w:pPr>
        <w:pStyle w:val="ListBullet2"/>
        <w:rPr>
          <w:color w:val="000000" w:themeColor="text1"/>
        </w:rPr>
      </w:pPr>
      <w:r w:rsidRPr="003208DA">
        <w:rPr>
          <w:color w:val="000000" w:themeColor="text1"/>
        </w:rPr>
        <w:t>not available as a Homoeopathic Ingredient in Listed Medicines</w:t>
      </w:r>
      <w:r w:rsidR="00A84B5D" w:rsidRPr="003208DA">
        <w:rPr>
          <w:color w:val="000000" w:themeColor="text1"/>
        </w:rPr>
        <w:t>.</w:t>
      </w:r>
    </w:p>
    <w:p w14:paraId="0EF7D77F" w14:textId="0262C340" w:rsidR="00A84B5D" w:rsidRPr="003208DA" w:rsidRDefault="00A84B5D" w:rsidP="005E37CE">
      <w:pPr>
        <w:pStyle w:val="ListBullet2"/>
        <w:rPr>
          <w:color w:val="000000" w:themeColor="text1"/>
        </w:rPr>
      </w:pPr>
      <w:r w:rsidRPr="003208DA">
        <w:rPr>
          <w:color w:val="000000" w:themeColor="text1"/>
        </w:rPr>
        <w:t>not available as an Equivalent Ingredient in any application.</w:t>
      </w:r>
    </w:p>
    <w:p w14:paraId="36805837" w14:textId="5DD5228D" w:rsidR="008F6897" w:rsidRPr="00C417B6" w:rsidRDefault="008F6897" w:rsidP="00464CFC">
      <w:pPr>
        <w:pStyle w:val="ListBullet"/>
      </w:pPr>
      <w:r w:rsidRPr="00C417B6">
        <w:t xml:space="preserve">As </w:t>
      </w:r>
      <w:r w:rsidRPr="00DA5667">
        <w:t xml:space="preserve">of </w:t>
      </w:r>
      <w:r w:rsidR="00191A53">
        <w:t>25</w:t>
      </w:r>
      <w:r w:rsidRPr="00DA5667">
        <w:t xml:space="preserve"> </w:t>
      </w:r>
      <w:r w:rsidR="00191A53">
        <w:t>August</w:t>
      </w:r>
      <w:r w:rsidRPr="00DA5667">
        <w:t xml:space="preserve"> 20</w:t>
      </w:r>
      <w:r w:rsidR="00C03D59" w:rsidRPr="00DA5667">
        <w:t>26</w:t>
      </w:r>
      <w:r w:rsidRPr="00C417B6">
        <w:t xml:space="preserve">, there were </w:t>
      </w:r>
      <w:r w:rsidR="003E7ADB">
        <w:t>107</w:t>
      </w:r>
      <w:r w:rsidRPr="00C417B6">
        <w:t xml:space="preserve"> medicines currently active on the </w:t>
      </w:r>
      <w:hyperlink r:id="rId32" w:history="1">
        <w:r w:rsidRPr="00C417B6">
          <w:rPr>
            <w:rStyle w:val="Hyperlink"/>
          </w:rPr>
          <w:t>Australian Register of Therapeutic Goods (ARTG)</w:t>
        </w:r>
      </w:hyperlink>
      <w:r w:rsidRPr="00C417B6">
        <w:t xml:space="preserve"> that contain </w:t>
      </w:r>
      <w:r w:rsidR="007079EB">
        <w:t>4-MBC</w:t>
      </w:r>
      <w:r w:rsidRPr="00C417B6">
        <w:t xml:space="preserve"> as an active ingredient. These include</w:t>
      </w:r>
      <w:r w:rsidR="001F609B">
        <w:t xml:space="preserve"> </w:t>
      </w:r>
      <w:r w:rsidR="006E2612">
        <w:t>95</w:t>
      </w:r>
      <w:r w:rsidR="001F609B">
        <w:t xml:space="preserve"> listed medicines and</w:t>
      </w:r>
      <w:r w:rsidRPr="00C417B6">
        <w:t xml:space="preserve"> </w:t>
      </w:r>
      <w:r w:rsidR="006F1E4E">
        <w:t>12</w:t>
      </w:r>
      <w:r w:rsidRPr="00C417B6">
        <w:t xml:space="preserve"> </w:t>
      </w:r>
      <w:r w:rsidR="006F1E4E">
        <w:t>listed medicine</w:t>
      </w:r>
      <w:r w:rsidR="00477A24">
        <w:t>s</w:t>
      </w:r>
      <w:r w:rsidR="006F1E4E">
        <w:t xml:space="preserve"> which are</w:t>
      </w:r>
      <w:r w:rsidR="00477A24">
        <w:t xml:space="preserve"> export only</w:t>
      </w:r>
      <w:r w:rsidR="001F609B">
        <w:t>.</w:t>
      </w:r>
    </w:p>
    <w:p w14:paraId="653B57CF" w14:textId="6AAD746F" w:rsidR="008F6897" w:rsidRPr="00C417B6" w:rsidRDefault="008F6897" w:rsidP="00464CFC">
      <w:pPr>
        <w:pStyle w:val="ListBullet"/>
      </w:pPr>
      <w:r w:rsidRPr="00C417B6">
        <w:t xml:space="preserve">According to the </w:t>
      </w:r>
      <w:hyperlink r:id="rId33" w:history="1">
        <w:r w:rsidRPr="00C417B6">
          <w:rPr>
            <w:rStyle w:val="Hyperlink"/>
          </w:rPr>
          <w:t>Therapeutic Goods (Permissible Ingredients) Determination</w:t>
        </w:r>
      </w:hyperlink>
      <w:r w:rsidRPr="00C417B6">
        <w:t xml:space="preserve"> No.</w:t>
      </w:r>
      <w:r w:rsidR="00427FC9">
        <w:t>2</w:t>
      </w:r>
      <w:r w:rsidRPr="00C417B6">
        <w:t xml:space="preserve"> of 20</w:t>
      </w:r>
      <w:r w:rsidR="00893F70">
        <w:t>26</w:t>
      </w:r>
      <w:r w:rsidRPr="00C417B6">
        <w:t xml:space="preserve">, </w:t>
      </w:r>
      <w:r w:rsidR="00716935" w:rsidRPr="001F1715">
        <w:t>4-MBC</w:t>
      </w:r>
      <w:r w:rsidRPr="00C417B6">
        <w:t xml:space="preserve"> is permitted to be included in listed medicines as follows:</w:t>
      </w:r>
    </w:p>
    <w:tbl>
      <w:tblPr>
        <w:tblStyle w:val="TableTGAblue2023"/>
        <w:tblW w:w="9067" w:type="dxa"/>
        <w:tblLayout w:type="fixed"/>
        <w:tblLook w:val="04A0" w:firstRow="1" w:lastRow="0" w:firstColumn="1" w:lastColumn="0" w:noHBand="0" w:noVBand="1"/>
      </w:tblPr>
      <w:tblGrid>
        <w:gridCol w:w="846"/>
        <w:gridCol w:w="2693"/>
        <w:gridCol w:w="1276"/>
        <w:gridCol w:w="4252"/>
      </w:tblGrid>
      <w:tr w:rsidR="00C64BEA" w14:paraId="65FF0012" w14:textId="77777777" w:rsidTr="002F25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30A48ECB" w14:textId="77777777" w:rsidR="00C64BEA" w:rsidRDefault="00C64BEA">
            <w:r>
              <w:lastRenderedPageBreak/>
              <w:t>Item</w:t>
            </w:r>
          </w:p>
        </w:tc>
        <w:tc>
          <w:tcPr>
            <w:tcW w:w="2693" w:type="dxa"/>
          </w:tcPr>
          <w:p w14:paraId="3406DF7C" w14:textId="77777777" w:rsidR="00C64BEA" w:rsidRDefault="00C64BEA">
            <w:pPr>
              <w:cnfStyle w:val="100000000000" w:firstRow="1" w:lastRow="0" w:firstColumn="0" w:lastColumn="0" w:oddVBand="0" w:evenVBand="0" w:oddHBand="0" w:evenHBand="0" w:firstRowFirstColumn="0" w:firstRowLastColumn="0" w:lastRowFirstColumn="0" w:lastRowLastColumn="0"/>
            </w:pPr>
            <w:r>
              <w:t>Ingredient name</w:t>
            </w:r>
          </w:p>
        </w:tc>
        <w:tc>
          <w:tcPr>
            <w:tcW w:w="1276" w:type="dxa"/>
          </w:tcPr>
          <w:p w14:paraId="06B85471" w14:textId="77777777" w:rsidR="00C64BEA" w:rsidRDefault="00C64BEA">
            <w:pPr>
              <w:cnfStyle w:val="100000000000" w:firstRow="1" w:lastRow="0" w:firstColumn="0" w:lastColumn="0" w:oddVBand="0" w:evenVBand="0" w:oddHBand="0" w:evenHBand="0" w:firstRowFirstColumn="0" w:firstRowLastColumn="0" w:lastRowFirstColumn="0" w:lastRowLastColumn="0"/>
            </w:pPr>
            <w:r>
              <w:t>Purpose</w:t>
            </w:r>
          </w:p>
        </w:tc>
        <w:tc>
          <w:tcPr>
            <w:tcW w:w="4252" w:type="dxa"/>
          </w:tcPr>
          <w:p w14:paraId="688C35F6" w14:textId="77777777" w:rsidR="00C64BEA" w:rsidRPr="000B20AB" w:rsidRDefault="00C64BEA">
            <w:pPr>
              <w:cnfStyle w:val="100000000000" w:firstRow="1" w:lastRow="0" w:firstColumn="0" w:lastColumn="0" w:oddVBand="0" w:evenVBand="0" w:oddHBand="0" w:evenHBand="0" w:firstRowFirstColumn="0" w:firstRowLastColumn="0" w:lastRowFirstColumn="0" w:lastRowLastColumn="0"/>
              <w:rPr>
                <w:b w:val="0"/>
              </w:rPr>
            </w:pPr>
            <w:r>
              <w:t>Specific requirements</w:t>
            </w:r>
          </w:p>
        </w:tc>
      </w:tr>
      <w:tr w:rsidR="00C64BEA" w14:paraId="6718939E" w14:textId="77777777" w:rsidTr="002F2594">
        <w:tc>
          <w:tcPr>
            <w:cnfStyle w:val="001000000000" w:firstRow="0" w:lastRow="0" w:firstColumn="1" w:lastColumn="0" w:oddVBand="0" w:evenVBand="0" w:oddHBand="0" w:evenHBand="0" w:firstRowFirstColumn="0" w:firstRowLastColumn="0" w:lastRowFirstColumn="0" w:lastRowLastColumn="0"/>
            <w:tcW w:w="846" w:type="dxa"/>
          </w:tcPr>
          <w:p w14:paraId="02B2AD5A" w14:textId="7DDCFA87" w:rsidR="00C64BEA" w:rsidRDefault="001B561B">
            <w:r w:rsidRPr="001B561B">
              <w:t>268</w:t>
            </w:r>
          </w:p>
        </w:tc>
        <w:tc>
          <w:tcPr>
            <w:tcW w:w="2693" w:type="dxa"/>
          </w:tcPr>
          <w:p w14:paraId="1BB0FE02" w14:textId="21C0C3C8" w:rsidR="00C64BEA" w:rsidRDefault="00C11E48">
            <w:pPr>
              <w:cnfStyle w:val="000000000000" w:firstRow="0" w:lastRow="0" w:firstColumn="0" w:lastColumn="0" w:oddVBand="0" w:evenVBand="0" w:oddHBand="0" w:evenHBand="0" w:firstRowFirstColumn="0" w:firstRowLastColumn="0" w:lastRowFirstColumn="0" w:lastRowLastColumn="0"/>
            </w:pPr>
            <w:r w:rsidRPr="00C11E48">
              <w:t>4</w:t>
            </w:r>
            <w:r>
              <w:t>-</w:t>
            </w:r>
            <w:r w:rsidRPr="00C11E48">
              <w:t>METHYLBENZYLIDENE CAMPHOR</w:t>
            </w:r>
          </w:p>
        </w:tc>
        <w:tc>
          <w:tcPr>
            <w:tcW w:w="1276" w:type="dxa"/>
          </w:tcPr>
          <w:p w14:paraId="700D61ED" w14:textId="6134E970" w:rsidR="00C64BEA" w:rsidRDefault="00C11E48">
            <w:pPr>
              <w:cnfStyle w:val="000000000000" w:firstRow="0" w:lastRow="0" w:firstColumn="0" w:lastColumn="0" w:oddVBand="0" w:evenVBand="0" w:oddHBand="0" w:evenHBand="0" w:firstRowFirstColumn="0" w:firstRowLastColumn="0" w:lastRowFirstColumn="0" w:lastRowLastColumn="0"/>
            </w:pPr>
            <w:r>
              <w:t>A</w:t>
            </w:r>
          </w:p>
        </w:tc>
        <w:tc>
          <w:tcPr>
            <w:tcW w:w="4252" w:type="dxa"/>
          </w:tcPr>
          <w:p w14:paraId="5985F912" w14:textId="483B8668" w:rsidR="00814859" w:rsidRDefault="00814859" w:rsidP="00814859">
            <w:pPr>
              <w:cnfStyle w:val="000000000000" w:firstRow="0" w:lastRow="0" w:firstColumn="0" w:lastColumn="0" w:oddVBand="0" w:evenVBand="0" w:oddHBand="0" w:evenHBand="0" w:firstRowFirstColumn="0" w:firstRowLastColumn="0" w:lastRowFirstColumn="0" w:lastRowLastColumn="0"/>
            </w:pPr>
            <w:r>
              <w:t>Only for use as an active ingredient in sunscreens for dermal application and not to be included in medicines intended for use in the eye.</w:t>
            </w:r>
          </w:p>
          <w:p w14:paraId="3BADD3F5" w14:textId="77777777" w:rsidR="00814859" w:rsidRDefault="00814859" w:rsidP="00814859">
            <w:pPr>
              <w:cnfStyle w:val="000000000000" w:firstRow="0" w:lastRow="0" w:firstColumn="0" w:lastColumn="0" w:oddVBand="0" w:evenVBand="0" w:oddHBand="0" w:evenHBand="0" w:firstRowFirstColumn="0" w:firstRowLastColumn="0" w:lastRowFirstColumn="0" w:lastRowLastColumn="0"/>
            </w:pPr>
            <w:r>
              <w:t>The concentration in the medicine must not be more than 4%.</w:t>
            </w:r>
          </w:p>
          <w:p w14:paraId="758822DC" w14:textId="77777777" w:rsidR="00814859" w:rsidRDefault="00814859" w:rsidP="00814859">
            <w:pPr>
              <w:cnfStyle w:val="000000000000" w:firstRow="0" w:lastRow="0" w:firstColumn="0" w:lastColumn="0" w:oddVBand="0" w:evenVBand="0" w:oddHBand="0" w:evenHBand="0" w:firstRowFirstColumn="0" w:firstRowLastColumn="0" w:lastRowFirstColumn="0" w:lastRowLastColumn="0"/>
            </w:pPr>
            <w:r>
              <w:t>The following warning statements are required on the label:</w:t>
            </w:r>
          </w:p>
          <w:p w14:paraId="75381FDE" w14:textId="77777777" w:rsidR="00814859" w:rsidRDefault="00814859" w:rsidP="00814859">
            <w:pPr>
              <w:cnfStyle w:val="000000000000" w:firstRow="0" w:lastRow="0" w:firstColumn="0" w:lastColumn="0" w:oddVBand="0" w:evenVBand="0" w:oddHBand="0" w:evenHBand="0" w:firstRowFirstColumn="0" w:firstRowLastColumn="0" w:lastRowFirstColumn="0" w:lastRowLastColumn="0"/>
            </w:pPr>
            <w:r>
              <w:t>- (AVOID) 'Avoid prolonged exposure in the sun' (or words to this effect); and</w:t>
            </w:r>
          </w:p>
          <w:p w14:paraId="4C72B1B7" w14:textId="71AE82F4" w:rsidR="00C64BEA" w:rsidRDefault="00814859" w:rsidP="00814859">
            <w:pPr>
              <w:cnfStyle w:val="000000000000" w:firstRow="0" w:lastRow="0" w:firstColumn="0" w:lastColumn="0" w:oddVBand="0" w:evenVBand="0" w:oddHBand="0" w:evenHBand="0" w:firstRowFirstColumn="0" w:firstRowLastColumn="0" w:lastRowFirstColumn="0" w:lastRowLastColumn="0"/>
            </w:pPr>
            <w:r>
              <w:t>- (SUNPRO) 'Wear protective clothing - hats and eyewear when exposed to the sun' (or words to this effect).</w:t>
            </w:r>
          </w:p>
        </w:tc>
      </w:tr>
      <w:tr w:rsidR="00C64BEA" w14:paraId="2A2B69D2" w14:textId="77777777">
        <w:tc>
          <w:tcPr>
            <w:cnfStyle w:val="001000000000" w:firstRow="0" w:lastRow="0" w:firstColumn="1" w:lastColumn="0" w:oddVBand="0" w:evenVBand="0" w:oddHBand="0" w:evenHBand="0" w:firstRowFirstColumn="0" w:firstRowLastColumn="0" w:lastRowFirstColumn="0" w:lastRowLastColumn="0"/>
            <w:tcW w:w="9067" w:type="dxa"/>
            <w:gridSpan w:val="4"/>
          </w:tcPr>
          <w:p w14:paraId="34E401F2" w14:textId="30E6346B" w:rsidR="00C64BEA" w:rsidRDefault="00C64BEA">
            <w:r w:rsidRPr="0039205F">
              <w:rPr>
                <w:szCs w:val="18"/>
              </w:rPr>
              <w:t>A = active ingredient for a medicine has the same meaning as in the Regulations</w:t>
            </w:r>
          </w:p>
        </w:tc>
      </w:tr>
    </w:tbl>
    <w:p w14:paraId="2ECE48F3" w14:textId="77777777" w:rsidR="00B03EAA" w:rsidRDefault="008F6897" w:rsidP="00464CFC">
      <w:pPr>
        <w:pStyle w:val="ListBullet"/>
      </w:pPr>
      <w:r w:rsidRPr="00C417B6">
        <w:t xml:space="preserve">The </w:t>
      </w:r>
      <w:hyperlink r:id="rId34" w:history="1">
        <w:r w:rsidRPr="00C417B6">
          <w:rPr>
            <w:rStyle w:val="Hyperlink"/>
          </w:rPr>
          <w:t>TGA prescribing medicines in pregnancy database</w:t>
        </w:r>
      </w:hyperlink>
      <w:r w:rsidRPr="00C417B6">
        <w:t xml:space="preserve"> </w:t>
      </w:r>
      <w:r w:rsidR="00C64BEA">
        <w:t xml:space="preserve">does not include </w:t>
      </w:r>
      <w:r w:rsidR="00986DCB">
        <w:t>4-MBC.</w:t>
      </w:r>
    </w:p>
    <w:p w14:paraId="57F583A8" w14:textId="7F1DA19F" w:rsidR="008F6897" w:rsidRPr="00C417B6" w:rsidRDefault="008F6897" w:rsidP="00464CFC">
      <w:pPr>
        <w:pStyle w:val="ListBullet"/>
      </w:pPr>
      <w:r w:rsidRPr="00C417B6">
        <w:t xml:space="preserve">There are no warning statements pertaining to </w:t>
      </w:r>
      <w:r w:rsidR="00B03EAA">
        <w:t>4-MBC</w:t>
      </w:r>
      <w:r w:rsidRPr="00C417B6">
        <w:t xml:space="preserve"> in the </w:t>
      </w:r>
      <w:hyperlink r:id="rId35" w:history="1">
        <w:r w:rsidRPr="00C417B6">
          <w:rPr>
            <w:rStyle w:val="Hyperlink"/>
          </w:rPr>
          <w:t>Therapeutic Goods (Medicines Advisory Statements) Specification 2021</w:t>
        </w:r>
      </w:hyperlink>
      <w:r w:rsidR="002E25FA" w:rsidRPr="00B03EAA">
        <w:rPr>
          <w:rStyle w:val="Hyperlink"/>
          <w:color w:val="auto"/>
          <w:u w:val="none"/>
        </w:rPr>
        <w:t>.</w:t>
      </w:r>
    </w:p>
    <w:p w14:paraId="59E42F74" w14:textId="77777777" w:rsidR="00F7453A" w:rsidRDefault="008F6897" w:rsidP="00464CFC">
      <w:pPr>
        <w:pStyle w:val="ListBullet"/>
      </w:pPr>
      <w:r w:rsidRPr="00C417B6">
        <w:t xml:space="preserve">As of </w:t>
      </w:r>
      <w:r w:rsidR="007D6FA1" w:rsidRPr="005946FE">
        <w:t xml:space="preserve">4 </w:t>
      </w:r>
      <w:r w:rsidR="004C5BE5">
        <w:t>September</w:t>
      </w:r>
      <w:r w:rsidR="007D6FA1" w:rsidRPr="005946FE">
        <w:t xml:space="preserve"> 2026</w:t>
      </w:r>
      <w:r w:rsidRPr="00C417B6">
        <w:t xml:space="preserve">, there </w:t>
      </w:r>
      <w:r w:rsidRPr="001F1715">
        <w:t>were no</w:t>
      </w:r>
      <w:r w:rsidRPr="00C417B6">
        <w:t xml:space="preserve"> products containing </w:t>
      </w:r>
      <w:r w:rsidR="001F1715" w:rsidRPr="001F1715">
        <w:t>4-MBC</w:t>
      </w:r>
      <w:r w:rsidRPr="00C417B6">
        <w:t xml:space="preserve"> as an active ingredient/constituent or scheduled substance listed on the </w:t>
      </w:r>
      <w:hyperlink r:id="rId36" w:history="1">
        <w:r w:rsidRPr="00C417B6">
          <w:rPr>
            <w:rStyle w:val="Hyperlink"/>
          </w:rPr>
          <w:t>Public Chemical Registration Information System Search (</w:t>
        </w:r>
        <w:proofErr w:type="spellStart"/>
        <w:r w:rsidRPr="00C417B6">
          <w:rPr>
            <w:rStyle w:val="Hyperlink"/>
          </w:rPr>
          <w:t>PubCRIS</w:t>
        </w:r>
        <w:proofErr w:type="spellEnd"/>
        <w:r w:rsidRPr="00C417B6">
          <w:rPr>
            <w:rStyle w:val="Hyperlink"/>
          </w:rPr>
          <w:t>)</w:t>
        </w:r>
      </w:hyperlink>
      <w:r w:rsidRPr="00C417B6">
        <w:t>.</w:t>
      </w:r>
    </w:p>
    <w:p w14:paraId="2A8E4EFF" w14:textId="1333190D" w:rsidR="008F6897" w:rsidRPr="00C417B6" w:rsidRDefault="00F7453A" w:rsidP="00464CFC">
      <w:pPr>
        <w:pStyle w:val="ListBullet"/>
      </w:pPr>
      <w:r>
        <w:t xml:space="preserve">4-MBC is listed in the </w:t>
      </w:r>
      <w:r w:rsidR="006F3A0F">
        <w:t xml:space="preserve">AICIS </w:t>
      </w:r>
      <w:hyperlink r:id="rId37" w:history="1">
        <w:r w:rsidR="00FC2876" w:rsidRPr="006F3A0F">
          <w:rPr>
            <w:rStyle w:val="Hyperlink"/>
          </w:rPr>
          <w:t>Australian Inventory of Industrial Chemicals</w:t>
        </w:r>
      </w:hyperlink>
      <w:r w:rsidR="006F3A0F">
        <w:t>.</w:t>
      </w:r>
    </w:p>
    <w:p w14:paraId="337E9457" w14:textId="77777777" w:rsidR="008F6897" w:rsidRPr="00C417B6" w:rsidRDefault="008F6897" w:rsidP="00BA11DD">
      <w:pPr>
        <w:pStyle w:val="Heading4"/>
      </w:pPr>
      <w:bookmarkStart w:id="20" w:name="_Toc239862088"/>
      <w:r w:rsidRPr="00C417B6">
        <w:t>International regulations</w:t>
      </w:r>
      <w:bookmarkEnd w:id="20"/>
    </w:p>
    <w:p w14:paraId="10836176" w14:textId="5881ED51" w:rsidR="00F8793E" w:rsidRDefault="4A079E34" w:rsidP="00464CFC">
      <w:pPr>
        <w:pStyle w:val="ListBullet"/>
      </w:pPr>
      <w:hyperlink r:id="rId38">
        <w:r w:rsidRPr="610D3DA6">
          <w:rPr>
            <w:rStyle w:val="Hyperlink"/>
          </w:rPr>
          <w:t>European Chemicals Agency (ECHA)</w:t>
        </w:r>
      </w:hyperlink>
      <w:r w:rsidR="772D1502">
        <w:t xml:space="preserve"> has</w:t>
      </w:r>
      <w:r w:rsidR="007219A1">
        <w:t xml:space="preserve"> </w:t>
      </w:r>
      <w:r w:rsidR="00B15003">
        <w:t xml:space="preserve">classified </w:t>
      </w:r>
      <w:r w:rsidR="574FA226">
        <w:t>4</w:t>
      </w:r>
      <w:r w:rsidR="00BA66BA">
        <w:rPr>
          <w:rFonts w:ascii="Cambria Math" w:hAnsi="Cambria Math" w:cs="Cambria Math"/>
        </w:rPr>
        <w:t>-</w:t>
      </w:r>
      <w:r w:rsidR="574FA226">
        <w:t xml:space="preserve">MBC </w:t>
      </w:r>
      <w:r w:rsidR="007219A1" w:rsidRPr="007219A1">
        <w:t>as a Substance of Very High Concern under REACH</w:t>
      </w:r>
      <w:r w:rsidR="00F8793E">
        <w:t xml:space="preserve"> due to e</w:t>
      </w:r>
      <w:r w:rsidR="00F8793E" w:rsidRPr="00144E13">
        <w:t>ndocrine disrupting properties (Article 57(f) - human health)</w:t>
      </w:r>
      <w:r w:rsidR="00A538F2">
        <w:t>.</w:t>
      </w:r>
    </w:p>
    <w:p w14:paraId="2E3CA97A" w14:textId="0A43976F" w:rsidR="00046C44" w:rsidRDefault="0056404F" w:rsidP="00464CFC">
      <w:pPr>
        <w:pStyle w:val="ListBullet"/>
      </w:pPr>
      <w:r w:rsidRPr="0056404F">
        <w:t xml:space="preserve">Under the </w:t>
      </w:r>
      <w:hyperlink r:id="rId39" w:history="1">
        <w:r w:rsidRPr="00696A40">
          <w:rPr>
            <w:rStyle w:val="Hyperlink"/>
          </w:rPr>
          <w:t xml:space="preserve">Cosmetic Products Regulation (Annex II </w:t>
        </w:r>
        <w:r w:rsidRPr="00696A40">
          <w:rPr>
            <w:rStyle w:val="Hyperlink"/>
            <w:rFonts w:cs="Arial"/>
          </w:rPr>
          <w:t>–</w:t>
        </w:r>
        <w:r w:rsidRPr="00696A40">
          <w:rPr>
            <w:rStyle w:val="Hyperlink"/>
          </w:rPr>
          <w:t xml:space="preserve"> Prohibited Substances)</w:t>
        </w:r>
      </w:hyperlink>
      <w:r w:rsidRPr="0056404F">
        <w:t xml:space="preserve">, </w:t>
      </w:r>
      <w:r w:rsidR="005D0540" w:rsidRPr="0056404F">
        <w:t>products containing 4</w:t>
      </w:r>
      <w:r w:rsidR="005D0540" w:rsidRPr="0056404F">
        <w:rPr>
          <w:rFonts w:ascii="Cambria Math" w:hAnsi="Cambria Math" w:cs="Cambria Math"/>
        </w:rPr>
        <w:t>‑</w:t>
      </w:r>
      <w:r w:rsidR="005D0540" w:rsidRPr="0056404F">
        <w:t xml:space="preserve">MBC </w:t>
      </w:r>
      <w:r w:rsidRPr="0056404F">
        <w:t>must not be made available in the E</w:t>
      </w:r>
      <w:r w:rsidR="00811592">
        <w:t xml:space="preserve">uropean </w:t>
      </w:r>
      <w:r w:rsidRPr="0056404F">
        <w:t>U</w:t>
      </w:r>
      <w:r w:rsidR="00811592">
        <w:t>nion</w:t>
      </w:r>
      <w:r w:rsidR="006C694B">
        <w:t xml:space="preserve"> (EU)</w:t>
      </w:r>
      <w:r w:rsidRPr="0056404F">
        <w:t xml:space="preserve"> from 1 May 2026, as this list covers substances prohibited in all cosmetic products.</w:t>
      </w:r>
    </w:p>
    <w:p w14:paraId="7A95B560" w14:textId="270BF5CD" w:rsidR="0008324D" w:rsidRPr="00CF55F5" w:rsidRDefault="0008324D" w:rsidP="00464CFC">
      <w:pPr>
        <w:pStyle w:val="ListBullet"/>
      </w:pPr>
      <w:r>
        <w:t xml:space="preserve">In the </w:t>
      </w:r>
      <w:hyperlink r:id="rId40" w:history="1">
        <w:r w:rsidRPr="00397348">
          <w:rPr>
            <w:rStyle w:val="Hyperlink"/>
          </w:rPr>
          <w:t>European Commission database for information on cosmetic substances and ingredients</w:t>
        </w:r>
        <w:r w:rsidR="00397348" w:rsidRPr="00397348">
          <w:rPr>
            <w:rStyle w:val="Hyperlink"/>
          </w:rPr>
          <w:t xml:space="preserve"> (</w:t>
        </w:r>
        <w:proofErr w:type="spellStart"/>
        <w:r w:rsidR="00397348" w:rsidRPr="00397348">
          <w:rPr>
            <w:rStyle w:val="Hyperlink"/>
          </w:rPr>
          <w:t>CosIng</w:t>
        </w:r>
        <w:proofErr w:type="spellEnd"/>
        <w:r w:rsidR="00397348" w:rsidRPr="00397348">
          <w:rPr>
            <w:rStyle w:val="Hyperlink"/>
          </w:rPr>
          <w:t xml:space="preserve"> - Cosmetics Ingredients)</w:t>
        </w:r>
        <w:r w:rsidRPr="00397348">
          <w:rPr>
            <w:rStyle w:val="Hyperlink"/>
          </w:rPr>
          <w:t xml:space="preserve"> database</w:t>
        </w:r>
      </w:hyperlink>
      <w:r w:rsidR="00533EC2">
        <w:t xml:space="preserve">, </w:t>
      </w:r>
      <w:r w:rsidR="009B70B6">
        <w:t xml:space="preserve">the function of 4-MBC is </w:t>
      </w:r>
      <w:r w:rsidR="00046C44">
        <w:t xml:space="preserve">listed including </w:t>
      </w:r>
      <w:r w:rsidR="009F6501">
        <w:t>l</w:t>
      </w:r>
      <w:r w:rsidR="00046C44">
        <w:t>ight stabilizer, UV absorber, and UV filter.</w:t>
      </w:r>
    </w:p>
    <w:p w14:paraId="1E5991A2" w14:textId="60927C15" w:rsidR="00570527" w:rsidRDefault="00A0007F" w:rsidP="00464CFC">
      <w:pPr>
        <w:pStyle w:val="ListBullet"/>
      </w:pPr>
      <w:r>
        <w:t xml:space="preserve">In </w:t>
      </w:r>
      <w:hyperlink r:id="rId41" w:history="1">
        <w:r w:rsidRPr="00CF55F5">
          <w:rPr>
            <w:rStyle w:val="Hyperlink"/>
          </w:rPr>
          <w:t>New Zealand Inventory of Chemicals (</w:t>
        </w:r>
        <w:proofErr w:type="spellStart"/>
        <w:r w:rsidRPr="00CF55F5">
          <w:rPr>
            <w:rStyle w:val="Hyperlink"/>
          </w:rPr>
          <w:t>NZIoC</w:t>
        </w:r>
        <w:proofErr w:type="spellEnd"/>
        <w:r w:rsidRPr="00CF55F5">
          <w:rPr>
            <w:rStyle w:val="Hyperlink"/>
          </w:rPr>
          <w:t>)</w:t>
        </w:r>
      </w:hyperlink>
      <w:r>
        <w:t>, 4-MBC is listed as</w:t>
      </w:r>
      <w:r w:rsidR="00BF4183" w:rsidRPr="00BF4183">
        <w:t xml:space="preserve"> not individually approved but may be used under an appropriate group standard with similar GHS classification and toxicity data</w:t>
      </w:r>
      <w:r w:rsidR="00C75F55">
        <w:t xml:space="preserve">. </w:t>
      </w:r>
      <w:r w:rsidR="00CB6E5E">
        <w:t xml:space="preserve">According to the </w:t>
      </w:r>
      <w:hyperlink r:id="rId42" w:history="1">
        <w:r w:rsidR="001D46A8" w:rsidRPr="001D46A8">
          <w:rPr>
            <w:rStyle w:val="Hyperlink"/>
          </w:rPr>
          <w:t>Chemical Classification and Information Database (CCID)</w:t>
        </w:r>
      </w:hyperlink>
      <w:r w:rsidR="001D46A8">
        <w:t xml:space="preserve">, </w:t>
      </w:r>
      <w:r w:rsidR="00C86927">
        <w:t xml:space="preserve">4-MBC is </w:t>
      </w:r>
      <w:r w:rsidR="00570527">
        <w:t xml:space="preserve">also classified under: </w:t>
      </w:r>
    </w:p>
    <w:p w14:paraId="1CFF0986" w14:textId="6EAF2C36" w:rsidR="001D46A8" w:rsidRPr="003208DA" w:rsidRDefault="001D46A8" w:rsidP="00570527">
      <w:pPr>
        <w:pStyle w:val="ListBullet2"/>
        <w:rPr>
          <w:color w:val="000000" w:themeColor="text1"/>
        </w:rPr>
      </w:pPr>
      <w:r w:rsidRPr="003208DA">
        <w:rPr>
          <w:color w:val="000000" w:themeColor="text1"/>
        </w:rPr>
        <w:t>Classification Aquatic Acute 1 -</w:t>
      </w:r>
      <w:r w:rsidR="00570527" w:rsidRPr="003208DA">
        <w:rPr>
          <w:color w:val="000000" w:themeColor="text1"/>
        </w:rPr>
        <w:t xml:space="preserve"> </w:t>
      </w:r>
      <w:r w:rsidRPr="003208DA">
        <w:rPr>
          <w:color w:val="000000" w:themeColor="text1"/>
        </w:rPr>
        <w:t>H400: Very toxic to aquatic life</w:t>
      </w:r>
      <w:r w:rsidR="00570527" w:rsidRPr="003208DA">
        <w:rPr>
          <w:color w:val="000000" w:themeColor="text1"/>
        </w:rPr>
        <w:t xml:space="preserve">, and </w:t>
      </w:r>
    </w:p>
    <w:p w14:paraId="4645A242" w14:textId="4319546F" w:rsidR="001D46A8" w:rsidRPr="003208DA" w:rsidRDefault="001D46A8" w:rsidP="00570527">
      <w:pPr>
        <w:pStyle w:val="ListBullet2"/>
        <w:rPr>
          <w:color w:val="000000" w:themeColor="text1"/>
        </w:rPr>
      </w:pPr>
      <w:r w:rsidRPr="003208DA">
        <w:rPr>
          <w:color w:val="000000" w:themeColor="text1"/>
        </w:rPr>
        <w:t>Classification Aquatic Chronic 1 - H410: Very toxic to aquatic life with long lasting effects.</w:t>
      </w:r>
    </w:p>
    <w:p w14:paraId="191BD993" w14:textId="24482EA5" w:rsidR="00145209" w:rsidRPr="004F2916" w:rsidRDefault="00145209" w:rsidP="00464CFC">
      <w:pPr>
        <w:pStyle w:val="ListBullet"/>
        <w:rPr>
          <w:lang w:eastAsia="en-AU"/>
        </w:rPr>
      </w:pPr>
      <w:r w:rsidRPr="00145209">
        <w:rPr>
          <w:lang w:eastAsia="en-AU"/>
        </w:rPr>
        <w:t>On 12 January 2026, China's </w:t>
      </w:r>
      <w:hyperlink r:id="rId43" w:tooltip="National Medical Products Administration" w:history="1">
        <w:r w:rsidRPr="00145209">
          <w:rPr>
            <w:rStyle w:val="Hyperlink"/>
            <w:lang w:eastAsia="en-AU"/>
          </w:rPr>
          <w:t>National Medical Products Administration</w:t>
        </w:r>
      </w:hyperlink>
      <w:r w:rsidRPr="00145209">
        <w:rPr>
          <w:lang w:eastAsia="en-AU"/>
        </w:rPr>
        <w:t xml:space="preserve"> (NMPA) issued Announcement No. 6 of 2026, incorporating revised standards into the Cosmetic Safety Technical Standards </w:t>
      </w:r>
      <w:r w:rsidR="00F179DF">
        <w:rPr>
          <w:lang w:eastAsia="en-AU"/>
        </w:rPr>
        <w:t xml:space="preserve">- </w:t>
      </w:r>
      <w:r w:rsidRPr="00145209">
        <w:rPr>
          <w:lang w:eastAsia="en-AU"/>
        </w:rPr>
        <w:t>STSC 2015. 4-MBC was removed from the list of permitted UV filters and added to the list of prohibited substances.</w:t>
      </w:r>
      <w:r w:rsidR="0095299A">
        <w:rPr>
          <w:lang w:eastAsia="en-AU"/>
        </w:rPr>
        <w:t xml:space="preserve"> The implementation will be from 1 January</w:t>
      </w:r>
      <w:r w:rsidRPr="00145209">
        <w:rPr>
          <w:lang w:eastAsia="en-AU"/>
        </w:rPr>
        <w:t xml:space="preserve"> </w:t>
      </w:r>
      <w:r w:rsidR="00744413">
        <w:rPr>
          <w:lang w:eastAsia="en-AU"/>
        </w:rPr>
        <w:t xml:space="preserve">2027. </w:t>
      </w:r>
      <w:r w:rsidRPr="00145209">
        <w:rPr>
          <w:lang w:eastAsia="en-AU"/>
        </w:rPr>
        <w:t>Prior to this update, 4-MBC had been permitted in Chinese cosmetics at a maximum concentration of 4%</w:t>
      </w:r>
      <w:r w:rsidR="002E562D">
        <w:rPr>
          <w:lang w:eastAsia="en-AU"/>
        </w:rPr>
        <w:t>.</w:t>
      </w:r>
    </w:p>
    <w:p w14:paraId="54A01DE7" w14:textId="2AF105F8" w:rsidR="004C743A" w:rsidRPr="0071088C" w:rsidRDefault="00DA1A4E" w:rsidP="00464CFC">
      <w:pPr>
        <w:pStyle w:val="ListBullet"/>
        <w:rPr>
          <w:rStyle w:val="Hyperlink"/>
          <w:color w:val="auto"/>
          <w:u w:val="none"/>
        </w:rPr>
      </w:pPr>
      <w:r>
        <w:t>4-MBC is not listed in t</w:t>
      </w:r>
      <w:r w:rsidR="002E25FA" w:rsidRPr="00CF55F5">
        <w:t xml:space="preserve">he </w:t>
      </w:r>
      <w:hyperlink r:id="rId44" w:history="1">
        <w:r w:rsidR="002E25FA" w:rsidRPr="00CF55F5">
          <w:rPr>
            <w:rStyle w:val="Hyperlink"/>
          </w:rPr>
          <w:t>Health Canada Drug Product Database</w:t>
        </w:r>
      </w:hyperlink>
      <w:r>
        <w:t>,</w:t>
      </w:r>
      <w:r w:rsidR="005E412F" w:rsidRPr="005E412F">
        <w:t xml:space="preserve"> </w:t>
      </w:r>
      <w:hyperlink r:id="rId45" w:history="1">
        <w:r w:rsidR="005E412F" w:rsidRPr="00CF55F5">
          <w:rPr>
            <w:rStyle w:val="Hyperlink"/>
          </w:rPr>
          <w:t>Canada’s Pest Management Regulation Agency</w:t>
        </w:r>
      </w:hyperlink>
      <w:r w:rsidR="005E412F">
        <w:t>,</w:t>
      </w:r>
      <w:r>
        <w:t xml:space="preserve"> </w:t>
      </w:r>
      <w:hyperlink r:id="rId46" w:history="1">
        <w:r w:rsidR="005E412F" w:rsidRPr="009C3C0E">
          <w:rPr>
            <w:rStyle w:val="Hyperlink"/>
          </w:rPr>
          <w:t xml:space="preserve">New Zealand </w:t>
        </w:r>
        <w:proofErr w:type="spellStart"/>
        <w:r w:rsidR="005E412F" w:rsidRPr="009C3C0E">
          <w:rPr>
            <w:rStyle w:val="Hyperlink"/>
          </w:rPr>
          <w:t>Medsafe</w:t>
        </w:r>
        <w:proofErr w:type="spellEnd"/>
        <w:r w:rsidR="005E412F" w:rsidRPr="009C3C0E">
          <w:rPr>
            <w:rStyle w:val="Hyperlink"/>
          </w:rPr>
          <w:t xml:space="preserve"> Medicines Classification Database</w:t>
        </w:r>
      </w:hyperlink>
      <w:r w:rsidR="005E412F">
        <w:t xml:space="preserve">, </w:t>
      </w:r>
      <w:hyperlink r:id="rId47" w:history="1">
        <w:r w:rsidR="005E412F" w:rsidRPr="00CF55F5">
          <w:rPr>
            <w:rStyle w:val="Hyperlink"/>
          </w:rPr>
          <w:t>European Union Pesticides Database</w:t>
        </w:r>
      </w:hyperlink>
      <w:r w:rsidR="004C743A">
        <w:t xml:space="preserve">, </w:t>
      </w:r>
      <w:r w:rsidR="004C743A" w:rsidRPr="00CF55F5">
        <w:fldChar w:fldCharType="begin"/>
      </w:r>
      <w:r w:rsidR="004C743A" w:rsidRPr="00CF55F5">
        <w:instrText xml:space="preserve"> HYPERLINK "https://www.accessdata.fda.gov/scripts/cder/daf/" </w:instrText>
      </w:r>
      <w:r w:rsidR="004C743A" w:rsidRPr="00CF55F5">
        <w:fldChar w:fldCharType="separate"/>
      </w:r>
      <w:r w:rsidR="004C743A" w:rsidRPr="00CF55F5">
        <w:rPr>
          <w:rStyle w:val="Hyperlink"/>
        </w:rPr>
        <w:t>United States Food and Drug Administration Approved Drug Products Database (</w:t>
      </w:r>
      <w:proofErr w:type="spellStart"/>
      <w:r w:rsidR="004C743A" w:rsidRPr="00CF55F5">
        <w:rPr>
          <w:rStyle w:val="Hyperlink"/>
        </w:rPr>
        <w:t>Drugs@FDA</w:t>
      </w:r>
      <w:proofErr w:type="spellEnd"/>
      <w:r w:rsidR="004C743A" w:rsidRPr="00CF55F5">
        <w:rPr>
          <w:rStyle w:val="Hyperlink"/>
        </w:rPr>
        <w:t>)</w:t>
      </w:r>
      <w:r w:rsidR="0071088C">
        <w:rPr>
          <w:rStyle w:val="Hyperlink"/>
        </w:rPr>
        <w:t>.</w:t>
      </w:r>
    </w:p>
    <w:p w14:paraId="2B8B4978" w14:textId="6924367F" w:rsidR="00685E72" w:rsidRPr="00C417B6" w:rsidRDefault="004C743A" w:rsidP="00E74709">
      <w:pPr>
        <w:pStyle w:val="Heading2"/>
      </w:pPr>
      <w:r w:rsidRPr="00CF55F5">
        <w:lastRenderedPageBreak/>
        <w:fldChar w:fldCharType="end"/>
      </w:r>
      <w:bookmarkStart w:id="21" w:name="_Toc239862089"/>
      <w:r w:rsidR="00685E72" w:rsidRPr="00C417B6">
        <w:t>How to respond</w:t>
      </w:r>
      <w:bookmarkEnd w:id="14"/>
      <w:bookmarkEnd w:id="21"/>
    </w:p>
    <w:p w14:paraId="198E4D19" w14:textId="39BD4AEC" w:rsidR="00685E72" w:rsidRPr="00C417B6" w:rsidRDefault="00685E72" w:rsidP="00C417B6">
      <w:r w:rsidRPr="00C417B6">
        <w:t xml:space="preserve">Submissions must be provided by the closing date of </w:t>
      </w:r>
      <w:r w:rsidR="00480A4F" w:rsidRPr="00F973F6">
        <w:rPr>
          <w:b/>
        </w:rPr>
        <w:t>12</w:t>
      </w:r>
      <w:r w:rsidRPr="00F973F6">
        <w:rPr>
          <w:b/>
        </w:rPr>
        <w:t xml:space="preserve"> </w:t>
      </w:r>
      <w:r w:rsidR="00D716D8" w:rsidRPr="00F973F6">
        <w:rPr>
          <w:b/>
        </w:rPr>
        <w:t>October 2026</w:t>
      </w:r>
      <w:r w:rsidRPr="00F973F6">
        <w:t xml:space="preserve"> </w:t>
      </w:r>
      <w:r w:rsidRPr="00C417B6">
        <w:t>through our </w:t>
      </w:r>
      <w:hyperlink r:id="rId48" w:history="1">
        <w:r w:rsidRPr="00730012">
          <w:rPr>
            <w:rStyle w:val="Hyperlink"/>
          </w:rPr>
          <w:t>consultation hub</w:t>
        </w:r>
      </w:hyperlink>
      <w:r w:rsidRPr="00C417B6">
        <w:t xml:space="preserve">. Any submission about any of the proposals to amend the Poisons Standard will be considered at the next </w:t>
      </w:r>
      <w:r w:rsidR="00C62776">
        <w:t xml:space="preserve">joint </w:t>
      </w:r>
      <w:r w:rsidRPr="00C417B6">
        <w:t>meeting of the </w:t>
      </w:r>
      <w:hyperlink r:id="rId49" w:history="1">
        <w:r w:rsidRPr="00C417B6">
          <w:rPr>
            <w:rStyle w:val="Hyperlink"/>
          </w:rPr>
          <w:t>Advisory Committee on Medicines Scheduling (ACMS)</w:t>
        </w:r>
      </w:hyperlink>
      <w:r w:rsidR="00DC409E">
        <w:t xml:space="preserve"> </w:t>
      </w:r>
      <w:r w:rsidR="00C62776">
        <w:t xml:space="preserve">and </w:t>
      </w:r>
      <w:r w:rsidRPr="00C417B6">
        <w:t>the </w:t>
      </w:r>
      <w:hyperlink r:id="rId50" w:history="1">
        <w:r w:rsidRPr="00C417B6">
          <w:rPr>
            <w:rStyle w:val="Hyperlink"/>
          </w:rPr>
          <w:t>Advisory Committee on Chemicals Scheduling (ACCS)</w:t>
        </w:r>
      </w:hyperlink>
      <w:r w:rsidRPr="00C417B6">
        <w:t>.</w:t>
      </w:r>
    </w:p>
    <w:p w14:paraId="03307D05" w14:textId="77777777" w:rsidR="00685E72" w:rsidRPr="00C417B6" w:rsidRDefault="00685E72" w:rsidP="00E74709">
      <w:pPr>
        <w:pStyle w:val="Heading2"/>
      </w:pPr>
      <w:bookmarkStart w:id="22" w:name="_Toc122614250"/>
      <w:bookmarkStart w:id="23" w:name="_Toc239862090"/>
      <w:r w:rsidRPr="00C417B6">
        <w:t>What will happen</w:t>
      </w:r>
      <w:bookmarkEnd w:id="22"/>
      <w:bookmarkEnd w:id="23"/>
    </w:p>
    <w:p w14:paraId="7638E07C" w14:textId="77777777" w:rsidR="00685E72" w:rsidRPr="00C417B6" w:rsidRDefault="00685E72" w:rsidP="00C417B6">
      <w:r w:rsidRPr="00C417B6">
        <w:t xml:space="preserve">All public submissions will be published on the TGA website at </w:t>
      </w:r>
      <w:hyperlink r:id="rId51" w:history="1">
        <w:r w:rsidRPr="00C417B6">
          <w:rPr>
            <w:rStyle w:val="Hyperlink"/>
          </w:rPr>
          <w:t>Public submissions on scheduling matters</w:t>
        </w:r>
      </w:hyperlink>
      <w:r w:rsidRPr="00C417B6">
        <w:t xml:space="preserve">, unless marked confidential or indicated otherwise in the submission coversheet (see </w:t>
      </w:r>
      <w:hyperlink r:id="rId52" w:history="1">
        <w:r w:rsidRPr="00C417B6">
          <w:rPr>
            <w:rStyle w:val="Hyperlink"/>
          </w:rPr>
          <w:t>Privacy</w:t>
        </w:r>
        <w:r w:rsidR="00B90A0A" w:rsidRPr="00C417B6">
          <w:rPr>
            <w:rStyle w:val="Hyperlink"/>
          </w:rPr>
          <w:t> </w:t>
        </w:r>
        <w:r w:rsidRPr="00C417B6">
          <w:rPr>
            <w:rStyle w:val="Hyperlink"/>
          </w:rPr>
          <w:t>information</w:t>
        </w:r>
      </w:hyperlink>
      <w:r w:rsidRPr="00C417B6">
        <w:t>).</w:t>
      </w:r>
    </w:p>
    <w:p w14:paraId="7F08F3AD" w14:textId="4320B609" w:rsidR="00F02AEC" w:rsidRPr="00C417B6" w:rsidRDefault="00685E72" w:rsidP="00C417B6">
      <w:pPr>
        <w:sectPr w:rsidR="00F02AEC" w:rsidRPr="00C417B6">
          <w:headerReference w:type="default" r:id="rId53"/>
          <w:footerReference w:type="default" r:id="rId54"/>
          <w:pgSz w:w="11906" w:h="16838" w:code="9"/>
          <w:pgMar w:top="1134" w:right="1418" w:bottom="1361" w:left="1418" w:header="573" w:footer="567" w:gutter="0"/>
          <w:cols w:space="708"/>
          <w:docGrid w:linePitch="360"/>
        </w:sectPr>
      </w:pPr>
      <w:r w:rsidRPr="00C417B6">
        <w:t xml:space="preserve">Following consideration of public submissions received before the closing date and advice from the expert advisory committee/s, decisions on the proposed amendments will be published as interim decisions on the TGA website: </w:t>
      </w:r>
      <w:hyperlink r:id="rId55" w:history="1">
        <w:r w:rsidRPr="00C417B6">
          <w:rPr>
            <w:rStyle w:val="Hyperlink"/>
          </w:rPr>
          <w:t>Scheduling delegate's interim decisions &amp; invitations for further comment</w:t>
        </w:r>
      </w:hyperlink>
      <w:r w:rsidRPr="00C417B6">
        <w:t>.</w:t>
      </w:r>
    </w:p>
    <w:tbl>
      <w:tblPr>
        <w:tblW w:w="9145" w:type="dxa"/>
        <w:jc w:val="center"/>
        <w:tblLayout w:type="fixed"/>
        <w:tblCellMar>
          <w:left w:w="0" w:type="dxa"/>
          <w:right w:w="0" w:type="dxa"/>
        </w:tblCellMar>
        <w:tblLook w:val="04A0" w:firstRow="1" w:lastRow="0" w:firstColumn="1" w:lastColumn="0" w:noHBand="0" w:noVBand="1"/>
      </w:tblPr>
      <w:tblGrid>
        <w:gridCol w:w="9145"/>
      </w:tblGrid>
      <w:tr w:rsidR="00F02AEC" w:rsidRPr="00C417B6" w14:paraId="635C04A9" w14:textId="77777777">
        <w:trPr>
          <w:trHeight w:hRule="exact" w:val="565"/>
          <w:jc w:val="center"/>
        </w:trPr>
        <w:tc>
          <w:tcPr>
            <w:tcW w:w="9145" w:type="dxa"/>
          </w:tcPr>
          <w:p w14:paraId="157923B8" w14:textId="77777777" w:rsidR="00F02AEC" w:rsidRPr="00C417B6" w:rsidRDefault="00F02AEC" w:rsidP="00E74709">
            <w:pPr>
              <w:pStyle w:val="TGASignoff"/>
            </w:pPr>
            <w:r w:rsidRPr="00C417B6">
              <w:lastRenderedPageBreak/>
              <w:t>Therapeutic Goods Administration</w:t>
            </w:r>
          </w:p>
        </w:tc>
      </w:tr>
      <w:tr w:rsidR="00F02AEC" w:rsidRPr="00C417B6" w14:paraId="4E2C8ECE" w14:textId="77777777">
        <w:trPr>
          <w:trHeight w:val="963"/>
          <w:jc w:val="center"/>
        </w:trPr>
        <w:tc>
          <w:tcPr>
            <w:tcW w:w="9145" w:type="dxa"/>
            <w:tcMar>
              <w:top w:w="28" w:type="dxa"/>
            </w:tcMar>
          </w:tcPr>
          <w:p w14:paraId="5C2BB7C9" w14:textId="77777777" w:rsidR="00F02AEC" w:rsidRPr="00C417B6" w:rsidRDefault="00F02AEC" w:rsidP="00E74709">
            <w:pPr>
              <w:pStyle w:val="Address"/>
              <w:jc w:val="center"/>
            </w:pPr>
            <w:r w:rsidRPr="00C417B6">
              <w:t>PO Box 100 Woden ACT 2606 Australia</w:t>
            </w:r>
          </w:p>
          <w:p w14:paraId="1436858B" w14:textId="77777777" w:rsidR="00F02AEC" w:rsidRPr="00C417B6" w:rsidRDefault="00F02AEC" w:rsidP="00E74709">
            <w:pPr>
              <w:pStyle w:val="Address"/>
              <w:jc w:val="center"/>
            </w:pPr>
            <w:r w:rsidRPr="00C417B6">
              <w:t xml:space="preserve">Email: </w:t>
            </w:r>
            <w:hyperlink r:id="rId56" w:history="1">
              <w:r w:rsidRPr="00C417B6">
                <w:rPr>
                  <w:rStyle w:val="Hyperlink"/>
                </w:rPr>
                <w:t>info@tga.gov.au</w:t>
              </w:r>
            </w:hyperlink>
            <w:r w:rsidRPr="00C417B6">
              <w:t xml:space="preserve">  Phone: 1800 020 </w:t>
            </w:r>
            <w:proofErr w:type="gramStart"/>
            <w:r w:rsidRPr="00C417B6">
              <w:t>653  Fax</w:t>
            </w:r>
            <w:proofErr w:type="gramEnd"/>
            <w:r w:rsidRPr="00C417B6">
              <w:t>: 02 6203 1605</w:t>
            </w:r>
          </w:p>
          <w:p w14:paraId="0AADF214" w14:textId="77777777" w:rsidR="00F02AEC" w:rsidRPr="00C417B6" w:rsidRDefault="00F02AEC" w:rsidP="00E74709">
            <w:pPr>
              <w:pStyle w:val="Address"/>
              <w:jc w:val="center"/>
            </w:pPr>
            <w:hyperlink r:id="rId57" w:history="1">
              <w:r w:rsidRPr="00C417B6">
                <w:rPr>
                  <w:rStyle w:val="Hyperlink"/>
                </w:rPr>
                <w:t>https://www.tga.gov.au</w:t>
              </w:r>
            </w:hyperlink>
          </w:p>
        </w:tc>
      </w:tr>
      <w:tr w:rsidR="00F02AEC" w:rsidRPr="00C417B6" w14:paraId="2F2CF464" w14:textId="77777777">
        <w:trPr>
          <w:trHeight w:val="251"/>
          <w:jc w:val="center"/>
        </w:trPr>
        <w:tc>
          <w:tcPr>
            <w:tcW w:w="9145" w:type="dxa"/>
            <w:tcMar>
              <w:top w:w="28" w:type="dxa"/>
            </w:tcMar>
          </w:tcPr>
          <w:p w14:paraId="1E6F4EC1" w14:textId="77777777" w:rsidR="00F02AEC" w:rsidRPr="00C417B6" w:rsidRDefault="00F02AEC" w:rsidP="00C417B6"/>
        </w:tc>
      </w:tr>
      <w:bookmarkEnd w:id="0"/>
    </w:tbl>
    <w:p w14:paraId="6AA87598" w14:textId="77777777" w:rsidR="009506FA" w:rsidRPr="00C417B6" w:rsidRDefault="009506FA" w:rsidP="00C417B6"/>
    <w:sectPr w:rsidR="009506FA" w:rsidRPr="00C417B6">
      <w:headerReference w:type="first" r:id="rId58"/>
      <w:footerReference w:type="first" r:id="rId59"/>
      <w:pgSz w:w="11906" w:h="16838" w:code="9"/>
      <w:pgMar w:top="13571" w:right="1701" w:bottom="567" w:left="1701" w:header="1134" w:footer="7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E5D64" w14:textId="77777777" w:rsidR="007A244C" w:rsidRDefault="007A244C" w:rsidP="00F02AEC">
      <w:pPr>
        <w:spacing w:after="0" w:line="240" w:lineRule="auto"/>
      </w:pPr>
      <w:r>
        <w:separator/>
      </w:r>
    </w:p>
  </w:endnote>
  <w:endnote w:type="continuationSeparator" w:id="0">
    <w:p w14:paraId="7AC37F82" w14:textId="77777777" w:rsidR="007A244C" w:rsidRDefault="007A244C" w:rsidP="00F02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Bol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D09CE" w14:textId="77777777" w:rsidR="00FD0841" w:rsidRDefault="00FD0841">
    <w:pPr>
      <w:pStyle w:val="Footer"/>
    </w:pPr>
    <w:r>
      <w:rPr>
        <w:noProof/>
      </w:rPr>
      <mc:AlternateContent>
        <mc:Choice Requires="wps">
          <w:drawing>
            <wp:anchor distT="0" distB="0" distL="0" distR="0" simplePos="0" relativeHeight="251658752" behindDoc="0" locked="0" layoutInCell="1" allowOverlap="1" wp14:anchorId="105EE639" wp14:editId="5828947D">
              <wp:simplePos x="635" y="635"/>
              <wp:positionH relativeFrom="page">
                <wp:align>center</wp:align>
              </wp:positionH>
              <wp:positionV relativeFrom="page">
                <wp:align>bottom</wp:align>
              </wp:positionV>
              <wp:extent cx="622300" cy="391160"/>
              <wp:effectExtent l="0" t="0" r="6350" b="0"/>
              <wp:wrapNone/>
              <wp:docPr id="546918426"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2BD8C99B"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5EE639" id="_x0000_t202" coordsize="21600,21600" o:spt="202" path="m,l,21600r21600,l21600,xe">
              <v:stroke joinstyle="miter"/>
              <v:path gradientshapeok="t" o:connecttype="rect"/>
            </v:shapetype>
            <v:shape id="Text Box 7" o:spid="_x0000_s1029" type="#_x0000_t202" alt="OFFICIAL" style="position:absolute;margin-left:0;margin-top:0;width:49pt;height:30.8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PdT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0rPh2n30J9pKUQTnx7J1cttV4LH54FEsE0LYk2&#10;PNGhDfQVh7PFWQP482/+mE+4U5SzngRTcUuK5sx8t8RH1NZo4Ghsk1Hc5p8jPHbf3QPJsKAX4WQy&#10;yYvBjKZG6F5JzsvYiELCSmpX8e1o3oeTcuk5SLVcpiSSkRNhbTdOxtIRrojly/Aq0J0BD8TUI4xq&#10;EuU73E+58aZ3y30g9BMpEdoTkGfESYKJq/NziRp/+5+yro968Qs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LoM91MNAgAAHAQA&#10;AA4AAAAAAAAAAAAAAAAALgIAAGRycy9lMm9Eb2MueG1sUEsBAi0AFAAGAAgAAAAhAIJRlNfaAAAA&#10;AwEAAA8AAAAAAAAAAAAAAAAAZwQAAGRycy9kb3ducmV2LnhtbFBLBQYAAAAABAAEAPMAAABuBQAA&#10;AAA=&#10;" filled="f" stroked="f">
              <v:textbox style="mso-fit-shape-to-text:t" inset="0,0,0,15pt">
                <w:txbxContent>
                  <w:p w14:paraId="2BD8C99B"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0"/>
      <w:gridCol w:w="4360"/>
    </w:tblGrid>
    <w:tr w:rsidR="00F02AEC" w:rsidRPr="00257138" w14:paraId="6648FEC9" w14:textId="77777777">
      <w:trPr>
        <w:trHeight w:val="423"/>
      </w:trPr>
      <w:tc>
        <w:tcPr>
          <w:tcW w:w="4360" w:type="dxa"/>
          <w:tcBorders>
            <w:top w:val="single" w:sz="4" w:space="0" w:color="auto"/>
          </w:tcBorders>
        </w:tcPr>
        <w:p w14:paraId="62DDC69D" w14:textId="77777777" w:rsidR="00F02AEC" w:rsidRDefault="00FD0841">
          <w:pPr>
            <w:pStyle w:val="Footer"/>
          </w:pPr>
          <w:r>
            <w:rPr>
              <w:noProof/>
            </w:rPr>
            <mc:AlternateContent>
              <mc:Choice Requires="wps">
                <w:drawing>
                  <wp:anchor distT="0" distB="0" distL="0" distR="0" simplePos="0" relativeHeight="251659776" behindDoc="0" locked="0" layoutInCell="1" allowOverlap="1" wp14:anchorId="7F7E5471" wp14:editId="597FDB15">
                    <wp:simplePos x="635" y="635"/>
                    <wp:positionH relativeFrom="page">
                      <wp:align>center</wp:align>
                    </wp:positionH>
                    <wp:positionV relativeFrom="page">
                      <wp:align>bottom</wp:align>
                    </wp:positionV>
                    <wp:extent cx="622300" cy="391160"/>
                    <wp:effectExtent l="0" t="0" r="6350" b="0"/>
                    <wp:wrapNone/>
                    <wp:docPr id="1875503501"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3DBE9228"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F7E5471" id="_x0000_t202" coordsize="21600,21600" o:spt="202" path="m,l,21600r21600,l21600,xe">
                    <v:stroke joinstyle="miter"/>
                    <v:path gradientshapeok="t" o:connecttype="rect"/>
                  </v:shapetype>
                  <v:shape id="Text Box 8" o:spid="_x0000_s1030" type="#_x0000_t202" alt="OFFICIAL" style="position:absolute;margin-left:0;margin-top:0;width:49pt;height:30.8pt;z-index:25165977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" filled="f" stroked="f">
                    <v:textbox style="mso-fit-shape-to-text:t" inset="0,0,0,15pt">
                      <w:txbxContent>
                        <w:p w14:paraId="3DBE9228"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p w14:paraId="71195803" w14:textId="77777777" w:rsidR="00F02AEC" w:rsidRPr="00257138" w:rsidRDefault="00F02AEC">
          <w:pPr>
            <w:pStyle w:val="Footer"/>
          </w:pPr>
          <w:r w:rsidRPr="00257138">
            <w:t>Document title</w:t>
          </w:r>
        </w:p>
      </w:tc>
      <w:tc>
        <w:tcPr>
          <w:tcW w:w="4360" w:type="dxa"/>
          <w:tcBorders>
            <w:top w:val="single" w:sz="4" w:space="0" w:color="auto"/>
          </w:tcBorders>
        </w:tcPr>
        <w:sdt>
          <w:sdtPr>
            <w:id w:val="1087729233"/>
            <w:docPartObj>
              <w:docPartGallery w:val="Page Numbers (Top of Page)"/>
              <w:docPartUnique/>
            </w:docPartObj>
          </w:sdtPr>
          <w:sdtEndPr/>
          <w:sdtContent>
            <w:p w14:paraId="74526944" w14:textId="77777777" w:rsidR="00F02AEC" w:rsidRDefault="00F02AEC">
              <w:pPr>
                <w:pStyle w:val="Footer"/>
                <w:jc w:val="right"/>
              </w:pPr>
            </w:p>
            <w:p w14:paraId="189D516A" w14:textId="77777777" w:rsidR="00F02AEC" w:rsidRPr="00257138" w:rsidRDefault="00F02AEC">
              <w:pPr>
                <w:pStyle w:val="Footer"/>
                <w:jc w:val="right"/>
              </w:pPr>
              <w:r w:rsidRPr="00257138">
                <w:t xml:space="preserve">Page </w:t>
              </w:r>
              <w:r>
                <w:fldChar w:fldCharType="begin"/>
              </w:r>
              <w:r>
                <w:instrText xml:space="preserve"> PAGE </w:instrText>
              </w:r>
              <w:r>
                <w:fldChar w:fldCharType="separate"/>
              </w:r>
              <w:r>
                <w:rPr>
                  <w:noProof/>
                </w:rPr>
                <w:t>2</w:t>
              </w:r>
              <w:r>
                <w:rPr>
                  <w:noProof/>
                </w:rPr>
                <w:fldChar w:fldCharType="end"/>
              </w:r>
              <w:r w:rsidRPr="00257138">
                <w:t xml:space="preserve"> of </w:t>
              </w:r>
              <w:r>
                <w:fldChar w:fldCharType="begin"/>
              </w:r>
              <w:r>
                <w:instrText>NUMPAGES</w:instrText>
              </w:r>
              <w:r>
                <w:fldChar w:fldCharType="separate"/>
              </w:r>
              <w:r>
                <w:rPr>
                  <w:noProof/>
                </w:rPr>
                <w:t>2</w:t>
              </w:r>
              <w:r>
                <w:fldChar w:fldCharType="end"/>
              </w:r>
            </w:p>
          </w:sdtContent>
        </w:sdt>
      </w:tc>
    </w:tr>
    <w:tr w:rsidR="00F02AEC" w:rsidRPr="00257138" w14:paraId="6CF19F2A" w14:textId="77777777">
      <w:trPr>
        <w:trHeight w:val="263"/>
      </w:trPr>
      <w:tc>
        <w:tcPr>
          <w:tcW w:w="4360" w:type="dxa"/>
        </w:tcPr>
        <w:p w14:paraId="19635677" w14:textId="77777777" w:rsidR="00F02AEC" w:rsidRPr="00257138" w:rsidRDefault="00F02AEC">
          <w:pPr>
            <w:pStyle w:val="Footer"/>
          </w:pPr>
          <w:r w:rsidRPr="00257138">
            <w:t xml:space="preserve">V1.0 </w:t>
          </w:r>
          <w:r>
            <w:t>Month</w:t>
          </w:r>
          <w:r w:rsidRPr="00257138">
            <w:t xml:space="preserve"> 201</w:t>
          </w:r>
          <w:r>
            <w:t>2</w:t>
          </w:r>
        </w:p>
      </w:tc>
      <w:tc>
        <w:tcPr>
          <w:tcW w:w="4360" w:type="dxa"/>
        </w:tcPr>
        <w:p w14:paraId="12F8C6DC" w14:textId="77777777" w:rsidR="00F02AEC" w:rsidRPr="00257138" w:rsidRDefault="00F02AEC">
          <w:pPr>
            <w:pStyle w:val="Footer"/>
            <w:jc w:val="right"/>
          </w:pPr>
        </w:p>
      </w:tc>
    </w:tr>
  </w:tbl>
  <w:p w14:paraId="0C7405C6" w14:textId="77777777" w:rsidR="00F02AEC" w:rsidRPr="00826007" w:rsidRDefault="00F02AEC">
    <w:pPr>
      <w:pStyle w:val="Footer"/>
      <w:tabs>
        <w:tab w:val="left" w:pos="7620"/>
        <w:tab w:val="right" w:pos="8504"/>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BECA7" w14:textId="5A3C1E81" w:rsidR="00F02AEC" w:rsidRDefault="00F02AEC">
    <w:pPr>
      <w:pStyle w:val="Footer"/>
      <w:ind w:left="-1701"/>
    </w:pPr>
    <w:r w:rsidRPr="002B29B2">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tblCellMar>
      <w:tblLook w:val="04A0" w:firstRow="1" w:lastRow="0" w:firstColumn="1" w:lastColumn="0" w:noHBand="0" w:noVBand="1"/>
    </w:tblPr>
    <w:tblGrid>
      <w:gridCol w:w="7338"/>
      <w:gridCol w:w="1734"/>
    </w:tblGrid>
    <w:tr w:rsidR="00F02AEC" w:rsidRPr="00520CD5" w14:paraId="222432A5" w14:textId="77777777">
      <w:trPr>
        <w:trHeight w:val="423"/>
      </w:trPr>
      <w:tc>
        <w:tcPr>
          <w:tcW w:w="7338" w:type="dxa"/>
          <w:tcBorders>
            <w:top w:val="single" w:sz="4" w:space="0" w:color="auto"/>
          </w:tcBorders>
        </w:tcPr>
        <w:p w14:paraId="6DB37326" w14:textId="5C215D90" w:rsidR="00F02AEC" w:rsidRPr="00F41EC8" w:rsidRDefault="00F41EC8" w:rsidP="00F41EC8">
          <w:pPr>
            <w:pStyle w:val="Footer"/>
          </w:pPr>
          <w:r w:rsidRPr="009B347E">
            <w:t xml:space="preserve">Consultation: Proposed amendments to the Poisons Standard </w:t>
          </w:r>
          <w:r w:rsidR="00843AFF" w:rsidRPr="00843AFF">
            <w:t xml:space="preserve">in relation to </w:t>
          </w:r>
          <w:r w:rsidR="00D90122" w:rsidRPr="610D3DA6">
            <w:t>4-MBC</w:t>
          </w:r>
          <w:r w:rsidR="00D90122" w:rsidRPr="00843AFF">
            <w:t xml:space="preserve"> </w:t>
          </w:r>
          <w:r w:rsidR="00843AFF" w:rsidRPr="00843AFF">
            <w:t>–</w:t>
          </w:r>
          <w:r w:rsidRPr="009B347E">
            <w:t xml:space="preserve"> Joint ACMS</w:t>
          </w:r>
          <w:r w:rsidR="00B507CC">
            <w:noBreakHyphen/>
          </w:r>
          <w:r w:rsidRPr="009B347E">
            <w:t>ACCS #</w:t>
          </w:r>
          <w:r w:rsidR="009B347E" w:rsidRPr="009B347E">
            <w:t>45</w:t>
          </w:r>
          <w:r w:rsidRPr="009B347E">
            <w:t xml:space="preserve"> </w:t>
          </w:r>
          <w:r w:rsidR="00843AFF" w:rsidRPr="00843AFF">
            <w:t>meeting</w:t>
          </w:r>
          <w:r w:rsidRPr="009B347E">
            <w:t xml:space="preserve">, </w:t>
          </w:r>
          <w:r w:rsidR="00D716D8" w:rsidRPr="009B347E">
            <w:t>November 2026</w:t>
          </w:r>
          <w:r w:rsidR="00F02AEC" w:rsidRPr="00F41EC8">
            <w:t xml:space="preserve"> </w:t>
          </w:r>
          <w:r w:rsidR="00F02AEC" w:rsidRPr="00F41EC8">
            <w:br/>
          </w:r>
        </w:p>
      </w:tc>
      <w:tc>
        <w:tcPr>
          <w:tcW w:w="1734" w:type="dxa"/>
          <w:tcBorders>
            <w:top w:val="single" w:sz="4" w:space="0" w:color="auto"/>
          </w:tcBorders>
        </w:tcPr>
        <w:sdt>
          <w:sdtPr>
            <w:id w:val="11571659"/>
            <w:docPartObj>
              <w:docPartGallery w:val="Page Numbers (Top of Page)"/>
              <w:docPartUnique/>
            </w:docPartObj>
          </w:sdtPr>
          <w:sdtEndPr/>
          <w:sdtContent>
            <w:p w14:paraId="18557989" w14:textId="77777777" w:rsidR="00F02AEC" w:rsidRPr="003575C3" w:rsidRDefault="00F02AEC" w:rsidP="00455705">
              <w:pPr>
                <w:pStyle w:val="Footer"/>
              </w:pPr>
              <w:r w:rsidRPr="003575C3">
                <w:t xml:space="preserve">Page </w:t>
              </w:r>
              <w:r w:rsidRPr="003575C3">
                <w:fldChar w:fldCharType="begin"/>
              </w:r>
              <w:r w:rsidRPr="003575C3">
                <w:instrText xml:space="preserve"> PAGE </w:instrText>
              </w:r>
              <w:r w:rsidRPr="003575C3">
                <w:fldChar w:fldCharType="separate"/>
              </w:r>
              <w:r w:rsidRPr="003575C3">
                <w:t>6</w:t>
              </w:r>
              <w:r w:rsidRPr="003575C3">
                <w:fldChar w:fldCharType="end"/>
              </w:r>
              <w:r w:rsidRPr="003575C3">
                <w:t xml:space="preserve"> of </w:t>
              </w:r>
              <w:r>
                <w:fldChar w:fldCharType="begin"/>
              </w:r>
              <w:r>
                <w:instrText>NUMPAGES</w:instrText>
              </w:r>
              <w:r>
                <w:fldChar w:fldCharType="separate"/>
              </w:r>
              <w:r w:rsidRPr="003575C3">
                <w:t>7</w:t>
              </w:r>
              <w:r>
                <w:fldChar w:fldCharType="end"/>
              </w:r>
            </w:p>
          </w:sdtContent>
        </w:sdt>
      </w:tc>
    </w:tr>
  </w:tbl>
  <w:p w14:paraId="61B7AE6B" w14:textId="77777777" w:rsidR="00F02AEC" w:rsidRPr="00B90A0A" w:rsidRDefault="00F02AEC">
    <w:pPr>
      <w:pStyle w:val="Footer"/>
      <w:tabs>
        <w:tab w:val="left" w:pos="7620"/>
        <w:tab w:val="right" w:pos="8504"/>
      </w:tabs>
      <w:rPr>
        <w:rFonts w:asciiTheme="minorHAnsi" w:hAnsiTheme="minorHAnsi" w:cstheme="minorHAnsi"/>
        <w:sz w:val="18"/>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54055" w14:textId="528C5219" w:rsidR="009506FA" w:rsidRPr="008E3C43" w:rsidRDefault="00950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0C04B" w14:textId="77777777" w:rsidR="007A244C" w:rsidRDefault="007A244C" w:rsidP="00F02AEC">
      <w:pPr>
        <w:spacing w:after="0" w:line="240" w:lineRule="auto"/>
      </w:pPr>
      <w:r>
        <w:separator/>
      </w:r>
    </w:p>
  </w:footnote>
  <w:footnote w:type="continuationSeparator" w:id="0">
    <w:p w14:paraId="4C7723EA" w14:textId="77777777" w:rsidR="007A244C" w:rsidRDefault="007A244C" w:rsidP="00F02AEC">
      <w:pPr>
        <w:spacing w:after="0" w:line="240" w:lineRule="auto"/>
      </w:pPr>
      <w:r>
        <w:continuationSeparator/>
      </w:r>
    </w:p>
  </w:footnote>
  <w:footnote w:id="1">
    <w:p w14:paraId="618677B9" w14:textId="6B474BEC" w:rsidR="00FF4CA1" w:rsidRDefault="00FF4CA1" w:rsidP="00416B88">
      <w:pPr>
        <w:pStyle w:val="FootnoteText"/>
        <w:spacing w:before="120" w:after="120" w:line="240" w:lineRule="auto"/>
      </w:pPr>
      <w:r>
        <w:rPr>
          <w:rStyle w:val="FootnoteReference"/>
        </w:rPr>
        <w:footnoteRef/>
      </w:r>
      <w:r>
        <w:t xml:space="preserve"> </w:t>
      </w:r>
      <w:hyperlink r:id="rId1" w:history="1">
        <w:r w:rsidR="00C93E87" w:rsidRPr="00100014">
          <w:rPr>
            <w:rStyle w:val="Hyperlink"/>
          </w:rPr>
          <w:t>Over-the-Counter Sunscreen Drug Products-Regulatory Status of Enzacamene</w:t>
        </w:r>
      </w:hyperlink>
      <w:r w:rsidR="00100014">
        <w:t xml:space="preserve">; accessed </w:t>
      </w:r>
      <w:r w:rsidR="002E0E4D">
        <w:t>8 Sep</w:t>
      </w:r>
      <w:r w:rsidR="005A07F6">
        <w:t>tember 2026</w:t>
      </w:r>
      <w:r w:rsidR="0040319F">
        <w:t>.</w:t>
      </w:r>
    </w:p>
  </w:footnote>
  <w:footnote w:id="2">
    <w:p w14:paraId="624FE8CC" w14:textId="77777777" w:rsidR="001A31EA" w:rsidRDefault="001A31EA" w:rsidP="00416B88">
      <w:pPr>
        <w:pStyle w:val="FootnoteText"/>
        <w:spacing w:before="120" w:after="120" w:line="240" w:lineRule="auto"/>
      </w:pPr>
      <w:r>
        <w:rPr>
          <w:rStyle w:val="FootnoteReference"/>
        </w:rPr>
        <w:footnoteRef/>
      </w:r>
      <w:r>
        <w:t xml:space="preserve"> </w:t>
      </w:r>
      <w:hyperlink r:id="rId2" w:history="1">
        <w:r w:rsidR="00416B88">
          <w:rPr>
            <w:rStyle w:val="Hyperlink"/>
          </w:rPr>
          <w:t>COMMISSION REGULATION (EU) 2024/996</w:t>
        </w:r>
      </w:hyperlink>
      <w:r w:rsidR="00416B88">
        <w:t>; accessed 8 September 2026</w:t>
      </w:r>
      <w:r w:rsidR="0040319F">
        <w:t>.</w:t>
      </w:r>
    </w:p>
  </w:footnote>
  <w:footnote w:id="3">
    <w:p w14:paraId="740A57F3" w14:textId="77777777" w:rsidR="00302CD2" w:rsidRDefault="00302CD2" w:rsidP="00302CD2">
      <w:pPr>
        <w:pStyle w:val="FootnoteText"/>
      </w:pPr>
      <w:r>
        <w:rPr>
          <w:rStyle w:val="FootnoteReference"/>
        </w:rPr>
        <w:footnoteRef/>
      </w:r>
      <w:r>
        <w:t xml:space="preserve"> </w:t>
      </w:r>
      <w:hyperlink r:id="rId3" w:history="1">
        <w:r w:rsidRPr="0040319F">
          <w:rPr>
            <w:rStyle w:val="Hyperlink"/>
          </w:rPr>
          <w:t>DRAFT: GUIDANCE DOCUMENT Sunscreen Monograph</w:t>
        </w:r>
      </w:hyperlink>
      <w:r>
        <w:t>, Health Canada; accessed 8 September 2026.</w:t>
      </w:r>
    </w:p>
  </w:footnote>
  <w:footnote w:id="4">
    <w:p w14:paraId="237287F3" w14:textId="271E6A19" w:rsidR="00A15E44" w:rsidRPr="00921501" w:rsidRDefault="00A15E44" w:rsidP="00A15E44">
      <w:pPr>
        <w:pStyle w:val="ListBullet2"/>
        <w:numPr>
          <w:ilvl w:val="0"/>
          <w:numId w:val="0"/>
        </w:numPr>
        <w:spacing w:after="120" w:line="240" w:lineRule="auto"/>
        <w:rPr>
          <w:sz w:val="16"/>
          <w:szCs w:val="16"/>
        </w:rPr>
      </w:pPr>
      <w:r w:rsidRPr="00921501">
        <w:rPr>
          <w:rStyle w:val="FootnoteReference"/>
          <w:sz w:val="16"/>
          <w:szCs w:val="16"/>
        </w:rPr>
        <w:footnoteRef/>
      </w:r>
      <w:r w:rsidRPr="00921501">
        <w:rPr>
          <w:sz w:val="16"/>
          <w:szCs w:val="16"/>
        </w:rPr>
        <w:t xml:space="preserve"> </w:t>
      </w:r>
      <w:r w:rsidR="009D1E5D" w:rsidRPr="00921501">
        <w:rPr>
          <w:sz w:val="16"/>
          <w:szCs w:val="16"/>
        </w:rPr>
        <w:t>C</w:t>
      </w:r>
      <w:r w:rsidRPr="00921501">
        <w:rPr>
          <w:sz w:val="16"/>
          <w:szCs w:val="16"/>
        </w:rPr>
        <w:t>oncentrations of 4-MBC that can deemed low-risk depending on the user group, site of application and use pattern can be found in the Safety Review.</w:t>
      </w:r>
    </w:p>
    <w:p w14:paraId="01136FE0" w14:textId="7BD63530" w:rsidR="00A15E44" w:rsidRDefault="00A15E44">
      <w:pPr>
        <w:pStyle w:val="FootnoteText"/>
      </w:pPr>
    </w:p>
  </w:footnote>
  <w:footnote w:id="5">
    <w:p w14:paraId="45C88880" w14:textId="4DC45C14" w:rsidR="000F5174" w:rsidRDefault="000F5174" w:rsidP="000F5174">
      <w:pPr>
        <w:pStyle w:val="FootnoteText"/>
      </w:pPr>
      <w:r>
        <w:rPr>
          <w:rStyle w:val="FootnoteReference"/>
        </w:rPr>
        <w:footnoteRef/>
      </w:r>
      <w:r>
        <w:t xml:space="preserve"> European Commission. Scientific Committee on Consumer Safety (SCCS). Final Opinion on 4-Methylbenzylidene Camphor</w:t>
      </w:r>
      <w:r w:rsidR="005D5F53">
        <w:rPr>
          <w:szCs w:val="16"/>
        </w:rPr>
        <w:t xml:space="preserve"> </w:t>
      </w:r>
      <w:r>
        <w:t>(4-MBC). SCCS/1640/21. 2022.</w:t>
      </w:r>
    </w:p>
  </w:footnote>
  <w:footnote w:id="6">
    <w:p w14:paraId="1D6069C4" w14:textId="1AED41D7" w:rsidR="006110BA" w:rsidRPr="009D5300" w:rsidRDefault="006110BA" w:rsidP="005D5F53">
      <w:pPr>
        <w:pStyle w:val="FootnoteText"/>
        <w:rPr>
          <w:rStyle w:val="FootnoteReference"/>
          <w:szCs w:val="16"/>
          <w:vertAlign w:val="baseline"/>
        </w:rPr>
      </w:pPr>
      <w:r w:rsidRPr="009D5300">
        <w:rPr>
          <w:rStyle w:val="FootnoteReference"/>
          <w:szCs w:val="16"/>
        </w:rPr>
        <w:footnoteRef/>
      </w:r>
      <w:r w:rsidR="009D5300">
        <w:rPr>
          <w:rStyle w:val="FootnoteReference"/>
          <w:szCs w:val="16"/>
        </w:rPr>
        <w:t xml:space="preserve"> </w:t>
      </w:r>
      <w:r w:rsidR="004E50B2" w:rsidRPr="009D5300">
        <w:rPr>
          <w:rStyle w:val="FootnoteReference"/>
          <w:szCs w:val="16"/>
        </w:rPr>
        <w:t xml:space="preserve"> </w:t>
      </w:r>
      <w:r w:rsidR="004E50B2" w:rsidRPr="009D5300">
        <w:rPr>
          <w:rStyle w:val="FootnoteReference"/>
          <w:szCs w:val="16"/>
          <w:vertAlign w:val="baseline"/>
        </w:rPr>
        <w:t>UK Office for Product Safety and Standards. Scientific Advisory Group on Chemical Safety of Non-Food Consumer Products (SAG-CS). Opinion 18: 4-Methylbenzylidene Camphor in Cosmetic Products. 2025.</w:t>
      </w:r>
    </w:p>
  </w:footnote>
  <w:footnote w:id="7">
    <w:p w14:paraId="3D94E57C" w14:textId="34B1E940" w:rsidR="004E50B2" w:rsidRPr="004E50B2" w:rsidRDefault="004E50B2" w:rsidP="005D5F53">
      <w:pPr>
        <w:pStyle w:val="FootnoteText"/>
        <w:rPr>
          <w:rFonts w:cs="Arial"/>
          <w:color w:val="000000"/>
          <w:szCs w:val="16"/>
        </w:rPr>
      </w:pPr>
      <w:r w:rsidRPr="009D5300">
        <w:rPr>
          <w:rStyle w:val="FootnoteReference"/>
          <w:szCs w:val="16"/>
        </w:rPr>
        <w:footnoteRef/>
      </w:r>
      <w:r w:rsidRPr="009D5300">
        <w:rPr>
          <w:rStyle w:val="FootnoteReference"/>
          <w:szCs w:val="16"/>
          <w:vertAlign w:val="baseline"/>
        </w:rPr>
        <w:t xml:space="preserve"> European Chemicals Agency (ECHA). Assessment of endocrine disrupting properties: 4-Methylbenzylidene Camphor (4</w:t>
      </w:r>
      <w:r w:rsidR="009D5300">
        <w:rPr>
          <w:rStyle w:val="FootnoteReference"/>
          <w:szCs w:val="16"/>
          <w:vertAlign w:val="baseline"/>
        </w:rPr>
        <w:t>-</w:t>
      </w:r>
      <w:r w:rsidRPr="009D5300">
        <w:rPr>
          <w:rStyle w:val="FootnoteReference"/>
          <w:szCs w:val="16"/>
          <w:vertAlign w:val="baseline"/>
        </w:rPr>
        <w:t>MBC). 2021.</w:t>
      </w:r>
    </w:p>
  </w:footnote>
  <w:footnote w:id="8">
    <w:p w14:paraId="5A572AC5" w14:textId="3E0F1E87" w:rsidR="00023E8D" w:rsidRDefault="00023E8D" w:rsidP="00023E8D">
      <w:pPr>
        <w:pStyle w:val="FootnoteText"/>
      </w:pPr>
      <w:r>
        <w:rPr>
          <w:rStyle w:val="FootnoteReference"/>
        </w:rPr>
        <w:footnoteRef/>
      </w:r>
      <w:r>
        <w:t xml:space="preserve"> European Commission. Commission Regulation (EU) 2024/996 of 3 April 2024 amending Annexes II and VI to Regulation (EC) No 1223/2009. Official Journal of the European Union. 2024</w:t>
      </w:r>
    </w:p>
  </w:footnote>
  <w:footnote w:id="9">
    <w:p w14:paraId="1B347053" w14:textId="4991899C" w:rsidR="006535D3" w:rsidRDefault="006535D3" w:rsidP="005113FE">
      <w:pPr>
        <w:pStyle w:val="FootnoteText"/>
      </w:pPr>
      <w:r>
        <w:rPr>
          <w:rStyle w:val="FootnoteReference"/>
        </w:rPr>
        <w:footnoteRef/>
      </w:r>
      <w:r>
        <w:t xml:space="preserve"> U</w:t>
      </w:r>
      <w:r w:rsidR="005113FE">
        <w:t>S Food and Drug Administration. Sunscreen Drug Products for Over-the-Counter Human Use: Proposed Rule. Federal Register. 2019;84(38):6204–6275.</w:t>
      </w:r>
    </w:p>
  </w:footnote>
  <w:footnote w:id="10">
    <w:p w14:paraId="4BE24820" w14:textId="181BF451" w:rsidR="00D43C45" w:rsidRDefault="00D43C45" w:rsidP="00D43C45">
      <w:pPr>
        <w:pStyle w:val="FootnoteText"/>
      </w:pPr>
      <w:r>
        <w:rPr>
          <w:rStyle w:val="FootnoteReference"/>
        </w:rPr>
        <w:footnoteRef/>
      </w:r>
      <w:r>
        <w:t xml:space="preserve"> National Medical Products Administration (NMPA), China. Updated List of Permitted UV Filters in Cosmetics. January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1999D" w14:textId="77777777" w:rsidR="00FD0841" w:rsidRDefault="00FD0841">
    <w:pPr>
      <w:pStyle w:val="Header"/>
    </w:pPr>
    <w:r>
      <w:rPr>
        <w:noProof/>
      </w:rPr>
      <mc:AlternateContent>
        <mc:Choice Requires="wps">
          <w:drawing>
            <wp:anchor distT="0" distB="0" distL="0" distR="0" simplePos="0" relativeHeight="251655680" behindDoc="0" locked="0" layoutInCell="1" allowOverlap="1" wp14:anchorId="434A75CE" wp14:editId="790A69AB">
              <wp:simplePos x="635" y="635"/>
              <wp:positionH relativeFrom="page">
                <wp:align>center</wp:align>
              </wp:positionH>
              <wp:positionV relativeFrom="page">
                <wp:align>top</wp:align>
              </wp:positionV>
              <wp:extent cx="622300" cy="391160"/>
              <wp:effectExtent l="0" t="0" r="6350" b="8890"/>
              <wp:wrapNone/>
              <wp:docPr id="226273405"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8F2BD84"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34A75CE" id="_x0000_t202" coordsize="21600,21600" o:spt="202" path="m,l,21600r21600,l21600,xe">
              <v:stroke joinstyle="miter"/>
              <v:path gradientshapeok="t" o:connecttype="rect"/>
            </v:shapetype>
            <v:shape id="Text Box 2" o:spid="_x0000_s1027" type="#_x0000_t202" alt="OFFICIAL" style="position:absolute;left:0;text-align:left;margin-left:0;margin-top:0;width:49pt;height:30.8pt;z-index:2516556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" filled="f" stroked="f">
              <v:textbox style="mso-fit-shape-to-text:t" inset="0,15pt,0,0">
                <w:txbxContent>
                  <w:p w14:paraId="58F2BD84"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9F950" w14:textId="77777777" w:rsidR="00F02AEC" w:rsidRPr="00CB0550" w:rsidRDefault="00FD0841" w:rsidP="00CB0550">
    <w:pPr>
      <w:pStyle w:val="Header"/>
      <w:jc w:val="left"/>
    </w:pPr>
    <w:r>
      <w:rPr>
        <w:noProof/>
      </w:rPr>
      <mc:AlternateContent>
        <mc:Choice Requires="wps">
          <w:drawing>
            <wp:anchor distT="0" distB="0" distL="0" distR="0" simplePos="0" relativeHeight="251656704" behindDoc="0" locked="0" layoutInCell="1" allowOverlap="1" wp14:anchorId="5AC40B50" wp14:editId="63724F45">
              <wp:simplePos x="635" y="635"/>
              <wp:positionH relativeFrom="page">
                <wp:align>center</wp:align>
              </wp:positionH>
              <wp:positionV relativeFrom="page">
                <wp:align>top</wp:align>
              </wp:positionV>
              <wp:extent cx="622300" cy="391160"/>
              <wp:effectExtent l="0" t="0" r="6350" b="8890"/>
              <wp:wrapNone/>
              <wp:docPr id="69588769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5ED14AFC"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C40B50" id="_x0000_t202" coordsize="21600,21600" o:spt="202" path="m,l,21600r21600,l21600,xe">
              <v:stroke joinstyle="miter"/>
              <v:path gradientshapeok="t" o:connecttype="rect"/>
            </v:shapetype>
            <v:shape id="Text Box 3" o:spid="_x0000_s1028" type="#_x0000_t202" alt="OFFICIAL" style="position:absolute;margin-left:0;margin-top:0;width:49pt;height:30.8pt;z-index:2516567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" filled="f" stroked="f">
              <v:textbox style="mso-fit-shape-to-text:t" inset="0,15pt,0,0">
                <w:txbxContent>
                  <w:p w14:paraId="5ED14AFC"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pPr w:leftFromText="181" w:rightFromText="181" w:vertAnchor="page" w:horzAnchor="page" w:tblpX="1" w:tblpY="8999"/>
      <w:tblOverlap w:val="never"/>
      <w:tblW w:w="11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64"/>
    </w:tblGrid>
    <w:tr w:rsidR="00F02AEC" w:rsidRPr="002B29B2" w14:paraId="22B1C647" w14:textId="77777777">
      <w:trPr>
        <w:trHeight w:hRule="exact" w:val="8845"/>
      </w:trPr>
      <w:tc>
        <w:tcPr>
          <w:tcW w:w="11964" w:type="dxa"/>
          <w:vAlign w:val="center"/>
        </w:tcPr>
        <w:p w14:paraId="6BC5EA13" w14:textId="7E6BD566" w:rsidR="00F02AEC" w:rsidRPr="002B29B2" w:rsidRDefault="00F02AEC">
          <w:pPr>
            <w:ind w:left="-57"/>
            <w:rPr>
              <w:noProof/>
            </w:rPr>
          </w:pPr>
        </w:p>
      </w:tc>
    </w:tr>
  </w:tbl>
  <w:p w14:paraId="19105083" w14:textId="6394B54B" w:rsidR="00F02AEC" w:rsidRDefault="002C0C6F">
    <w:pPr>
      <w:rPr>
        <w:noProof/>
      </w:rPr>
    </w:pPr>
    <w:r>
      <w:rPr>
        <w:noProof/>
        <w:lang w:eastAsia="en-AU"/>
      </w:rPr>
      <w:drawing>
        <wp:inline distT="0" distB="0" distL="0" distR="0" wp14:anchorId="04BA9BA1" wp14:editId="05F11BDA">
          <wp:extent cx="2676376" cy="554784"/>
          <wp:effectExtent l="0" t="0" r="0" b="0"/>
          <wp:docPr id="2073312381"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016799" name="Picture 1"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676376" cy="554784"/>
                  </a:xfrm>
                  <a:prstGeom prst="rect">
                    <a:avLst/>
                  </a:prstGeom>
                </pic:spPr>
              </pic:pic>
            </a:graphicData>
          </a:graphic>
        </wp:inline>
      </w:drawing>
    </w:r>
    <w:r w:rsidR="00F02AEC" w:rsidRPr="002B29B2">
      <w:rPr>
        <w:noProof/>
        <w:lang w:eastAsia="en-AU"/>
      </w:rPr>
      <w:drawing>
        <wp:anchor distT="0" distB="0" distL="114300" distR="114300" simplePos="0" relativeHeight="251654656" behindDoc="0" locked="0" layoutInCell="0" allowOverlap="1" wp14:anchorId="2FCFED33" wp14:editId="5B0F70E4">
          <wp:simplePos x="0" y="0"/>
          <wp:positionH relativeFrom="page">
            <wp:align>left</wp:align>
          </wp:positionH>
          <wp:positionV relativeFrom="page">
            <wp:posOffset>3239495</wp:posOffset>
          </wp:positionV>
          <wp:extent cx="7663815" cy="4323091"/>
          <wp:effectExtent l="0" t="0" r="0" b="1270"/>
          <wp:wrapNone/>
          <wp:docPr id="405241961" name="Picture 40524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663815" cy="432309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9D061" w14:textId="2B177868" w:rsidR="00F02AEC" w:rsidRPr="003575C3" w:rsidRDefault="00F02AEC" w:rsidP="003D48E4">
    <w:pPr>
      <w:pStyle w:val="Header"/>
    </w:pPr>
    <w:bookmarkStart w:id="24" w:name="_Hlk139891503"/>
    <w:bookmarkStart w:id="25" w:name="_Hlk139891504"/>
    <w:bookmarkStart w:id="26" w:name="_Hlk139891507"/>
    <w:bookmarkStart w:id="27" w:name="_Hlk139891508"/>
    <w:bookmarkStart w:id="28" w:name="_Hlk139891512"/>
    <w:bookmarkStart w:id="29" w:name="_Hlk139891513"/>
    <w:bookmarkStart w:id="30" w:name="_Hlk139891537"/>
    <w:bookmarkStart w:id="31" w:name="_Hlk139891538"/>
    <w:r w:rsidRPr="003575C3">
      <w:t>Therapeutic Goods Administration</w:t>
    </w:r>
    <w:bookmarkEnd w:id="24"/>
    <w:bookmarkEnd w:id="25"/>
    <w:bookmarkEnd w:id="26"/>
    <w:bookmarkEnd w:id="27"/>
    <w:bookmarkEnd w:id="28"/>
    <w:bookmarkEnd w:id="29"/>
    <w:bookmarkEnd w:id="30"/>
    <w:bookmarkEnd w:id="31"/>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A6B51" w14:textId="77777777" w:rsidR="009506FA" w:rsidRPr="00FE501F" w:rsidRDefault="00FD0841">
    <w:pPr>
      <w:pStyle w:val="Headernoline"/>
    </w:pPr>
    <w:r>
      <w:rPr>
        <w:noProof/>
      </w:rPr>
      <mc:AlternateContent>
        <mc:Choice Requires="wps">
          <w:drawing>
            <wp:anchor distT="0" distB="0" distL="0" distR="0" simplePos="0" relativeHeight="251657728" behindDoc="0" locked="0" layoutInCell="1" allowOverlap="1" wp14:anchorId="4B315FF3" wp14:editId="627F78A2">
              <wp:simplePos x="635" y="635"/>
              <wp:positionH relativeFrom="page">
                <wp:align>center</wp:align>
              </wp:positionH>
              <wp:positionV relativeFrom="page">
                <wp:align>top</wp:align>
              </wp:positionV>
              <wp:extent cx="622300" cy="391160"/>
              <wp:effectExtent l="0" t="0" r="6350" b="8890"/>
              <wp:wrapNone/>
              <wp:docPr id="183302187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22300" cy="391160"/>
                      </a:xfrm>
                      <a:prstGeom prst="rect">
                        <a:avLst/>
                      </a:prstGeom>
                      <a:noFill/>
                      <a:ln>
                        <a:noFill/>
                      </a:ln>
                    </wps:spPr>
                    <wps:txbx>
                      <w:txbxContent>
                        <w:p w14:paraId="6518C6C9"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B315FF3" id="_x0000_t202" coordsize="21600,21600" o:spt="202" path="m,l,21600r21600,l21600,xe">
              <v:stroke joinstyle="miter"/>
              <v:path gradientshapeok="t" o:connecttype="rect"/>
            </v:shapetype>
            <v:shape id="Text Box 5" o:spid="_x0000_s1031" type="#_x0000_t202" alt="OFFICIAL" style="position:absolute;left:0;text-align:left;margin-left:0;margin-top:0;width:49pt;height:30.8pt;z-index:25165772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" filled="f" stroked="f">
              <v:textbox style="mso-fit-shape-to-text:t" inset="0,15pt,0,0">
                <w:txbxContent>
                  <w:p w14:paraId="6518C6C9" w14:textId="77777777" w:rsidR="00FD0841" w:rsidRPr="00FD0841" w:rsidRDefault="00FD0841" w:rsidP="00FD0841">
                    <w:pPr>
                      <w:spacing w:after="0"/>
                      <w:rPr>
                        <w:rFonts w:ascii="Aptos" w:eastAsia="Aptos" w:hAnsi="Aptos" w:cs="Aptos"/>
                        <w:noProof/>
                        <w:color w:val="FF0000"/>
                        <w:sz w:val="24"/>
                        <w:szCs w:val="24"/>
                      </w:rPr>
                    </w:pPr>
                    <w:r w:rsidRPr="00FD0841">
                      <w:rPr>
                        <w:rFonts w:ascii="Aptos" w:eastAsia="Aptos" w:hAnsi="Aptos" w:cs="Aptos"/>
                        <w:noProof/>
                        <w:color w:val="FF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7A3E"/>
    <w:multiLevelType w:val="hybridMultilevel"/>
    <w:tmpl w:val="B9A81880"/>
    <w:lvl w:ilvl="0" w:tplc="7444C0B6">
      <w:start w:val="1"/>
      <w:numFmt w:val="lowerLetter"/>
      <w:pStyle w:val="Legislation-list"/>
      <w:lvlText w:val="(%1)"/>
      <w:lvlJc w:val="left"/>
      <w:pPr>
        <w:ind w:left="720" w:hanging="360"/>
      </w:pPr>
      <w:rPr>
        <w:rFonts w:ascii="Arial" w:hAnsi="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4D3FEA"/>
    <w:multiLevelType w:val="hybridMultilevel"/>
    <w:tmpl w:val="11042040"/>
    <w:lvl w:ilvl="0" w:tplc="B5EA741C">
      <w:start w:val="1"/>
      <w:numFmt w:val="bullet"/>
      <w:pStyle w:val="ListParagraph"/>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8A0A85"/>
    <w:multiLevelType w:val="hybridMultilevel"/>
    <w:tmpl w:val="6D40CF04"/>
    <w:lvl w:ilvl="0" w:tplc="7E309AA8">
      <w:start w:val="1"/>
      <w:numFmt w:val="lowerLetter"/>
      <w:lvlText w:val="%1)"/>
      <w:lvlJc w:val="left"/>
      <w:pPr>
        <w:ind w:left="720" w:hanging="360"/>
      </w:pPr>
      <w:rPr>
        <w:rFonts w:hint="default"/>
        <w:color w:val="00B05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BC54977"/>
    <w:multiLevelType w:val="hybridMultilevel"/>
    <w:tmpl w:val="332A39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2F38C2"/>
    <w:multiLevelType w:val="hybridMultilevel"/>
    <w:tmpl w:val="4A5041A4"/>
    <w:lvl w:ilvl="0" w:tplc="6D582494">
      <w:start w:val="1"/>
      <w:numFmt w:val="lowerRoman"/>
      <w:lvlText w:val="(%1)"/>
      <w:lvlJc w:val="right"/>
      <w:pPr>
        <w:ind w:left="1800" w:hanging="360"/>
      </w:pPr>
      <w:rPr>
        <w:rFonts w:hint="default"/>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5" w15:restartNumberingAfterBreak="0">
    <w:nsid w:val="10053F11"/>
    <w:multiLevelType w:val="multilevel"/>
    <w:tmpl w:val="E58A81F0"/>
    <w:styleLink w:val="NumberBullet"/>
    <w:lvl w:ilvl="0">
      <w:start w:val="1"/>
      <w:numFmt w:val="decimal"/>
      <w:pStyle w:val="Numberbullet0"/>
      <w:lvlText w:val="%1."/>
      <w:lvlJc w:val="left"/>
      <w:pPr>
        <w:ind w:left="360" w:hanging="360"/>
      </w:pPr>
      <w:rPr>
        <w:rFonts w:ascii="Arial" w:hAnsi="Arial" w:hint="default"/>
      </w:rPr>
    </w:lvl>
    <w:lvl w:ilvl="1">
      <w:start w:val="1"/>
      <w:numFmt w:val="lowerLetter"/>
      <w:pStyle w:val="Numberbullet2"/>
      <w:lvlText w:val="%2."/>
      <w:lvlJc w:val="left"/>
      <w:pPr>
        <w:ind w:left="851" w:hanging="426"/>
      </w:pPr>
      <w:rPr>
        <w:rFonts w:hint="default"/>
      </w:rPr>
    </w:lvl>
    <w:lvl w:ilvl="2">
      <w:start w:val="1"/>
      <w:numFmt w:val="lowerRoman"/>
      <w:lvlText w:val="%3."/>
      <w:lvlJc w:val="left"/>
      <w:pPr>
        <w:ind w:left="1276" w:hanging="425"/>
      </w:pPr>
      <w:rPr>
        <w:rFonts w:hint="default"/>
      </w:rPr>
    </w:lvl>
    <w:lvl w:ilvl="3">
      <w:start w:val="1"/>
      <w:numFmt w:val="none"/>
      <w:lvlText w:val=""/>
      <w:lvlJc w:val="left"/>
      <w:pPr>
        <w:ind w:left="1276" w:hanging="425"/>
      </w:pPr>
      <w:rPr>
        <w:rFonts w:hint="default"/>
      </w:rPr>
    </w:lvl>
    <w:lvl w:ilvl="4">
      <w:start w:val="1"/>
      <w:numFmt w:val="none"/>
      <w:lvlText w:val=""/>
      <w:lvlJc w:val="left"/>
      <w:pPr>
        <w:ind w:left="1276" w:hanging="425"/>
      </w:pPr>
      <w:rPr>
        <w:rFonts w:hint="default"/>
      </w:rPr>
    </w:lvl>
    <w:lvl w:ilvl="5">
      <w:start w:val="1"/>
      <w:numFmt w:val="none"/>
      <w:lvlText w:val=""/>
      <w:lvlJc w:val="left"/>
      <w:pPr>
        <w:ind w:left="1276" w:hanging="425"/>
      </w:pPr>
      <w:rPr>
        <w:rFonts w:hint="default"/>
      </w:rPr>
    </w:lvl>
    <w:lvl w:ilvl="6">
      <w:start w:val="1"/>
      <w:numFmt w:val="none"/>
      <w:lvlText w:val="%7"/>
      <w:lvlJc w:val="left"/>
      <w:pPr>
        <w:ind w:left="1276" w:hanging="425"/>
      </w:pPr>
      <w:rPr>
        <w:rFonts w:hint="default"/>
      </w:rPr>
    </w:lvl>
    <w:lvl w:ilvl="7">
      <w:start w:val="1"/>
      <w:numFmt w:val="none"/>
      <w:lvlText w:val=""/>
      <w:lvlJc w:val="left"/>
      <w:pPr>
        <w:ind w:left="1276" w:hanging="425"/>
      </w:pPr>
      <w:rPr>
        <w:rFonts w:hint="default"/>
      </w:rPr>
    </w:lvl>
    <w:lvl w:ilvl="8">
      <w:start w:val="1"/>
      <w:numFmt w:val="none"/>
      <w:lvlText w:val=""/>
      <w:lvlJc w:val="left"/>
      <w:pPr>
        <w:ind w:left="1276" w:hanging="425"/>
      </w:pPr>
      <w:rPr>
        <w:rFonts w:hint="default"/>
      </w:rPr>
    </w:lvl>
  </w:abstractNum>
  <w:abstractNum w:abstractNumId="6" w15:restartNumberingAfterBreak="0">
    <w:nsid w:val="163F187C"/>
    <w:multiLevelType w:val="hybridMultilevel"/>
    <w:tmpl w:val="20409048"/>
    <w:lvl w:ilvl="0" w:tplc="669A989C">
      <w:start w:val="4"/>
      <w:numFmt w:val="bullet"/>
      <w:pStyle w:val="ListBullet3"/>
      <w:lvlText w:val="▪"/>
      <w:lvlJc w:val="left"/>
      <w:pPr>
        <w:ind w:left="1571" w:hanging="360"/>
      </w:pPr>
      <w:rPr>
        <w:rFonts w:ascii="Arial" w:eastAsia="Cambria" w:hAnsi="Arial"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7" w15:restartNumberingAfterBreak="0">
    <w:nsid w:val="168F13E9"/>
    <w:multiLevelType w:val="multilevel"/>
    <w:tmpl w:val="D5187778"/>
    <w:styleLink w:val="ListBullets"/>
    <w:lvl w:ilvl="0">
      <w:start w:val="4"/>
      <w:numFmt w:val="bullet"/>
      <w:pStyle w:val="ListBullet"/>
      <w:lvlText w:val="•"/>
      <w:lvlJc w:val="left"/>
      <w:pPr>
        <w:ind w:left="360" w:hanging="360"/>
      </w:pPr>
      <w:rPr>
        <w:rFonts w:ascii="Cambria" w:eastAsia="Cambria" w:hAnsi="Cambria" w:hint="default"/>
      </w:rPr>
    </w:lvl>
    <w:lvl w:ilvl="1">
      <w:start w:val="1"/>
      <w:numFmt w:val="bullet"/>
      <w:pStyle w:val="ListBullet2"/>
      <w:lvlText w:val="–"/>
      <w:lvlJc w:val="left"/>
      <w:pPr>
        <w:ind w:left="720" w:hanging="360"/>
      </w:pPr>
      <w:rPr>
        <w:rFonts w:ascii="Arial" w:hAnsi="Arial" w:hint="default"/>
      </w:rPr>
    </w:lvl>
    <w:lvl w:ilvl="2">
      <w:start w:val="1"/>
      <w:numFmt w:val="bullet"/>
      <w:lvlText w:val=""/>
      <w:lvlJc w:val="left"/>
      <w:pPr>
        <w:ind w:left="1080" w:hanging="360"/>
      </w:pPr>
      <w:rPr>
        <w:rFonts w:ascii="Wingdings" w:hAnsi="Wingding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15:restartNumberingAfterBreak="0">
    <w:nsid w:val="1ABD74D0"/>
    <w:multiLevelType w:val="hybridMultilevel"/>
    <w:tmpl w:val="E21604BA"/>
    <w:lvl w:ilvl="0" w:tplc="FFFFFFFF">
      <w:start w:val="1"/>
      <w:numFmt w:val="lowerRoman"/>
      <w:pStyle w:val="ListBulleti"/>
      <w:lvlText w:val="%1)"/>
      <w:lvlJc w:val="left"/>
      <w:pPr>
        <w:ind w:left="1800" w:hanging="360"/>
      </w:p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9" w15:restartNumberingAfterBreak="0">
    <w:nsid w:val="29032039"/>
    <w:multiLevelType w:val="hybridMultilevel"/>
    <w:tmpl w:val="3DD8DD10"/>
    <w:lvl w:ilvl="0" w:tplc="FFFFFFFF">
      <w:start w:val="1"/>
      <w:numFmt w:val="lowerLetter"/>
      <w:lvlText w:val="%1)"/>
      <w:lvlJc w:val="left"/>
      <w:pPr>
        <w:ind w:left="1146" w:hanging="360"/>
      </w:pPr>
      <w:rPr>
        <w:color w:val="00B050"/>
      </w:rPr>
    </w:lvl>
    <w:lvl w:ilvl="1" w:tplc="0C09001B">
      <w:start w:val="1"/>
      <w:numFmt w:val="lowerRoman"/>
      <w:lvlText w:val="%2."/>
      <w:lvlJc w:val="righ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0" w15:restartNumberingAfterBreak="0">
    <w:nsid w:val="2E924211"/>
    <w:multiLevelType w:val="hybridMultilevel"/>
    <w:tmpl w:val="25266AF2"/>
    <w:lvl w:ilvl="0" w:tplc="FFFFFFFF">
      <w:start w:val="1"/>
      <w:numFmt w:val="lowerLetter"/>
      <w:lvlText w:val="%1)"/>
      <w:lvlJc w:val="left"/>
      <w:pPr>
        <w:ind w:left="1146" w:hanging="360"/>
      </w:pPr>
      <w:rPr>
        <w:color w:val="00B050"/>
      </w:rPr>
    </w:lvl>
    <w:lvl w:ilvl="1" w:tplc="0C090019">
      <w:start w:val="1"/>
      <w:numFmt w:val="lowerLetter"/>
      <w:lvlText w:val="%2."/>
      <w:lvlJc w:val="left"/>
      <w:pPr>
        <w:ind w:left="1866" w:hanging="360"/>
      </w:pPr>
    </w:lvl>
    <w:lvl w:ilvl="2" w:tplc="0C09001B" w:tentative="1">
      <w:start w:val="1"/>
      <w:numFmt w:val="lowerRoman"/>
      <w:lvlText w:val="%3."/>
      <w:lvlJc w:val="right"/>
      <w:pPr>
        <w:ind w:left="2586" w:hanging="180"/>
      </w:pPr>
    </w:lvl>
    <w:lvl w:ilvl="3" w:tplc="0C09000F" w:tentative="1">
      <w:start w:val="1"/>
      <w:numFmt w:val="decimal"/>
      <w:lvlText w:val="%4."/>
      <w:lvlJc w:val="left"/>
      <w:pPr>
        <w:ind w:left="3306" w:hanging="360"/>
      </w:pPr>
    </w:lvl>
    <w:lvl w:ilvl="4" w:tplc="0C090019" w:tentative="1">
      <w:start w:val="1"/>
      <w:numFmt w:val="lowerLetter"/>
      <w:lvlText w:val="%5."/>
      <w:lvlJc w:val="left"/>
      <w:pPr>
        <w:ind w:left="4026" w:hanging="360"/>
      </w:pPr>
    </w:lvl>
    <w:lvl w:ilvl="5" w:tplc="0C09001B" w:tentative="1">
      <w:start w:val="1"/>
      <w:numFmt w:val="lowerRoman"/>
      <w:lvlText w:val="%6."/>
      <w:lvlJc w:val="right"/>
      <w:pPr>
        <w:ind w:left="4746" w:hanging="180"/>
      </w:pPr>
    </w:lvl>
    <w:lvl w:ilvl="6" w:tplc="0C09000F" w:tentative="1">
      <w:start w:val="1"/>
      <w:numFmt w:val="decimal"/>
      <w:lvlText w:val="%7."/>
      <w:lvlJc w:val="left"/>
      <w:pPr>
        <w:ind w:left="5466" w:hanging="360"/>
      </w:pPr>
    </w:lvl>
    <w:lvl w:ilvl="7" w:tplc="0C090019" w:tentative="1">
      <w:start w:val="1"/>
      <w:numFmt w:val="lowerLetter"/>
      <w:lvlText w:val="%8."/>
      <w:lvlJc w:val="left"/>
      <w:pPr>
        <w:ind w:left="6186" w:hanging="360"/>
      </w:pPr>
    </w:lvl>
    <w:lvl w:ilvl="8" w:tplc="0C09001B" w:tentative="1">
      <w:start w:val="1"/>
      <w:numFmt w:val="lowerRoman"/>
      <w:lvlText w:val="%9."/>
      <w:lvlJc w:val="right"/>
      <w:pPr>
        <w:ind w:left="6906" w:hanging="180"/>
      </w:pPr>
    </w:lvl>
  </w:abstractNum>
  <w:abstractNum w:abstractNumId="11" w15:restartNumberingAfterBreak="0">
    <w:nsid w:val="30921C10"/>
    <w:multiLevelType w:val="hybridMultilevel"/>
    <w:tmpl w:val="ABF4243C"/>
    <w:lvl w:ilvl="0" w:tplc="8000F866">
      <w:start w:val="1"/>
      <w:numFmt w:val="bullet"/>
      <w:lvlText w:val=""/>
      <w:lvlJc w:val="left"/>
      <w:pPr>
        <w:ind w:left="720" w:hanging="360"/>
      </w:pPr>
      <w:rPr>
        <w:rFonts w:ascii="Symbol" w:hAnsi="Symbol"/>
      </w:rPr>
    </w:lvl>
    <w:lvl w:ilvl="1" w:tplc="ED626854">
      <w:start w:val="1"/>
      <w:numFmt w:val="bullet"/>
      <w:lvlText w:val=""/>
      <w:lvlJc w:val="left"/>
      <w:pPr>
        <w:ind w:left="720" w:hanging="360"/>
      </w:pPr>
      <w:rPr>
        <w:rFonts w:ascii="Symbol" w:hAnsi="Symbol"/>
      </w:rPr>
    </w:lvl>
    <w:lvl w:ilvl="2" w:tplc="BEF675D2">
      <w:start w:val="1"/>
      <w:numFmt w:val="bullet"/>
      <w:lvlText w:val=""/>
      <w:lvlJc w:val="left"/>
      <w:pPr>
        <w:ind w:left="720" w:hanging="360"/>
      </w:pPr>
      <w:rPr>
        <w:rFonts w:ascii="Symbol" w:hAnsi="Symbol"/>
      </w:rPr>
    </w:lvl>
    <w:lvl w:ilvl="3" w:tplc="86E69764">
      <w:start w:val="1"/>
      <w:numFmt w:val="bullet"/>
      <w:lvlText w:val=""/>
      <w:lvlJc w:val="left"/>
      <w:pPr>
        <w:ind w:left="720" w:hanging="360"/>
      </w:pPr>
      <w:rPr>
        <w:rFonts w:ascii="Symbol" w:hAnsi="Symbol"/>
      </w:rPr>
    </w:lvl>
    <w:lvl w:ilvl="4" w:tplc="3EF46C78">
      <w:start w:val="1"/>
      <w:numFmt w:val="bullet"/>
      <w:lvlText w:val=""/>
      <w:lvlJc w:val="left"/>
      <w:pPr>
        <w:ind w:left="720" w:hanging="360"/>
      </w:pPr>
      <w:rPr>
        <w:rFonts w:ascii="Symbol" w:hAnsi="Symbol"/>
      </w:rPr>
    </w:lvl>
    <w:lvl w:ilvl="5" w:tplc="AC32A850">
      <w:start w:val="1"/>
      <w:numFmt w:val="bullet"/>
      <w:lvlText w:val=""/>
      <w:lvlJc w:val="left"/>
      <w:pPr>
        <w:ind w:left="720" w:hanging="360"/>
      </w:pPr>
      <w:rPr>
        <w:rFonts w:ascii="Symbol" w:hAnsi="Symbol"/>
      </w:rPr>
    </w:lvl>
    <w:lvl w:ilvl="6" w:tplc="70D89BBC">
      <w:start w:val="1"/>
      <w:numFmt w:val="bullet"/>
      <w:lvlText w:val=""/>
      <w:lvlJc w:val="left"/>
      <w:pPr>
        <w:ind w:left="720" w:hanging="360"/>
      </w:pPr>
      <w:rPr>
        <w:rFonts w:ascii="Symbol" w:hAnsi="Symbol"/>
      </w:rPr>
    </w:lvl>
    <w:lvl w:ilvl="7" w:tplc="F1B2D838">
      <w:start w:val="1"/>
      <w:numFmt w:val="bullet"/>
      <w:lvlText w:val=""/>
      <w:lvlJc w:val="left"/>
      <w:pPr>
        <w:ind w:left="720" w:hanging="360"/>
      </w:pPr>
      <w:rPr>
        <w:rFonts w:ascii="Symbol" w:hAnsi="Symbol"/>
      </w:rPr>
    </w:lvl>
    <w:lvl w:ilvl="8" w:tplc="8B025F4A">
      <w:start w:val="1"/>
      <w:numFmt w:val="bullet"/>
      <w:lvlText w:val=""/>
      <w:lvlJc w:val="left"/>
      <w:pPr>
        <w:ind w:left="720" w:hanging="360"/>
      </w:pPr>
      <w:rPr>
        <w:rFonts w:ascii="Symbol" w:hAnsi="Symbol"/>
      </w:rPr>
    </w:lvl>
  </w:abstractNum>
  <w:abstractNum w:abstractNumId="12" w15:restartNumberingAfterBreak="0">
    <w:nsid w:val="334E64D9"/>
    <w:multiLevelType w:val="hybridMultilevel"/>
    <w:tmpl w:val="3FA4FFB0"/>
    <w:lvl w:ilvl="0" w:tplc="C8E45002">
      <w:start w:val="1"/>
      <w:numFmt w:val="bullet"/>
      <w:lvlText w:val=""/>
      <w:lvlJc w:val="left"/>
      <w:pPr>
        <w:ind w:left="720" w:hanging="360"/>
      </w:pPr>
      <w:rPr>
        <w:rFonts w:ascii="Symbol" w:hAnsi="Symbol"/>
      </w:rPr>
    </w:lvl>
    <w:lvl w:ilvl="1" w:tplc="EA0EC7BA">
      <w:start w:val="1"/>
      <w:numFmt w:val="bullet"/>
      <w:lvlText w:val=""/>
      <w:lvlJc w:val="left"/>
      <w:pPr>
        <w:ind w:left="720" w:hanging="360"/>
      </w:pPr>
      <w:rPr>
        <w:rFonts w:ascii="Symbol" w:hAnsi="Symbol"/>
      </w:rPr>
    </w:lvl>
    <w:lvl w:ilvl="2" w:tplc="A09C2202">
      <w:start w:val="1"/>
      <w:numFmt w:val="bullet"/>
      <w:lvlText w:val=""/>
      <w:lvlJc w:val="left"/>
      <w:pPr>
        <w:ind w:left="720" w:hanging="360"/>
      </w:pPr>
      <w:rPr>
        <w:rFonts w:ascii="Symbol" w:hAnsi="Symbol"/>
      </w:rPr>
    </w:lvl>
    <w:lvl w:ilvl="3" w:tplc="223E20CA">
      <w:start w:val="1"/>
      <w:numFmt w:val="bullet"/>
      <w:lvlText w:val=""/>
      <w:lvlJc w:val="left"/>
      <w:pPr>
        <w:ind w:left="720" w:hanging="360"/>
      </w:pPr>
      <w:rPr>
        <w:rFonts w:ascii="Symbol" w:hAnsi="Symbol"/>
      </w:rPr>
    </w:lvl>
    <w:lvl w:ilvl="4" w:tplc="46E8BC8A">
      <w:start w:val="1"/>
      <w:numFmt w:val="bullet"/>
      <w:lvlText w:val=""/>
      <w:lvlJc w:val="left"/>
      <w:pPr>
        <w:ind w:left="720" w:hanging="360"/>
      </w:pPr>
      <w:rPr>
        <w:rFonts w:ascii="Symbol" w:hAnsi="Symbol"/>
      </w:rPr>
    </w:lvl>
    <w:lvl w:ilvl="5" w:tplc="9AB0E1E8">
      <w:start w:val="1"/>
      <w:numFmt w:val="bullet"/>
      <w:lvlText w:val=""/>
      <w:lvlJc w:val="left"/>
      <w:pPr>
        <w:ind w:left="720" w:hanging="360"/>
      </w:pPr>
      <w:rPr>
        <w:rFonts w:ascii="Symbol" w:hAnsi="Symbol"/>
      </w:rPr>
    </w:lvl>
    <w:lvl w:ilvl="6" w:tplc="3830F67A">
      <w:start w:val="1"/>
      <w:numFmt w:val="bullet"/>
      <w:lvlText w:val=""/>
      <w:lvlJc w:val="left"/>
      <w:pPr>
        <w:ind w:left="720" w:hanging="360"/>
      </w:pPr>
      <w:rPr>
        <w:rFonts w:ascii="Symbol" w:hAnsi="Symbol"/>
      </w:rPr>
    </w:lvl>
    <w:lvl w:ilvl="7" w:tplc="3410DB5E">
      <w:start w:val="1"/>
      <w:numFmt w:val="bullet"/>
      <w:lvlText w:val=""/>
      <w:lvlJc w:val="left"/>
      <w:pPr>
        <w:ind w:left="720" w:hanging="360"/>
      </w:pPr>
      <w:rPr>
        <w:rFonts w:ascii="Symbol" w:hAnsi="Symbol"/>
      </w:rPr>
    </w:lvl>
    <w:lvl w:ilvl="8" w:tplc="5ED20668">
      <w:start w:val="1"/>
      <w:numFmt w:val="bullet"/>
      <w:lvlText w:val=""/>
      <w:lvlJc w:val="left"/>
      <w:pPr>
        <w:ind w:left="720" w:hanging="360"/>
      </w:pPr>
      <w:rPr>
        <w:rFonts w:ascii="Symbol" w:hAnsi="Symbol"/>
      </w:rPr>
    </w:lvl>
  </w:abstractNum>
  <w:abstractNum w:abstractNumId="13" w15:restartNumberingAfterBreak="0">
    <w:nsid w:val="38071C1C"/>
    <w:multiLevelType w:val="hybridMultilevel"/>
    <w:tmpl w:val="10CE17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85D16DB"/>
    <w:multiLevelType w:val="hybridMultilevel"/>
    <w:tmpl w:val="02D87574"/>
    <w:lvl w:ilvl="0" w:tplc="4378DFB4">
      <w:start w:val="1"/>
      <w:numFmt w:val="bullet"/>
      <w:lvlText w:val=""/>
      <w:lvlJc w:val="left"/>
      <w:pPr>
        <w:ind w:left="720" w:hanging="360"/>
      </w:pPr>
      <w:rPr>
        <w:rFonts w:ascii="Symbol" w:hAnsi="Symbol"/>
      </w:rPr>
    </w:lvl>
    <w:lvl w:ilvl="1" w:tplc="84A05C42">
      <w:start w:val="1"/>
      <w:numFmt w:val="bullet"/>
      <w:lvlText w:val=""/>
      <w:lvlJc w:val="left"/>
      <w:pPr>
        <w:ind w:left="720" w:hanging="360"/>
      </w:pPr>
      <w:rPr>
        <w:rFonts w:ascii="Symbol" w:hAnsi="Symbol"/>
      </w:rPr>
    </w:lvl>
    <w:lvl w:ilvl="2" w:tplc="A9AA5F92">
      <w:start w:val="1"/>
      <w:numFmt w:val="bullet"/>
      <w:lvlText w:val=""/>
      <w:lvlJc w:val="left"/>
      <w:pPr>
        <w:ind w:left="720" w:hanging="360"/>
      </w:pPr>
      <w:rPr>
        <w:rFonts w:ascii="Symbol" w:hAnsi="Symbol"/>
      </w:rPr>
    </w:lvl>
    <w:lvl w:ilvl="3" w:tplc="CBE24A28">
      <w:start w:val="1"/>
      <w:numFmt w:val="bullet"/>
      <w:lvlText w:val=""/>
      <w:lvlJc w:val="left"/>
      <w:pPr>
        <w:ind w:left="720" w:hanging="360"/>
      </w:pPr>
      <w:rPr>
        <w:rFonts w:ascii="Symbol" w:hAnsi="Symbol"/>
      </w:rPr>
    </w:lvl>
    <w:lvl w:ilvl="4" w:tplc="5BA89CBC">
      <w:start w:val="1"/>
      <w:numFmt w:val="bullet"/>
      <w:lvlText w:val=""/>
      <w:lvlJc w:val="left"/>
      <w:pPr>
        <w:ind w:left="720" w:hanging="360"/>
      </w:pPr>
      <w:rPr>
        <w:rFonts w:ascii="Symbol" w:hAnsi="Symbol"/>
      </w:rPr>
    </w:lvl>
    <w:lvl w:ilvl="5" w:tplc="89F88398">
      <w:start w:val="1"/>
      <w:numFmt w:val="bullet"/>
      <w:lvlText w:val=""/>
      <w:lvlJc w:val="left"/>
      <w:pPr>
        <w:ind w:left="720" w:hanging="360"/>
      </w:pPr>
      <w:rPr>
        <w:rFonts w:ascii="Symbol" w:hAnsi="Symbol"/>
      </w:rPr>
    </w:lvl>
    <w:lvl w:ilvl="6" w:tplc="F7C4AA64">
      <w:start w:val="1"/>
      <w:numFmt w:val="bullet"/>
      <w:lvlText w:val=""/>
      <w:lvlJc w:val="left"/>
      <w:pPr>
        <w:ind w:left="720" w:hanging="360"/>
      </w:pPr>
      <w:rPr>
        <w:rFonts w:ascii="Symbol" w:hAnsi="Symbol"/>
      </w:rPr>
    </w:lvl>
    <w:lvl w:ilvl="7" w:tplc="4270517E">
      <w:start w:val="1"/>
      <w:numFmt w:val="bullet"/>
      <w:lvlText w:val=""/>
      <w:lvlJc w:val="left"/>
      <w:pPr>
        <w:ind w:left="720" w:hanging="360"/>
      </w:pPr>
      <w:rPr>
        <w:rFonts w:ascii="Symbol" w:hAnsi="Symbol"/>
      </w:rPr>
    </w:lvl>
    <w:lvl w:ilvl="8" w:tplc="C2909C94">
      <w:start w:val="1"/>
      <w:numFmt w:val="bullet"/>
      <w:lvlText w:val=""/>
      <w:lvlJc w:val="left"/>
      <w:pPr>
        <w:ind w:left="720" w:hanging="360"/>
      </w:pPr>
      <w:rPr>
        <w:rFonts w:ascii="Symbol" w:hAnsi="Symbol"/>
      </w:rPr>
    </w:lvl>
  </w:abstractNum>
  <w:abstractNum w:abstractNumId="15" w15:restartNumberingAfterBreak="0">
    <w:nsid w:val="477B74C4"/>
    <w:multiLevelType w:val="hybridMultilevel"/>
    <w:tmpl w:val="A9747058"/>
    <w:lvl w:ilvl="0" w:tplc="6DDE3DDA">
      <w:start w:val="1"/>
      <w:numFmt w:val="bullet"/>
      <w:lvlText w:val=""/>
      <w:lvlJc w:val="left"/>
      <w:pPr>
        <w:ind w:left="720" w:hanging="360"/>
      </w:pPr>
      <w:rPr>
        <w:rFonts w:ascii="Symbol" w:hAnsi="Symbol"/>
      </w:rPr>
    </w:lvl>
    <w:lvl w:ilvl="1" w:tplc="34E6DF92">
      <w:start w:val="1"/>
      <w:numFmt w:val="bullet"/>
      <w:lvlText w:val=""/>
      <w:lvlJc w:val="left"/>
      <w:pPr>
        <w:ind w:left="720" w:hanging="360"/>
      </w:pPr>
      <w:rPr>
        <w:rFonts w:ascii="Symbol" w:hAnsi="Symbol"/>
      </w:rPr>
    </w:lvl>
    <w:lvl w:ilvl="2" w:tplc="84345E84">
      <w:start w:val="1"/>
      <w:numFmt w:val="bullet"/>
      <w:lvlText w:val=""/>
      <w:lvlJc w:val="left"/>
      <w:pPr>
        <w:ind w:left="720" w:hanging="360"/>
      </w:pPr>
      <w:rPr>
        <w:rFonts w:ascii="Symbol" w:hAnsi="Symbol"/>
      </w:rPr>
    </w:lvl>
    <w:lvl w:ilvl="3" w:tplc="841CCA38">
      <w:start w:val="1"/>
      <w:numFmt w:val="bullet"/>
      <w:lvlText w:val=""/>
      <w:lvlJc w:val="left"/>
      <w:pPr>
        <w:ind w:left="720" w:hanging="360"/>
      </w:pPr>
      <w:rPr>
        <w:rFonts w:ascii="Symbol" w:hAnsi="Symbol"/>
      </w:rPr>
    </w:lvl>
    <w:lvl w:ilvl="4" w:tplc="7B304300">
      <w:start w:val="1"/>
      <w:numFmt w:val="bullet"/>
      <w:lvlText w:val=""/>
      <w:lvlJc w:val="left"/>
      <w:pPr>
        <w:ind w:left="720" w:hanging="360"/>
      </w:pPr>
      <w:rPr>
        <w:rFonts w:ascii="Symbol" w:hAnsi="Symbol"/>
      </w:rPr>
    </w:lvl>
    <w:lvl w:ilvl="5" w:tplc="E684FC36">
      <w:start w:val="1"/>
      <w:numFmt w:val="bullet"/>
      <w:lvlText w:val=""/>
      <w:lvlJc w:val="left"/>
      <w:pPr>
        <w:ind w:left="720" w:hanging="360"/>
      </w:pPr>
      <w:rPr>
        <w:rFonts w:ascii="Symbol" w:hAnsi="Symbol"/>
      </w:rPr>
    </w:lvl>
    <w:lvl w:ilvl="6" w:tplc="35A8C34A">
      <w:start w:val="1"/>
      <w:numFmt w:val="bullet"/>
      <w:lvlText w:val=""/>
      <w:lvlJc w:val="left"/>
      <w:pPr>
        <w:ind w:left="720" w:hanging="360"/>
      </w:pPr>
      <w:rPr>
        <w:rFonts w:ascii="Symbol" w:hAnsi="Symbol"/>
      </w:rPr>
    </w:lvl>
    <w:lvl w:ilvl="7" w:tplc="7C286F6E">
      <w:start w:val="1"/>
      <w:numFmt w:val="bullet"/>
      <w:lvlText w:val=""/>
      <w:lvlJc w:val="left"/>
      <w:pPr>
        <w:ind w:left="720" w:hanging="360"/>
      </w:pPr>
      <w:rPr>
        <w:rFonts w:ascii="Symbol" w:hAnsi="Symbol"/>
      </w:rPr>
    </w:lvl>
    <w:lvl w:ilvl="8" w:tplc="466CF45C">
      <w:start w:val="1"/>
      <w:numFmt w:val="bullet"/>
      <w:lvlText w:val=""/>
      <w:lvlJc w:val="left"/>
      <w:pPr>
        <w:ind w:left="720" w:hanging="360"/>
      </w:pPr>
      <w:rPr>
        <w:rFonts w:ascii="Symbol" w:hAnsi="Symbol"/>
      </w:rPr>
    </w:lvl>
  </w:abstractNum>
  <w:abstractNum w:abstractNumId="16" w15:restartNumberingAfterBreak="0">
    <w:nsid w:val="50336B0D"/>
    <w:multiLevelType w:val="hybridMultilevel"/>
    <w:tmpl w:val="5D54CD1A"/>
    <w:lvl w:ilvl="0" w:tplc="4EDE096A">
      <w:start w:val="1"/>
      <w:numFmt w:val="lowerRoman"/>
      <w:pStyle w:val="Numberbullet3"/>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E3F6CAE"/>
    <w:multiLevelType w:val="hybridMultilevel"/>
    <w:tmpl w:val="453209AA"/>
    <w:lvl w:ilvl="0" w:tplc="E592980A">
      <w:start w:val="4"/>
      <w:numFmt w:val="bullet"/>
      <w:lvlText w:val="-"/>
      <w:lvlJc w:val="left"/>
      <w:pPr>
        <w:ind w:left="720" w:hanging="360"/>
      </w:pPr>
      <w:rPr>
        <w:rFonts w:ascii="Cambria" w:eastAsia="Times New Roman" w:hAnsi="Cambria"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6ED5E0E"/>
    <w:multiLevelType w:val="multilevel"/>
    <w:tmpl w:val="48A8DE82"/>
    <w:lvl w:ilvl="0">
      <w:numFmt w:val="bullet"/>
      <w:lvlText w:val="•"/>
      <w:lvlJc w:val="left"/>
      <w:pPr>
        <w:ind w:left="720" w:hanging="360"/>
      </w:pPr>
      <w:rPr>
        <w:rFonts w:ascii="Arial" w:eastAsiaTheme="minorHAnsi" w:hAnsi="Arial" w:cs="Aria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0">
    <w:nsid w:val="6ADF0E41"/>
    <w:multiLevelType w:val="hybridMultilevel"/>
    <w:tmpl w:val="6AE8A82C"/>
    <w:lvl w:ilvl="0" w:tplc="21C25572">
      <w:start w:val="1"/>
      <w:numFmt w:val="lowerLetter"/>
      <w:lvlText w:val="%1)"/>
      <w:lvlJc w:val="left"/>
      <w:pPr>
        <w:ind w:left="1146" w:hanging="360"/>
      </w:pPr>
    </w:lvl>
    <w:lvl w:ilvl="1" w:tplc="4A74AF64">
      <w:start w:val="1"/>
      <w:numFmt w:val="lowerLetter"/>
      <w:lvlText w:val="%2."/>
      <w:lvlJc w:val="left"/>
      <w:pPr>
        <w:ind w:left="1866" w:hanging="360"/>
      </w:pPr>
    </w:lvl>
    <w:lvl w:ilvl="2" w:tplc="277C1982">
      <w:start w:val="1"/>
      <w:numFmt w:val="lowerRoman"/>
      <w:lvlText w:val="%3."/>
      <w:lvlJc w:val="right"/>
      <w:pPr>
        <w:ind w:left="2586" w:hanging="180"/>
      </w:pPr>
    </w:lvl>
    <w:lvl w:ilvl="3" w:tplc="EAC66588">
      <w:start w:val="1"/>
      <w:numFmt w:val="decimal"/>
      <w:lvlText w:val="%4."/>
      <w:lvlJc w:val="left"/>
      <w:pPr>
        <w:ind w:left="3306" w:hanging="360"/>
      </w:pPr>
    </w:lvl>
    <w:lvl w:ilvl="4" w:tplc="ACBC18B6">
      <w:start w:val="1"/>
      <w:numFmt w:val="lowerLetter"/>
      <w:lvlText w:val="%5."/>
      <w:lvlJc w:val="left"/>
      <w:pPr>
        <w:ind w:left="4026" w:hanging="360"/>
      </w:pPr>
    </w:lvl>
    <w:lvl w:ilvl="5" w:tplc="5B2039A8">
      <w:start w:val="1"/>
      <w:numFmt w:val="lowerRoman"/>
      <w:lvlText w:val="%6."/>
      <w:lvlJc w:val="right"/>
      <w:pPr>
        <w:ind w:left="4746" w:hanging="180"/>
      </w:pPr>
    </w:lvl>
    <w:lvl w:ilvl="6" w:tplc="63BA49E0">
      <w:start w:val="1"/>
      <w:numFmt w:val="decimal"/>
      <w:lvlText w:val="%7."/>
      <w:lvlJc w:val="left"/>
      <w:pPr>
        <w:ind w:left="5466" w:hanging="360"/>
      </w:pPr>
    </w:lvl>
    <w:lvl w:ilvl="7" w:tplc="999809AA">
      <w:start w:val="1"/>
      <w:numFmt w:val="lowerLetter"/>
      <w:lvlText w:val="%8."/>
      <w:lvlJc w:val="left"/>
      <w:pPr>
        <w:ind w:left="6186" w:hanging="360"/>
      </w:pPr>
    </w:lvl>
    <w:lvl w:ilvl="8" w:tplc="383E0BD6">
      <w:start w:val="1"/>
      <w:numFmt w:val="lowerRoman"/>
      <w:lvlText w:val="%9."/>
      <w:lvlJc w:val="right"/>
      <w:pPr>
        <w:ind w:left="6906" w:hanging="180"/>
      </w:pPr>
    </w:lvl>
  </w:abstractNum>
  <w:abstractNum w:abstractNumId="20" w15:restartNumberingAfterBreak="0">
    <w:nsid w:val="768E00A6"/>
    <w:multiLevelType w:val="hybridMultilevel"/>
    <w:tmpl w:val="83C6DC72"/>
    <w:lvl w:ilvl="0" w:tplc="B62C2D28">
      <w:start w:val="1"/>
      <w:numFmt w:val="lowerLetter"/>
      <w:pStyle w:val="ListBulleta"/>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16cid:durableId="1003971488">
    <w:abstractNumId w:val="19"/>
  </w:num>
  <w:num w:numId="2" w16cid:durableId="66651442">
    <w:abstractNumId w:val="5"/>
  </w:num>
  <w:num w:numId="3" w16cid:durableId="429472673">
    <w:abstractNumId w:val="10"/>
  </w:num>
  <w:num w:numId="4" w16cid:durableId="1326128148">
    <w:abstractNumId w:val="8"/>
  </w:num>
  <w:num w:numId="5" w16cid:durableId="332490756">
    <w:abstractNumId w:val="7"/>
  </w:num>
  <w:num w:numId="6" w16cid:durableId="942761491">
    <w:abstractNumId w:val="0"/>
  </w:num>
  <w:num w:numId="7" w16cid:durableId="417361770">
    <w:abstractNumId w:val="6"/>
  </w:num>
  <w:num w:numId="8" w16cid:durableId="587933413">
    <w:abstractNumId w:val="7"/>
  </w:num>
  <w:num w:numId="9" w16cid:durableId="1693071593">
    <w:abstractNumId w:val="16"/>
  </w:num>
  <w:num w:numId="10" w16cid:durableId="1862011606">
    <w:abstractNumId w:val="5"/>
  </w:num>
  <w:num w:numId="11" w16cid:durableId="29886128">
    <w:abstractNumId w:val="12"/>
  </w:num>
  <w:num w:numId="12" w16cid:durableId="394278283">
    <w:abstractNumId w:val="15"/>
  </w:num>
  <w:num w:numId="13" w16cid:durableId="209191320">
    <w:abstractNumId w:val="11"/>
  </w:num>
  <w:num w:numId="14" w16cid:durableId="886339651">
    <w:abstractNumId w:val="14"/>
  </w:num>
  <w:num w:numId="15" w16cid:durableId="1458644960">
    <w:abstractNumId w:val="1"/>
  </w:num>
  <w:num w:numId="16" w16cid:durableId="915670438">
    <w:abstractNumId w:val="8"/>
  </w:num>
  <w:num w:numId="17" w16cid:durableId="510069043">
    <w:abstractNumId w:val="10"/>
  </w:num>
  <w:num w:numId="18" w16cid:durableId="773401793">
    <w:abstractNumId w:val="8"/>
  </w:num>
  <w:num w:numId="19" w16cid:durableId="48460219">
    <w:abstractNumId w:val="10"/>
  </w:num>
  <w:num w:numId="20" w16cid:durableId="197855932">
    <w:abstractNumId w:val="18"/>
  </w:num>
  <w:num w:numId="21" w16cid:durableId="1435518871">
    <w:abstractNumId w:val="9"/>
  </w:num>
  <w:num w:numId="22" w16cid:durableId="595332516">
    <w:abstractNumId w:val="3"/>
  </w:num>
  <w:num w:numId="23" w16cid:durableId="231702028">
    <w:abstractNumId w:val="7"/>
  </w:num>
  <w:num w:numId="24" w16cid:durableId="1042051857">
    <w:abstractNumId w:val="1"/>
  </w:num>
  <w:num w:numId="25" w16cid:durableId="1602569249">
    <w:abstractNumId w:val="17"/>
  </w:num>
  <w:num w:numId="26" w16cid:durableId="1757748243">
    <w:abstractNumId w:val="13"/>
  </w:num>
  <w:num w:numId="27" w16cid:durableId="1202595163">
    <w:abstractNumId w:val="2"/>
  </w:num>
  <w:num w:numId="28" w16cid:durableId="2035182365">
    <w:abstractNumId w:val="4"/>
  </w:num>
  <w:num w:numId="29" w16cid:durableId="54865752">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673"/>
    <w:rsid w:val="0000039B"/>
    <w:rsid w:val="00000E5C"/>
    <w:rsid w:val="000022E7"/>
    <w:rsid w:val="0000309E"/>
    <w:rsid w:val="000104A1"/>
    <w:rsid w:val="000121CA"/>
    <w:rsid w:val="0001396D"/>
    <w:rsid w:val="00013F18"/>
    <w:rsid w:val="00014655"/>
    <w:rsid w:val="000152E8"/>
    <w:rsid w:val="000164C3"/>
    <w:rsid w:val="00016CF6"/>
    <w:rsid w:val="00017820"/>
    <w:rsid w:val="00017C65"/>
    <w:rsid w:val="00017D67"/>
    <w:rsid w:val="000204FF"/>
    <w:rsid w:val="000205FE"/>
    <w:rsid w:val="00021B0C"/>
    <w:rsid w:val="0002224F"/>
    <w:rsid w:val="00022937"/>
    <w:rsid w:val="00023E8D"/>
    <w:rsid w:val="00027EFE"/>
    <w:rsid w:val="00027F0A"/>
    <w:rsid w:val="000318EB"/>
    <w:rsid w:val="00031B5A"/>
    <w:rsid w:val="00034482"/>
    <w:rsid w:val="0003576F"/>
    <w:rsid w:val="00040D5E"/>
    <w:rsid w:val="00041A80"/>
    <w:rsid w:val="0004500D"/>
    <w:rsid w:val="0004688A"/>
    <w:rsid w:val="000468B2"/>
    <w:rsid w:val="00046C44"/>
    <w:rsid w:val="0005078A"/>
    <w:rsid w:val="00050F8C"/>
    <w:rsid w:val="0005292F"/>
    <w:rsid w:val="00053BB7"/>
    <w:rsid w:val="00054F87"/>
    <w:rsid w:val="0005536D"/>
    <w:rsid w:val="00055660"/>
    <w:rsid w:val="00056516"/>
    <w:rsid w:val="00057118"/>
    <w:rsid w:val="00057C3E"/>
    <w:rsid w:val="000621E7"/>
    <w:rsid w:val="0006566E"/>
    <w:rsid w:val="0006590A"/>
    <w:rsid w:val="0006622A"/>
    <w:rsid w:val="000675BA"/>
    <w:rsid w:val="00070772"/>
    <w:rsid w:val="00073583"/>
    <w:rsid w:val="0007381E"/>
    <w:rsid w:val="0007448D"/>
    <w:rsid w:val="000749A5"/>
    <w:rsid w:val="00075516"/>
    <w:rsid w:val="0007628D"/>
    <w:rsid w:val="00080543"/>
    <w:rsid w:val="00080BFF"/>
    <w:rsid w:val="000815D2"/>
    <w:rsid w:val="00082370"/>
    <w:rsid w:val="00082AE3"/>
    <w:rsid w:val="0008324D"/>
    <w:rsid w:val="00083CF4"/>
    <w:rsid w:val="00090470"/>
    <w:rsid w:val="000935D0"/>
    <w:rsid w:val="00093678"/>
    <w:rsid w:val="00094B81"/>
    <w:rsid w:val="00094E51"/>
    <w:rsid w:val="000960AA"/>
    <w:rsid w:val="00096C0E"/>
    <w:rsid w:val="00097246"/>
    <w:rsid w:val="00097EA3"/>
    <w:rsid w:val="000A1D3C"/>
    <w:rsid w:val="000A268A"/>
    <w:rsid w:val="000A33FE"/>
    <w:rsid w:val="000A3DB4"/>
    <w:rsid w:val="000A4922"/>
    <w:rsid w:val="000A5CD2"/>
    <w:rsid w:val="000A6073"/>
    <w:rsid w:val="000A7CFF"/>
    <w:rsid w:val="000B0C68"/>
    <w:rsid w:val="000B1E22"/>
    <w:rsid w:val="000B20AB"/>
    <w:rsid w:val="000B2E7B"/>
    <w:rsid w:val="000B49E6"/>
    <w:rsid w:val="000C0ED8"/>
    <w:rsid w:val="000C66F7"/>
    <w:rsid w:val="000C768A"/>
    <w:rsid w:val="000D294B"/>
    <w:rsid w:val="000D3E24"/>
    <w:rsid w:val="000D4071"/>
    <w:rsid w:val="000D4787"/>
    <w:rsid w:val="000D6BB2"/>
    <w:rsid w:val="000D6F21"/>
    <w:rsid w:val="000D78A7"/>
    <w:rsid w:val="000D7C8F"/>
    <w:rsid w:val="000D7F1A"/>
    <w:rsid w:val="000E04E8"/>
    <w:rsid w:val="000E2F1D"/>
    <w:rsid w:val="000E549E"/>
    <w:rsid w:val="000E645D"/>
    <w:rsid w:val="000E79E8"/>
    <w:rsid w:val="000F1FE5"/>
    <w:rsid w:val="000F210C"/>
    <w:rsid w:val="000F387C"/>
    <w:rsid w:val="000F3B4B"/>
    <w:rsid w:val="000F5174"/>
    <w:rsid w:val="000F541D"/>
    <w:rsid w:val="000F58F6"/>
    <w:rsid w:val="000F6783"/>
    <w:rsid w:val="000F6C1D"/>
    <w:rsid w:val="000F6F04"/>
    <w:rsid w:val="00100014"/>
    <w:rsid w:val="001018C4"/>
    <w:rsid w:val="00102E71"/>
    <w:rsid w:val="00102FEF"/>
    <w:rsid w:val="00104686"/>
    <w:rsid w:val="001054DB"/>
    <w:rsid w:val="001055F1"/>
    <w:rsid w:val="0010590E"/>
    <w:rsid w:val="00106A43"/>
    <w:rsid w:val="001118FD"/>
    <w:rsid w:val="0011265F"/>
    <w:rsid w:val="00112A2B"/>
    <w:rsid w:val="00113C18"/>
    <w:rsid w:val="00113C98"/>
    <w:rsid w:val="00113D06"/>
    <w:rsid w:val="001142DA"/>
    <w:rsid w:val="001148CD"/>
    <w:rsid w:val="00114F25"/>
    <w:rsid w:val="0011520B"/>
    <w:rsid w:val="00115A5F"/>
    <w:rsid w:val="00116CB5"/>
    <w:rsid w:val="0011790F"/>
    <w:rsid w:val="001202E4"/>
    <w:rsid w:val="00121297"/>
    <w:rsid w:val="001224E2"/>
    <w:rsid w:val="0012473C"/>
    <w:rsid w:val="00124EAB"/>
    <w:rsid w:val="00124F7D"/>
    <w:rsid w:val="001257BF"/>
    <w:rsid w:val="0013018D"/>
    <w:rsid w:val="00130A08"/>
    <w:rsid w:val="001324B9"/>
    <w:rsid w:val="0013448A"/>
    <w:rsid w:val="001345FE"/>
    <w:rsid w:val="0013469D"/>
    <w:rsid w:val="00134B11"/>
    <w:rsid w:val="0013542D"/>
    <w:rsid w:val="0013597E"/>
    <w:rsid w:val="00136430"/>
    <w:rsid w:val="0013696C"/>
    <w:rsid w:val="00136CBE"/>
    <w:rsid w:val="00140A11"/>
    <w:rsid w:val="001418A7"/>
    <w:rsid w:val="00141D23"/>
    <w:rsid w:val="00142399"/>
    <w:rsid w:val="0014247F"/>
    <w:rsid w:val="00144E13"/>
    <w:rsid w:val="00145017"/>
    <w:rsid w:val="00145209"/>
    <w:rsid w:val="00145DC4"/>
    <w:rsid w:val="00146A46"/>
    <w:rsid w:val="001475B0"/>
    <w:rsid w:val="00147E98"/>
    <w:rsid w:val="0015082C"/>
    <w:rsid w:val="00152FA3"/>
    <w:rsid w:val="00155CEB"/>
    <w:rsid w:val="00155CF2"/>
    <w:rsid w:val="00156C4A"/>
    <w:rsid w:val="00156E8D"/>
    <w:rsid w:val="0016226B"/>
    <w:rsid w:val="001622AA"/>
    <w:rsid w:val="00162DC4"/>
    <w:rsid w:val="00164109"/>
    <w:rsid w:val="0016411E"/>
    <w:rsid w:val="001653B3"/>
    <w:rsid w:val="00166B0B"/>
    <w:rsid w:val="00166F3D"/>
    <w:rsid w:val="00170180"/>
    <w:rsid w:val="00170EA1"/>
    <w:rsid w:val="0017105D"/>
    <w:rsid w:val="00171E85"/>
    <w:rsid w:val="001724A9"/>
    <w:rsid w:val="0017270B"/>
    <w:rsid w:val="00172E8E"/>
    <w:rsid w:val="00175CD8"/>
    <w:rsid w:val="001771A8"/>
    <w:rsid w:val="001816D8"/>
    <w:rsid w:val="00183762"/>
    <w:rsid w:val="00190A91"/>
    <w:rsid w:val="00191A53"/>
    <w:rsid w:val="00191AD1"/>
    <w:rsid w:val="00192D54"/>
    <w:rsid w:val="00195399"/>
    <w:rsid w:val="00195FF4"/>
    <w:rsid w:val="001A31EA"/>
    <w:rsid w:val="001A3AD0"/>
    <w:rsid w:val="001A3BE2"/>
    <w:rsid w:val="001A5024"/>
    <w:rsid w:val="001B2F09"/>
    <w:rsid w:val="001B34A2"/>
    <w:rsid w:val="001B3BF9"/>
    <w:rsid w:val="001B53BD"/>
    <w:rsid w:val="001B561B"/>
    <w:rsid w:val="001B6FA9"/>
    <w:rsid w:val="001B7B3F"/>
    <w:rsid w:val="001B7C9D"/>
    <w:rsid w:val="001C1EC1"/>
    <w:rsid w:val="001C2076"/>
    <w:rsid w:val="001D08D2"/>
    <w:rsid w:val="001D1FE4"/>
    <w:rsid w:val="001D30BC"/>
    <w:rsid w:val="001D3C68"/>
    <w:rsid w:val="001D46A8"/>
    <w:rsid w:val="001D4744"/>
    <w:rsid w:val="001D67E7"/>
    <w:rsid w:val="001D79A6"/>
    <w:rsid w:val="001D7CD7"/>
    <w:rsid w:val="001E0C2D"/>
    <w:rsid w:val="001E194F"/>
    <w:rsid w:val="001E1963"/>
    <w:rsid w:val="001E3ABB"/>
    <w:rsid w:val="001E3B58"/>
    <w:rsid w:val="001E4C83"/>
    <w:rsid w:val="001E4F69"/>
    <w:rsid w:val="001E6B11"/>
    <w:rsid w:val="001F004F"/>
    <w:rsid w:val="001F0E1E"/>
    <w:rsid w:val="001F117F"/>
    <w:rsid w:val="001F1715"/>
    <w:rsid w:val="001F30AD"/>
    <w:rsid w:val="001F3CBD"/>
    <w:rsid w:val="001F4D7D"/>
    <w:rsid w:val="001F5CBA"/>
    <w:rsid w:val="001F5E27"/>
    <w:rsid w:val="001F609B"/>
    <w:rsid w:val="00201199"/>
    <w:rsid w:val="00202240"/>
    <w:rsid w:val="00202B18"/>
    <w:rsid w:val="00202D22"/>
    <w:rsid w:val="002038AE"/>
    <w:rsid w:val="00203C73"/>
    <w:rsid w:val="00203E02"/>
    <w:rsid w:val="00206305"/>
    <w:rsid w:val="002070E7"/>
    <w:rsid w:val="0020711F"/>
    <w:rsid w:val="00210CC6"/>
    <w:rsid w:val="002115A0"/>
    <w:rsid w:val="00214AB0"/>
    <w:rsid w:val="0021650E"/>
    <w:rsid w:val="00220B4D"/>
    <w:rsid w:val="002212C7"/>
    <w:rsid w:val="00222BFD"/>
    <w:rsid w:val="00223304"/>
    <w:rsid w:val="0022342A"/>
    <w:rsid w:val="00231835"/>
    <w:rsid w:val="002318D8"/>
    <w:rsid w:val="00231B82"/>
    <w:rsid w:val="0023250A"/>
    <w:rsid w:val="002327B4"/>
    <w:rsid w:val="00232BF5"/>
    <w:rsid w:val="00233C82"/>
    <w:rsid w:val="00234664"/>
    <w:rsid w:val="00234F32"/>
    <w:rsid w:val="00235A0B"/>
    <w:rsid w:val="00235CAC"/>
    <w:rsid w:val="00235FB6"/>
    <w:rsid w:val="00235FEB"/>
    <w:rsid w:val="0023789B"/>
    <w:rsid w:val="00240127"/>
    <w:rsid w:val="00240A7B"/>
    <w:rsid w:val="0024123D"/>
    <w:rsid w:val="00241306"/>
    <w:rsid w:val="00243C58"/>
    <w:rsid w:val="00244B1A"/>
    <w:rsid w:val="00244DAF"/>
    <w:rsid w:val="00245D3E"/>
    <w:rsid w:val="00246212"/>
    <w:rsid w:val="00247C0F"/>
    <w:rsid w:val="00250A9A"/>
    <w:rsid w:val="00253C50"/>
    <w:rsid w:val="00254794"/>
    <w:rsid w:val="00254D85"/>
    <w:rsid w:val="002554E2"/>
    <w:rsid w:val="00256FF8"/>
    <w:rsid w:val="00257259"/>
    <w:rsid w:val="00257BD5"/>
    <w:rsid w:val="00257C7C"/>
    <w:rsid w:val="002608EE"/>
    <w:rsid w:val="00261CA8"/>
    <w:rsid w:val="00261E26"/>
    <w:rsid w:val="00262A66"/>
    <w:rsid w:val="00263072"/>
    <w:rsid w:val="00263A94"/>
    <w:rsid w:val="00266287"/>
    <w:rsid w:val="002668A2"/>
    <w:rsid w:val="00267C36"/>
    <w:rsid w:val="00270AC9"/>
    <w:rsid w:val="00271083"/>
    <w:rsid w:val="0027142A"/>
    <w:rsid w:val="00272485"/>
    <w:rsid w:val="00273C6A"/>
    <w:rsid w:val="002752FA"/>
    <w:rsid w:val="0027676C"/>
    <w:rsid w:val="002801E4"/>
    <w:rsid w:val="002813E7"/>
    <w:rsid w:val="0028250A"/>
    <w:rsid w:val="00283CFE"/>
    <w:rsid w:val="00284111"/>
    <w:rsid w:val="002841AF"/>
    <w:rsid w:val="0028582B"/>
    <w:rsid w:val="00285850"/>
    <w:rsid w:val="00285F25"/>
    <w:rsid w:val="00285F9F"/>
    <w:rsid w:val="002860C2"/>
    <w:rsid w:val="0028683E"/>
    <w:rsid w:val="00286A7C"/>
    <w:rsid w:val="00286DA8"/>
    <w:rsid w:val="0028755E"/>
    <w:rsid w:val="00287ABB"/>
    <w:rsid w:val="00290E73"/>
    <w:rsid w:val="002921D1"/>
    <w:rsid w:val="00292927"/>
    <w:rsid w:val="00292B5B"/>
    <w:rsid w:val="0029335F"/>
    <w:rsid w:val="00293663"/>
    <w:rsid w:val="00293A7A"/>
    <w:rsid w:val="00294EDB"/>
    <w:rsid w:val="00295D29"/>
    <w:rsid w:val="00296750"/>
    <w:rsid w:val="00296ABB"/>
    <w:rsid w:val="00296C9B"/>
    <w:rsid w:val="002A0113"/>
    <w:rsid w:val="002A0240"/>
    <w:rsid w:val="002A2150"/>
    <w:rsid w:val="002A413B"/>
    <w:rsid w:val="002A45E8"/>
    <w:rsid w:val="002A576E"/>
    <w:rsid w:val="002A6581"/>
    <w:rsid w:val="002B0EA9"/>
    <w:rsid w:val="002B1879"/>
    <w:rsid w:val="002B34F8"/>
    <w:rsid w:val="002B3B95"/>
    <w:rsid w:val="002B3B9A"/>
    <w:rsid w:val="002B4B5F"/>
    <w:rsid w:val="002B6A14"/>
    <w:rsid w:val="002B6A18"/>
    <w:rsid w:val="002B772E"/>
    <w:rsid w:val="002C04B7"/>
    <w:rsid w:val="002C0C6F"/>
    <w:rsid w:val="002C1C4B"/>
    <w:rsid w:val="002C4600"/>
    <w:rsid w:val="002C4E7E"/>
    <w:rsid w:val="002C5216"/>
    <w:rsid w:val="002C67B5"/>
    <w:rsid w:val="002C6ABD"/>
    <w:rsid w:val="002D0CA7"/>
    <w:rsid w:val="002D153D"/>
    <w:rsid w:val="002D4770"/>
    <w:rsid w:val="002D4B58"/>
    <w:rsid w:val="002D4FCA"/>
    <w:rsid w:val="002D5BD7"/>
    <w:rsid w:val="002D7D09"/>
    <w:rsid w:val="002D7D93"/>
    <w:rsid w:val="002E07A6"/>
    <w:rsid w:val="002E0C3F"/>
    <w:rsid w:val="002E0E4D"/>
    <w:rsid w:val="002E0F9A"/>
    <w:rsid w:val="002E12D5"/>
    <w:rsid w:val="002E1A9C"/>
    <w:rsid w:val="002E25FA"/>
    <w:rsid w:val="002E446D"/>
    <w:rsid w:val="002E4EEF"/>
    <w:rsid w:val="002E562D"/>
    <w:rsid w:val="002E6081"/>
    <w:rsid w:val="002E6A5C"/>
    <w:rsid w:val="002E6EFB"/>
    <w:rsid w:val="002E6F58"/>
    <w:rsid w:val="002E763D"/>
    <w:rsid w:val="002E775E"/>
    <w:rsid w:val="002F2594"/>
    <w:rsid w:val="002F2674"/>
    <w:rsid w:val="002F3222"/>
    <w:rsid w:val="002F55FF"/>
    <w:rsid w:val="002F5A56"/>
    <w:rsid w:val="003000F9"/>
    <w:rsid w:val="00300397"/>
    <w:rsid w:val="003008D8"/>
    <w:rsid w:val="00302CD2"/>
    <w:rsid w:val="003037C0"/>
    <w:rsid w:val="003056AD"/>
    <w:rsid w:val="0030754C"/>
    <w:rsid w:val="00310559"/>
    <w:rsid w:val="003105AF"/>
    <w:rsid w:val="00310710"/>
    <w:rsid w:val="00311924"/>
    <w:rsid w:val="00312ED7"/>
    <w:rsid w:val="00314200"/>
    <w:rsid w:val="00314740"/>
    <w:rsid w:val="00315F6C"/>
    <w:rsid w:val="00316EB8"/>
    <w:rsid w:val="00317306"/>
    <w:rsid w:val="00317F2F"/>
    <w:rsid w:val="00317F36"/>
    <w:rsid w:val="003208DA"/>
    <w:rsid w:val="003215B7"/>
    <w:rsid w:val="00322670"/>
    <w:rsid w:val="00322A66"/>
    <w:rsid w:val="00323F51"/>
    <w:rsid w:val="00323F61"/>
    <w:rsid w:val="00327723"/>
    <w:rsid w:val="0033167A"/>
    <w:rsid w:val="003316C8"/>
    <w:rsid w:val="003320ED"/>
    <w:rsid w:val="00332AC0"/>
    <w:rsid w:val="00332AEE"/>
    <w:rsid w:val="00333C5F"/>
    <w:rsid w:val="00334867"/>
    <w:rsid w:val="0033558C"/>
    <w:rsid w:val="003360AB"/>
    <w:rsid w:val="00337256"/>
    <w:rsid w:val="00340D52"/>
    <w:rsid w:val="00341D83"/>
    <w:rsid w:val="00341FD4"/>
    <w:rsid w:val="00342231"/>
    <w:rsid w:val="00342D38"/>
    <w:rsid w:val="003430A6"/>
    <w:rsid w:val="00344B09"/>
    <w:rsid w:val="003455CF"/>
    <w:rsid w:val="00345915"/>
    <w:rsid w:val="00345FD4"/>
    <w:rsid w:val="003505E3"/>
    <w:rsid w:val="0035155A"/>
    <w:rsid w:val="003532B1"/>
    <w:rsid w:val="0035444D"/>
    <w:rsid w:val="003552A7"/>
    <w:rsid w:val="00355302"/>
    <w:rsid w:val="0035615C"/>
    <w:rsid w:val="003575C3"/>
    <w:rsid w:val="00361CC4"/>
    <w:rsid w:val="00361FCD"/>
    <w:rsid w:val="0036398B"/>
    <w:rsid w:val="00363A9C"/>
    <w:rsid w:val="00363B4A"/>
    <w:rsid w:val="0036416B"/>
    <w:rsid w:val="00365B14"/>
    <w:rsid w:val="0036609D"/>
    <w:rsid w:val="0036674C"/>
    <w:rsid w:val="00367C46"/>
    <w:rsid w:val="00370364"/>
    <w:rsid w:val="0037061D"/>
    <w:rsid w:val="00371A88"/>
    <w:rsid w:val="00375968"/>
    <w:rsid w:val="00377638"/>
    <w:rsid w:val="00381089"/>
    <w:rsid w:val="003863A0"/>
    <w:rsid w:val="003868FC"/>
    <w:rsid w:val="003872E4"/>
    <w:rsid w:val="00387B0B"/>
    <w:rsid w:val="003902F3"/>
    <w:rsid w:val="003905BF"/>
    <w:rsid w:val="00390FCF"/>
    <w:rsid w:val="0039205F"/>
    <w:rsid w:val="00394254"/>
    <w:rsid w:val="00394BE3"/>
    <w:rsid w:val="00395107"/>
    <w:rsid w:val="003967BE"/>
    <w:rsid w:val="00397348"/>
    <w:rsid w:val="003A042C"/>
    <w:rsid w:val="003A139B"/>
    <w:rsid w:val="003A1B2C"/>
    <w:rsid w:val="003A27B7"/>
    <w:rsid w:val="003A3160"/>
    <w:rsid w:val="003A4A07"/>
    <w:rsid w:val="003A51B7"/>
    <w:rsid w:val="003A5863"/>
    <w:rsid w:val="003A5F3C"/>
    <w:rsid w:val="003A6277"/>
    <w:rsid w:val="003B04C5"/>
    <w:rsid w:val="003B05E6"/>
    <w:rsid w:val="003B06FB"/>
    <w:rsid w:val="003B0BFC"/>
    <w:rsid w:val="003B3D2A"/>
    <w:rsid w:val="003B585A"/>
    <w:rsid w:val="003B5C76"/>
    <w:rsid w:val="003B605E"/>
    <w:rsid w:val="003C01A4"/>
    <w:rsid w:val="003C150B"/>
    <w:rsid w:val="003C2EAD"/>
    <w:rsid w:val="003C42CB"/>
    <w:rsid w:val="003C50F9"/>
    <w:rsid w:val="003C569F"/>
    <w:rsid w:val="003C5ACF"/>
    <w:rsid w:val="003C6F67"/>
    <w:rsid w:val="003C70D0"/>
    <w:rsid w:val="003D0D00"/>
    <w:rsid w:val="003D1CEB"/>
    <w:rsid w:val="003D3237"/>
    <w:rsid w:val="003D334C"/>
    <w:rsid w:val="003D48E4"/>
    <w:rsid w:val="003D51C5"/>
    <w:rsid w:val="003D6791"/>
    <w:rsid w:val="003E30D8"/>
    <w:rsid w:val="003E326E"/>
    <w:rsid w:val="003E3782"/>
    <w:rsid w:val="003E3B2B"/>
    <w:rsid w:val="003E4E95"/>
    <w:rsid w:val="003E7ADB"/>
    <w:rsid w:val="003F1482"/>
    <w:rsid w:val="003F27E9"/>
    <w:rsid w:val="003F3320"/>
    <w:rsid w:val="003F5773"/>
    <w:rsid w:val="003F7D83"/>
    <w:rsid w:val="00400B3E"/>
    <w:rsid w:val="0040319F"/>
    <w:rsid w:val="00403775"/>
    <w:rsid w:val="00404482"/>
    <w:rsid w:val="00405328"/>
    <w:rsid w:val="00405540"/>
    <w:rsid w:val="00406EBC"/>
    <w:rsid w:val="00410480"/>
    <w:rsid w:val="00411235"/>
    <w:rsid w:val="00411978"/>
    <w:rsid w:val="00411EF8"/>
    <w:rsid w:val="00412206"/>
    <w:rsid w:val="0041233C"/>
    <w:rsid w:val="0041357F"/>
    <w:rsid w:val="00413D6F"/>
    <w:rsid w:val="00414A5D"/>
    <w:rsid w:val="0041536E"/>
    <w:rsid w:val="004157CD"/>
    <w:rsid w:val="004157F6"/>
    <w:rsid w:val="0041618C"/>
    <w:rsid w:val="00416218"/>
    <w:rsid w:val="00416B88"/>
    <w:rsid w:val="0041721E"/>
    <w:rsid w:val="00422A91"/>
    <w:rsid w:val="004246B8"/>
    <w:rsid w:val="00426C7F"/>
    <w:rsid w:val="004274EB"/>
    <w:rsid w:val="00427FC9"/>
    <w:rsid w:val="00430052"/>
    <w:rsid w:val="00431383"/>
    <w:rsid w:val="0043156C"/>
    <w:rsid w:val="00433D8B"/>
    <w:rsid w:val="00434010"/>
    <w:rsid w:val="004350C2"/>
    <w:rsid w:val="00435F38"/>
    <w:rsid w:val="00437A70"/>
    <w:rsid w:val="00437D2E"/>
    <w:rsid w:val="00440539"/>
    <w:rsid w:val="0044212B"/>
    <w:rsid w:val="00442739"/>
    <w:rsid w:val="00442DAF"/>
    <w:rsid w:val="00443677"/>
    <w:rsid w:val="004451FD"/>
    <w:rsid w:val="0044537E"/>
    <w:rsid w:val="0044550D"/>
    <w:rsid w:val="00446F64"/>
    <w:rsid w:val="00450AAF"/>
    <w:rsid w:val="004512AE"/>
    <w:rsid w:val="00451E60"/>
    <w:rsid w:val="00452F01"/>
    <w:rsid w:val="00453E91"/>
    <w:rsid w:val="00454371"/>
    <w:rsid w:val="00455705"/>
    <w:rsid w:val="00455C2A"/>
    <w:rsid w:val="0045652C"/>
    <w:rsid w:val="00456E8A"/>
    <w:rsid w:val="00457B2F"/>
    <w:rsid w:val="00461D28"/>
    <w:rsid w:val="00463CF2"/>
    <w:rsid w:val="004640E2"/>
    <w:rsid w:val="00464313"/>
    <w:rsid w:val="004647AA"/>
    <w:rsid w:val="00464823"/>
    <w:rsid w:val="00464C4B"/>
    <w:rsid w:val="00464CFC"/>
    <w:rsid w:val="004676AA"/>
    <w:rsid w:val="00467889"/>
    <w:rsid w:val="00474EB0"/>
    <w:rsid w:val="00477A24"/>
    <w:rsid w:val="00477ACC"/>
    <w:rsid w:val="00480A4F"/>
    <w:rsid w:val="00480F45"/>
    <w:rsid w:val="004815D9"/>
    <w:rsid w:val="00481C5F"/>
    <w:rsid w:val="004860A1"/>
    <w:rsid w:val="0049076D"/>
    <w:rsid w:val="004907E7"/>
    <w:rsid w:val="00494DD6"/>
    <w:rsid w:val="00495684"/>
    <w:rsid w:val="00495F00"/>
    <w:rsid w:val="00496BC9"/>
    <w:rsid w:val="00497432"/>
    <w:rsid w:val="00497568"/>
    <w:rsid w:val="004A01B3"/>
    <w:rsid w:val="004A0785"/>
    <w:rsid w:val="004A2099"/>
    <w:rsid w:val="004A26C6"/>
    <w:rsid w:val="004A28DA"/>
    <w:rsid w:val="004A301F"/>
    <w:rsid w:val="004A49AF"/>
    <w:rsid w:val="004A4F0B"/>
    <w:rsid w:val="004A5182"/>
    <w:rsid w:val="004A5B2C"/>
    <w:rsid w:val="004A7075"/>
    <w:rsid w:val="004B0184"/>
    <w:rsid w:val="004B300D"/>
    <w:rsid w:val="004B4C3E"/>
    <w:rsid w:val="004B4D62"/>
    <w:rsid w:val="004B6526"/>
    <w:rsid w:val="004C0166"/>
    <w:rsid w:val="004C04BD"/>
    <w:rsid w:val="004C0E91"/>
    <w:rsid w:val="004C131E"/>
    <w:rsid w:val="004C3099"/>
    <w:rsid w:val="004C51F3"/>
    <w:rsid w:val="004C560D"/>
    <w:rsid w:val="004C5BE5"/>
    <w:rsid w:val="004C6108"/>
    <w:rsid w:val="004C6377"/>
    <w:rsid w:val="004C743A"/>
    <w:rsid w:val="004D0EB1"/>
    <w:rsid w:val="004D1DAF"/>
    <w:rsid w:val="004D2AFE"/>
    <w:rsid w:val="004D5222"/>
    <w:rsid w:val="004D706C"/>
    <w:rsid w:val="004D7BC7"/>
    <w:rsid w:val="004D7D7C"/>
    <w:rsid w:val="004E330E"/>
    <w:rsid w:val="004E37DA"/>
    <w:rsid w:val="004E3A5A"/>
    <w:rsid w:val="004E3F9F"/>
    <w:rsid w:val="004E4127"/>
    <w:rsid w:val="004E44AD"/>
    <w:rsid w:val="004E4AFC"/>
    <w:rsid w:val="004E50B2"/>
    <w:rsid w:val="004E6A1C"/>
    <w:rsid w:val="004E76D6"/>
    <w:rsid w:val="004F1A79"/>
    <w:rsid w:val="004F1C1C"/>
    <w:rsid w:val="004F1FC8"/>
    <w:rsid w:val="004F2916"/>
    <w:rsid w:val="004F2AC3"/>
    <w:rsid w:val="004F45C6"/>
    <w:rsid w:val="004F5D1C"/>
    <w:rsid w:val="004F65BC"/>
    <w:rsid w:val="004F6D2D"/>
    <w:rsid w:val="004F6F95"/>
    <w:rsid w:val="004F71DF"/>
    <w:rsid w:val="00500072"/>
    <w:rsid w:val="00500B9B"/>
    <w:rsid w:val="00501483"/>
    <w:rsid w:val="005014E5"/>
    <w:rsid w:val="00501A8A"/>
    <w:rsid w:val="00503279"/>
    <w:rsid w:val="00504812"/>
    <w:rsid w:val="005051B1"/>
    <w:rsid w:val="0050655D"/>
    <w:rsid w:val="005078BC"/>
    <w:rsid w:val="00510564"/>
    <w:rsid w:val="005113FE"/>
    <w:rsid w:val="00511964"/>
    <w:rsid w:val="00511C5E"/>
    <w:rsid w:val="0051237F"/>
    <w:rsid w:val="00514DE8"/>
    <w:rsid w:val="00515163"/>
    <w:rsid w:val="005158A8"/>
    <w:rsid w:val="00515E23"/>
    <w:rsid w:val="00517F0D"/>
    <w:rsid w:val="00520CD5"/>
    <w:rsid w:val="00520FDB"/>
    <w:rsid w:val="00521526"/>
    <w:rsid w:val="005216FF"/>
    <w:rsid w:val="005250BA"/>
    <w:rsid w:val="0052637A"/>
    <w:rsid w:val="00526A22"/>
    <w:rsid w:val="00526BFB"/>
    <w:rsid w:val="00526EF8"/>
    <w:rsid w:val="0053062A"/>
    <w:rsid w:val="0053123A"/>
    <w:rsid w:val="00531441"/>
    <w:rsid w:val="005322A8"/>
    <w:rsid w:val="00533C1E"/>
    <w:rsid w:val="00533EC2"/>
    <w:rsid w:val="00534295"/>
    <w:rsid w:val="005347F3"/>
    <w:rsid w:val="005368BB"/>
    <w:rsid w:val="00536948"/>
    <w:rsid w:val="005374E6"/>
    <w:rsid w:val="0053791A"/>
    <w:rsid w:val="00540865"/>
    <w:rsid w:val="00540C17"/>
    <w:rsid w:val="00541866"/>
    <w:rsid w:val="00543C7D"/>
    <w:rsid w:val="00543D0C"/>
    <w:rsid w:val="00544F32"/>
    <w:rsid w:val="00545D16"/>
    <w:rsid w:val="005475CB"/>
    <w:rsid w:val="005505C0"/>
    <w:rsid w:val="00550B4A"/>
    <w:rsid w:val="00550C81"/>
    <w:rsid w:val="00550CC9"/>
    <w:rsid w:val="00550E50"/>
    <w:rsid w:val="00551513"/>
    <w:rsid w:val="005529CD"/>
    <w:rsid w:val="00553308"/>
    <w:rsid w:val="00553920"/>
    <w:rsid w:val="00554130"/>
    <w:rsid w:val="00554528"/>
    <w:rsid w:val="00554D35"/>
    <w:rsid w:val="00554E2C"/>
    <w:rsid w:val="00554F99"/>
    <w:rsid w:val="005563FE"/>
    <w:rsid w:val="0055657C"/>
    <w:rsid w:val="005577E3"/>
    <w:rsid w:val="0056070D"/>
    <w:rsid w:val="0056235A"/>
    <w:rsid w:val="00562DEB"/>
    <w:rsid w:val="00562EA3"/>
    <w:rsid w:val="00563547"/>
    <w:rsid w:val="0056404F"/>
    <w:rsid w:val="005640F3"/>
    <w:rsid w:val="005641E7"/>
    <w:rsid w:val="00564F89"/>
    <w:rsid w:val="00567DC3"/>
    <w:rsid w:val="00570527"/>
    <w:rsid w:val="00570DF3"/>
    <w:rsid w:val="00573472"/>
    <w:rsid w:val="00574D62"/>
    <w:rsid w:val="005750C2"/>
    <w:rsid w:val="0057557A"/>
    <w:rsid w:val="00575E48"/>
    <w:rsid w:val="005772D6"/>
    <w:rsid w:val="00581266"/>
    <w:rsid w:val="005813F0"/>
    <w:rsid w:val="00581452"/>
    <w:rsid w:val="00582096"/>
    <w:rsid w:val="00583068"/>
    <w:rsid w:val="0058387B"/>
    <w:rsid w:val="0058575E"/>
    <w:rsid w:val="0059055F"/>
    <w:rsid w:val="00591C4C"/>
    <w:rsid w:val="005946FE"/>
    <w:rsid w:val="0059501D"/>
    <w:rsid w:val="005955AA"/>
    <w:rsid w:val="00596391"/>
    <w:rsid w:val="005A07F6"/>
    <w:rsid w:val="005A08C2"/>
    <w:rsid w:val="005A12A1"/>
    <w:rsid w:val="005A2B89"/>
    <w:rsid w:val="005A397A"/>
    <w:rsid w:val="005A3A02"/>
    <w:rsid w:val="005A3DC2"/>
    <w:rsid w:val="005A4089"/>
    <w:rsid w:val="005A4124"/>
    <w:rsid w:val="005A468E"/>
    <w:rsid w:val="005A47CB"/>
    <w:rsid w:val="005A480D"/>
    <w:rsid w:val="005A56DA"/>
    <w:rsid w:val="005B02BD"/>
    <w:rsid w:val="005B062F"/>
    <w:rsid w:val="005B265E"/>
    <w:rsid w:val="005B29E5"/>
    <w:rsid w:val="005B53A8"/>
    <w:rsid w:val="005B6234"/>
    <w:rsid w:val="005B665F"/>
    <w:rsid w:val="005C2129"/>
    <w:rsid w:val="005C2C39"/>
    <w:rsid w:val="005C4FAA"/>
    <w:rsid w:val="005C58C0"/>
    <w:rsid w:val="005C617E"/>
    <w:rsid w:val="005C6C8C"/>
    <w:rsid w:val="005D0540"/>
    <w:rsid w:val="005D10E3"/>
    <w:rsid w:val="005D4429"/>
    <w:rsid w:val="005D4C67"/>
    <w:rsid w:val="005D4E1D"/>
    <w:rsid w:val="005D4FB8"/>
    <w:rsid w:val="005D5F53"/>
    <w:rsid w:val="005D7D5C"/>
    <w:rsid w:val="005E056F"/>
    <w:rsid w:val="005E0D17"/>
    <w:rsid w:val="005E2048"/>
    <w:rsid w:val="005E292D"/>
    <w:rsid w:val="005E2D93"/>
    <w:rsid w:val="005E37CE"/>
    <w:rsid w:val="005E3DA0"/>
    <w:rsid w:val="005E3FFC"/>
    <w:rsid w:val="005E412F"/>
    <w:rsid w:val="005E4245"/>
    <w:rsid w:val="005E5F08"/>
    <w:rsid w:val="005E5F4D"/>
    <w:rsid w:val="005E6CFB"/>
    <w:rsid w:val="005E6E3C"/>
    <w:rsid w:val="005E6E86"/>
    <w:rsid w:val="005E7A5C"/>
    <w:rsid w:val="005F0A03"/>
    <w:rsid w:val="005F16EA"/>
    <w:rsid w:val="005F2D2C"/>
    <w:rsid w:val="005F3367"/>
    <w:rsid w:val="005F33D4"/>
    <w:rsid w:val="005F597B"/>
    <w:rsid w:val="005F6A16"/>
    <w:rsid w:val="005F6AEC"/>
    <w:rsid w:val="005F724D"/>
    <w:rsid w:val="006011EF"/>
    <w:rsid w:val="0060208E"/>
    <w:rsid w:val="00602FF1"/>
    <w:rsid w:val="006046A7"/>
    <w:rsid w:val="00604E7C"/>
    <w:rsid w:val="006061F4"/>
    <w:rsid w:val="006063BF"/>
    <w:rsid w:val="00606BFE"/>
    <w:rsid w:val="00610CEF"/>
    <w:rsid w:val="006110BA"/>
    <w:rsid w:val="00611C19"/>
    <w:rsid w:val="00612439"/>
    <w:rsid w:val="006128CB"/>
    <w:rsid w:val="00615FF3"/>
    <w:rsid w:val="00622621"/>
    <w:rsid w:val="006309C2"/>
    <w:rsid w:val="00630A01"/>
    <w:rsid w:val="0063114A"/>
    <w:rsid w:val="00631D8C"/>
    <w:rsid w:val="00631F36"/>
    <w:rsid w:val="00635742"/>
    <w:rsid w:val="00635E5E"/>
    <w:rsid w:val="0063694A"/>
    <w:rsid w:val="006369D8"/>
    <w:rsid w:val="00637499"/>
    <w:rsid w:val="00637832"/>
    <w:rsid w:val="00647E08"/>
    <w:rsid w:val="006525F4"/>
    <w:rsid w:val="0065301D"/>
    <w:rsid w:val="006535D3"/>
    <w:rsid w:val="00653807"/>
    <w:rsid w:val="0065381A"/>
    <w:rsid w:val="00655CBC"/>
    <w:rsid w:val="00656DAD"/>
    <w:rsid w:val="0065720A"/>
    <w:rsid w:val="006575CC"/>
    <w:rsid w:val="006625CB"/>
    <w:rsid w:val="00662907"/>
    <w:rsid w:val="006633CF"/>
    <w:rsid w:val="00665849"/>
    <w:rsid w:val="00665AF5"/>
    <w:rsid w:val="00666A05"/>
    <w:rsid w:val="006677A3"/>
    <w:rsid w:val="00667C2A"/>
    <w:rsid w:val="00667D03"/>
    <w:rsid w:val="006723B8"/>
    <w:rsid w:val="00673478"/>
    <w:rsid w:val="00675323"/>
    <w:rsid w:val="0067776D"/>
    <w:rsid w:val="00680727"/>
    <w:rsid w:val="006807BB"/>
    <w:rsid w:val="00685354"/>
    <w:rsid w:val="006857A3"/>
    <w:rsid w:val="00685E72"/>
    <w:rsid w:val="00686017"/>
    <w:rsid w:val="006862F4"/>
    <w:rsid w:val="00687C0E"/>
    <w:rsid w:val="006906A1"/>
    <w:rsid w:val="00690CB4"/>
    <w:rsid w:val="006928C3"/>
    <w:rsid w:val="00693BE1"/>
    <w:rsid w:val="00695A62"/>
    <w:rsid w:val="00696A40"/>
    <w:rsid w:val="006A0D9E"/>
    <w:rsid w:val="006A0EA7"/>
    <w:rsid w:val="006A1F0B"/>
    <w:rsid w:val="006A2F9F"/>
    <w:rsid w:val="006A3AF3"/>
    <w:rsid w:val="006A4911"/>
    <w:rsid w:val="006A528E"/>
    <w:rsid w:val="006A7BC9"/>
    <w:rsid w:val="006B093A"/>
    <w:rsid w:val="006B4832"/>
    <w:rsid w:val="006B4A31"/>
    <w:rsid w:val="006B4C89"/>
    <w:rsid w:val="006B5049"/>
    <w:rsid w:val="006B55B9"/>
    <w:rsid w:val="006B7983"/>
    <w:rsid w:val="006C0111"/>
    <w:rsid w:val="006C02C7"/>
    <w:rsid w:val="006C06B8"/>
    <w:rsid w:val="006C3652"/>
    <w:rsid w:val="006C3F0F"/>
    <w:rsid w:val="006C4EF2"/>
    <w:rsid w:val="006C5D8E"/>
    <w:rsid w:val="006C5F6B"/>
    <w:rsid w:val="006C6488"/>
    <w:rsid w:val="006C694B"/>
    <w:rsid w:val="006C69E4"/>
    <w:rsid w:val="006C6D42"/>
    <w:rsid w:val="006D38C8"/>
    <w:rsid w:val="006D5E0E"/>
    <w:rsid w:val="006D5F63"/>
    <w:rsid w:val="006D6115"/>
    <w:rsid w:val="006D6C22"/>
    <w:rsid w:val="006E0102"/>
    <w:rsid w:val="006E18DC"/>
    <w:rsid w:val="006E2612"/>
    <w:rsid w:val="006E306B"/>
    <w:rsid w:val="006E3571"/>
    <w:rsid w:val="006E527A"/>
    <w:rsid w:val="006E618A"/>
    <w:rsid w:val="006E65EC"/>
    <w:rsid w:val="006E78A4"/>
    <w:rsid w:val="006F0452"/>
    <w:rsid w:val="006F183D"/>
    <w:rsid w:val="006F1A5B"/>
    <w:rsid w:val="006F1E4E"/>
    <w:rsid w:val="006F2D6C"/>
    <w:rsid w:val="006F3A0F"/>
    <w:rsid w:val="006F7F84"/>
    <w:rsid w:val="007007AC"/>
    <w:rsid w:val="00705E76"/>
    <w:rsid w:val="007079EB"/>
    <w:rsid w:val="00707AA6"/>
    <w:rsid w:val="0071088C"/>
    <w:rsid w:val="00711C1B"/>
    <w:rsid w:val="007126D1"/>
    <w:rsid w:val="007141D2"/>
    <w:rsid w:val="007145CC"/>
    <w:rsid w:val="00714619"/>
    <w:rsid w:val="00714721"/>
    <w:rsid w:val="0071536A"/>
    <w:rsid w:val="00716498"/>
    <w:rsid w:val="00716918"/>
    <w:rsid w:val="00716935"/>
    <w:rsid w:val="00720C7F"/>
    <w:rsid w:val="007219A1"/>
    <w:rsid w:val="00721AC9"/>
    <w:rsid w:val="00722580"/>
    <w:rsid w:val="007247AF"/>
    <w:rsid w:val="00725796"/>
    <w:rsid w:val="00725E78"/>
    <w:rsid w:val="007275D6"/>
    <w:rsid w:val="00727DB6"/>
    <w:rsid w:val="00730012"/>
    <w:rsid w:val="00731231"/>
    <w:rsid w:val="0073194F"/>
    <w:rsid w:val="00731A64"/>
    <w:rsid w:val="00731C3F"/>
    <w:rsid w:val="00732454"/>
    <w:rsid w:val="00732C10"/>
    <w:rsid w:val="00733353"/>
    <w:rsid w:val="00733BF0"/>
    <w:rsid w:val="00737D88"/>
    <w:rsid w:val="00740D82"/>
    <w:rsid w:val="00741F94"/>
    <w:rsid w:val="00742F3F"/>
    <w:rsid w:val="00744413"/>
    <w:rsid w:val="00745281"/>
    <w:rsid w:val="0074607A"/>
    <w:rsid w:val="0074622C"/>
    <w:rsid w:val="00746990"/>
    <w:rsid w:val="00751D4C"/>
    <w:rsid w:val="00752015"/>
    <w:rsid w:val="0075251B"/>
    <w:rsid w:val="007551CC"/>
    <w:rsid w:val="00755773"/>
    <w:rsid w:val="00756FEF"/>
    <w:rsid w:val="00761C53"/>
    <w:rsid w:val="007635B9"/>
    <w:rsid w:val="00764438"/>
    <w:rsid w:val="00766267"/>
    <w:rsid w:val="007665CF"/>
    <w:rsid w:val="00770E72"/>
    <w:rsid w:val="00771FAC"/>
    <w:rsid w:val="0077212B"/>
    <w:rsid w:val="007722AD"/>
    <w:rsid w:val="00772603"/>
    <w:rsid w:val="007769FC"/>
    <w:rsid w:val="00777FD3"/>
    <w:rsid w:val="007805E2"/>
    <w:rsid w:val="00780EEB"/>
    <w:rsid w:val="00780FC3"/>
    <w:rsid w:val="00782594"/>
    <w:rsid w:val="00783DD5"/>
    <w:rsid w:val="00790402"/>
    <w:rsid w:val="00791163"/>
    <w:rsid w:val="007926DE"/>
    <w:rsid w:val="00792858"/>
    <w:rsid w:val="00793F57"/>
    <w:rsid w:val="007942D3"/>
    <w:rsid w:val="00794349"/>
    <w:rsid w:val="00794911"/>
    <w:rsid w:val="0079662C"/>
    <w:rsid w:val="007A039A"/>
    <w:rsid w:val="007A0538"/>
    <w:rsid w:val="007A0569"/>
    <w:rsid w:val="007A0E70"/>
    <w:rsid w:val="007A1516"/>
    <w:rsid w:val="007A244C"/>
    <w:rsid w:val="007A57B1"/>
    <w:rsid w:val="007A5E15"/>
    <w:rsid w:val="007A5F6F"/>
    <w:rsid w:val="007A6CFA"/>
    <w:rsid w:val="007A6FE1"/>
    <w:rsid w:val="007A79CB"/>
    <w:rsid w:val="007B03FB"/>
    <w:rsid w:val="007B05AB"/>
    <w:rsid w:val="007B162B"/>
    <w:rsid w:val="007B4792"/>
    <w:rsid w:val="007B5BE5"/>
    <w:rsid w:val="007B625A"/>
    <w:rsid w:val="007B77F8"/>
    <w:rsid w:val="007C16DA"/>
    <w:rsid w:val="007C22BE"/>
    <w:rsid w:val="007C31B6"/>
    <w:rsid w:val="007C3629"/>
    <w:rsid w:val="007C3818"/>
    <w:rsid w:val="007C3D3C"/>
    <w:rsid w:val="007C483A"/>
    <w:rsid w:val="007C54E4"/>
    <w:rsid w:val="007C7157"/>
    <w:rsid w:val="007C7DF8"/>
    <w:rsid w:val="007D1B68"/>
    <w:rsid w:val="007D31A9"/>
    <w:rsid w:val="007D43F7"/>
    <w:rsid w:val="007D492E"/>
    <w:rsid w:val="007D6FA1"/>
    <w:rsid w:val="007D7F63"/>
    <w:rsid w:val="007E0D50"/>
    <w:rsid w:val="007E2BAC"/>
    <w:rsid w:val="007E2E40"/>
    <w:rsid w:val="007E34BF"/>
    <w:rsid w:val="007E4EC9"/>
    <w:rsid w:val="007E5295"/>
    <w:rsid w:val="007E55E5"/>
    <w:rsid w:val="007E7CC4"/>
    <w:rsid w:val="007F0A77"/>
    <w:rsid w:val="007F1638"/>
    <w:rsid w:val="007F2189"/>
    <w:rsid w:val="007F30E1"/>
    <w:rsid w:val="007F3561"/>
    <w:rsid w:val="007F3BBB"/>
    <w:rsid w:val="007F51DB"/>
    <w:rsid w:val="007F79D2"/>
    <w:rsid w:val="008007EB"/>
    <w:rsid w:val="0080098C"/>
    <w:rsid w:val="00801CAF"/>
    <w:rsid w:val="008049B3"/>
    <w:rsid w:val="0080569F"/>
    <w:rsid w:val="008062A1"/>
    <w:rsid w:val="00806427"/>
    <w:rsid w:val="00806D39"/>
    <w:rsid w:val="00806F1F"/>
    <w:rsid w:val="008075AB"/>
    <w:rsid w:val="008104F3"/>
    <w:rsid w:val="00811592"/>
    <w:rsid w:val="008122DE"/>
    <w:rsid w:val="00812713"/>
    <w:rsid w:val="0081406D"/>
    <w:rsid w:val="0081440E"/>
    <w:rsid w:val="00814859"/>
    <w:rsid w:val="00816339"/>
    <w:rsid w:val="0081763A"/>
    <w:rsid w:val="008176A8"/>
    <w:rsid w:val="00817E34"/>
    <w:rsid w:val="0082041E"/>
    <w:rsid w:val="00822696"/>
    <w:rsid w:val="008239A7"/>
    <w:rsid w:val="00823BE1"/>
    <w:rsid w:val="00825EA8"/>
    <w:rsid w:val="00826BCC"/>
    <w:rsid w:val="008304D0"/>
    <w:rsid w:val="00831A5F"/>
    <w:rsid w:val="00831DAC"/>
    <w:rsid w:val="008329DB"/>
    <w:rsid w:val="00832BA1"/>
    <w:rsid w:val="00834356"/>
    <w:rsid w:val="0083479A"/>
    <w:rsid w:val="008349DF"/>
    <w:rsid w:val="00835EBF"/>
    <w:rsid w:val="00835FBC"/>
    <w:rsid w:val="00837999"/>
    <w:rsid w:val="00840FB6"/>
    <w:rsid w:val="00841724"/>
    <w:rsid w:val="00842678"/>
    <w:rsid w:val="00842AD2"/>
    <w:rsid w:val="00843AFF"/>
    <w:rsid w:val="00845B48"/>
    <w:rsid w:val="008468BF"/>
    <w:rsid w:val="00847F19"/>
    <w:rsid w:val="008521A5"/>
    <w:rsid w:val="00854559"/>
    <w:rsid w:val="008559A2"/>
    <w:rsid w:val="008567CF"/>
    <w:rsid w:val="00856C79"/>
    <w:rsid w:val="00856CFB"/>
    <w:rsid w:val="0086216D"/>
    <w:rsid w:val="00864531"/>
    <w:rsid w:val="00865252"/>
    <w:rsid w:val="00865515"/>
    <w:rsid w:val="00866B8B"/>
    <w:rsid w:val="00867A04"/>
    <w:rsid w:val="008748B5"/>
    <w:rsid w:val="0087554A"/>
    <w:rsid w:val="00875E9E"/>
    <w:rsid w:val="0087616E"/>
    <w:rsid w:val="00877809"/>
    <w:rsid w:val="00880D09"/>
    <w:rsid w:val="00880E44"/>
    <w:rsid w:val="0088188D"/>
    <w:rsid w:val="008826CB"/>
    <w:rsid w:val="008828AA"/>
    <w:rsid w:val="0088292E"/>
    <w:rsid w:val="00883230"/>
    <w:rsid w:val="0088419E"/>
    <w:rsid w:val="00884D85"/>
    <w:rsid w:val="008858F9"/>
    <w:rsid w:val="00885BC4"/>
    <w:rsid w:val="00886681"/>
    <w:rsid w:val="00886929"/>
    <w:rsid w:val="0089157E"/>
    <w:rsid w:val="00893F70"/>
    <w:rsid w:val="00893FCE"/>
    <w:rsid w:val="00895157"/>
    <w:rsid w:val="0089790C"/>
    <w:rsid w:val="008A2131"/>
    <w:rsid w:val="008A2CBD"/>
    <w:rsid w:val="008A391C"/>
    <w:rsid w:val="008A67B5"/>
    <w:rsid w:val="008A67FF"/>
    <w:rsid w:val="008A7417"/>
    <w:rsid w:val="008B5AC8"/>
    <w:rsid w:val="008B5C50"/>
    <w:rsid w:val="008B72F3"/>
    <w:rsid w:val="008C2820"/>
    <w:rsid w:val="008C3D7E"/>
    <w:rsid w:val="008C44EA"/>
    <w:rsid w:val="008C6ABE"/>
    <w:rsid w:val="008C7436"/>
    <w:rsid w:val="008D0281"/>
    <w:rsid w:val="008D17E3"/>
    <w:rsid w:val="008D1A87"/>
    <w:rsid w:val="008D1E5F"/>
    <w:rsid w:val="008D32A7"/>
    <w:rsid w:val="008D32B0"/>
    <w:rsid w:val="008D4C7B"/>
    <w:rsid w:val="008D636B"/>
    <w:rsid w:val="008D6A79"/>
    <w:rsid w:val="008D7C63"/>
    <w:rsid w:val="008E091C"/>
    <w:rsid w:val="008E1A4B"/>
    <w:rsid w:val="008E5073"/>
    <w:rsid w:val="008E507C"/>
    <w:rsid w:val="008E6CC9"/>
    <w:rsid w:val="008E6F90"/>
    <w:rsid w:val="008E7D4E"/>
    <w:rsid w:val="008F03F0"/>
    <w:rsid w:val="008F1625"/>
    <w:rsid w:val="008F2B33"/>
    <w:rsid w:val="008F2B70"/>
    <w:rsid w:val="008F4E71"/>
    <w:rsid w:val="008F510C"/>
    <w:rsid w:val="008F6897"/>
    <w:rsid w:val="008F70A3"/>
    <w:rsid w:val="009005C5"/>
    <w:rsid w:val="0090149A"/>
    <w:rsid w:val="0090243B"/>
    <w:rsid w:val="009059E7"/>
    <w:rsid w:val="00905AF2"/>
    <w:rsid w:val="00905D55"/>
    <w:rsid w:val="009065C8"/>
    <w:rsid w:val="00906AA9"/>
    <w:rsid w:val="00907C52"/>
    <w:rsid w:val="00911D29"/>
    <w:rsid w:val="009129D9"/>
    <w:rsid w:val="009149A5"/>
    <w:rsid w:val="009151FA"/>
    <w:rsid w:val="00915517"/>
    <w:rsid w:val="00915D3F"/>
    <w:rsid w:val="00916345"/>
    <w:rsid w:val="009166D7"/>
    <w:rsid w:val="00916B9F"/>
    <w:rsid w:val="0092062A"/>
    <w:rsid w:val="00920AF3"/>
    <w:rsid w:val="00921501"/>
    <w:rsid w:val="00925DA6"/>
    <w:rsid w:val="009267B2"/>
    <w:rsid w:val="00930D58"/>
    <w:rsid w:val="00932286"/>
    <w:rsid w:val="009329FD"/>
    <w:rsid w:val="00933469"/>
    <w:rsid w:val="00934742"/>
    <w:rsid w:val="0093551B"/>
    <w:rsid w:val="009355BF"/>
    <w:rsid w:val="00936766"/>
    <w:rsid w:val="009371B2"/>
    <w:rsid w:val="00937369"/>
    <w:rsid w:val="00937AEB"/>
    <w:rsid w:val="00940412"/>
    <w:rsid w:val="009408D3"/>
    <w:rsid w:val="00941B39"/>
    <w:rsid w:val="00943083"/>
    <w:rsid w:val="009435F4"/>
    <w:rsid w:val="00943F6E"/>
    <w:rsid w:val="00943F93"/>
    <w:rsid w:val="00943FB0"/>
    <w:rsid w:val="00944C2A"/>
    <w:rsid w:val="00945499"/>
    <w:rsid w:val="0094622A"/>
    <w:rsid w:val="0094702C"/>
    <w:rsid w:val="009506F4"/>
    <w:rsid w:val="009506FA"/>
    <w:rsid w:val="0095299A"/>
    <w:rsid w:val="00953109"/>
    <w:rsid w:val="00954A3D"/>
    <w:rsid w:val="00957236"/>
    <w:rsid w:val="00957A4D"/>
    <w:rsid w:val="00960DBA"/>
    <w:rsid w:val="009610AC"/>
    <w:rsid w:val="0096263D"/>
    <w:rsid w:val="00964C9F"/>
    <w:rsid w:val="00964DBC"/>
    <w:rsid w:val="00965D49"/>
    <w:rsid w:val="00966E05"/>
    <w:rsid w:val="00967504"/>
    <w:rsid w:val="0097027C"/>
    <w:rsid w:val="00973407"/>
    <w:rsid w:val="0097453F"/>
    <w:rsid w:val="00974747"/>
    <w:rsid w:val="0097641E"/>
    <w:rsid w:val="00977AA0"/>
    <w:rsid w:val="00977C74"/>
    <w:rsid w:val="00980E07"/>
    <w:rsid w:val="009812AE"/>
    <w:rsid w:val="009822A7"/>
    <w:rsid w:val="00983F47"/>
    <w:rsid w:val="00984ADF"/>
    <w:rsid w:val="009853FA"/>
    <w:rsid w:val="0098548C"/>
    <w:rsid w:val="00985AEB"/>
    <w:rsid w:val="00986CA6"/>
    <w:rsid w:val="00986DCB"/>
    <w:rsid w:val="00987B6D"/>
    <w:rsid w:val="00990A04"/>
    <w:rsid w:val="0099171F"/>
    <w:rsid w:val="00991BF7"/>
    <w:rsid w:val="0099272A"/>
    <w:rsid w:val="00993519"/>
    <w:rsid w:val="0099484F"/>
    <w:rsid w:val="00994D39"/>
    <w:rsid w:val="00994E87"/>
    <w:rsid w:val="00995488"/>
    <w:rsid w:val="00996246"/>
    <w:rsid w:val="0099679D"/>
    <w:rsid w:val="009968ED"/>
    <w:rsid w:val="00997039"/>
    <w:rsid w:val="00997BC5"/>
    <w:rsid w:val="009A0191"/>
    <w:rsid w:val="009A01F5"/>
    <w:rsid w:val="009A1E5C"/>
    <w:rsid w:val="009A392A"/>
    <w:rsid w:val="009A48C2"/>
    <w:rsid w:val="009A5DEE"/>
    <w:rsid w:val="009A7468"/>
    <w:rsid w:val="009B04E3"/>
    <w:rsid w:val="009B0CA3"/>
    <w:rsid w:val="009B24F5"/>
    <w:rsid w:val="009B347E"/>
    <w:rsid w:val="009B3B50"/>
    <w:rsid w:val="009B3F9A"/>
    <w:rsid w:val="009B70B6"/>
    <w:rsid w:val="009B7217"/>
    <w:rsid w:val="009B7822"/>
    <w:rsid w:val="009C181F"/>
    <w:rsid w:val="009C1E75"/>
    <w:rsid w:val="009C2332"/>
    <w:rsid w:val="009C2975"/>
    <w:rsid w:val="009C3C0E"/>
    <w:rsid w:val="009C5E2B"/>
    <w:rsid w:val="009C7386"/>
    <w:rsid w:val="009C7A0F"/>
    <w:rsid w:val="009C7DB0"/>
    <w:rsid w:val="009D0643"/>
    <w:rsid w:val="009D09AD"/>
    <w:rsid w:val="009D1E5D"/>
    <w:rsid w:val="009D4FB2"/>
    <w:rsid w:val="009D4FF0"/>
    <w:rsid w:val="009D5300"/>
    <w:rsid w:val="009D79E5"/>
    <w:rsid w:val="009E18EA"/>
    <w:rsid w:val="009E1AEE"/>
    <w:rsid w:val="009E2F4C"/>
    <w:rsid w:val="009E3545"/>
    <w:rsid w:val="009E36AB"/>
    <w:rsid w:val="009E480E"/>
    <w:rsid w:val="009E48C0"/>
    <w:rsid w:val="009E498B"/>
    <w:rsid w:val="009E5BD0"/>
    <w:rsid w:val="009E6261"/>
    <w:rsid w:val="009E7447"/>
    <w:rsid w:val="009F000E"/>
    <w:rsid w:val="009F0DE6"/>
    <w:rsid w:val="009F0E79"/>
    <w:rsid w:val="009F1852"/>
    <w:rsid w:val="009F2182"/>
    <w:rsid w:val="009F3365"/>
    <w:rsid w:val="009F47A0"/>
    <w:rsid w:val="009F4E46"/>
    <w:rsid w:val="009F5BC0"/>
    <w:rsid w:val="009F6501"/>
    <w:rsid w:val="009F71D9"/>
    <w:rsid w:val="009F7FC1"/>
    <w:rsid w:val="00A0007F"/>
    <w:rsid w:val="00A0013D"/>
    <w:rsid w:val="00A0163A"/>
    <w:rsid w:val="00A01C90"/>
    <w:rsid w:val="00A026B0"/>
    <w:rsid w:val="00A02914"/>
    <w:rsid w:val="00A0446A"/>
    <w:rsid w:val="00A04492"/>
    <w:rsid w:val="00A05720"/>
    <w:rsid w:val="00A05EC7"/>
    <w:rsid w:val="00A0616B"/>
    <w:rsid w:val="00A10139"/>
    <w:rsid w:val="00A110F7"/>
    <w:rsid w:val="00A112A4"/>
    <w:rsid w:val="00A12815"/>
    <w:rsid w:val="00A14DB2"/>
    <w:rsid w:val="00A14EC1"/>
    <w:rsid w:val="00A15E44"/>
    <w:rsid w:val="00A164DD"/>
    <w:rsid w:val="00A1EA50"/>
    <w:rsid w:val="00A213DB"/>
    <w:rsid w:val="00A218B0"/>
    <w:rsid w:val="00A21B01"/>
    <w:rsid w:val="00A220E8"/>
    <w:rsid w:val="00A22141"/>
    <w:rsid w:val="00A233FD"/>
    <w:rsid w:val="00A24D80"/>
    <w:rsid w:val="00A27658"/>
    <w:rsid w:val="00A30A2D"/>
    <w:rsid w:val="00A3153C"/>
    <w:rsid w:val="00A344BA"/>
    <w:rsid w:val="00A35C38"/>
    <w:rsid w:val="00A3605C"/>
    <w:rsid w:val="00A4070A"/>
    <w:rsid w:val="00A41BE1"/>
    <w:rsid w:val="00A41F01"/>
    <w:rsid w:val="00A42BE8"/>
    <w:rsid w:val="00A43395"/>
    <w:rsid w:val="00A44F10"/>
    <w:rsid w:val="00A45FC7"/>
    <w:rsid w:val="00A46B20"/>
    <w:rsid w:val="00A5014B"/>
    <w:rsid w:val="00A5125D"/>
    <w:rsid w:val="00A529A1"/>
    <w:rsid w:val="00A538F2"/>
    <w:rsid w:val="00A55E30"/>
    <w:rsid w:val="00A604C1"/>
    <w:rsid w:val="00A60924"/>
    <w:rsid w:val="00A610A3"/>
    <w:rsid w:val="00A615C4"/>
    <w:rsid w:val="00A62B23"/>
    <w:rsid w:val="00A633AC"/>
    <w:rsid w:val="00A66DC5"/>
    <w:rsid w:val="00A705AB"/>
    <w:rsid w:val="00A70D5C"/>
    <w:rsid w:val="00A71403"/>
    <w:rsid w:val="00A759E4"/>
    <w:rsid w:val="00A75BA8"/>
    <w:rsid w:val="00A75F66"/>
    <w:rsid w:val="00A76359"/>
    <w:rsid w:val="00A7747D"/>
    <w:rsid w:val="00A77981"/>
    <w:rsid w:val="00A80973"/>
    <w:rsid w:val="00A8188A"/>
    <w:rsid w:val="00A831F7"/>
    <w:rsid w:val="00A8397C"/>
    <w:rsid w:val="00A84B5D"/>
    <w:rsid w:val="00A852DA"/>
    <w:rsid w:val="00A85322"/>
    <w:rsid w:val="00A863E0"/>
    <w:rsid w:val="00A87AC7"/>
    <w:rsid w:val="00A87F72"/>
    <w:rsid w:val="00A90A21"/>
    <w:rsid w:val="00A91EE9"/>
    <w:rsid w:val="00A922E6"/>
    <w:rsid w:val="00A922F1"/>
    <w:rsid w:val="00A92752"/>
    <w:rsid w:val="00A96659"/>
    <w:rsid w:val="00AA0EA2"/>
    <w:rsid w:val="00AA13DD"/>
    <w:rsid w:val="00AA18BD"/>
    <w:rsid w:val="00AA3B26"/>
    <w:rsid w:val="00AA3C46"/>
    <w:rsid w:val="00AA5673"/>
    <w:rsid w:val="00AA6AF6"/>
    <w:rsid w:val="00AA7110"/>
    <w:rsid w:val="00AB158C"/>
    <w:rsid w:val="00AB28B4"/>
    <w:rsid w:val="00AB3A05"/>
    <w:rsid w:val="00AB5224"/>
    <w:rsid w:val="00AB56CC"/>
    <w:rsid w:val="00AB5D0F"/>
    <w:rsid w:val="00AB6037"/>
    <w:rsid w:val="00AB6456"/>
    <w:rsid w:val="00AB6A1B"/>
    <w:rsid w:val="00AB7CBF"/>
    <w:rsid w:val="00AC14E4"/>
    <w:rsid w:val="00AC1F8B"/>
    <w:rsid w:val="00AC3502"/>
    <w:rsid w:val="00AC40E7"/>
    <w:rsid w:val="00AC4A5A"/>
    <w:rsid w:val="00AC4A68"/>
    <w:rsid w:val="00AD03A1"/>
    <w:rsid w:val="00AD19E5"/>
    <w:rsid w:val="00AD301C"/>
    <w:rsid w:val="00AD3EC5"/>
    <w:rsid w:val="00AD5966"/>
    <w:rsid w:val="00AD7474"/>
    <w:rsid w:val="00AD7DA5"/>
    <w:rsid w:val="00AE01F3"/>
    <w:rsid w:val="00AE086C"/>
    <w:rsid w:val="00AE1425"/>
    <w:rsid w:val="00AE242B"/>
    <w:rsid w:val="00AE28C2"/>
    <w:rsid w:val="00AE321A"/>
    <w:rsid w:val="00AE33D9"/>
    <w:rsid w:val="00AE3F5E"/>
    <w:rsid w:val="00AE4558"/>
    <w:rsid w:val="00AE5DA5"/>
    <w:rsid w:val="00AF0539"/>
    <w:rsid w:val="00AF47A2"/>
    <w:rsid w:val="00AF5C28"/>
    <w:rsid w:val="00AF760D"/>
    <w:rsid w:val="00B00002"/>
    <w:rsid w:val="00B00823"/>
    <w:rsid w:val="00B00854"/>
    <w:rsid w:val="00B030A7"/>
    <w:rsid w:val="00B03EAA"/>
    <w:rsid w:val="00B05CA6"/>
    <w:rsid w:val="00B06344"/>
    <w:rsid w:val="00B07293"/>
    <w:rsid w:val="00B117DC"/>
    <w:rsid w:val="00B11CEB"/>
    <w:rsid w:val="00B14ADF"/>
    <w:rsid w:val="00B14F1E"/>
    <w:rsid w:val="00B15003"/>
    <w:rsid w:val="00B159E2"/>
    <w:rsid w:val="00B17900"/>
    <w:rsid w:val="00B204B5"/>
    <w:rsid w:val="00B221FA"/>
    <w:rsid w:val="00B222FA"/>
    <w:rsid w:val="00B22881"/>
    <w:rsid w:val="00B229B5"/>
    <w:rsid w:val="00B236E9"/>
    <w:rsid w:val="00B24827"/>
    <w:rsid w:val="00B25689"/>
    <w:rsid w:val="00B27804"/>
    <w:rsid w:val="00B302E0"/>
    <w:rsid w:val="00B3049D"/>
    <w:rsid w:val="00B32658"/>
    <w:rsid w:val="00B32F01"/>
    <w:rsid w:val="00B33FBF"/>
    <w:rsid w:val="00B35D3A"/>
    <w:rsid w:val="00B40603"/>
    <w:rsid w:val="00B41947"/>
    <w:rsid w:val="00B42685"/>
    <w:rsid w:val="00B426FA"/>
    <w:rsid w:val="00B42D38"/>
    <w:rsid w:val="00B4393B"/>
    <w:rsid w:val="00B43FD4"/>
    <w:rsid w:val="00B44F95"/>
    <w:rsid w:val="00B45851"/>
    <w:rsid w:val="00B45EEE"/>
    <w:rsid w:val="00B469F1"/>
    <w:rsid w:val="00B46BC0"/>
    <w:rsid w:val="00B475CB"/>
    <w:rsid w:val="00B507CC"/>
    <w:rsid w:val="00B50AD4"/>
    <w:rsid w:val="00B50B97"/>
    <w:rsid w:val="00B50BCF"/>
    <w:rsid w:val="00B534EB"/>
    <w:rsid w:val="00B55A67"/>
    <w:rsid w:val="00B55B4C"/>
    <w:rsid w:val="00B55B87"/>
    <w:rsid w:val="00B61506"/>
    <w:rsid w:val="00B61F91"/>
    <w:rsid w:val="00B63390"/>
    <w:rsid w:val="00B63436"/>
    <w:rsid w:val="00B637D6"/>
    <w:rsid w:val="00B65D86"/>
    <w:rsid w:val="00B65F46"/>
    <w:rsid w:val="00B671E6"/>
    <w:rsid w:val="00B7260A"/>
    <w:rsid w:val="00B73B75"/>
    <w:rsid w:val="00B74367"/>
    <w:rsid w:val="00B756C0"/>
    <w:rsid w:val="00B75896"/>
    <w:rsid w:val="00B75D42"/>
    <w:rsid w:val="00B77B35"/>
    <w:rsid w:val="00B801AE"/>
    <w:rsid w:val="00B80C63"/>
    <w:rsid w:val="00B81C9E"/>
    <w:rsid w:val="00B824F2"/>
    <w:rsid w:val="00B82E26"/>
    <w:rsid w:val="00B8582B"/>
    <w:rsid w:val="00B858ED"/>
    <w:rsid w:val="00B85D82"/>
    <w:rsid w:val="00B86F08"/>
    <w:rsid w:val="00B90A0A"/>
    <w:rsid w:val="00B91D81"/>
    <w:rsid w:val="00B93BD7"/>
    <w:rsid w:val="00BA11DD"/>
    <w:rsid w:val="00BA193C"/>
    <w:rsid w:val="00BA4606"/>
    <w:rsid w:val="00BA5177"/>
    <w:rsid w:val="00BA5D5B"/>
    <w:rsid w:val="00BA5FDE"/>
    <w:rsid w:val="00BA66BA"/>
    <w:rsid w:val="00BA6968"/>
    <w:rsid w:val="00BA7604"/>
    <w:rsid w:val="00BB008A"/>
    <w:rsid w:val="00BB02F6"/>
    <w:rsid w:val="00BB182B"/>
    <w:rsid w:val="00BB2712"/>
    <w:rsid w:val="00BB2FBC"/>
    <w:rsid w:val="00BB6273"/>
    <w:rsid w:val="00BB6288"/>
    <w:rsid w:val="00BB6424"/>
    <w:rsid w:val="00BB6AFE"/>
    <w:rsid w:val="00BB6C46"/>
    <w:rsid w:val="00BB7A73"/>
    <w:rsid w:val="00BC1B0C"/>
    <w:rsid w:val="00BC41D8"/>
    <w:rsid w:val="00BD316F"/>
    <w:rsid w:val="00BD33D2"/>
    <w:rsid w:val="00BD6376"/>
    <w:rsid w:val="00BD74A0"/>
    <w:rsid w:val="00BE0F3C"/>
    <w:rsid w:val="00BE29CA"/>
    <w:rsid w:val="00BE55DD"/>
    <w:rsid w:val="00BF12C1"/>
    <w:rsid w:val="00BF276A"/>
    <w:rsid w:val="00BF2FE0"/>
    <w:rsid w:val="00BF3DB5"/>
    <w:rsid w:val="00BF4183"/>
    <w:rsid w:val="00C02BE6"/>
    <w:rsid w:val="00C03D59"/>
    <w:rsid w:val="00C053F8"/>
    <w:rsid w:val="00C0580D"/>
    <w:rsid w:val="00C070D1"/>
    <w:rsid w:val="00C0719D"/>
    <w:rsid w:val="00C11E48"/>
    <w:rsid w:val="00C12BEC"/>
    <w:rsid w:val="00C135A7"/>
    <w:rsid w:val="00C13F2C"/>
    <w:rsid w:val="00C1500F"/>
    <w:rsid w:val="00C17172"/>
    <w:rsid w:val="00C171F8"/>
    <w:rsid w:val="00C20259"/>
    <w:rsid w:val="00C20DFE"/>
    <w:rsid w:val="00C265CE"/>
    <w:rsid w:val="00C30504"/>
    <w:rsid w:val="00C30BC6"/>
    <w:rsid w:val="00C3192E"/>
    <w:rsid w:val="00C31D3A"/>
    <w:rsid w:val="00C34244"/>
    <w:rsid w:val="00C3549B"/>
    <w:rsid w:val="00C354E2"/>
    <w:rsid w:val="00C41634"/>
    <w:rsid w:val="00C417B6"/>
    <w:rsid w:val="00C420FE"/>
    <w:rsid w:val="00C4371B"/>
    <w:rsid w:val="00C4427E"/>
    <w:rsid w:val="00C44B00"/>
    <w:rsid w:val="00C45ECD"/>
    <w:rsid w:val="00C462EE"/>
    <w:rsid w:val="00C4632F"/>
    <w:rsid w:val="00C5122D"/>
    <w:rsid w:val="00C512B9"/>
    <w:rsid w:val="00C51BDF"/>
    <w:rsid w:val="00C53FFB"/>
    <w:rsid w:val="00C561BF"/>
    <w:rsid w:val="00C56396"/>
    <w:rsid w:val="00C564AB"/>
    <w:rsid w:val="00C57513"/>
    <w:rsid w:val="00C57C06"/>
    <w:rsid w:val="00C624BD"/>
    <w:rsid w:val="00C62776"/>
    <w:rsid w:val="00C6305F"/>
    <w:rsid w:val="00C6458F"/>
    <w:rsid w:val="00C64BEA"/>
    <w:rsid w:val="00C677A6"/>
    <w:rsid w:val="00C70576"/>
    <w:rsid w:val="00C72B0F"/>
    <w:rsid w:val="00C75798"/>
    <w:rsid w:val="00C75ACD"/>
    <w:rsid w:val="00C75F55"/>
    <w:rsid w:val="00C7603E"/>
    <w:rsid w:val="00C77173"/>
    <w:rsid w:val="00C778A8"/>
    <w:rsid w:val="00C817E8"/>
    <w:rsid w:val="00C81A3B"/>
    <w:rsid w:val="00C8234A"/>
    <w:rsid w:val="00C82A93"/>
    <w:rsid w:val="00C82B8A"/>
    <w:rsid w:val="00C82C02"/>
    <w:rsid w:val="00C837E9"/>
    <w:rsid w:val="00C855DF"/>
    <w:rsid w:val="00C86806"/>
    <w:rsid w:val="00C86927"/>
    <w:rsid w:val="00C86D89"/>
    <w:rsid w:val="00C87040"/>
    <w:rsid w:val="00C87E03"/>
    <w:rsid w:val="00C915F2"/>
    <w:rsid w:val="00C916FD"/>
    <w:rsid w:val="00C91A4E"/>
    <w:rsid w:val="00C92591"/>
    <w:rsid w:val="00C92F2B"/>
    <w:rsid w:val="00C93B3E"/>
    <w:rsid w:val="00C93D04"/>
    <w:rsid w:val="00C93E87"/>
    <w:rsid w:val="00C94644"/>
    <w:rsid w:val="00C94F3C"/>
    <w:rsid w:val="00C951B5"/>
    <w:rsid w:val="00C954DA"/>
    <w:rsid w:val="00C9568D"/>
    <w:rsid w:val="00C964E4"/>
    <w:rsid w:val="00C96EED"/>
    <w:rsid w:val="00C97AF1"/>
    <w:rsid w:val="00CA0260"/>
    <w:rsid w:val="00CA0959"/>
    <w:rsid w:val="00CA0B1D"/>
    <w:rsid w:val="00CA165E"/>
    <w:rsid w:val="00CA2AA7"/>
    <w:rsid w:val="00CA3578"/>
    <w:rsid w:val="00CA36E8"/>
    <w:rsid w:val="00CA6201"/>
    <w:rsid w:val="00CB0371"/>
    <w:rsid w:val="00CB0550"/>
    <w:rsid w:val="00CB0859"/>
    <w:rsid w:val="00CB1C45"/>
    <w:rsid w:val="00CB1C75"/>
    <w:rsid w:val="00CB30C2"/>
    <w:rsid w:val="00CB38E7"/>
    <w:rsid w:val="00CB4503"/>
    <w:rsid w:val="00CB4EBA"/>
    <w:rsid w:val="00CB5F63"/>
    <w:rsid w:val="00CB6E5E"/>
    <w:rsid w:val="00CB789B"/>
    <w:rsid w:val="00CB79BD"/>
    <w:rsid w:val="00CB7FF7"/>
    <w:rsid w:val="00CC1383"/>
    <w:rsid w:val="00CC2A5F"/>
    <w:rsid w:val="00CC2C57"/>
    <w:rsid w:val="00CC51E6"/>
    <w:rsid w:val="00CC7C78"/>
    <w:rsid w:val="00CC7F62"/>
    <w:rsid w:val="00CD1B39"/>
    <w:rsid w:val="00CD22C2"/>
    <w:rsid w:val="00CD22FB"/>
    <w:rsid w:val="00CD2DC3"/>
    <w:rsid w:val="00CD548D"/>
    <w:rsid w:val="00CD5A49"/>
    <w:rsid w:val="00CD7B4F"/>
    <w:rsid w:val="00CE232A"/>
    <w:rsid w:val="00CE2845"/>
    <w:rsid w:val="00CE2CB7"/>
    <w:rsid w:val="00CE3404"/>
    <w:rsid w:val="00CE3522"/>
    <w:rsid w:val="00CE37E2"/>
    <w:rsid w:val="00CF0687"/>
    <w:rsid w:val="00CF3DFD"/>
    <w:rsid w:val="00CF479F"/>
    <w:rsid w:val="00CF549E"/>
    <w:rsid w:val="00CF55F5"/>
    <w:rsid w:val="00CF655B"/>
    <w:rsid w:val="00D00577"/>
    <w:rsid w:val="00D02904"/>
    <w:rsid w:val="00D03B11"/>
    <w:rsid w:val="00D0405E"/>
    <w:rsid w:val="00D044F0"/>
    <w:rsid w:val="00D0513C"/>
    <w:rsid w:val="00D06395"/>
    <w:rsid w:val="00D06D0C"/>
    <w:rsid w:val="00D078BE"/>
    <w:rsid w:val="00D10D42"/>
    <w:rsid w:val="00D10FD9"/>
    <w:rsid w:val="00D118ED"/>
    <w:rsid w:val="00D13F8A"/>
    <w:rsid w:val="00D13FD3"/>
    <w:rsid w:val="00D142C8"/>
    <w:rsid w:val="00D14563"/>
    <w:rsid w:val="00D149A2"/>
    <w:rsid w:val="00D2078C"/>
    <w:rsid w:val="00D2191B"/>
    <w:rsid w:val="00D21A98"/>
    <w:rsid w:val="00D21AAB"/>
    <w:rsid w:val="00D2329F"/>
    <w:rsid w:val="00D30580"/>
    <w:rsid w:val="00D30CB2"/>
    <w:rsid w:val="00D32584"/>
    <w:rsid w:val="00D34535"/>
    <w:rsid w:val="00D36C9B"/>
    <w:rsid w:val="00D36E6E"/>
    <w:rsid w:val="00D376A1"/>
    <w:rsid w:val="00D37F62"/>
    <w:rsid w:val="00D41021"/>
    <w:rsid w:val="00D41686"/>
    <w:rsid w:val="00D41AA6"/>
    <w:rsid w:val="00D4218F"/>
    <w:rsid w:val="00D4250C"/>
    <w:rsid w:val="00D43A60"/>
    <w:rsid w:val="00D43C45"/>
    <w:rsid w:val="00D45224"/>
    <w:rsid w:val="00D45AC6"/>
    <w:rsid w:val="00D47FCC"/>
    <w:rsid w:val="00D52903"/>
    <w:rsid w:val="00D542F9"/>
    <w:rsid w:val="00D551CE"/>
    <w:rsid w:val="00D5572E"/>
    <w:rsid w:val="00D55A8E"/>
    <w:rsid w:val="00D55F23"/>
    <w:rsid w:val="00D5624A"/>
    <w:rsid w:val="00D56A82"/>
    <w:rsid w:val="00D5702C"/>
    <w:rsid w:val="00D57CE7"/>
    <w:rsid w:val="00D6337C"/>
    <w:rsid w:val="00D65B8A"/>
    <w:rsid w:val="00D676F4"/>
    <w:rsid w:val="00D7063B"/>
    <w:rsid w:val="00D716D8"/>
    <w:rsid w:val="00D71ECC"/>
    <w:rsid w:val="00D75A6F"/>
    <w:rsid w:val="00D76638"/>
    <w:rsid w:val="00D769FB"/>
    <w:rsid w:val="00D76DCF"/>
    <w:rsid w:val="00D772D6"/>
    <w:rsid w:val="00D77454"/>
    <w:rsid w:val="00D80519"/>
    <w:rsid w:val="00D80921"/>
    <w:rsid w:val="00D80B99"/>
    <w:rsid w:val="00D80BB1"/>
    <w:rsid w:val="00D811A9"/>
    <w:rsid w:val="00D81336"/>
    <w:rsid w:val="00D82C50"/>
    <w:rsid w:val="00D83055"/>
    <w:rsid w:val="00D83B28"/>
    <w:rsid w:val="00D8663E"/>
    <w:rsid w:val="00D8758D"/>
    <w:rsid w:val="00D90122"/>
    <w:rsid w:val="00D90967"/>
    <w:rsid w:val="00D918D5"/>
    <w:rsid w:val="00D91DB7"/>
    <w:rsid w:val="00D92EE5"/>
    <w:rsid w:val="00D92FE7"/>
    <w:rsid w:val="00D94172"/>
    <w:rsid w:val="00D941C0"/>
    <w:rsid w:val="00D9559E"/>
    <w:rsid w:val="00D96A40"/>
    <w:rsid w:val="00D9775E"/>
    <w:rsid w:val="00DA1A4E"/>
    <w:rsid w:val="00DA1F94"/>
    <w:rsid w:val="00DA3FD6"/>
    <w:rsid w:val="00DA5667"/>
    <w:rsid w:val="00DA56F5"/>
    <w:rsid w:val="00DA6183"/>
    <w:rsid w:val="00DA704A"/>
    <w:rsid w:val="00DA78F4"/>
    <w:rsid w:val="00DB00B6"/>
    <w:rsid w:val="00DB0803"/>
    <w:rsid w:val="00DB1744"/>
    <w:rsid w:val="00DB1862"/>
    <w:rsid w:val="00DB2726"/>
    <w:rsid w:val="00DB4944"/>
    <w:rsid w:val="00DB6F69"/>
    <w:rsid w:val="00DB7798"/>
    <w:rsid w:val="00DC002D"/>
    <w:rsid w:val="00DC1992"/>
    <w:rsid w:val="00DC24BB"/>
    <w:rsid w:val="00DC2D3B"/>
    <w:rsid w:val="00DC409E"/>
    <w:rsid w:val="00DC4768"/>
    <w:rsid w:val="00DC5D9B"/>
    <w:rsid w:val="00DC62E7"/>
    <w:rsid w:val="00DC6595"/>
    <w:rsid w:val="00DC691B"/>
    <w:rsid w:val="00DC70E7"/>
    <w:rsid w:val="00DD01C6"/>
    <w:rsid w:val="00DD032C"/>
    <w:rsid w:val="00DD15F7"/>
    <w:rsid w:val="00DD2620"/>
    <w:rsid w:val="00DD2783"/>
    <w:rsid w:val="00DD30B9"/>
    <w:rsid w:val="00DD4107"/>
    <w:rsid w:val="00DD678C"/>
    <w:rsid w:val="00DE315E"/>
    <w:rsid w:val="00DE6165"/>
    <w:rsid w:val="00DE7782"/>
    <w:rsid w:val="00DE7C9B"/>
    <w:rsid w:val="00DF0832"/>
    <w:rsid w:val="00DF19BA"/>
    <w:rsid w:val="00DF24CE"/>
    <w:rsid w:val="00DF264F"/>
    <w:rsid w:val="00DF373A"/>
    <w:rsid w:val="00DF48E6"/>
    <w:rsid w:val="00E0071D"/>
    <w:rsid w:val="00E01021"/>
    <w:rsid w:val="00E018A2"/>
    <w:rsid w:val="00E023A5"/>
    <w:rsid w:val="00E029C6"/>
    <w:rsid w:val="00E02FCA"/>
    <w:rsid w:val="00E07FAB"/>
    <w:rsid w:val="00E107DB"/>
    <w:rsid w:val="00E134AE"/>
    <w:rsid w:val="00E136C2"/>
    <w:rsid w:val="00E13D4B"/>
    <w:rsid w:val="00E14F59"/>
    <w:rsid w:val="00E15F01"/>
    <w:rsid w:val="00E1670C"/>
    <w:rsid w:val="00E2084B"/>
    <w:rsid w:val="00E21299"/>
    <w:rsid w:val="00E2301B"/>
    <w:rsid w:val="00E2373D"/>
    <w:rsid w:val="00E254AD"/>
    <w:rsid w:val="00E26DDE"/>
    <w:rsid w:val="00E2719A"/>
    <w:rsid w:val="00E27B8F"/>
    <w:rsid w:val="00E31B94"/>
    <w:rsid w:val="00E336E1"/>
    <w:rsid w:val="00E33B82"/>
    <w:rsid w:val="00E33DF6"/>
    <w:rsid w:val="00E34172"/>
    <w:rsid w:val="00E34530"/>
    <w:rsid w:val="00E34AFA"/>
    <w:rsid w:val="00E35D26"/>
    <w:rsid w:val="00E36A5C"/>
    <w:rsid w:val="00E36DD7"/>
    <w:rsid w:val="00E373B5"/>
    <w:rsid w:val="00E37E3E"/>
    <w:rsid w:val="00E40997"/>
    <w:rsid w:val="00E40C54"/>
    <w:rsid w:val="00E40D3F"/>
    <w:rsid w:val="00E4136F"/>
    <w:rsid w:val="00E4173A"/>
    <w:rsid w:val="00E419D7"/>
    <w:rsid w:val="00E4235E"/>
    <w:rsid w:val="00E423AD"/>
    <w:rsid w:val="00E42B98"/>
    <w:rsid w:val="00E42FCD"/>
    <w:rsid w:val="00E43FCF"/>
    <w:rsid w:val="00E44161"/>
    <w:rsid w:val="00E44D02"/>
    <w:rsid w:val="00E464ED"/>
    <w:rsid w:val="00E508C9"/>
    <w:rsid w:val="00E51535"/>
    <w:rsid w:val="00E530B1"/>
    <w:rsid w:val="00E53562"/>
    <w:rsid w:val="00E538BF"/>
    <w:rsid w:val="00E53D3F"/>
    <w:rsid w:val="00E54562"/>
    <w:rsid w:val="00E54F68"/>
    <w:rsid w:val="00E552A7"/>
    <w:rsid w:val="00E5595D"/>
    <w:rsid w:val="00E5767E"/>
    <w:rsid w:val="00E61D1B"/>
    <w:rsid w:val="00E62951"/>
    <w:rsid w:val="00E658B1"/>
    <w:rsid w:val="00E65903"/>
    <w:rsid w:val="00E65CE6"/>
    <w:rsid w:val="00E671FF"/>
    <w:rsid w:val="00E706CD"/>
    <w:rsid w:val="00E706FE"/>
    <w:rsid w:val="00E71A71"/>
    <w:rsid w:val="00E7353E"/>
    <w:rsid w:val="00E74593"/>
    <w:rsid w:val="00E74709"/>
    <w:rsid w:val="00E74803"/>
    <w:rsid w:val="00E75672"/>
    <w:rsid w:val="00E764EA"/>
    <w:rsid w:val="00E7677E"/>
    <w:rsid w:val="00E76D50"/>
    <w:rsid w:val="00E8108E"/>
    <w:rsid w:val="00E81779"/>
    <w:rsid w:val="00E8226F"/>
    <w:rsid w:val="00E82837"/>
    <w:rsid w:val="00E83062"/>
    <w:rsid w:val="00E8333B"/>
    <w:rsid w:val="00E83F0C"/>
    <w:rsid w:val="00E8482F"/>
    <w:rsid w:val="00E8538A"/>
    <w:rsid w:val="00E85580"/>
    <w:rsid w:val="00E8620B"/>
    <w:rsid w:val="00E875F1"/>
    <w:rsid w:val="00E909D6"/>
    <w:rsid w:val="00E90EDB"/>
    <w:rsid w:val="00E9127F"/>
    <w:rsid w:val="00E934D1"/>
    <w:rsid w:val="00E93A18"/>
    <w:rsid w:val="00E93C05"/>
    <w:rsid w:val="00E947E7"/>
    <w:rsid w:val="00E966D4"/>
    <w:rsid w:val="00E96B8D"/>
    <w:rsid w:val="00E97380"/>
    <w:rsid w:val="00EA06F2"/>
    <w:rsid w:val="00EA125A"/>
    <w:rsid w:val="00EA12A7"/>
    <w:rsid w:val="00EA1354"/>
    <w:rsid w:val="00EA43F7"/>
    <w:rsid w:val="00EA56C8"/>
    <w:rsid w:val="00EA5EF3"/>
    <w:rsid w:val="00EA7A27"/>
    <w:rsid w:val="00EA7AFB"/>
    <w:rsid w:val="00EA7BAC"/>
    <w:rsid w:val="00EB0DD2"/>
    <w:rsid w:val="00EB22C4"/>
    <w:rsid w:val="00EB3036"/>
    <w:rsid w:val="00EB4A62"/>
    <w:rsid w:val="00EB5B10"/>
    <w:rsid w:val="00EB7DE9"/>
    <w:rsid w:val="00EC1EF8"/>
    <w:rsid w:val="00EC4B21"/>
    <w:rsid w:val="00EC4F58"/>
    <w:rsid w:val="00EC5177"/>
    <w:rsid w:val="00EC5D1D"/>
    <w:rsid w:val="00EC611B"/>
    <w:rsid w:val="00EC6AE4"/>
    <w:rsid w:val="00EC70C3"/>
    <w:rsid w:val="00ED0150"/>
    <w:rsid w:val="00ED16B6"/>
    <w:rsid w:val="00ED189D"/>
    <w:rsid w:val="00ED6925"/>
    <w:rsid w:val="00ED74C3"/>
    <w:rsid w:val="00EE0414"/>
    <w:rsid w:val="00EE1AF0"/>
    <w:rsid w:val="00EE2E85"/>
    <w:rsid w:val="00EE2EFE"/>
    <w:rsid w:val="00EE3836"/>
    <w:rsid w:val="00EE69C6"/>
    <w:rsid w:val="00EF0C22"/>
    <w:rsid w:val="00EF2936"/>
    <w:rsid w:val="00EF29DD"/>
    <w:rsid w:val="00EF5225"/>
    <w:rsid w:val="00EF59FD"/>
    <w:rsid w:val="00EF703D"/>
    <w:rsid w:val="00EF7376"/>
    <w:rsid w:val="00F02AEC"/>
    <w:rsid w:val="00F033BE"/>
    <w:rsid w:val="00F04310"/>
    <w:rsid w:val="00F048CA"/>
    <w:rsid w:val="00F05501"/>
    <w:rsid w:val="00F0568A"/>
    <w:rsid w:val="00F06656"/>
    <w:rsid w:val="00F07EF9"/>
    <w:rsid w:val="00F103BB"/>
    <w:rsid w:val="00F10A0A"/>
    <w:rsid w:val="00F1177A"/>
    <w:rsid w:val="00F12D49"/>
    <w:rsid w:val="00F12D5D"/>
    <w:rsid w:val="00F13091"/>
    <w:rsid w:val="00F13990"/>
    <w:rsid w:val="00F13FEF"/>
    <w:rsid w:val="00F14007"/>
    <w:rsid w:val="00F17069"/>
    <w:rsid w:val="00F179DF"/>
    <w:rsid w:val="00F203E9"/>
    <w:rsid w:val="00F21BB5"/>
    <w:rsid w:val="00F239B7"/>
    <w:rsid w:val="00F23B07"/>
    <w:rsid w:val="00F258A8"/>
    <w:rsid w:val="00F258E0"/>
    <w:rsid w:val="00F25D21"/>
    <w:rsid w:val="00F2705D"/>
    <w:rsid w:val="00F30817"/>
    <w:rsid w:val="00F3083E"/>
    <w:rsid w:val="00F3140E"/>
    <w:rsid w:val="00F32081"/>
    <w:rsid w:val="00F33636"/>
    <w:rsid w:val="00F37079"/>
    <w:rsid w:val="00F41EC8"/>
    <w:rsid w:val="00F420D7"/>
    <w:rsid w:val="00F42ABA"/>
    <w:rsid w:val="00F441D9"/>
    <w:rsid w:val="00F443D5"/>
    <w:rsid w:val="00F45977"/>
    <w:rsid w:val="00F45B14"/>
    <w:rsid w:val="00F47940"/>
    <w:rsid w:val="00F507FF"/>
    <w:rsid w:val="00F50B19"/>
    <w:rsid w:val="00F51EEB"/>
    <w:rsid w:val="00F5245E"/>
    <w:rsid w:val="00F52C50"/>
    <w:rsid w:val="00F52DBF"/>
    <w:rsid w:val="00F53761"/>
    <w:rsid w:val="00F53DAE"/>
    <w:rsid w:val="00F56824"/>
    <w:rsid w:val="00F56D93"/>
    <w:rsid w:val="00F57320"/>
    <w:rsid w:val="00F6220D"/>
    <w:rsid w:val="00F62AC9"/>
    <w:rsid w:val="00F65977"/>
    <w:rsid w:val="00F65CE8"/>
    <w:rsid w:val="00F66953"/>
    <w:rsid w:val="00F66E27"/>
    <w:rsid w:val="00F67E46"/>
    <w:rsid w:val="00F70337"/>
    <w:rsid w:val="00F7180E"/>
    <w:rsid w:val="00F71E67"/>
    <w:rsid w:val="00F71E75"/>
    <w:rsid w:val="00F7224F"/>
    <w:rsid w:val="00F73AE1"/>
    <w:rsid w:val="00F741F1"/>
    <w:rsid w:val="00F7453A"/>
    <w:rsid w:val="00F75371"/>
    <w:rsid w:val="00F75CED"/>
    <w:rsid w:val="00F75DFB"/>
    <w:rsid w:val="00F76ED1"/>
    <w:rsid w:val="00F774D1"/>
    <w:rsid w:val="00F77D71"/>
    <w:rsid w:val="00F77F9B"/>
    <w:rsid w:val="00F82DDA"/>
    <w:rsid w:val="00F83154"/>
    <w:rsid w:val="00F8526C"/>
    <w:rsid w:val="00F85C21"/>
    <w:rsid w:val="00F85DED"/>
    <w:rsid w:val="00F862DA"/>
    <w:rsid w:val="00F86711"/>
    <w:rsid w:val="00F8793E"/>
    <w:rsid w:val="00F87DDD"/>
    <w:rsid w:val="00F93DBA"/>
    <w:rsid w:val="00F94CCC"/>
    <w:rsid w:val="00F973F6"/>
    <w:rsid w:val="00FA0F4F"/>
    <w:rsid w:val="00FA0F97"/>
    <w:rsid w:val="00FA49C3"/>
    <w:rsid w:val="00FA4BD5"/>
    <w:rsid w:val="00FA60D6"/>
    <w:rsid w:val="00FA7EE5"/>
    <w:rsid w:val="00FB355B"/>
    <w:rsid w:val="00FB38DD"/>
    <w:rsid w:val="00FB4038"/>
    <w:rsid w:val="00FB6C3B"/>
    <w:rsid w:val="00FC1671"/>
    <w:rsid w:val="00FC2876"/>
    <w:rsid w:val="00FC348F"/>
    <w:rsid w:val="00FC4429"/>
    <w:rsid w:val="00FC4DF3"/>
    <w:rsid w:val="00FC5C4A"/>
    <w:rsid w:val="00FC78D2"/>
    <w:rsid w:val="00FC7CDD"/>
    <w:rsid w:val="00FD0841"/>
    <w:rsid w:val="00FD1079"/>
    <w:rsid w:val="00FD11C1"/>
    <w:rsid w:val="00FD1A6B"/>
    <w:rsid w:val="00FD31A9"/>
    <w:rsid w:val="00FD36B5"/>
    <w:rsid w:val="00FD6F6C"/>
    <w:rsid w:val="00FE096F"/>
    <w:rsid w:val="00FE291B"/>
    <w:rsid w:val="00FF027F"/>
    <w:rsid w:val="00FF052E"/>
    <w:rsid w:val="00FF0AD4"/>
    <w:rsid w:val="00FF0C0E"/>
    <w:rsid w:val="00FF19F7"/>
    <w:rsid w:val="00FF2314"/>
    <w:rsid w:val="00FF2B74"/>
    <w:rsid w:val="00FF3915"/>
    <w:rsid w:val="00FF3E41"/>
    <w:rsid w:val="00FF4CA1"/>
    <w:rsid w:val="00FF4DA8"/>
    <w:rsid w:val="00FF6701"/>
    <w:rsid w:val="00FF7175"/>
    <w:rsid w:val="00FF7318"/>
    <w:rsid w:val="00FF7B79"/>
    <w:rsid w:val="020A595E"/>
    <w:rsid w:val="03C71848"/>
    <w:rsid w:val="06610B0D"/>
    <w:rsid w:val="06EA74A4"/>
    <w:rsid w:val="07352DCC"/>
    <w:rsid w:val="07678251"/>
    <w:rsid w:val="07AEE613"/>
    <w:rsid w:val="0887EF66"/>
    <w:rsid w:val="09AD0FCD"/>
    <w:rsid w:val="0A95DC1C"/>
    <w:rsid w:val="0B873088"/>
    <w:rsid w:val="0DAB7365"/>
    <w:rsid w:val="0E81C68F"/>
    <w:rsid w:val="0E98904D"/>
    <w:rsid w:val="0F2FE396"/>
    <w:rsid w:val="13287794"/>
    <w:rsid w:val="152844B1"/>
    <w:rsid w:val="16FC052A"/>
    <w:rsid w:val="1A62F6CC"/>
    <w:rsid w:val="1B4062D5"/>
    <w:rsid w:val="1EDE107F"/>
    <w:rsid w:val="1EFBFC3F"/>
    <w:rsid w:val="21292FDE"/>
    <w:rsid w:val="2394CE13"/>
    <w:rsid w:val="23A7EB99"/>
    <w:rsid w:val="23C96B9E"/>
    <w:rsid w:val="23DBBF3A"/>
    <w:rsid w:val="246104AA"/>
    <w:rsid w:val="2779E781"/>
    <w:rsid w:val="28B0AEBA"/>
    <w:rsid w:val="29A90919"/>
    <w:rsid w:val="2A8D41BA"/>
    <w:rsid w:val="2B77D6D2"/>
    <w:rsid w:val="2C8EF4F4"/>
    <w:rsid w:val="2CE757A0"/>
    <w:rsid w:val="2CE942C8"/>
    <w:rsid w:val="2DB16858"/>
    <w:rsid w:val="2DC36C5B"/>
    <w:rsid w:val="30218A3B"/>
    <w:rsid w:val="377024CC"/>
    <w:rsid w:val="37E77654"/>
    <w:rsid w:val="39578FEB"/>
    <w:rsid w:val="3CF55B99"/>
    <w:rsid w:val="3D248234"/>
    <w:rsid w:val="3D861523"/>
    <w:rsid w:val="3F0668FB"/>
    <w:rsid w:val="3FBA9237"/>
    <w:rsid w:val="4222EBC0"/>
    <w:rsid w:val="44ADB879"/>
    <w:rsid w:val="46AFAFC0"/>
    <w:rsid w:val="47151139"/>
    <w:rsid w:val="479ACDBF"/>
    <w:rsid w:val="481E8BAD"/>
    <w:rsid w:val="490460A5"/>
    <w:rsid w:val="4A079E34"/>
    <w:rsid w:val="4A4F143A"/>
    <w:rsid w:val="4C126F15"/>
    <w:rsid w:val="4C4D0355"/>
    <w:rsid w:val="4E53F3C8"/>
    <w:rsid w:val="4EF877C2"/>
    <w:rsid w:val="514C1421"/>
    <w:rsid w:val="514C6418"/>
    <w:rsid w:val="5243FF7C"/>
    <w:rsid w:val="52966B92"/>
    <w:rsid w:val="53A4AE72"/>
    <w:rsid w:val="53ACC228"/>
    <w:rsid w:val="554A0075"/>
    <w:rsid w:val="557F8D39"/>
    <w:rsid w:val="56E74BF9"/>
    <w:rsid w:val="574FA226"/>
    <w:rsid w:val="57680E4E"/>
    <w:rsid w:val="578392E9"/>
    <w:rsid w:val="57C80D6B"/>
    <w:rsid w:val="582EC937"/>
    <w:rsid w:val="5A1461A7"/>
    <w:rsid w:val="5A1DE946"/>
    <w:rsid w:val="5A876A13"/>
    <w:rsid w:val="5BABCA84"/>
    <w:rsid w:val="5BAEAA1E"/>
    <w:rsid w:val="5EAD8E58"/>
    <w:rsid w:val="5ECFB282"/>
    <w:rsid w:val="610D3DA6"/>
    <w:rsid w:val="617FA414"/>
    <w:rsid w:val="6227FB55"/>
    <w:rsid w:val="62BB5680"/>
    <w:rsid w:val="642CA7EE"/>
    <w:rsid w:val="657B5ACD"/>
    <w:rsid w:val="6996F7F8"/>
    <w:rsid w:val="6A8C7FE8"/>
    <w:rsid w:val="6AB37B9A"/>
    <w:rsid w:val="6CC74E01"/>
    <w:rsid w:val="6D9ED1B8"/>
    <w:rsid w:val="6EB598ED"/>
    <w:rsid w:val="70489DD5"/>
    <w:rsid w:val="7117B6BC"/>
    <w:rsid w:val="73002FE6"/>
    <w:rsid w:val="737E163D"/>
    <w:rsid w:val="73A1B117"/>
    <w:rsid w:val="742A3EF4"/>
    <w:rsid w:val="7435FCDF"/>
    <w:rsid w:val="751EFF08"/>
    <w:rsid w:val="75B4E9F1"/>
    <w:rsid w:val="772D1502"/>
    <w:rsid w:val="7779F868"/>
    <w:rsid w:val="77942944"/>
    <w:rsid w:val="78246269"/>
    <w:rsid w:val="78DC92C0"/>
    <w:rsid w:val="7AADD019"/>
    <w:rsid w:val="7B7899E0"/>
    <w:rsid w:val="7D84C83F"/>
    <w:rsid w:val="7E33A785"/>
    <w:rsid w:val="7EB2B5EE"/>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6B0EC1"/>
  <w15:chartTrackingRefBased/>
  <w15:docId w15:val="{737D103A-3A2E-4927-AC55-AD21E83F7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AU"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2"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FCC"/>
    <w:rPr>
      <w:rFonts w:ascii="Arial" w:hAnsi="Arial"/>
    </w:rPr>
  </w:style>
  <w:style w:type="paragraph" w:styleId="Heading1">
    <w:name w:val="heading 1"/>
    <w:basedOn w:val="Normal"/>
    <w:next w:val="Normal"/>
    <w:link w:val="Heading1Char"/>
    <w:uiPriority w:val="9"/>
    <w:qFormat/>
    <w:rsid w:val="004647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647AA"/>
    <w:pPr>
      <w:keepNext/>
      <w:keepLines/>
      <w:spacing w:before="480" w:line="240" w:lineRule="atLeast"/>
      <w:outlineLvl w:val="1"/>
    </w:pPr>
    <w:rPr>
      <w:rFonts w:eastAsia="Times New Roman" w:cs="Times New Roman"/>
      <w:b/>
      <w:bCs/>
      <w:color w:val="001871"/>
      <w:sz w:val="38"/>
      <w:szCs w:val="38"/>
    </w:rPr>
  </w:style>
  <w:style w:type="paragraph" w:styleId="Heading3">
    <w:name w:val="heading 3"/>
    <w:basedOn w:val="Normal"/>
    <w:next w:val="Normal"/>
    <w:link w:val="Heading3Char"/>
    <w:autoRedefine/>
    <w:qFormat/>
    <w:rsid w:val="004647AA"/>
    <w:pPr>
      <w:keepNext/>
      <w:keepLines/>
      <w:spacing w:before="480" w:line="240" w:lineRule="atLeast"/>
      <w:outlineLvl w:val="2"/>
    </w:pPr>
    <w:rPr>
      <w:rFonts w:eastAsia="Times New Roman" w:cs="Times New Roman"/>
      <w:b/>
      <w:bCs/>
      <w:color w:val="001871"/>
      <w:sz w:val="32"/>
      <w:szCs w:val="32"/>
    </w:rPr>
  </w:style>
  <w:style w:type="paragraph" w:styleId="Heading4">
    <w:name w:val="heading 4"/>
    <w:basedOn w:val="Normal"/>
    <w:next w:val="Normal"/>
    <w:link w:val="Heading4Char"/>
    <w:autoRedefine/>
    <w:qFormat/>
    <w:rsid w:val="00BA11DD"/>
    <w:pPr>
      <w:keepNext/>
      <w:keepLines/>
      <w:spacing w:before="360" w:line="240" w:lineRule="atLeast"/>
      <w:outlineLvl w:val="3"/>
    </w:pPr>
    <w:rPr>
      <w:rFonts w:eastAsia="Cambria" w:cs="Times New Roman"/>
      <w:bCs/>
      <w:color w:val="001871"/>
      <w:sz w:val="28"/>
      <w:szCs w:val="26"/>
    </w:rPr>
  </w:style>
  <w:style w:type="paragraph" w:styleId="Heading5">
    <w:name w:val="heading 5"/>
    <w:basedOn w:val="Normal"/>
    <w:next w:val="Normal"/>
    <w:link w:val="Heading5Char"/>
    <w:autoRedefine/>
    <w:uiPriority w:val="9"/>
    <w:rsid w:val="004647AA"/>
    <w:pPr>
      <w:keepNext/>
      <w:keepLines/>
      <w:spacing w:before="240" w:line="240" w:lineRule="atLeast"/>
      <w:outlineLvl w:val="4"/>
    </w:pPr>
    <w:rPr>
      <w:rFonts w:eastAsia="Times New Roman" w:cs="Times New Roman"/>
      <w:bCs/>
      <w:i/>
      <w:color w:val="001871"/>
      <w:sz w:val="26"/>
      <w:szCs w:val="26"/>
    </w:rPr>
  </w:style>
  <w:style w:type="paragraph" w:styleId="Heading6">
    <w:name w:val="heading 6"/>
    <w:basedOn w:val="Normal"/>
    <w:next w:val="Normal"/>
    <w:link w:val="Heading6Char"/>
    <w:autoRedefine/>
    <w:uiPriority w:val="9"/>
    <w:rsid w:val="004647AA"/>
    <w:pPr>
      <w:keepNext/>
      <w:keepLines/>
      <w:spacing w:before="240" w:line="240" w:lineRule="atLeast"/>
      <w:outlineLvl w:val="5"/>
    </w:pPr>
    <w:rPr>
      <w:rFonts w:eastAsia="Times New Roman" w:cs="Times New Roman"/>
      <w:bCs/>
      <w:color w:val="001871"/>
      <w:sz w:val="24"/>
      <w:szCs w:val="21"/>
    </w:rPr>
  </w:style>
  <w:style w:type="paragraph" w:styleId="Heading7">
    <w:name w:val="heading 7"/>
    <w:basedOn w:val="Normal"/>
    <w:next w:val="Normal"/>
    <w:link w:val="Heading7Char"/>
    <w:uiPriority w:val="9"/>
    <w:rsid w:val="00685E72"/>
    <w:pPr>
      <w:keepNext/>
      <w:keepLines/>
      <w:spacing w:before="240" w:after="60" w:line="180" w:lineRule="atLeast"/>
      <w:ind w:left="1296" w:hanging="1296"/>
      <w:outlineLvl w:val="6"/>
    </w:pPr>
    <w:rPr>
      <w:rFonts w:ascii="Cambria" w:eastAsia="Times New Roman" w:hAnsi="Cambria" w:cs="Times New Roman"/>
      <w:bCs/>
      <w:i/>
      <w:szCs w:val="22"/>
    </w:rPr>
  </w:style>
  <w:style w:type="paragraph" w:styleId="Heading8">
    <w:name w:val="heading 8"/>
    <w:basedOn w:val="Normal"/>
    <w:next w:val="Normal"/>
    <w:link w:val="Heading8Char"/>
    <w:autoRedefine/>
    <w:uiPriority w:val="9"/>
    <w:semiHidden/>
    <w:unhideWhenUsed/>
    <w:qFormat/>
    <w:rsid w:val="00520CD5"/>
    <w:pPr>
      <w:keepNext/>
      <w:keepLines/>
      <w:spacing w:before="200" w:after="0" w:line="240" w:lineRule="atLeast"/>
      <w:ind w:left="1440" w:hanging="1440"/>
      <w:outlineLvl w:val="7"/>
    </w:pPr>
    <w:rPr>
      <w:rFonts w:eastAsiaTheme="majorEastAsia" w:cstheme="majorBidi"/>
    </w:rPr>
  </w:style>
  <w:style w:type="paragraph" w:styleId="Heading9">
    <w:name w:val="heading 9"/>
    <w:basedOn w:val="Normal"/>
    <w:next w:val="Normal"/>
    <w:link w:val="Heading9Char"/>
    <w:uiPriority w:val="9"/>
    <w:semiHidden/>
    <w:unhideWhenUsed/>
    <w:qFormat/>
    <w:rsid w:val="00685E72"/>
    <w:pPr>
      <w:keepNext/>
      <w:keepLines/>
      <w:spacing w:before="200" w:after="0" w:line="240" w:lineRule="atLeast"/>
      <w:ind w:left="1584" w:hanging="1584"/>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TGAblue2023">
    <w:name w:val="Table TGA blue 2023"/>
    <w:basedOn w:val="TableNormal"/>
    <w:uiPriority w:val="99"/>
    <w:qFormat/>
    <w:rsid w:val="004647AA"/>
    <w:pPr>
      <w:spacing w:before="80" w:after="40" w:line="264" w:lineRule="auto"/>
      <w:ind w:left="113"/>
    </w:pPr>
    <w:rPr>
      <w:rFonts w:ascii="Arial" w:eastAsia="Cambria" w:hAnsi="Arial" w:cs="Times New Roman"/>
      <w:color w:val="000000"/>
      <w:sz w:val="18"/>
      <w:szCs w:val="21"/>
      <w:lang w:eastAsia="en-AU"/>
    </w:rPr>
    <w:tblPr>
      <w:tblBorders>
        <w:top w:val="single" w:sz="4" w:space="0" w:color="263287"/>
        <w:left w:val="single" w:sz="4" w:space="0" w:color="263287"/>
        <w:bottom w:val="single" w:sz="4" w:space="0" w:color="263287"/>
        <w:right w:val="single" w:sz="4" w:space="0" w:color="263287"/>
        <w:insideH w:val="single" w:sz="4" w:space="0" w:color="263287"/>
        <w:insideV w:val="single" w:sz="4" w:space="0" w:color="263287"/>
      </w:tblBorders>
    </w:tblPr>
    <w:tcPr>
      <w:shd w:val="clear" w:color="auto" w:fill="FFFFFF" w:themeFill="background1"/>
    </w:tcPr>
    <w:tblStylePr w:type="firstRow">
      <w:pPr>
        <w:keepNext/>
        <w:wordWrap/>
      </w:pPr>
      <w:rPr>
        <w:rFonts w:ascii="Arial" w:hAnsi="Arial"/>
        <w:b/>
        <w:color w:val="263287"/>
        <w:sz w:val="22"/>
      </w:rPr>
      <w:tblPr/>
      <w:trPr>
        <w:tblHeader/>
      </w:trPr>
      <w:tcPr>
        <w:shd w:val="clear" w:color="auto" w:fill="B8CCEA"/>
      </w:tcPr>
    </w:tblStylePr>
    <w:tblStylePr w:type="firstCol">
      <w:pPr>
        <w:keepNext w:val="0"/>
        <w:wordWrap/>
      </w:pPr>
    </w:tblStylePr>
  </w:style>
  <w:style w:type="character" w:customStyle="1" w:styleId="Heading2Char">
    <w:name w:val="Heading 2 Char"/>
    <w:basedOn w:val="DefaultParagraphFont"/>
    <w:link w:val="Heading2"/>
    <w:rsid w:val="004647AA"/>
    <w:rPr>
      <w:rFonts w:ascii="Arial" w:eastAsia="Times New Roman" w:hAnsi="Arial" w:cs="Times New Roman"/>
      <w:b/>
      <w:bCs/>
      <w:color w:val="001871"/>
      <w:sz w:val="38"/>
      <w:szCs w:val="38"/>
    </w:rPr>
  </w:style>
  <w:style w:type="character" w:customStyle="1" w:styleId="Heading3Char">
    <w:name w:val="Heading 3 Char"/>
    <w:basedOn w:val="DefaultParagraphFont"/>
    <w:link w:val="Heading3"/>
    <w:rsid w:val="004647AA"/>
    <w:rPr>
      <w:rFonts w:ascii="Arial" w:eastAsia="Times New Roman" w:hAnsi="Arial" w:cs="Times New Roman"/>
      <w:b/>
      <w:bCs/>
      <w:color w:val="001871"/>
      <w:sz w:val="32"/>
      <w:szCs w:val="32"/>
    </w:rPr>
  </w:style>
  <w:style w:type="character" w:customStyle="1" w:styleId="Heading4Char">
    <w:name w:val="Heading 4 Char"/>
    <w:basedOn w:val="DefaultParagraphFont"/>
    <w:link w:val="Heading4"/>
    <w:rsid w:val="00BA11DD"/>
    <w:rPr>
      <w:rFonts w:ascii="Arial" w:eastAsia="Cambria" w:hAnsi="Arial" w:cs="Times New Roman"/>
      <w:bCs/>
      <w:color w:val="001871"/>
      <w:sz w:val="28"/>
      <w:szCs w:val="26"/>
    </w:rPr>
  </w:style>
  <w:style w:type="character" w:customStyle="1" w:styleId="Heading5Char">
    <w:name w:val="Heading 5 Char"/>
    <w:basedOn w:val="DefaultParagraphFont"/>
    <w:link w:val="Heading5"/>
    <w:uiPriority w:val="9"/>
    <w:rsid w:val="004647AA"/>
    <w:rPr>
      <w:rFonts w:ascii="Arial" w:eastAsia="Times New Roman" w:hAnsi="Arial" w:cs="Times New Roman"/>
      <w:bCs/>
      <w:i/>
      <w:color w:val="001871"/>
      <w:sz w:val="26"/>
      <w:szCs w:val="26"/>
    </w:rPr>
  </w:style>
  <w:style w:type="character" w:customStyle="1" w:styleId="Heading6Char">
    <w:name w:val="Heading 6 Char"/>
    <w:basedOn w:val="DefaultParagraphFont"/>
    <w:link w:val="Heading6"/>
    <w:uiPriority w:val="9"/>
    <w:rsid w:val="004647AA"/>
    <w:rPr>
      <w:rFonts w:ascii="Arial" w:eastAsia="Times New Roman" w:hAnsi="Arial" w:cs="Times New Roman"/>
      <w:bCs/>
      <w:color w:val="001871"/>
      <w:sz w:val="24"/>
      <w:szCs w:val="21"/>
    </w:rPr>
  </w:style>
  <w:style w:type="paragraph" w:styleId="Date">
    <w:name w:val="Date"/>
    <w:basedOn w:val="Normal"/>
    <w:next w:val="Normal"/>
    <w:link w:val="DateChar"/>
    <w:uiPriority w:val="99"/>
    <w:rsid w:val="004647AA"/>
    <w:pPr>
      <w:spacing w:before="120" w:after="0" w:line="240" w:lineRule="atLeast"/>
    </w:pPr>
    <w:rPr>
      <w:rFonts w:eastAsia="Cambria" w:cs="Times New Roman"/>
      <w:color w:val="333F4A"/>
      <w:sz w:val="28"/>
    </w:rPr>
  </w:style>
  <w:style w:type="character" w:customStyle="1" w:styleId="DateChar">
    <w:name w:val="Date Char"/>
    <w:basedOn w:val="DefaultParagraphFont"/>
    <w:link w:val="Date"/>
    <w:uiPriority w:val="99"/>
    <w:rsid w:val="004647AA"/>
    <w:rPr>
      <w:rFonts w:ascii="Arial" w:eastAsia="Cambria" w:hAnsi="Arial" w:cs="Times New Roman"/>
      <w:color w:val="333F4A"/>
      <w:sz w:val="28"/>
    </w:rPr>
  </w:style>
  <w:style w:type="paragraph" w:styleId="Footer">
    <w:name w:val="footer"/>
    <w:basedOn w:val="Normal"/>
    <w:link w:val="FooterChar"/>
    <w:uiPriority w:val="99"/>
    <w:rsid w:val="004647AA"/>
    <w:pPr>
      <w:tabs>
        <w:tab w:val="center" w:pos="4513"/>
        <w:tab w:val="right" w:pos="9026"/>
      </w:tabs>
      <w:spacing w:after="0" w:line="240" w:lineRule="auto"/>
    </w:pPr>
    <w:rPr>
      <w:rFonts w:eastAsia="Cambria" w:cs="Times New Roman"/>
      <w:color w:val="333F4A"/>
      <w:sz w:val="17"/>
    </w:rPr>
  </w:style>
  <w:style w:type="character" w:customStyle="1" w:styleId="FooterChar">
    <w:name w:val="Footer Char"/>
    <w:basedOn w:val="DefaultParagraphFont"/>
    <w:link w:val="Footer"/>
    <w:uiPriority w:val="99"/>
    <w:rsid w:val="004647AA"/>
    <w:rPr>
      <w:rFonts w:ascii="Arial" w:eastAsia="Cambria" w:hAnsi="Arial" w:cs="Times New Roman"/>
      <w:color w:val="333F4A"/>
      <w:sz w:val="17"/>
    </w:rPr>
  </w:style>
  <w:style w:type="paragraph" w:styleId="Header">
    <w:name w:val="header"/>
    <w:basedOn w:val="Normal"/>
    <w:link w:val="HeaderChar"/>
    <w:uiPriority w:val="99"/>
    <w:rsid w:val="004647AA"/>
    <w:pPr>
      <w:pBdr>
        <w:bottom w:val="single" w:sz="4" w:space="3" w:color="auto"/>
      </w:pBdr>
      <w:tabs>
        <w:tab w:val="center" w:pos="4513"/>
        <w:tab w:val="right" w:pos="9026"/>
      </w:tabs>
      <w:spacing w:after="0" w:line="240" w:lineRule="auto"/>
      <w:jc w:val="right"/>
    </w:pPr>
    <w:rPr>
      <w:rFonts w:eastAsia="Cambria" w:cs="Times New Roman"/>
      <w:color w:val="333F4A"/>
      <w:sz w:val="17"/>
    </w:rPr>
  </w:style>
  <w:style w:type="character" w:customStyle="1" w:styleId="HeaderChar">
    <w:name w:val="Header Char"/>
    <w:basedOn w:val="DefaultParagraphFont"/>
    <w:link w:val="Header"/>
    <w:uiPriority w:val="99"/>
    <w:rsid w:val="004647AA"/>
    <w:rPr>
      <w:rFonts w:ascii="Arial" w:eastAsia="Cambria" w:hAnsi="Arial" w:cs="Times New Roman"/>
      <w:color w:val="333F4A"/>
      <w:sz w:val="17"/>
    </w:rPr>
  </w:style>
  <w:style w:type="character" w:styleId="Hyperlink">
    <w:name w:val="Hyperlink"/>
    <w:aliases w:val="OECD Hyperlink"/>
    <w:basedOn w:val="DefaultParagraphFont"/>
    <w:uiPriority w:val="99"/>
    <w:unhideWhenUsed/>
    <w:rsid w:val="004647AA"/>
    <w:rPr>
      <w:rFonts w:ascii="Arial" w:hAnsi="Arial"/>
      <w:color w:val="0000FF"/>
      <w:u w:val="single"/>
    </w:rPr>
  </w:style>
  <w:style w:type="paragraph" w:customStyle="1" w:styleId="LegalCopy">
    <w:name w:val="Legal Copy"/>
    <w:basedOn w:val="Footer"/>
    <w:rsid w:val="004647AA"/>
  </w:style>
  <w:style w:type="paragraph" w:customStyle="1" w:styleId="LegalSubheading">
    <w:name w:val="Legal Subheading"/>
    <w:basedOn w:val="Normal"/>
    <w:rsid w:val="004647AA"/>
    <w:pPr>
      <w:outlineLvl w:val="1"/>
    </w:pPr>
    <w:rPr>
      <w:sz w:val="17"/>
    </w:rPr>
  </w:style>
  <w:style w:type="paragraph" w:styleId="ListBullet">
    <w:name w:val="List Bullet"/>
    <w:basedOn w:val="Normal"/>
    <w:autoRedefine/>
    <w:uiPriority w:val="99"/>
    <w:qFormat/>
    <w:rsid w:val="00464CFC"/>
    <w:pPr>
      <w:numPr>
        <w:numId w:val="5"/>
      </w:numPr>
      <w:spacing w:before="120" w:after="180" w:line="240" w:lineRule="atLeast"/>
    </w:pPr>
    <w:rPr>
      <w:rFonts w:eastAsia="Cambria" w:cs="Times New Roman"/>
    </w:rPr>
  </w:style>
  <w:style w:type="paragraph" w:styleId="ListBullet2">
    <w:name w:val="List Bullet 2"/>
    <w:basedOn w:val="Normal"/>
    <w:uiPriority w:val="99"/>
    <w:qFormat/>
    <w:rsid w:val="004647AA"/>
    <w:pPr>
      <w:numPr>
        <w:ilvl w:val="1"/>
        <w:numId w:val="5"/>
      </w:numPr>
      <w:spacing w:before="120" w:after="180" w:line="240" w:lineRule="atLeast"/>
    </w:pPr>
    <w:rPr>
      <w:rFonts w:eastAsia="Cambria" w:cs="Times New Roman"/>
      <w:color w:val="333F48"/>
    </w:rPr>
  </w:style>
  <w:style w:type="paragraph" w:styleId="ListBullet3">
    <w:name w:val="List Bullet 3"/>
    <w:basedOn w:val="Normal"/>
    <w:uiPriority w:val="2"/>
    <w:qFormat/>
    <w:rsid w:val="004647AA"/>
    <w:pPr>
      <w:numPr>
        <w:numId w:val="7"/>
      </w:numPr>
      <w:spacing w:before="120" w:after="180" w:line="240" w:lineRule="atLeast"/>
    </w:pPr>
    <w:rPr>
      <w:rFonts w:eastAsia="Cambria" w:cs="Times New Roman"/>
      <w:color w:val="333F48"/>
    </w:rPr>
  </w:style>
  <w:style w:type="numbering" w:customStyle="1" w:styleId="ListBullets">
    <w:name w:val="ListBullets"/>
    <w:uiPriority w:val="99"/>
    <w:locked/>
    <w:rsid w:val="004647AA"/>
    <w:pPr>
      <w:numPr>
        <w:numId w:val="5"/>
      </w:numPr>
    </w:pPr>
  </w:style>
  <w:style w:type="paragraph" w:customStyle="1" w:styleId="Numberbullet0">
    <w:name w:val="Number bullet"/>
    <w:basedOn w:val="ListBullet"/>
    <w:uiPriority w:val="3"/>
    <w:qFormat/>
    <w:rsid w:val="004647AA"/>
    <w:pPr>
      <w:numPr>
        <w:numId w:val="10"/>
      </w:numPr>
    </w:pPr>
  </w:style>
  <w:style w:type="paragraph" w:customStyle="1" w:styleId="Numberbullet2">
    <w:name w:val="Number bullet 2"/>
    <w:basedOn w:val="ListBullet2"/>
    <w:uiPriority w:val="3"/>
    <w:qFormat/>
    <w:rsid w:val="004647AA"/>
    <w:pPr>
      <w:numPr>
        <w:numId w:val="10"/>
      </w:numPr>
    </w:pPr>
  </w:style>
  <w:style w:type="paragraph" w:customStyle="1" w:styleId="Numberbullet3">
    <w:name w:val="Number bullet 3"/>
    <w:basedOn w:val="Normal"/>
    <w:uiPriority w:val="3"/>
    <w:qFormat/>
    <w:rsid w:val="004647AA"/>
    <w:pPr>
      <w:numPr>
        <w:numId w:val="9"/>
      </w:numPr>
      <w:spacing w:before="120" w:after="180" w:line="240" w:lineRule="atLeast"/>
    </w:pPr>
    <w:rPr>
      <w:rFonts w:eastAsia="Cambria" w:cs="Times New Roman"/>
      <w:color w:val="333F48"/>
    </w:rPr>
  </w:style>
  <w:style w:type="numbering" w:customStyle="1" w:styleId="NumberBullet">
    <w:name w:val="NumberBullet"/>
    <w:uiPriority w:val="99"/>
    <w:locked/>
    <w:rsid w:val="004647AA"/>
    <w:pPr>
      <w:numPr>
        <w:numId w:val="2"/>
      </w:numPr>
    </w:pPr>
  </w:style>
  <w:style w:type="paragraph" w:styleId="Subtitle">
    <w:name w:val="Subtitle"/>
    <w:basedOn w:val="Normal"/>
    <w:link w:val="SubtitleChar"/>
    <w:uiPriority w:val="11"/>
    <w:rsid w:val="004647AA"/>
    <w:pPr>
      <w:numPr>
        <w:ilvl w:val="1"/>
      </w:numPr>
      <w:spacing w:after="0" w:line="240" w:lineRule="atLeast"/>
      <w:ind w:left="170"/>
    </w:pPr>
    <w:rPr>
      <w:rFonts w:eastAsia="Times New Roman" w:cs="Times New Roman"/>
      <w:bCs/>
      <w:iCs/>
      <w:color w:val="006BA6"/>
      <w:sz w:val="40"/>
      <w:szCs w:val="24"/>
    </w:rPr>
  </w:style>
  <w:style w:type="character" w:customStyle="1" w:styleId="SubtitleChar">
    <w:name w:val="Subtitle Char"/>
    <w:basedOn w:val="DefaultParagraphFont"/>
    <w:link w:val="Subtitle"/>
    <w:uiPriority w:val="11"/>
    <w:rsid w:val="004647AA"/>
    <w:rPr>
      <w:rFonts w:ascii="Arial" w:eastAsia="Times New Roman" w:hAnsi="Arial" w:cs="Times New Roman"/>
      <w:bCs/>
      <w:iCs/>
      <w:color w:val="006BA6"/>
      <w:sz w:val="40"/>
      <w:szCs w:val="24"/>
    </w:rPr>
  </w:style>
  <w:style w:type="table" w:styleId="TableGrid">
    <w:name w:val="Table Grid"/>
    <w:basedOn w:val="TableNormal"/>
    <w:uiPriority w:val="59"/>
    <w:rsid w:val="004647AA"/>
    <w:pPr>
      <w:spacing w:after="0" w:line="240" w:lineRule="auto"/>
    </w:pPr>
    <w:rPr>
      <w:rFonts w:ascii="Cambria" w:eastAsia="Cambria" w:hAnsi="Cambria" w:cs="Times New Roman"/>
      <w:sz w:val="21"/>
      <w:szCs w:val="21"/>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GASignoff">
    <w:name w:val="TGA Signoff"/>
    <w:basedOn w:val="Normal"/>
    <w:rsid w:val="004647AA"/>
    <w:pPr>
      <w:spacing w:before="120" w:after="360" w:line="240" w:lineRule="atLeast"/>
      <w:jc w:val="center"/>
    </w:pPr>
    <w:rPr>
      <w:rFonts w:eastAsia="Cambria" w:cs="Times New Roman"/>
      <w:b/>
      <w:color w:val="333F48"/>
      <w:sz w:val="28"/>
    </w:rPr>
  </w:style>
  <w:style w:type="paragraph" w:styleId="Title">
    <w:name w:val="Title"/>
    <w:link w:val="TitleChar"/>
    <w:uiPriority w:val="10"/>
    <w:rsid w:val="004647AA"/>
    <w:pPr>
      <w:spacing w:line="240" w:lineRule="auto"/>
      <w:contextualSpacing/>
      <w:outlineLvl w:val="0"/>
    </w:pPr>
    <w:rPr>
      <w:rFonts w:ascii="Arial" w:eastAsia="Times New Roman" w:hAnsi="Arial" w:cs="Times New Roman"/>
      <w:color w:val="001871"/>
      <w:spacing w:val="5"/>
      <w:kern w:val="28"/>
      <w:sz w:val="52"/>
      <w:szCs w:val="52"/>
    </w:rPr>
  </w:style>
  <w:style w:type="character" w:customStyle="1" w:styleId="TitleChar">
    <w:name w:val="Title Char"/>
    <w:basedOn w:val="DefaultParagraphFont"/>
    <w:link w:val="Title"/>
    <w:uiPriority w:val="10"/>
    <w:rsid w:val="004647AA"/>
    <w:rPr>
      <w:rFonts w:ascii="Arial" w:eastAsia="Times New Roman" w:hAnsi="Arial" w:cs="Times New Roman"/>
      <w:color w:val="001871"/>
      <w:spacing w:val="5"/>
      <w:kern w:val="28"/>
      <w:sz w:val="52"/>
      <w:szCs w:val="52"/>
    </w:rPr>
  </w:style>
  <w:style w:type="paragraph" w:styleId="TOC1">
    <w:name w:val="toc 1"/>
    <w:basedOn w:val="Normal"/>
    <w:next w:val="Normal"/>
    <w:autoRedefine/>
    <w:uiPriority w:val="39"/>
    <w:unhideWhenUsed/>
    <w:rsid w:val="004647AA"/>
    <w:pPr>
      <w:keepNext/>
      <w:keepLines/>
      <w:tabs>
        <w:tab w:val="right" w:leader="underscore" w:pos="8505"/>
      </w:tabs>
      <w:spacing w:before="240" w:after="0" w:line="240" w:lineRule="atLeast"/>
    </w:pPr>
    <w:rPr>
      <w:rFonts w:eastAsia="Cambria" w:cs="Times New Roman"/>
      <w:b/>
      <w:color w:val="333F48"/>
      <w:sz w:val="32"/>
    </w:rPr>
  </w:style>
  <w:style w:type="paragraph" w:styleId="TOC2">
    <w:name w:val="toc 2"/>
    <w:basedOn w:val="Normal"/>
    <w:next w:val="Normal"/>
    <w:autoRedefine/>
    <w:uiPriority w:val="39"/>
    <w:unhideWhenUsed/>
    <w:rsid w:val="004647AA"/>
    <w:pPr>
      <w:keepNext/>
      <w:keepLines/>
      <w:tabs>
        <w:tab w:val="right" w:leader="underscore" w:pos="8505"/>
      </w:tabs>
      <w:spacing w:before="60" w:after="0" w:line="240" w:lineRule="atLeast"/>
      <w:ind w:left="425"/>
    </w:pPr>
    <w:rPr>
      <w:rFonts w:eastAsia="Cambria" w:cs="Times New Roman"/>
      <w:color w:val="333F48"/>
      <w:sz w:val="24"/>
    </w:rPr>
  </w:style>
  <w:style w:type="paragraph" w:styleId="TOC3">
    <w:name w:val="toc 3"/>
    <w:basedOn w:val="Normal"/>
    <w:next w:val="Normal"/>
    <w:autoRedefine/>
    <w:uiPriority w:val="39"/>
    <w:unhideWhenUsed/>
    <w:rsid w:val="004647AA"/>
    <w:pPr>
      <w:keepNext/>
      <w:keepLines/>
      <w:tabs>
        <w:tab w:val="right" w:leader="hyphen" w:pos="8505"/>
      </w:tabs>
      <w:spacing w:before="60" w:after="0" w:line="240" w:lineRule="atLeast"/>
      <w:ind w:left="851"/>
    </w:pPr>
    <w:rPr>
      <w:rFonts w:eastAsia="Cambria" w:cs="Times New Roman"/>
      <w:color w:val="333F48"/>
      <w:sz w:val="22"/>
    </w:rPr>
  </w:style>
  <w:style w:type="paragraph" w:styleId="FootnoteText">
    <w:name w:val="footnote text"/>
    <w:basedOn w:val="Normal"/>
    <w:link w:val="FootnoteTextChar"/>
    <w:rsid w:val="004647AA"/>
    <w:pPr>
      <w:keepLines/>
      <w:spacing w:after="0" w:line="240" w:lineRule="atLeast"/>
    </w:pPr>
    <w:rPr>
      <w:rFonts w:eastAsia="Cambria" w:cs="Times New Roman"/>
      <w:color w:val="333F48"/>
      <w:sz w:val="16"/>
    </w:rPr>
  </w:style>
  <w:style w:type="character" w:customStyle="1" w:styleId="FootnoteTextChar">
    <w:name w:val="Footnote Text Char"/>
    <w:basedOn w:val="DefaultParagraphFont"/>
    <w:link w:val="FootnoteText"/>
    <w:rsid w:val="004647AA"/>
    <w:rPr>
      <w:rFonts w:ascii="Arial" w:eastAsia="Cambria" w:hAnsi="Arial" w:cs="Times New Roman"/>
      <w:color w:val="333F48"/>
      <w:sz w:val="16"/>
    </w:rPr>
  </w:style>
  <w:style w:type="character" w:styleId="FootnoteReference">
    <w:name w:val="footnote reference"/>
    <w:basedOn w:val="DefaultParagraphFont"/>
    <w:unhideWhenUsed/>
    <w:rsid w:val="004647AA"/>
    <w:rPr>
      <w:vertAlign w:val="superscript"/>
    </w:rPr>
  </w:style>
  <w:style w:type="paragraph" w:customStyle="1" w:styleId="NonTOCheading2">
    <w:name w:val="Non TOC heading 2"/>
    <w:basedOn w:val="Normal"/>
    <w:next w:val="Normal"/>
    <w:rsid w:val="004647AA"/>
    <w:pPr>
      <w:keepNext/>
      <w:keepLines/>
      <w:pageBreakBefore/>
      <w:spacing w:after="180" w:line="240" w:lineRule="atLeast"/>
      <w:outlineLvl w:val="1"/>
    </w:pPr>
    <w:rPr>
      <w:rFonts w:eastAsia="Cambria" w:cs="Times New Roman"/>
      <w:b/>
      <w:color w:val="001871"/>
      <w:sz w:val="38"/>
    </w:rPr>
  </w:style>
  <w:style w:type="paragraph" w:customStyle="1" w:styleId="Headernoline">
    <w:name w:val="Header no line"/>
    <w:basedOn w:val="Header"/>
    <w:rsid w:val="004647AA"/>
    <w:pPr>
      <w:pBdr>
        <w:bottom w:val="none" w:sz="0" w:space="0" w:color="auto"/>
      </w:pBdr>
      <w:spacing w:line="240" w:lineRule="atLeast"/>
    </w:pPr>
  </w:style>
  <w:style w:type="paragraph" w:customStyle="1" w:styleId="Tabledescription">
    <w:name w:val="Table description"/>
    <w:basedOn w:val="Normal"/>
    <w:next w:val="Normal"/>
    <w:rsid w:val="004647AA"/>
    <w:pPr>
      <w:spacing w:before="120" w:after="240" w:line="180" w:lineRule="atLeast"/>
    </w:pPr>
    <w:rPr>
      <w:rFonts w:eastAsia="Cambria" w:cs="Times New Roman"/>
      <w:color w:val="333F48"/>
      <w:sz w:val="18"/>
    </w:rPr>
  </w:style>
  <w:style w:type="paragraph" w:customStyle="1" w:styleId="Tabletitle">
    <w:name w:val="Table title"/>
    <w:basedOn w:val="Normal"/>
    <w:next w:val="Normal"/>
    <w:rsid w:val="004647AA"/>
    <w:pPr>
      <w:keepNext/>
      <w:spacing w:before="120" w:after="180" w:line="240" w:lineRule="atLeast"/>
    </w:pPr>
    <w:rPr>
      <w:rFonts w:eastAsia="Cambria" w:cs="Times New Roman"/>
      <w:b/>
      <w:color w:val="333F48"/>
    </w:rPr>
  </w:style>
  <w:style w:type="paragraph" w:customStyle="1" w:styleId="Address">
    <w:name w:val="Address"/>
    <w:basedOn w:val="Normal"/>
    <w:rsid w:val="004647AA"/>
    <w:pPr>
      <w:spacing w:after="0" w:line="240" w:lineRule="auto"/>
    </w:pPr>
    <w:rPr>
      <w:rFonts w:eastAsia="Cambria" w:cs="Times New Roman"/>
      <w:color w:val="333F48"/>
      <w:sz w:val="21"/>
    </w:rPr>
  </w:style>
  <w:style w:type="paragraph" w:customStyle="1" w:styleId="ListBullet-dotick">
    <w:name w:val="List Bullet - do (tick)"/>
    <w:basedOn w:val="ListBullet"/>
    <w:autoRedefine/>
    <w:uiPriority w:val="1"/>
    <w:qFormat/>
    <w:rsid w:val="004647AA"/>
    <w:pPr>
      <w:tabs>
        <w:tab w:val="left" w:pos="425"/>
      </w:tabs>
    </w:pPr>
  </w:style>
  <w:style w:type="paragraph" w:customStyle="1" w:styleId="ListBullet-donotcross">
    <w:name w:val="List Bullet - do not (cross)"/>
    <w:basedOn w:val="ListBullet"/>
    <w:autoRedefine/>
    <w:uiPriority w:val="1"/>
    <w:qFormat/>
    <w:rsid w:val="004647AA"/>
    <w:pPr>
      <w:ind w:left="357" w:hanging="357"/>
    </w:pPr>
    <w:rPr>
      <w:rFonts w:eastAsiaTheme="minorHAnsi" w:cstheme="minorBidi"/>
      <w:szCs w:val="22"/>
    </w:rPr>
  </w:style>
  <w:style w:type="table" w:customStyle="1" w:styleId="TGABlack2023">
    <w:name w:val="TGA Black 2023"/>
    <w:basedOn w:val="TableTGAblue2023"/>
    <w:uiPriority w:val="99"/>
    <w:rsid w:val="004647AA"/>
    <w:pPr>
      <w:spacing w:line="240" w:lineRule="auto"/>
    </w:pPr>
    <w:tblPr>
      <w:tbl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insideH w:val="single" w:sz="4" w:space="0" w:color="0D0D0D" w:themeColor="text1" w:themeTint="F2"/>
        <w:insideV w:val="single" w:sz="4" w:space="0" w:color="0D0D0D" w:themeColor="text1" w:themeTint="F2"/>
      </w:tblBorders>
    </w:tblPr>
    <w:tblStylePr w:type="firstRow">
      <w:pPr>
        <w:keepNext/>
        <w:wordWrap/>
      </w:pPr>
      <w:rPr>
        <w:rFonts w:ascii="Arial" w:hAnsi="Arial"/>
        <w:b/>
        <w:color w:val="FFFFFF" w:themeColor="background1"/>
        <w:sz w:val="22"/>
      </w:rPr>
      <w:tblPr/>
      <w:trPr>
        <w:tblHeader/>
      </w:trPr>
      <w:tcPr>
        <w:shd w:val="clear" w:color="auto" w:fill="171717" w:themeFill="background2" w:themeFillShade="1A"/>
      </w:tcPr>
    </w:tblStylePr>
    <w:tblStylePr w:type="firstCol">
      <w:pPr>
        <w:keepNext w:val="0"/>
        <w:wordWrap/>
      </w:pPr>
    </w:tblStylePr>
  </w:style>
  <w:style w:type="character" w:customStyle="1" w:styleId="Heading1Char">
    <w:name w:val="Heading 1 Char"/>
    <w:basedOn w:val="DefaultParagraphFont"/>
    <w:link w:val="Heading1"/>
    <w:uiPriority w:val="9"/>
    <w:rsid w:val="004647AA"/>
    <w:rPr>
      <w:rFonts w:asciiTheme="majorHAnsi" w:eastAsiaTheme="majorEastAsia" w:hAnsiTheme="majorHAnsi" w:cstheme="majorBidi"/>
      <w:color w:val="2F5496" w:themeColor="accent1" w:themeShade="BF"/>
      <w:sz w:val="32"/>
      <w:szCs w:val="32"/>
    </w:rPr>
  </w:style>
  <w:style w:type="character" w:customStyle="1" w:styleId="Heading7Char">
    <w:name w:val="Heading 7 Char"/>
    <w:basedOn w:val="DefaultParagraphFont"/>
    <w:link w:val="Heading7"/>
    <w:uiPriority w:val="9"/>
    <w:rsid w:val="00685E72"/>
    <w:rPr>
      <w:rFonts w:ascii="Cambria" w:eastAsia="Times New Roman" w:hAnsi="Cambria" w:cs="Times New Roman"/>
      <w:bCs/>
      <w:i/>
      <w:sz w:val="22"/>
      <w:szCs w:val="22"/>
    </w:rPr>
  </w:style>
  <w:style w:type="character" w:customStyle="1" w:styleId="Heading8Char">
    <w:name w:val="Heading 8 Char"/>
    <w:basedOn w:val="DefaultParagraphFont"/>
    <w:link w:val="Heading8"/>
    <w:uiPriority w:val="9"/>
    <w:semiHidden/>
    <w:rsid w:val="00520CD5"/>
    <w:rPr>
      <w:rFonts w:ascii="Arial" w:eastAsiaTheme="majorEastAsia" w:hAnsi="Arial" w:cstheme="majorBidi"/>
      <w:color w:val="000000" w:themeColor="text1"/>
      <w:sz w:val="22"/>
    </w:rPr>
  </w:style>
  <w:style w:type="character" w:customStyle="1" w:styleId="Heading9Char">
    <w:name w:val="Heading 9 Char"/>
    <w:basedOn w:val="DefaultParagraphFont"/>
    <w:link w:val="Heading9"/>
    <w:uiPriority w:val="9"/>
    <w:semiHidden/>
    <w:rsid w:val="00685E72"/>
    <w:rPr>
      <w:rFonts w:asciiTheme="majorHAnsi" w:eastAsiaTheme="majorEastAsia" w:hAnsiTheme="majorHAnsi" w:cstheme="majorBidi"/>
      <w:i/>
      <w:iCs/>
      <w:color w:val="404040" w:themeColor="text1" w:themeTint="BF"/>
    </w:rPr>
  </w:style>
  <w:style w:type="paragraph" w:styleId="DocumentMap">
    <w:name w:val="Document Map"/>
    <w:basedOn w:val="Normal"/>
    <w:link w:val="DocumentMapChar"/>
    <w:uiPriority w:val="99"/>
    <w:semiHidden/>
    <w:unhideWhenUsed/>
    <w:rsid w:val="00685E72"/>
    <w:pPr>
      <w:spacing w:after="0" w:line="240" w:lineRule="auto"/>
    </w:pPr>
    <w:rPr>
      <w:rFonts w:ascii="Tahoma" w:eastAsia="Cambria" w:hAnsi="Tahoma" w:cs="Tahoma"/>
      <w:sz w:val="16"/>
      <w:szCs w:val="16"/>
    </w:rPr>
  </w:style>
  <w:style w:type="character" w:customStyle="1" w:styleId="DocumentMapChar">
    <w:name w:val="Document Map Char"/>
    <w:basedOn w:val="DefaultParagraphFont"/>
    <w:link w:val="DocumentMap"/>
    <w:uiPriority w:val="99"/>
    <w:semiHidden/>
    <w:rsid w:val="00685E72"/>
    <w:rPr>
      <w:rFonts w:ascii="Tahoma" w:eastAsia="Cambria" w:hAnsi="Tahoma" w:cs="Tahoma"/>
      <w:sz w:val="16"/>
      <w:szCs w:val="16"/>
    </w:rPr>
  </w:style>
  <w:style w:type="paragraph" w:styleId="BalloonText">
    <w:name w:val="Balloon Text"/>
    <w:basedOn w:val="Normal"/>
    <w:link w:val="BalloonTextChar"/>
    <w:uiPriority w:val="99"/>
    <w:semiHidden/>
    <w:unhideWhenUsed/>
    <w:rsid w:val="00685E72"/>
    <w:pPr>
      <w:spacing w:before="120" w:after="0" w:line="240" w:lineRule="atLeast"/>
    </w:pPr>
    <w:rPr>
      <w:rFonts w:ascii="Tahoma" w:eastAsia="Cambria" w:hAnsi="Tahoma" w:cs="Tahoma"/>
      <w:sz w:val="16"/>
      <w:szCs w:val="16"/>
    </w:rPr>
  </w:style>
  <w:style w:type="character" w:customStyle="1" w:styleId="BalloonTextChar">
    <w:name w:val="Balloon Text Char"/>
    <w:basedOn w:val="DefaultParagraphFont"/>
    <w:link w:val="BalloonText"/>
    <w:uiPriority w:val="99"/>
    <w:semiHidden/>
    <w:rsid w:val="00685E72"/>
    <w:rPr>
      <w:rFonts w:ascii="Tahoma" w:eastAsia="Cambria" w:hAnsi="Tahoma" w:cs="Tahoma"/>
      <w:sz w:val="16"/>
      <w:szCs w:val="16"/>
    </w:rPr>
  </w:style>
  <w:style w:type="paragraph" w:styleId="TOC4">
    <w:name w:val="toc 4"/>
    <w:basedOn w:val="Normal"/>
    <w:next w:val="Normal"/>
    <w:autoRedefine/>
    <w:uiPriority w:val="39"/>
    <w:semiHidden/>
    <w:unhideWhenUsed/>
    <w:rsid w:val="00685E72"/>
    <w:pPr>
      <w:tabs>
        <w:tab w:val="right" w:leader="hyphen" w:pos="8505"/>
      </w:tabs>
      <w:spacing w:before="120" w:after="100" w:line="240" w:lineRule="atLeast"/>
      <w:ind w:left="1276"/>
    </w:pPr>
    <w:rPr>
      <w:rFonts w:ascii="Cambria" w:eastAsia="Cambria" w:hAnsi="Cambria" w:cs="Times New Roman"/>
    </w:rPr>
  </w:style>
  <w:style w:type="paragraph" w:styleId="TOC5">
    <w:name w:val="toc 5"/>
    <w:basedOn w:val="Normal"/>
    <w:next w:val="Normal"/>
    <w:autoRedefine/>
    <w:uiPriority w:val="39"/>
    <w:semiHidden/>
    <w:unhideWhenUsed/>
    <w:rsid w:val="00685E72"/>
    <w:pPr>
      <w:tabs>
        <w:tab w:val="right" w:leader="dot" w:pos="8505"/>
      </w:tabs>
      <w:spacing w:before="120" w:after="100" w:line="240" w:lineRule="atLeast"/>
      <w:ind w:left="1701"/>
    </w:pPr>
    <w:rPr>
      <w:rFonts w:ascii="Cambria" w:eastAsia="Cambria" w:hAnsi="Cambria" w:cs="Times New Roman"/>
      <w:noProof/>
    </w:rPr>
  </w:style>
  <w:style w:type="paragraph" w:styleId="TOC6">
    <w:name w:val="toc 6"/>
    <w:basedOn w:val="Normal"/>
    <w:next w:val="Normal"/>
    <w:autoRedefine/>
    <w:uiPriority w:val="39"/>
    <w:semiHidden/>
    <w:unhideWhenUsed/>
    <w:rsid w:val="00685E72"/>
    <w:pPr>
      <w:tabs>
        <w:tab w:val="right" w:pos="8505"/>
      </w:tabs>
      <w:spacing w:before="120" w:after="100" w:line="240" w:lineRule="atLeast"/>
      <w:ind w:left="2126"/>
    </w:pPr>
    <w:rPr>
      <w:rFonts w:ascii="Cambria" w:eastAsia="Cambria" w:hAnsi="Cambria" w:cs="Times New Roman"/>
    </w:rPr>
  </w:style>
  <w:style w:type="paragraph" w:styleId="TOC7">
    <w:name w:val="toc 7"/>
    <w:basedOn w:val="Normal"/>
    <w:next w:val="Normal"/>
    <w:autoRedefine/>
    <w:uiPriority w:val="39"/>
    <w:semiHidden/>
    <w:unhideWhenUsed/>
    <w:rsid w:val="00685E72"/>
    <w:pPr>
      <w:spacing w:before="120" w:after="100" w:line="240" w:lineRule="atLeast"/>
      <w:ind w:left="2211"/>
    </w:pPr>
    <w:rPr>
      <w:rFonts w:ascii="Cambria" w:eastAsia="Cambria" w:hAnsi="Cambria" w:cs="Times New Roman"/>
    </w:rPr>
  </w:style>
  <w:style w:type="character" w:styleId="FollowedHyperlink">
    <w:name w:val="FollowedHyperlink"/>
    <w:basedOn w:val="DefaultParagraphFont"/>
    <w:semiHidden/>
    <w:unhideWhenUsed/>
    <w:rsid w:val="00685E72"/>
    <w:rPr>
      <w:color w:val="800080"/>
      <w:u w:val="single"/>
    </w:rPr>
  </w:style>
  <w:style w:type="paragraph" w:customStyle="1" w:styleId="HeaderNoLine0">
    <w:name w:val="Header No Line"/>
    <w:basedOn w:val="Header"/>
    <w:rsid w:val="00685E72"/>
    <w:pPr>
      <w:pBdr>
        <w:bottom w:val="none" w:sz="0" w:space="0" w:color="auto"/>
      </w:pBdr>
    </w:pPr>
    <w:rPr>
      <w:rFonts w:ascii="Cambria" w:hAnsi="Cambria"/>
      <w:color w:val="auto"/>
    </w:rPr>
  </w:style>
  <w:style w:type="table" w:styleId="LightShading-Accent2">
    <w:name w:val="Light Shading Accent 2"/>
    <w:basedOn w:val="TableNormal"/>
    <w:uiPriority w:val="60"/>
    <w:rsid w:val="00685E72"/>
    <w:pPr>
      <w:spacing w:after="0" w:line="240" w:lineRule="auto"/>
    </w:pPr>
    <w:rPr>
      <w:rFonts w:ascii="Cambria" w:eastAsia="Calibri" w:hAnsi="Cambria" w:cs="Times New Roman"/>
      <w:color w:val="943634"/>
      <w:sz w:val="21"/>
      <w:szCs w:val="21"/>
      <w:lang w:eastAsia="en-AU"/>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Grid2-Accent5">
    <w:name w:val="Medium Grid 2 Accent 5"/>
    <w:basedOn w:val="TableNormal"/>
    <w:uiPriority w:val="68"/>
    <w:rsid w:val="00685E72"/>
    <w:pPr>
      <w:spacing w:after="0" w:line="240" w:lineRule="auto"/>
    </w:pPr>
    <w:rPr>
      <w:rFonts w:ascii="Cambria" w:eastAsia="Times New Roman" w:hAnsi="Cambria" w:cs="Times New Roman"/>
      <w:color w:val="000000"/>
      <w:sz w:val="21"/>
      <w:szCs w:val="21"/>
      <w:lang w:eastAsia="en-AU"/>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character" w:styleId="PlaceholderText">
    <w:name w:val="Placeholder Text"/>
    <w:basedOn w:val="DefaultParagraphFont"/>
    <w:uiPriority w:val="99"/>
    <w:semiHidden/>
    <w:rsid w:val="004647AA"/>
    <w:rPr>
      <w:color w:val="808080"/>
    </w:rPr>
  </w:style>
  <w:style w:type="paragraph" w:customStyle="1" w:styleId="Reference">
    <w:name w:val="Reference"/>
    <w:basedOn w:val="Normal"/>
    <w:rsid w:val="00685E72"/>
    <w:pPr>
      <w:spacing w:before="40" w:after="0" w:line="240" w:lineRule="atLeast"/>
      <w:ind w:left="170" w:hanging="170"/>
    </w:pPr>
    <w:rPr>
      <w:rFonts w:ascii="Cambria" w:eastAsia="Cambria" w:hAnsi="Cambria" w:cs="Times New Roman"/>
      <w:sz w:val="19"/>
    </w:rPr>
  </w:style>
  <w:style w:type="paragraph" w:styleId="EndnoteText">
    <w:name w:val="endnote text"/>
    <w:basedOn w:val="FootnoteText"/>
    <w:link w:val="EndnoteTextChar"/>
    <w:semiHidden/>
    <w:unhideWhenUsed/>
    <w:rsid w:val="00685E72"/>
    <w:rPr>
      <w:rFonts w:asciiTheme="minorHAnsi" w:hAnsiTheme="minorHAnsi" w:cstheme="minorBidi"/>
      <w:color w:val="auto"/>
      <w:szCs w:val="22"/>
    </w:rPr>
  </w:style>
  <w:style w:type="character" w:customStyle="1" w:styleId="EndnoteTextChar">
    <w:name w:val="Endnote Text Char"/>
    <w:basedOn w:val="DefaultParagraphFont"/>
    <w:link w:val="EndnoteText"/>
    <w:semiHidden/>
    <w:rsid w:val="00685E72"/>
    <w:rPr>
      <w:rFonts w:eastAsia="Cambria"/>
      <w:szCs w:val="22"/>
    </w:rPr>
  </w:style>
  <w:style w:type="table" w:customStyle="1" w:styleId="TableTGAblue">
    <w:name w:val="Table TGA blue"/>
    <w:basedOn w:val="TableNormal"/>
    <w:uiPriority w:val="99"/>
    <w:qFormat/>
    <w:rsid w:val="00685E72"/>
    <w:pPr>
      <w:spacing w:after="0" w:line="240" w:lineRule="auto"/>
    </w:pPr>
    <w:rPr>
      <w:rFonts w:ascii="Cambria" w:eastAsia="Cambria" w:hAnsi="Cambria" w:cs="Times New Roman"/>
      <w:color w:val="000000"/>
      <w:sz w:val="22"/>
      <w:szCs w:val="21"/>
      <w:lang w:eastAsia="en-AU"/>
    </w:rPr>
    <w:tblPr>
      <w:tblBorders>
        <w:top w:val="single" w:sz="8" w:space="0" w:color="002C47"/>
        <w:left w:val="single" w:sz="8" w:space="0" w:color="002C47"/>
        <w:bottom w:val="single" w:sz="8" w:space="0" w:color="002C47"/>
        <w:right w:val="single" w:sz="8" w:space="0" w:color="002C47"/>
        <w:insideH w:val="single" w:sz="8" w:space="0" w:color="002C47"/>
        <w:insideV w:val="single" w:sz="8" w:space="0" w:color="002C47"/>
      </w:tblBorders>
    </w:tblPr>
    <w:trPr>
      <w:cantSplit/>
    </w:trPr>
    <w:tcPr>
      <w:shd w:val="clear" w:color="auto" w:fill="auto"/>
    </w:tcPr>
    <w:tblStylePr w:type="firstRow">
      <w:pPr>
        <w:keepNext/>
        <w:wordWrap/>
      </w:pPr>
      <w:rPr>
        <w:rFonts w:ascii="Cambria-Bold" w:hAnsi="Cambria-Bold"/>
        <w:b/>
        <w:color w:val="FFFFFF"/>
        <w:sz w:val="22"/>
      </w:rPr>
      <w:tblPr/>
      <w:tcPr>
        <w:tcBorders>
          <w:top w:val="single" w:sz="8" w:space="0" w:color="002C47"/>
          <w:left w:val="single" w:sz="8" w:space="0" w:color="002C47"/>
          <w:bottom w:val="single" w:sz="8" w:space="0" w:color="002C47"/>
          <w:right w:val="single" w:sz="8" w:space="0" w:color="002C47"/>
          <w:insideH w:val="nil"/>
          <w:insideV w:val="nil"/>
          <w:tl2br w:val="nil"/>
          <w:tr2bl w:val="nil"/>
        </w:tcBorders>
        <w:shd w:val="clear" w:color="auto" w:fill="006DA7"/>
      </w:tcPr>
    </w:tblStylePr>
    <w:tblStylePr w:type="firstCol">
      <w:pPr>
        <w:keepNext w:val="0"/>
        <w:wordWrap/>
      </w:pPr>
    </w:tblStylePr>
  </w:style>
  <w:style w:type="table" w:customStyle="1" w:styleId="TableTGAblack">
    <w:name w:val="Table TGA black"/>
    <w:basedOn w:val="TableNormal"/>
    <w:uiPriority w:val="99"/>
    <w:rsid w:val="00685E72"/>
    <w:pPr>
      <w:spacing w:before="60" w:after="0" w:line="240" w:lineRule="auto"/>
    </w:pPr>
    <w:rPr>
      <w:rFonts w:ascii="Cambria" w:eastAsia="Cambria" w:hAnsi="Cambria" w:cs="Times New Roman"/>
      <w:color w:val="000000"/>
      <w:sz w:val="22"/>
      <w:szCs w:val="21"/>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rPr>
      <w:cantSplit/>
    </w:trPr>
    <w:tcPr>
      <w:shd w:val="clear" w:color="auto" w:fill="auto"/>
    </w:tcPr>
    <w:tblStylePr w:type="firstRow">
      <w:pPr>
        <w:keepNext/>
        <w:wordWrap/>
      </w:pPr>
      <w:rPr>
        <w:rFonts w:ascii="Cambria-Bold" w:hAnsi="Cambria-Bold"/>
        <w:b/>
        <w:color w:val="FFFFFF"/>
        <w:sz w:val="22"/>
      </w:rPr>
      <w:tblPr/>
      <w:tcPr>
        <w:shd w:val="clear" w:color="auto" w:fill="000000"/>
      </w:tcPr>
    </w:tblStylePr>
    <w:tblStylePr w:type="lastRow">
      <w:rPr>
        <w:b w:val="0"/>
      </w:rPr>
    </w:tblStylePr>
    <w:tblStylePr w:type="firstCol">
      <w:pPr>
        <w:keepNext w:val="0"/>
        <w:wordWrap/>
      </w:pPr>
    </w:tblStylePr>
    <w:tblStylePr w:type="neCell">
      <w:rPr>
        <w:b w:val="0"/>
        <w:i w:val="0"/>
      </w:rPr>
    </w:tblStylePr>
    <w:tblStylePr w:type="nwCell">
      <w:rPr>
        <w:rFonts w:ascii="Cambria-Bold" w:hAnsi="Cambria-Bold"/>
        <w:b/>
        <w:i w:val="0"/>
        <w:color w:val="FFFFFF"/>
        <w:sz w:val="22"/>
      </w:rPr>
    </w:tblStylePr>
  </w:style>
  <w:style w:type="paragraph" w:styleId="TOCHeading">
    <w:name w:val="TOC Heading"/>
    <w:basedOn w:val="Heading1"/>
    <w:next w:val="Normal"/>
    <w:uiPriority w:val="39"/>
    <w:unhideWhenUsed/>
    <w:qFormat/>
    <w:rsid w:val="004647AA"/>
    <w:pPr>
      <w:outlineLvl w:val="9"/>
    </w:pPr>
    <w:rPr>
      <w:lang w:val="en-US"/>
    </w:rPr>
  </w:style>
  <w:style w:type="numbering" w:customStyle="1" w:styleId="NumberBullet1">
    <w:name w:val="NumberBullet1"/>
    <w:uiPriority w:val="99"/>
    <w:rsid w:val="00685E72"/>
  </w:style>
  <w:style w:type="numbering" w:customStyle="1" w:styleId="ListBullets1">
    <w:name w:val="ListBullets1"/>
    <w:uiPriority w:val="99"/>
    <w:rsid w:val="00685E72"/>
  </w:style>
  <w:style w:type="character" w:styleId="EndnoteReference">
    <w:name w:val="endnote reference"/>
    <w:basedOn w:val="DefaultParagraphFont"/>
    <w:uiPriority w:val="99"/>
    <w:semiHidden/>
    <w:unhideWhenUsed/>
    <w:rsid w:val="00685E72"/>
    <w:rPr>
      <w:vertAlign w:val="superscript"/>
    </w:rPr>
  </w:style>
  <w:style w:type="table" w:customStyle="1" w:styleId="LightShading1">
    <w:name w:val="Light Shading1"/>
    <w:basedOn w:val="TableNormal"/>
    <w:uiPriority w:val="60"/>
    <w:rsid w:val="00685E72"/>
    <w:pPr>
      <w:spacing w:after="0" w:line="240" w:lineRule="auto"/>
    </w:pPr>
    <w:rPr>
      <w:rFonts w:ascii="Cambria" w:eastAsia="Cambria" w:hAnsi="Cambria" w:cs="Times New Roman"/>
      <w:color w:val="000000" w:themeColor="text1" w:themeShade="BF"/>
      <w:lang w:eastAsia="en-AU"/>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Quotation">
    <w:name w:val="Quotation"/>
    <w:basedOn w:val="Normal"/>
    <w:next w:val="Normal"/>
    <w:autoRedefine/>
    <w:uiPriority w:val="4"/>
    <w:qFormat/>
    <w:rsid w:val="00B90A0A"/>
    <w:pPr>
      <w:spacing w:before="120" w:after="180" w:line="240" w:lineRule="atLeast"/>
      <w:ind w:left="425"/>
    </w:pPr>
    <w:rPr>
      <w:rFonts w:eastAsia="Cambria" w:cs="Times New Roman"/>
    </w:rPr>
  </w:style>
  <w:style w:type="character" w:styleId="CommentReference">
    <w:name w:val="annotation reference"/>
    <w:basedOn w:val="DefaultParagraphFont"/>
    <w:uiPriority w:val="99"/>
    <w:semiHidden/>
    <w:unhideWhenUsed/>
    <w:rsid w:val="00685E72"/>
    <w:rPr>
      <w:sz w:val="16"/>
      <w:szCs w:val="16"/>
    </w:rPr>
  </w:style>
  <w:style w:type="paragraph" w:styleId="CommentText">
    <w:name w:val="annotation text"/>
    <w:basedOn w:val="Normal"/>
    <w:link w:val="CommentTextChar"/>
    <w:uiPriority w:val="99"/>
    <w:unhideWhenUsed/>
    <w:rsid w:val="00685E72"/>
    <w:pPr>
      <w:spacing w:before="120" w:after="180" w:line="240" w:lineRule="auto"/>
    </w:pPr>
    <w:rPr>
      <w:rFonts w:ascii="Cambria" w:eastAsia="Cambria" w:hAnsi="Cambria" w:cs="Times New Roman"/>
    </w:rPr>
  </w:style>
  <w:style w:type="character" w:customStyle="1" w:styleId="CommentTextChar">
    <w:name w:val="Comment Text Char"/>
    <w:basedOn w:val="DefaultParagraphFont"/>
    <w:link w:val="CommentText"/>
    <w:uiPriority w:val="99"/>
    <w:rsid w:val="00685E72"/>
    <w:rPr>
      <w:rFonts w:ascii="Cambria" w:eastAsia="Cambria" w:hAnsi="Cambria" w:cs="Times New Roman"/>
    </w:rPr>
  </w:style>
  <w:style w:type="paragraph" w:styleId="CommentSubject">
    <w:name w:val="annotation subject"/>
    <w:basedOn w:val="CommentText"/>
    <w:next w:val="CommentText"/>
    <w:link w:val="CommentSubjectChar"/>
    <w:uiPriority w:val="99"/>
    <w:semiHidden/>
    <w:unhideWhenUsed/>
    <w:rsid w:val="00685E72"/>
    <w:rPr>
      <w:b/>
      <w:bCs/>
    </w:rPr>
  </w:style>
  <w:style w:type="character" w:customStyle="1" w:styleId="CommentSubjectChar">
    <w:name w:val="Comment Subject Char"/>
    <w:basedOn w:val="CommentTextChar"/>
    <w:link w:val="CommentSubject"/>
    <w:uiPriority w:val="99"/>
    <w:semiHidden/>
    <w:rsid w:val="00685E72"/>
    <w:rPr>
      <w:rFonts w:ascii="Cambria" w:eastAsia="Cambria" w:hAnsi="Cambria" w:cs="Times New Roman"/>
      <w:b/>
      <w:bCs/>
    </w:rPr>
  </w:style>
  <w:style w:type="paragraph" w:styleId="ListParagraph">
    <w:name w:val="List Paragraph"/>
    <w:basedOn w:val="ListBullet"/>
    <w:autoRedefine/>
    <w:uiPriority w:val="34"/>
    <w:qFormat/>
    <w:rsid w:val="007275D6"/>
    <w:pPr>
      <w:numPr>
        <w:numId w:val="15"/>
      </w:numPr>
      <w:contextualSpacing/>
    </w:pPr>
  </w:style>
  <w:style w:type="table" w:styleId="LightList-Accent1">
    <w:name w:val="Light List Accent 1"/>
    <w:basedOn w:val="TableNormal"/>
    <w:uiPriority w:val="61"/>
    <w:rsid w:val="00685E72"/>
    <w:pPr>
      <w:spacing w:after="0" w:line="240" w:lineRule="auto"/>
    </w:pPr>
    <w:rPr>
      <w:rFonts w:eastAsiaTheme="minorEastAsia"/>
      <w:sz w:val="22"/>
      <w:szCs w:val="22"/>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TOC9">
    <w:name w:val="toc 9"/>
    <w:basedOn w:val="Normal"/>
    <w:next w:val="Normal"/>
    <w:autoRedefine/>
    <w:uiPriority w:val="39"/>
    <w:semiHidden/>
    <w:unhideWhenUsed/>
    <w:rsid w:val="00685E72"/>
    <w:pPr>
      <w:spacing w:before="120" w:after="100" w:line="240" w:lineRule="atLeast"/>
      <w:ind w:left="1760"/>
    </w:pPr>
    <w:rPr>
      <w:rFonts w:ascii="Cambria" w:eastAsia="Cambria" w:hAnsi="Cambria" w:cs="Times New Roman"/>
    </w:rPr>
  </w:style>
  <w:style w:type="paragraph" w:customStyle="1" w:styleId="TableTitle0">
    <w:name w:val="Table Title"/>
    <w:basedOn w:val="Normal"/>
    <w:next w:val="Normal"/>
    <w:autoRedefine/>
    <w:qFormat/>
    <w:rsid w:val="005563FE"/>
    <w:pPr>
      <w:spacing w:before="180" w:after="180" w:line="240" w:lineRule="atLeast"/>
    </w:pPr>
    <w:rPr>
      <w:rFonts w:eastAsia="Cambria" w:cs="Times New Roman"/>
      <w:b/>
      <w:bCs/>
    </w:rPr>
  </w:style>
  <w:style w:type="character" w:styleId="Strong">
    <w:name w:val="Strong"/>
    <w:basedOn w:val="DefaultParagraphFont"/>
    <w:uiPriority w:val="22"/>
    <w:qFormat/>
    <w:rsid w:val="00520CD5"/>
    <w:rPr>
      <w:rFonts w:ascii="Arial" w:hAnsi="Arial"/>
      <w:b/>
      <w:bCs/>
      <w:color w:val="000000" w:themeColor="text1"/>
    </w:rPr>
  </w:style>
  <w:style w:type="paragraph" w:customStyle="1" w:styleId="Default">
    <w:name w:val="Default"/>
    <w:rsid w:val="00685E72"/>
    <w:pPr>
      <w:autoSpaceDE w:val="0"/>
      <w:autoSpaceDN w:val="0"/>
      <w:adjustRightInd w:val="0"/>
      <w:spacing w:after="0" w:line="240" w:lineRule="auto"/>
    </w:pPr>
    <w:rPr>
      <w:rFonts w:ascii="Times New Roman" w:eastAsia="Cambria" w:hAnsi="Times New Roman" w:cs="Times New Roman"/>
      <w:color w:val="000000"/>
      <w:sz w:val="24"/>
      <w:szCs w:val="24"/>
      <w:lang w:eastAsia="en-AU"/>
    </w:rPr>
  </w:style>
  <w:style w:type="character" w:customStyle="1" w:styleId="fontstyle01">
    <w:name w:val="fontstyle01"/>
    <w:basedOn w:val="DefaultParagraphFont"/>
    <w:rsid w:val="00685E72"/>
    <w:rPr>
      <w:rFonts w:ascii="Cambria" w:hAnsi="Cambria" w:hint="default"/>
      <w:b w:val="0"/>
      <w:bCs w:val="0"/>
      <w:i w:val="0"/>
      <w:iCs w:val="0"/>
      <w:color w:val="000000"/>
      <w:sz w:val="22"/>
      <w:szCs w:val="22"/>
    </w:rPr>
  </w:style>
  <w:style w:type="character" w:customStyle="1" w:styleId="fontstyle21">
    <w:name w:val="fontstyle21"/>
    <w:basedOn w:val="DefaultParagraphFont"/>
    <w:rsid w:val="00685E72"/>
    <w:rPr>
      <w:rFonts w:ascii="Cambria-Bold" w:hAnsi="Cambria-Bold" w:hint="default"/>
      <w:b/>
      <w:bCs/>
      <w:i w:val="0"/>
      <w:iCs w:val="0"/>
      <w:color w:val="000000"/>
      <w:sz w:val="22"/>
      <w:szCs w:val="22"/>
    </w:rPr>
  </w:style>
  <w:style w:type="paragraph" w:styleId="Revision">
    <w:name w:val="Revision"/>
    <w:hidden/>
    <w:uiPriority w:val="99"/>
    <w:semiHidden/>
    <w:rsid w:val="00685E72"/>
    <w:pPr>
      <w:spacing w:after="0" w:line="240" w:lineRule="auto"/>
    </w:pPr>
    <w:rPr>
      <w:rFonts w:ascii="Cambria" w:eastAsia="Cambria" w:hAnsi="Cambria" w:cs="Times New Roman"/>
      <w:sz w:val="22"/>
    </w:rPr>
  </w:style>
  <w:style w:type="paragraph" w:customStyle="1" w:styleId="ListBulleta">
    <w:name w:val="List Bullet a)"/>
    <w:basedOn w:val="ListBullet"/>
    <w:autoRedefine/>
    <w:uiPriority w:val="1"/>
    <w:qFormat/>
    <w:rsid w:val="007B05AB"/>
    <w:pPr>
      <w:numPr>
        <w:numId w:val="29"/>
      </w:numPr>
    </w:pPr>
  </w:style>
  <w:style w:type="paragraph" w:customStyle="1" w:styleId="ListBulleti">
    <w:name w:val="List Bullet i)"/>
    <w:basedOn w:val="ListBullet"/>
    <w:autoRedefine/>
    <w:uiPriority w:val="1"/>
    <w:qFormat/>
    <w:rsid w:val="003C2EAD"/>
    <w:pPr>
      <w:numPr>
        <w:numId w:val="4"/>
      </w:numPr>
    </w:pPr>
  </w:style>
  <w:style w:type="character" w:customStyle="1" w:styleId="Style1">
    <w:name w:val="Style1"/>
    <w:basedOn w:val="DefaultParagraphFont"/>
    <w:uiPriority w:val="1"/>
    <w:rsid w:val="00685E72"/>
    <w:rPr>
      <w:rFonts w:ascii="Cambria" w:hAnsi="Cambria"/>
      <w:sz w:val="22"/>
    </w:rPr>
  </w:style>
  <w:style w:type="paragraph" w:styleId="NormalWeb">
    <w:name w:val="Normal (Web)"/>
    <w:basedOn w:val="Normal"/>
    <w:uiPriority w:val="99"/>
    <w:semiHidden/>
    <w:unhideWhenUsed/>
    <w:rsid w:val="00685E72"/>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UnresolvedMention">
    <w:name w:val="Unresolved Mention"/>
    <w:basedOn w:val="DefaultParagraphFont"/>
    <w:uiPriority w:val="99"/>
    <w:semiHidden/>
    <w:unhideWhenUsed/>
    <w:rsid w:val="00685E72"/>
    <w:rPr>
      <w:color w:val="605E5C"/>
      <w:shd w:val="clear" w:color="auto" w:fill="E1DFDD"/>
    </w:rPr>
  </w:style>
  <w:style w:type="paragraph" w:styleId="NoSpacing">
    <w:name w:val="No Spacing"/>
    <w:autoRedefine/>
    <w:uiPriority w:val="1"/>
    <w:qFormat/>
    <w:rsid w:val="00520CD5"/>
    <w:pPr>
      <w:spacing w:after="0" w:line="240" w:lineRule="auto"/>
    </w:pPr>
    <w:rPr>
      <w:rFonts w:ascii="Arial" w:hAnsi="Arial"/>
      <w:color w:val="000000" w:themeColor="text1"/>
      <w:sz w:val="22"/>
    </w:rPr>
  </w:style>
  <w:style w:type="character" w:styleId="SubtleReference">
    <w:name w:val="Subtle Reference"/>
    <w:basedOn w:val="DefaultParagraphFont"/>
    <w:uiPriority w:val="31"/>
    <w:qFormat/>
    <w:rsid w:val="00520CD5"/>
    <w:rPr>
      <w:rFonts w:ascii="Arial" w:hAnsi="Arial"/>
      <w:smallCaps/>
      <w:color w:val="0D0D0D" w:themeColor="text1" w:themeTint="F2"/>
    </w:rPr>
  </w:style>
  <w:style w:type="paragraph" w:styleId="Quote">
    <w:name w:val="Quote"/>
    <w:basedOn w:val="Normal"/>
    <w:next w:val="Normal"/>
    <w:link w:val="QuoteChar"/>
    <w:autoRedefine/>
    <w:uiPriority w:val="29"/>
    <w:qFormat/>
    <w:rsid w:val="00E530B1"/>
    <w:pPr>
      <w:spacing w:before="200" w:after="160"/>
      <w:ind w:left="864" w:right="864"/>
      <w:jc w:val="center"/>
    </w:pPr>
    <w:rPr>
      <w:i/>
      <w:iCs/>
    </w:rPr>
  </w:style>
  <w:style w:type="character" w:customStyle="1" w:styleId="QuoteChar">
    <w:name w:val="Quote Char"/>
    <w:basedOn w:val="DefaultParagraphFont"/>
    <w:link w:val="Quote"/>
    <w:uiPriority w:val="29"/>
    <w:rsid w:val="00E530B1"/>
    <w:rPr>
      <w:i/>
      <w:iCs/>
      <w:color w:val="000000" w:themeColor="text1"/>
      <w:sz w:val="22"/>
    </w:rPr>
  </w:style>
  <w:style w:type="character" w:styleId="SubtleEmphasis">
    <w:name w:val="Subtle Emphasis"/>
    <w:basedOn w:val="DefaultParagraphFont"/>
    <w:uiPriority w:val="19"/>
    <w:qFormat/>
    <w:rsid w:val="00520CD5"/>
    <w:rPr>
      <w:rFonts w:ascii="Arial" w:hAnsi="Arial"/>
      <w:i/>
      <w:iCs/>
      <w:color w:val="000000" w:themeColor="text1"/>
    </w:rPr>
  </w:style>
  <w:style w:type="character" w:styleId="IntenseEmphasis">
    <w:name w:val="Intense Emphasis"/>
    <w:basedOn w:val="DefaultParagraphFont"/>
    <w:uiPriority w:val="21"/>
    <w:qFormat/>
    <w:rsid w:val="00520CD5"/>
    <w:rPr>
      <w:rFonts w:ascii="Arial" w:hAnsi="Arial"/>
      <w:i/>
      <w:iCs/>
      <w:color w:val="auto"/>
    </w:rPr>
  </w:style>
  <w:style w:type="character" w:styleId="Emphasis">
    <w:name w:val="Emphasis"/>
    <w:basedOn w:val="DefaultParagraphFont"/>
    <w:uiPriority w:val="20"/>
    <w:qFormat/>
    <w:rsid w:val="00520CD5"/>
    <w:rPr>
      <w:rFonts w:ascii="Arial" w:hAnsi="Arial"/>
      <w:i/>
      <w:iCs/>
    </w:rPr>
  </w:style>
  <w:style w:type="character" w:styleId="IntenseReference">
    <w:name w:val="Intense Reference"/>
    <w:basedOn w:val="DefaultParagraphFont"/>
    <w:uiPriority w:val="32"/>
    <w:qFormat/>
    <w:rsid w:val="00520CD5"/>
    <w:rPr>
      <w:rFonts w:ascii="Arial" w:hAnsi="Arial"/>
      <w:b/>
      <w:bCs/>
      <w:smallCaps/>
      <w:color w:val="1F3864" w:themeColor="accent1" w:themeShade="80"/>
      <w:spacing w:val="5"/>
    </w:rPr>
  </w:style>
  <w:style w:type="character" w:styleId="BookTitle">
    <w:name w:val="Book Title"/>
    <w:basedOn w:val="DefaultParagraphFont"/>
    <w:uiPriority w:val="33"/>
    <w:qFormat/>
    <w:rsid w:val="00520CD5"/>
    <w:rPr>
      <w:rFonts w:ascii="Arial" w:hAnsi="Arial"/>
      <w:b/>
      <w:bCs/>
      <w:i/>
      <w:iCs/>
      <w:spacing w:val="5"/>
    </w:rPr>
  </w:style>
  <w:style w:type="paragraph" w:customStyle="1" w:styleId="Legislation">
    <w:name w:val="Legislation"/>
    <w:basedOn w:val="Normal"/>
    <w:qFormat/>
    <w:rsid w:val="004647AA"/>
    <w:pPr>
      <w:jc w:val="center"/>
    </w:pPr>
    <w:rPr>
      <w:i/>
      <w:color w:val="333F48"/>
    </w:rPr>
  </w:style>
  <w:style w:type="paragraph" w:customStyle="1" w:styleId="Legislation-list">
    <w:name w:val="Legislation-list"/>
    <w:basedOn w:val="Numberbullet0"/>
    <w:rsid w:val="004647AA"/>
    <w:pPr>
      <w:numPr>
        <w:numId w:val="6"/>
      </w:numPr>
      <w:jc w:val="center"/>
    </w:pPr>
    <w:rPr>
      <w:i/>
    </w:rPr>
  </w:style>
  <w:style w:type="paragraph" w:customStyle="1" w:styleId="Standard">
    <w:name w:val="Standard"/>
    <w:link w:val="StandardChar"/>
    <w:qFormat/>
    <w:rsid w:val="00D142C8"/>
    <w:pPr>
      <w:spacing w:after="220" w:line="252" w:lineRule="auto"/>
    </w:pPr>
    <w:rPr>
      <w:rFonts w:ascii="Cambria" w:eastAsia="Times New Roman" w:hAnsi="Cambria" w:cs="Times New Roman"/>
      <w:kern w:val="16"/>
      <w:sz w:val="22"/>
      <w:szCs w:val="24"/>
    </w:rPr>
  </w:style>
  <w:style w:type="character" w:customStyle="1" w:styleId="StandardChar">
    <w:name w:val="Standard Char"/>
    <w:basedOn w:val="DefaultParagraphFont"/>
    <w:link w:val="Standard"/>
    <w:rsid w:val="00D142C8"/>
    <w:rPr>
      <w:rFonts w:ascii="Cambria" w:eastAsia="Times New Roman" w:hAnsi="Cambria" w:cs="Times New Roman"/>
      <w:kern w:val="16"/>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219203">
      <w:bodyDiv w:val="1"/>
      <w:marLeft w:val="0"/>
      <w:marRight w:val="0"/>
      <w:marTop w:val="0"/>
      <w:marBottom w:val="0"/>
      <w:divBdr>
        <w:top w:val="none" w:sz="0" w:space="0" w:color="auto"/>
        <w:left w:val="none" w:sz="0" w:space="0" w:color="auto"/>
        <w:bottom w:val="none" w:sz="0" w:space="0" w:color="auto"/>
        <w:right w:val="none" w:sz="0" w:space="0" w:color="auto"/>
      </w:divBdr>
    </w:div>
    <w:div w:id="1207181011">
      <w:bodyDiv w:val="1"/>
      <w:marLeft w:val="0"/>
      <w:marRight w:val="0"/>
      <w:marTop w:val="0"/>
      <w:marBottom w:val="0"/>
      <w:divBdr>
        <w:top w:val="none" w:sz="0" w:space="0" w:color="auto"/>
        <w:left w:val="none" w:sz="0" w:space="0" w:color="auto"/>
        <w:bottom w:val="none" w:sz="0" w:space="0" w:color="auto"/>
        <w:right w:val="none" w:sz="0" w:space="0" w:color="auto"/>
      </w:divBdr>
    </w:div>
    <w:div w:id="1619141667">
      <w:bodyDiv w:val="1"/>
      <w:marLeft w:val="0"/>
      <w:marRight w:val="0"/>
      <w:marTop w:val="0"/>
      <w:marBottom w:val="0"/>
      <w:divBdr>
        <w:top w:val="none" w:sz="0" w:space="0" w:color="auto"/>
        <w:left w:val="none" w:sz="0" w:space="0" w:color="auto"/>
        <w:bottom w:val="none" w:sz="0" w:space="0" w:color="auto"/>
        <w:right w:val="none" w:sz="0" w:space="0" w:color="auto"/>
      </w:divBdr>
    </w:div>
    <w:div w:id="214211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consultations.tga.gov.au/tga/scheduling-pre-meeting-notice-4mbc-nov-2026" TargetMode="External"/><Relationship Id="rId26" Type="http://schemas.openxmlformats.org/officeDocument/2006/relationships/hyperlink" Target="https://www.legislation.gov.au/F2018L01350/latest/text" TargetMode="External"/><Relationship Id="rId39" Type="http://schemas.openxmlformats.org/officeDocument/2006/relationships/hyperlink" Target="https://www.echa.europa.eu/web/guest/cosmetics-prohibited-substances/-/legislationlist/details/EU-COSM_PROD-ANX_II_PROHIB-100.048.386-VSK-G54UHH?_eucleflegislationlist_WAR_euclefportlet_businessIdentifier=EU-COSM_PROD-ANX_II_PROHIB-100.048.386-VSK-G54UHH" TargetMode="External"/><Relationship Id="rId21" Type="http://schemas.openxmlformats.org/officeDocument/2006/relationships/hyperlink" Target="mailto:medicines.scheduling@health.gov.au" TargetMode="External"/><Relationship Id="rId34" Type="http://schemas.openxmlformats.org/officeDocument/2006/relationships/hyperlink" Target="https://www.tga.gov.au/prescribing-medicines-pregnancy-database" TargetMode="External"/><Relationship Id="rId42" Type="http://schemas.openxmlformats.org/officeDocument/2006/relationships/hyperlink" Target="https://www.epa.govt.nz/database-search/chemical-classification-and-information-database-ccid/" TargetMode="External"/><Relationship Id="rId47" Type="http://schemas.openxmlformats.org/officeDocument/2006/relationships/hyperlink" Target="https://ec.europa.eu/food/plant/pesticides/eu-pesticides-database/public/?event=activesubstance.selection&amp;language=EN" TargetMode="External"/><Relationship Id="rId50" Type="http://schemas.openxmlformats.org/officeDocument/2006/relationships/hyperlink" Target="https://www.tga.gov.au/about-tga/advisory-bodies-and-committees/advisory-committee-chemicals-scheduling-accs" TargetMode="External"/><Relationship Id="rId55" Type="http://schemas.openxmlformats.org/officeDocument/2006/relationships/hyperlink" Target="https://www.tga.gov.au/resources/publication/scheduling-decisions-interi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consultations.tga.gov.au/tga/proposed-model-for-assessing-sunscreen-ingredients/" TargetMode="External"/><Relationship Id="rId11" Type="http://schemas.openxmlformats.org/officeDocument/2006/relationships/header" Target="header1.xml"/><Relationship Id="rId24" Type="http://schemas.openxmlformats.org/officeDocument/2006/relationships/hyperlink" Target="https://www.tga.gov.au/committee/advisory-committee-chemicals-scheduling-accs" TargetMode="External"/><Relationship Id="rId32" Type="http://schemas.openxmlformats.org/officeDocument/2006/relationships/hyperlink" Target="https://compliance.health.gov.au/artg/" TargetMode="External"/><Relationship Id="rId37" Type="http://schemas.openxmlformats.org/officeDocument/2006/relationships/hyperlink" Target="https://services.industrialchemicals.gov.au/search-inventory/" TargetMode="External"/><Relationship Id="rId40" Type="http://schemas.openxmlformats.org/officeDocument/2006/relationships/hyperlink" Target="https://ec.europa.eu/growth/tools-databases/cosing/reference/functions/list/LIGHT%20STABILIZER" TargetMode="External"/><Relationship Id="rId45" Type="http://schemas.openxmlformats.org/officeDocument/2006/relationships/hyperlink" Target="https://pesticide-registry.canada.ca/en/active-ingredient-search.html" TargetMode="External"/><Relationship Id="rId53" Type="http://schemas.openxmlformats.org/officeDocument/2006/relationships/header" Target="header4.xml"/><Relationship Id="rId58" Type="http://schemas.openxmlformats.org/officeDocument/2006/relationships/header" Target="header5.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tga.gov.au/committee/advisory-committee-medicines-scheduling-acms" TargetMode="External"/><Relationship Id="rId14" Type="http://schemas.openxmlformats.org/officeDocument/2006/relationships/footer" Target="footer2.xml"/><Relationship Id="rId22" Type="http://schemas.openxmlformats.org/officeDocument/2006/relationships/hyperlink" Target="https://consultations.tga.gov.au/tga/scheduling-pre-meeting-notice-4mbc-nov-2026" TargetMode="External"/><Relationship Id="rId27" Type="http://schemas.openxmlformats.org/officeDocument/2006/relationships/hyperlink" Target="https://www.legislation.gov.au/F2026L00707/latest/text" TargetMode="External"/><Relationship Id="rId30" Type="http://schemas.openxmlformats.org/officeDocument/2006/relationships/hyperlink" Target="https://consultations.tga.gov.au/tga/proposed-model-for-assessing-sunscreen-ingredients/" TargetMode="External"/><Relationship Id="rId35" Type="http://schemas.openxmlformats.org/officeDocument/2006/relationships/hyperlink" Target="https://www.legislation.gov.au/Details/F2021L01888" TargetMode="External"/><Relationship Id="rId43" Type="http://schemas.openxmlformats.org/officeDocument/2006/relationships/hyperlink" Target="https://www.nmpa.gov.cn/hzhp/hzhpjmtg/20260112145634170.html" TargetMode="External"/><Relationship Id="rId48" Type="http://schemas.openxmlformats.org/officeDocument/2006/relationships/hyperlink" Target="https://consultations.tga.gov.au/tga/scheduling-pre-meeting-notice-4mbc-nov-2026" TargetMode="External"/><Relationship Id="rId56" Type="http://schemas.openxmlformats.org/officeDocument/2006/relationships/hyperlink" Target="mailto:info@tga.gov.au" TargetMode="External"/><Relationship Id="rId8" Type="http://schemas.openxmlformats.org/officeDocument/2006/relationships/webSettings" Target="webSettings.xml"/><Relationship Id="rId51" Type="http://schemas.openxmlformats.org/officeDocument/2006/relationships/hyperlink" Target="https://www.tga.gov.au/resources/publication/scheduling-submissions"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mailto:tga.copyright@tga.gov.au" TargetMode="External"/><Relationship Id="rId25" Type="http://schemas.openxmlformats.org/officeDocument/2006/relationships/hyperlink" Target="mailto:medicines.scheduling@health.gov.au" TargetMode="External"/><Relationship Id="rId33" Type="http://schemas.openxmlformats.org/officeDocument/2006/relationships/hyperlink" Target="https://www.legislation.gov.au/F2026L00707/latest/text" TargetMode="External"/><Relationship Id="rId38" Type="http://schemas.openxmlformats.org/officeDocument/2006/relationships/hyperlink" Target="https://echa.europa.eu/substance-information/-/substanceinfo/100.048.386?_disssubsinfo_WAR_disssubsinfoportlet_substanceId=100.048.386" TargetMode="External"/><Relationship Id="rId46" Type="http://schemas.openxmlformats.org/officeDocument/2006/relationships/hyperlink" Target="https://www.medsafe.govt.nz/profs/class/classintro.asp" TargetMode="External"/><Relationship Id="rId59" Type="http://schemas.openxmlformats.org/officeDocument/2006/relationships/footer" Target="footer5.xml"/><Relationship Id="rId20" Type="http://schemas.openxmlformats.org/officeDocument/2006/relationships/hyperlink" Target="https://www.tga.gov.au/committee/advisory-committee-chemicals-scheduling-accs" TargetMode="External"/><Relationship Id="rId41" Type="http://schemas.openxmlformats.org/officeDocument/2006/relationships/hyperlink" Target="https://www.epa.govt.nz/database-search/new-zealand-inventory-of-chemicals-nzioc/DatabaseSearchForm/?SiteDatabaseSearchFilters=36&amp;Keyword=acequinocyl&amp;DatabaseType=NZIOC" TargetMode="Externa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s://www.tga.gov.au/committee/advisory-committee-medicines-scheduling-acms" TargetMode="External"/><Relationship Id="rId28" Type="http://schemas.openxmlformats.org/officeDocument/2006/relationships/hyperlink" Target="https://www.tga.gov.au/resources/publication/corporate-reports/safety-review-4-methylbenzylidene-camphor-4-mbc" TargetMode="External"/><Relationship Id="rId36" Type="http://schemas.openxmlformats.org/officeDocument/2006/relationships/hyperlink" Target="https://portal.apvma.gov.au/pubcris" TargetMode="External"/><Relationship Id="rId49" Type="http://schemas.openxmlformats.org/officeDocument/2006/relationships/hyperlink" Target="https://www.tga.gov.au/about-tga/advisory-bodies-and-committees/advisory-committee-medicines-scheduling-acms" TargetMode="External"/><Relationship Id="rId57" Type="http://schemas.openxmlformats.org/officeDocument/2006/relationships/hyperlink" Target="https://www.tga.gov.au" TargetMode="External"/><Relationship Id="rId10" Type="http://schemas.openxmlformats.org/officeDocument/2006/relationships/endnotes" Target="endnotes.xml"/><Relationship Id="rId31" Type="http://schemas.openxmlformats.org/officeDocument/2006/relationships/hyperlink" Target="https://www.ebs.tga.gov.au/" TargetMode="External"/><Relationship Id="rId44" Type="http://schemas.openxmlformats.org/officeDocument/2006/relationships/hyperlink" Target="https://health-products.canada.ca/dpd-bdpp/" TargetMode="External"/><Relationship Id="rId52" Type="http://schemas.openxmlformats.org/officeDocument/2006/relationships/hyperlink" Target="https://www.tga.gov.au/resources/resource/forms/scheduling-consultation-coversheets"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www.canada.ca/content/dam/hc-sc/migration/hc-sc/dhp-mps/alt_formats/pdf/consultation/natur/sunscreen-ecransolaire-eng.pdf" TargetMode="External"/><Relationship Id="rId2" Type="http://schemas.openxmlformats.org/officeDocument/2006/relationships/hyperlink" Target="https://eur-lex.europa.eu/eli/reg/2024/996/oj" TargetMode="External"/><Relationship Id="rId1" Type="http://schemas.openxmlformats.org/officeDocument/2006/relationships/hyperlink" Target="https://www.federalregister.gov/documents/2015/02/25/2015-03884/over-the-counter-sunscreen-drug-products-regulatory-status-of-enzacamene"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NWE\OneDrive%20-%20Department%20of%20Health\July%202026\PMPN\Template%20-%20Pre-meeting%20public%20notice%20-%20May%202024.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410a292-e042-440d-aef8-ab5a9bd10e41" xsi:nil="true"/>
    <_Flow_SignoffStatus xmlns="f482729e-2cfb-42d6-a767-262eef245714" xsi:nil="true"/>
    <lcf76f155ced4ddcb4097134ff3c332f xmlns="f482729e-2cfb-42d6-a767-262eef24571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FE0E35EFD4F464680E6AF1C0D13EB20" ma:contentTypeVersion="17" ma:contentTypeDescription="Create a new document." ma:contentTypeScope="" ma:versionID="63445b0f5962617af566cb45de4dbe26">
  <xsd:schema xmlns:xsd="http://www.w3.org/2001/XMLSchema" xmlns:xs="http://www.w3.org/2001/XMLSchema" xmlns:p="http://schemas.microsoft.com/office/2006/metadata/properties" xmlns:ns2="f482729e-2cfb-42d6-a767-262eef245714" xmlns:ns3="2410a292-e042-440d-aef8-ab5a9bd10e41" targetNamespace="http://schemas.microsoft.com/office/2006/metadata/properties" ma:root="true" ma:fieldsID="7b06c7d5b72df4158dfdbec0f239ccff" ns2:_="" ns3:_="">
    <xsd:import namespace="f482729e-2cfb-42d6-a767-262eef245714"/>
    <xsd:import namespace="2410a292-e042-440d-aef8-ab5a9bd10e4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82729e-2cfb-42d6-a767-262eef2457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9927c38-8944-418e-ac9b-4d6e7554302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Flow_SignoffStatus" ma:index="22" nillable="true" ma:displayName="Sign-off status" ma:internalName="Sign_x002d_off_x0020_status">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10a292-e042-440d-aef8-ab5a9bd10e4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d62ffbc-183f-4805-a010-07f79be95aa9}" ma:internalName="TaxCatchAll" ma:showField="CatchAllData" ma:web="2410a292-e042-440d-aef8-ab5a9bd10e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DF7F2-94C7-41E1-B13E-79CF2FC733EB}">
  <ds:schemaRefs>
    <ds:schemaRef ds:uri="http://schemas.microsoft.com/sharepoint/v3/contenttype/forms"/>
  </ds:schemaRefs>
</ds:datastoreItem>
</file>

<file path=customXml/itemProps2.xml><?xml version="1.0" encoding="utf-8"?>
<ds:datastoreItem xmlns:ds="http://schemas.openxmlformats.org/officeDocument/2006/customXml" ds:itemID="{706287FB-3B8B-4F93-AACA-4113D939D711}">
  <ds:schemaRefs>
    <ds:schemaRef ds:uri="http://schemas.microsoft.com/office/2006/metadata/properties"/>
    <ds:schemaRef ds:uri="http://schemas.microsoft.com/office/infopath/2007/PartnerControls"/>
    <ds:schemaRef ds:uri="2410a292-e042-440d-aef8-ab5a9bd10e41"/>
    <ds:schemaRef ds:uri="f482729e-2cfb-42d6-a767-262eef245714"/>
  </ds:schemaRefs>
</ds:datastoreItem>
</file>

<file path=customXml/itemProps3.xml><?xml version="1.0" encoding="utf-8"?>
<ds:datastoreItem xmlns:ds="http://schemas.openxmlformats.org/officeDocument/2006/customXml" ds:itemID="{269A8CBC-B2FD-424B-98E3-6D577660883A}">
  <ds:schemaRefs>
    <ds:schemaRef ds:uri="http://schemas.openxmlformats.org/officeDocument/2006/bibliography"/>
  </ds:schemaRefs>
</ds:datastoreItem>
</file>

<file path=customXml/itemProps4.xml><?xml version="1.0" encoding="utf-8"?>
<ds:datastoreItem xmlns:ds="http://schemas.openxmlformats.org/officeDocument/2006/customXml" ds:itemID="{8F9E67D1-EF9E-4085-A589-39B918B69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82729e-2cfb-42d6-a767-262eef245714"/>
    <ds:schemaRef ds:uri="2410a292-e042-440d-aef8-ab5a9bd10e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 - Pre-meeting public notice - May 2024.DOTM</Template>
  <TotalTime>2</TotalTime>
  <Pages>12</Pages>
  <Words>3776</Words>
  <Characters>21565</Characters>
  <Application>Microsoft Office Word</Application>
  <DocSecurity>0</DocSecurity>
  <Lines>385</Lines>
  <Paragraphs>202</Paragraphs>
  <ScaleCrop>false</ScaleCrop>
  <Company/>
  <LinksUpToDate>false</LinksUpToDate>
  <CharactersWithSpaces>25139</CharactersWithSpaces>
  <SharedDoc>false</SharedDoc>
  <HLinks>
    <vt:vector size="306" baseType="variant">
      <vt:variant>
        <vt:i4>3473445</vt:i4>
      </vt:variant>
      <vt:variant>
        <vt:i4>171</vt:i4>
      </vt:variant>
      <vt:variant>
        <vt:i4>0</vt:i4>
      </vt:variant>
      <vt:variant>
        <vt:i4>5</vt:i4>
      </vt:variant>
      <vt:variant>
        <vt:lpwstr>https://www.tga.gov.au/</vt:lpwstr>
      </vt:variant>
      <vt:variant>
        <vt:lpwstr/>
      </vt:variant>
      <vt:variant>
        <vt:i4>5242926</vt:i4>
      </vt:variant>
      <vt:variant>
        <vt:i4>168</vt:i4>
      </vt:variant>
      <vt:variant>
        <vt:i4>0</vt:i4>
      </vt:variant>
      <vt:variant>
        <vt:i4>5</vt:i4>
      </vt:variant>
      <vt:variant>
        <vt:lpwstr>mailto:info@tga.gov.au</vt:lpwstr>
      </vt:variant>
      <vt:variant>
        <vt:lpwstr/>
      </vt:variant>
      <vt:variant>
        <vt:i4>5767180</vt:i4>
      </vt:variant>
      <vt:variant>
        <vt:i4>165</vt:i4>
      </vt:variant>
      <vt:variant>
        <vt:i4>0</vt:i4>
      </vt:variant>
      <vt:variant>
        <vt:i4>5</vt:i4>
      </vt:variant>
      <vt:variant>
        <vt:lpwstr>https://www.tga.gov.au/resources/publication/scheduling-decisions-interim</vt:lpwstr>
      </vt:variant>
      <vt:variant>
        <vt:lpwstr/>
      </vt:variant>
      <vt:variant>
        <vt:i4>7012462</vt:i4>
      </vt:variant>
      <vt:variant>
        <vt:i4>162</vt:i4>
      </vt:variant>
      <vt:variant>
        <vt:i4>0</vt:i4>
      </vt:variant>
      <vt:variant>
        <vt:i4>5</vt:i4>
      </vt:variant>
      <vt:variant>
        <vt:lpwstr>https://www.tga.gov.au/resources/resource/forms/scheduling-consultation-coversheets</vt:lpwstr>
      </vt:variant>
      <vt:variant>
        <vt:lpwstr/>
      </vt:variant>
      <vt:variant>
        <vt:i4>7340143</vt:i4>
      </vt:variant>
      <vt:variant>
        <vt:i4>159</vt:i4>
      </vt:variant>
      <vt:variant>
        <vt:i4>0</vt:i4>
      </vt:variant>
      <vt:variant>
        <vt:i4>5</vt:i4>
      </vt:variant>
      <vt:variant>
        <vt:lpwstr>https://www.tga.gov.au/resources/publication/scheduling-submissions</vt:lpwstr>
      </vt:variant>
      <vt:variant>
        <vt:lpwstr/>
      </vt:variant>
      <vt:variant>
        <vt:i4>1572947</vt:i4>
      </vt:variant>
      <vt:variant>
        <vt:i4>156</vt:i4>
      </vt:variant>
      <vt:variant>
        <vt:i4>0</vt:i4>
      </vt:variant>
      <vt:variant>
        <vt:i4>5</vt:i4>
      </vt:variant>
      <vt:variant>
        <vt:lpwstr>https://www.tga.gov.au/about-tga/advisory-bodies-and-committees/advisory-committee-chemicals-scheduling-accs</vt:lpwstr>
      </vt:variant>
      <vt:variant>
        <vt:lpwstr/>
      </vt:variant>
      <vt:variant>
        <vt:i4>1179735</vt:i4>
      </vt:variant>
      <vt:variant>
        <vt:i4>153</vt:i4>
      </vt:variant>
      <vt:variant>
        <vt:i4>0</vt:i4>
      </vt:variant>
      <vt:variant>
        <vt:i4>5</vt:i4>
      </vt:variant>
      <vt:variant>
        <vt:lpwstr>https://www.tga.gov.au/about-tga/advisory-bodies-and-committees/advisory-committee-medicines-scheduling-acms</vt:lpwstr>
      </vt:variant>
      <vt:variant>
        <vt:lpwstr/>
      </vt:variant>
      <vt:variant>
        <vt:i4>4194314</vt:i4>
      </vt:variant>
      <vt:variant>
        <vt:i4>150</vt:i4>
      </vt:variant>
      <vt:variant>
        <vt:i4>0</vt:i4>
      </vt:variant>
      <vt:variant>
        <vt:i4>5</vt:i4>
      </vt:variant>
      <vt:variant>
        <vt:lpwstr>https://consultations.tga.gov.au/tga/scheduling-pre-meeting-notice-4mbc-nov-2026</vt:lpwstr>
      </vt:variant>
      <vt:variant>
        <vt:lpwstr/>
      </vt:variant>
      <vt:variant>
        <vt:i4>5111872</vt:i4>
      </vt:variant>
      <vt:variant>
        <vt:i4>147</vt:i4>
      </vt:variant>
      <vt:variant>
        <vt:i4>0</vt:i4>
      </vt:variant>
      <vt:variant>
        <vt:i4>5</vt:i4>
      </vt:variant>
      <vt:variant>
        <vt:lpwstr>https://www.accessdata.fda.gov/scripts/cder/daf/</vt:lpwstr>
      </vt:variant>
      <vt:variant>
        <vt:lpwstr/>
      </vt:variant>
      <vt:variant>
        <vt:i4>6029404</vt:i4>
      </vt:variant>
      <vt:variant>
        <vt:i4>144</vt:i4>
      </vt:variant>
      <vt:variant>
        <vt:i4>0</vt:i4>
      </vt:variant>
      <vt:variant>
        <vt:i4>5</vt:i4>
      </vt:variant>
      <vt:variant>
        <vt:lpwstr>https://ec.europa.eu/food/plant/pesticides/eu-pesticides-database/public/?event=activesubstance.selection&amp;language=EN</vt:lpwstr>
      </vt:variant>
      <vt:variant>
        <vt:lpwstr/>
      </vt:variant>
      <vt:variant>
        <vt:i4>3866661</vt:i4>
      </vt:variant>
      <vt:variant>
        <vt:i4>141</vt:i4>
      </vt:variant>
      <vt:variant>
        <vt:i4>0</vt:i4>
      </vt:variant>
      <vt:variant>
        <vt:i4>5</vt:i4>
      </vt:variant>
      <vt:variant>
        <vt:lpwstr>https://www.medsafe.govt.nz/profs/class/classintro.asp</vt:lpwstr>
      </vt:variant>
      <vt:variant>
        <vt:lpwstr/>
      </vt:variant>
      <vt:variant>
        <vt:i4>1245267</vt:i4>
      </vt:variant>
      <vt:variant>
        <vt:i4>138</vt:i4>
      </vt:variant>
      <vt:variant>
        <vt:i4>0</vt:i4>
      </vt:variant>
      <vt:variant>
        <vt:i4>5</vt:i4>
      </vt:variant>
      <vt:variant>
        <vt:lpwstr>https://pesticide-registry.canada.ca/en/active-ingredient-search.html</vt:lpwstr>
      </vt:variant>
      <vt:variant>
        <vt:lpwstr/>
      </vt:variant>
      <vt:variant>
        <vt:i4>2359330</vt:i4>
      </vt:variant>
      <vt:variant>
        <vt:i4>135</vt:i4>
      </vt:variant>
      <vt:variant>
        <vt:i4>0</vt:i4>
      </vt:variant>
      <vt:variant>
        <vt:i4>5</vt:i4>
      </vt:variant>
      <vt:variant>
        <vt:lpwstr>https://health-products.canada.ca/dpd-bdpp/</vt:lpwstr>
      </vt:variant>
      <vt:variant>
        <vt:lpwstr/>
      </vt:variant>
      <vt:variant>
        <vt:i4>1048642</vt:i4>
      </vt:variant>
      <vt:variant>
        <vt:i4>132</vt:i4>
      </vt:variant>
      <vt:variant>
        <vt:i4>0</vt:i4>
      </vt:variant>
      <vt:variant>
        <vt:i4>5</vt:i4>
      </vt:variant>
      <vt:variant>
        <vt:lpwstr>https://www.nmpa.gov.cn/hzhp/hzhpjmtg/20260112145634170.html</vt:lpwstr>
      </vt:variant>
      <vt:variant>
        <vt:lpwstr/>
      </vt:variant>
      <vt:variant>
        <vt:i4>6684733</vt:i4>
      </vt:variant>
      <vt:variant>
        <vt:i4>129</vt:i4>
      </vt:variant>
      <vt:variant>
        <vt:i4>0</vt:i4>
      </vt:variant>
      <vt:variant>
        <vt:i4>5</vt:i4>
      </vt:variant>
      <vt:variant>
        <vt:lpwstr>https://www.epa.govt.nz/database-search/chemical-classification-and-information-database-ccid/</vt:lpwstr>
      </vt:variant>
      <vt:variant>
        <vt:lpwstr/>
      </vt:variant>
      <vt:variant>
        <vt:i4>1310748</vt:i4>
      </vt:variant>
      <vt:variant>
        <vt:i4>126</vt:i4>
      </vt:variant>
      <vt:variant>
        <vt:i4>0</vt:i4>
      </vt:variant>
      <vt:variant>
        <vt:i4>5</vt:i4>
      </vt:variant>
      <vt:variant>
        <vt:lpwstr>https://www.epa.govt.nz/database-search/new-zealand-inventory-of-chemicals-nzioc/DatabaseSearchForm/?SiteDatabaseSearchFilters=36&amp;Keyword=acequinocyl&amp;DatabaseType=NZIOC</vt:lpwstr>
      </vt:variant>
      <vt:variant>
        <vt:lpwstr/>
      </vt:variant>
      <vt:variant>
        <vt:i4>1507358</vt:i4>
      </vt:variant>
      <vt:variant>
        <vt:i4>123</vt:i4>
      </vt:variant>
      <vt:variant>
        <vt:i4>0</vt:i4>
      </vt:variant>
      <vt:variant>
        <vt:i4>5</vt:i4>
      </vt:variant>
      <vt:variant>
        <vt:lpwstr>https://ec.europa.eu/growth/tools-databases/cosing/reference/functions/list/LIGHT STABILIZER</vt:lpwstr>
      </vt:variant>
      <vt:variant>
        <vt:lpwstr/>
      </vt:variant>
      <vt:variant>
        <vt:i4>7798890</vt:i4>
      </vt:variant>
      <vt:variant>
        <vt:i4>120</vt:i4>
      </vt:variant>
      <vt:variant>
        <vt:i4>0</vt:i4>
      </vt:variant>
      <vt:variant>
        <vt:i4>5</vt:i4>
      </vt:variant>
      <vt:variant>
        <vt:lpwstr>https://www.echa.europa.eu/web/guest/cosmetics-prohibited-substances/-/legislationlist/details/EU-COSM_PROD-ANX_II_PROHIB-100.048.386-VSK-G54UHH?_eucleflegislationlist_WAR_euclefportlet_businessIdentifier=EU-COSM_PROD-ANX_II_PROHIB-100.048.386-VSK-G54UHH</vt:lpwstr>
      </vt:variant>
      <vt:variant>
        <vt:lpwstr/>
      </vt:variant>
      <vt:variant>
        <vt:i4>4587539</vt:i4>
      </vt:variant>
      <vt:variant>
        <vt:i4>117</vt:i4>
      </vt:variant>
      <vt:variant>
        <vt:i4>0</vt:i4>
      </vt:variant>
      <vt:variant>
        <vt:i4>5</vt:i4>
      </vt:variant>
      <vt:variant>
        <vt:lpwstr>https://echa.europa.eu/substance-information/-/substanceinfo/100.048.386?_disssubsinfo_WAR_disssubsinfoportlet_substanceId=100.048.386</vt:lpwstr>
      </vt:variant>
      <vt:variant>
        <vt:lpwstr/>
      </vt:variant>
      <vt:variant>
        <vt:i4>4522056</vt:i4>
      </vt:variant>
      <vt:variant>
        <vt:i4>114</vt:i4>
      </vt:variant>
      <vt:variant>
        <vt:i4>0</vt:i4>
      </vt:variant>
      <vt:variant>
        <vt:i4>5</vt:i4>
      </vt:variant>
      <vt:variant>
        <vt:lpwstr>https://services.industrialchemicals.gov.au/search-inventory/</vt:lpwstr>
      </vt:variant>
      <vt:variant>
        <vt:lpwstr/>
      </vt:variant>
      <vt:variant>
        <vt:i4>3145834</vt:i4>
      </vt:variant>
      <vt:variant>
        <vt:i4>111</vt:i4>
      </vt:variant>
      <vt:variant>
        <vt:i4>0</vt:i4>
      </vt:variant>
      <vt:variant>
        <vt:i4>5</vt:i4>
      </vt:variant>
      <vt:variant>
        <vt:lpwstr>https://portal.apvma.gov.au/pubcris</vt:lpwstr>
      </vt:variant>
      <vt:variant>
        <vt:lpwstr/>
      </vt:variant>
      <vt:variant>
        <vt:i4>7602211</vt:i4>
      </vt:variant>
      <vt:variant>
        <vt:i4>108</vt:i4>
      </vt:variant>
      <vt:variant>
        <vt:i4>0</vt:i4>
      </vt:variant>
      <vt:variant>
        <vt:i4>5</vt:i4>
      </vt:variant>
      <vt:variant>
        <vt:lpwstr>https://www.legislation.gov.au/Details/F2021L01888</vt:lpwstr>
      </vt:variant>
      <vt:variant>
        <vt:lpwstr/>
      </vt:variant>
      <vt:variant>
        <vt:i4>4063278</vt:i4>
      </vt:variant>
      <vt:variant>
        <vt:i4>105</vt:i4>
      </vt:variant>
      <vt:variant>
        <vt:i4>0</vt:i4>
      </vt:variant>
      <vt:variant>
        <vt:i4>5</vt:i4>
      </vt:variant>
      <vt:variant>
        <vt:lpwstr>https://www.tga.gov.au/prescribing-medicines-pregnancy-database</vt:lpwstr>
      </vt:variant>
      <vt:variant>
        <vt:lpwstr/>
      </vt:variant>
      <vt:variant>
        <vt:i4>2883646</vt:i4>
      </vt:variant>
      <vt:variant>
        <vt:i4>102</vt:i4>
      </vt:variant>
      <vt:variant>
        <vt:i4>0</vt:i4>
      </vt:variant>
      <vt:variant>
        <vt:i4>5</vt:i4>
      </vt:variant>
      <vt:variant>
        <vt:lpwstr>https://www.legislation.gov.au/F2026L00707/latest/text</vt:lpwstr>
      </vt:variant>
      <vt:variant>
        <vt:lpwstr/>
      </vt:variant>
      <vt:variant>
        <vt:i4>3211301</vt:i4>
      </vt:variant>
      <vt:variant>
        <vt:i4>99</vt:i4>
      </vt:variant>
      <vt:variant>
        <vt:i4>0</vt:i4>
      </vt:variant>
      <vt:variant>
        <vt:i4>5</vt:i4>
      </vt:variant>
      <vt:variant>
        <vt:lpwstr>https://compliance.health.gov.au/artg/</vt:lpwstr>
      </vt:variant>
      <vt:variant>
        <vt:lpwstr/>
      </vt:variant>
      <vt:variant>
        <vt:i4>7929907</vt:i4>
      </vt:variant>
      <vt:variant>
        <vt:i4>96</vt:i4>
      </vt:variant>
      <vt:variant>
        <vt:i4>0</vt:i4>
      </vt:variant>
      <vt:variant>
        <vt:i4>5</vt:i4>
      </vt:variant>
      <vt:variant>
        <vt:lpwstr>https://www.ebs.tga.gov.au/</vt:lpwstr>
      </vt:variant>
      <vt:variant>
        <vt:lpwstr/>
      </vt:variant>
      <vt:variant>
        <vt:i4>4194375</vt:i4>
      </vt:variant>
      <vt:variant>
        <vt:i4>93</vt:i4>
      </vt:variant>
      <vt:variant>
        <vt:i4>0</vt:i4>
      </vt:variant>
      <vt:variant>
        <vt:i4>5</vt:i4>
      </vt:variant>
      <vt:variant>
        <vt:lpwstr>https://consultations.tga.gov.au/tga/proposed-model-for-assessing-sunscreen-ingredients/</vt:lpwstr>
      </vt:variant>
      <vt:variant>
        <vt:lpwstr/>
      </vt:variant>
      <vt:variant>
        <vt:i4>4194375</vt:i4>
      </vt:variant>
      <vt:variant>
        <vt:i4>90</vt:i4>
      </vt:variant>
      <vt:variant>
        <vt:i4>0</vt:i4>
      </vt:variant>
      <vt:variant>
        <vt:i4>5</vt:i4>
      </vt:variant>
      <vt:variant>
        <vt:lpwstr>https://consultations.tga.gov.au/tga/proposed-model-for-assessing-sunscreen-ingredients/</vt:lpwstr>
      </vt:variant>
      <vt:variant>
        <vt:lpwstr/>
      </vt:variant>
      <vt:variant>
        <vt:i4>2883646</vt:i4>
      </vt:variant>
      <vt:variant>
        <vt:i4>87</vt:i4>
      </vt:variant>
      <vt:variant>
        <vt:i4>0</vt:i4>
      </vt:variant>
      <vt:variant>
        <vt:i4>5</vt:i4>
      </vt:variant>
      <vt:variant>
        <vt:lpwstr>https://www.legislation.gov.au/F2026L00707/latest/text</vt:lpwstr>
      </vt:variant>
      <vt:variant>
        <vt:lpwstr/>
      </vt:variant>
      <vt:variant>
        <vt:i4>2162745</vt:i4>
      </vt:variant>
      <vt:variant>
        <vt:i4>84</vt:i4>
      </vt:variant>
      <vt:variant>
        <vt:i4>0</vt:i4>
      </vt:variant>
      <vt:variant>
        <vt:i4>5</vt:i4>
      </vt:variant>
      <vt:variant>
        <vt:lpwstr>https://www.legislation.gov.au/F2018L01350/latest/text</vt:lpwstr>
      </vt:variant>
      <vt:variant>
        <vt:lpwstr/>
      </vt:variant>
      <vt:variant>
        <vt:i4>1507389</vt:i4>
      </vt:variant>
      <vt:variant>
        <vt:i4>77</vt:i4>
      </vt:variant>
      <vt:variant>
        <vt:i4>0</vt:i4>
      </vt:variant>
      <vt:variant>
        <vt:i4>5</vt:i4>
      </vt:variant>
      <vt:variant>
        <vt:lpwstr/>
      </vt:variant>
      <vt:variant>
        <vt:lpwstr>_Toc239862090</vt:lpwstr>
      </vt:variant>
      <vt:variant>
        <vt:i4>1441853</vt:i4>
      </vt:variant>
      <vt:variant>
        <vt:i4>71</vt:i4>
      </vt:variant>
      <vt:variant>
        <vt:i4>0</vt:i4>
      </vt:variant>
      <vt:variant>
        <vt:i4>5</vt:i4>
      </vt:variant>
      <vt:variant>
        <vt:lpwstr/>
      </vt:variant>
      <vt:variant>
        <vt:lpwstr>_Toc239862089</vt:lpwstr>
      </vt:variant>
      <vt:variant>
        <vt:i4>1441853</vt:i4>
      </vt:variant>
      <vt:variant>
        <vt:i4>65</vt:i4>
      </vt:variant>
      <vt:variant>
        <vt:i4>0</vt:i4>
      </vt:variant>
      <vt:variant>
        <vt:i4>5</vt:i4>
      </vt:variant>
      <vt:variant>
        <vt:lpwstr/>
      </vt:variant>
      <vt:variant>
        <vt:lpwstr>_Toc239862088</vt:lpwstr>
      </vt:variant>
      <vt:variant>
        <vt:i4>1441853</vt:i4>
      </vt:variant>
      <vt:variant>
        <vt:i4>59</vt:i4>
      </vt:variant>
      <vt:variant>
        <vt:i4>0</vt:i4>
      </vt:variant>
      <vt:variant>
        <vt:i4>5</vt:i4>
      </vt:variant>
      <vt:variant>
        <vt:lpwstr/>
      </vt:variant>
      <vt:variant>
        <vt:lpwstr>_Toc239862087</vt:lpwstr>
      </vt:variant>
      <vt:variant>
        <vt:i4>1441853</vt:i4>
      </vt:variant>
      <vt:variant>
        <vt:i4>53</vt:i4>
      </vt:variant>
      <vt:variant>
        <vt:i4>0</vt:i4>
      </vt:variant>
      <vt:variant>
        <vt:i4>5</vt:i4>
      </vt:variant>
      <vt:variant>
        <vt:lpwstr/>
      </vt:variant>
      <vt:variant>
        <vt:lpwstr>_Toc239862086</vt:lpwstr>
      </vt:variant>
      <vt:variant>
        <vt:i4>1441853</vt:i4>
      </vt:variant>
      <vt:variant>
        <vt:i4>47</vt:i4>
      </vt:variant>
      <vt:variant>
        <vt:i4>0</vt:i4>
      </vt:variant>
      <vt:variant>
        <vt:i4>5</vt:i4>
      </vt:variant>
      <vt:variant>
        <vt:lpwstr/>
      </vt:variant>
      <vt:variant>
        <vt:lpwstr>_Toc239862085</vt:lpwstr>
      </vt:variant>
      <vt:variant>
        <vt:i4>1441853</vt:i4>
      </vt:variant>
      <vt:variant>
        <vt:i4>41</vt:i4>
      </vt:variant>
      <vt:variant>
        <vt:i4>0</vt:i4>
      </vt:variant>
      <vt:variant>
        <vt:i4>5</vt:i4>
      </vt:variant>
      <vt:variant>
        <vt:lpwstr/>
      </vt:variant>
      <vt:variant>
        <vt:lpwstr>_Toc239862084</vt:lpwstr>
      </vt:variant>
      <vt:variant>
        <vt:i4>1441853</vt:i4>
      </vt:variant>
      <vt:variant>
        <vt:i4>35</vt:i4>
      </vt:variant>
      <vt:variant>
        <vt:i4>0</vt:i4>
      </vt:variant>
      <vt:variant>
        <vt:i4>5</vt:i4>
      </vt:variant>
      <vt:variant>
        <vt:lpwstr/>
      </vt:variant>
      <vt:variant>
        <vt:lpwstr>_Toc239862083</vt:lpwstr>
      </vt:variant>
      <vt:variant>
        <vt:i4>1441853</vt:i4>
      </vt:variant>
      <vt:variant>
        <vt:i4>29</vt:i4>
      </vt:variant>
      <vt:variant>
        <vt:i4>0</vt:i4>
      </vt:variant>
      <vt:variant>
        <vt:i4>5</vt:i4>
      </vt:variant>
      <vt:variant>
        <vt:lpwstr/>
      </vt:variant>
      <vt:variant>
        <vt:lpwstr>_Toc239862082</vt:lpwstr>
      </vt:variant>
      <vt:variant>
        <vt:i4>1441853</vt:i4>
      </vt:variant>
      <vt:variant>
        <vt:i4>23</vt:i4>
      </vt:variant>
      <vt:variant>
        <vt:i4>0</vt:i4>
      </vt:variant>
      <vt:variant>
        <vt:i4>5</vt:i4>
      </vt:variant>
      <vt:variant>
        <vt:lpwstr/>
      </vt:variant>
      <vt:variant>
        <vt:lpwstr>_Toc239862081</vt:lpwstr>
      </vt:variant>
      <vt:variant>
        <vt:i4>1441853</vt:i4>
      </vt:variant>
      <vt:variant>
        <vt:i4>17</vt:i4>
      </vt:variant>
      <vt:variant>
        <vt:i4>0</vt:i4>
      </vt:variant>
      <vt:variant>
        <vt:i4>5</vt:i4>
      </vt:variant>
      <vt:variant>
        <vt:lpwstr/>
      </vt:variant>
      <vt:variant>
        <vt:lpwstr>_Toc239862080</vt:lpwstr>
      </vt:variant>
      <vt:variant>
        <vt:i4>1638461</vt:i4>
      </vt:variant>
      <vt:variant>
        <vt:i4>11</vt:i4>
      </vt:variant>
      <vt:variant>
        <vt:i4>0</vt:i4>
      </vt:variant>
      <vt:variant>
        <vt:i4>5</vt:i4>
      </vt:variant>
      <vt:variant>
        <vt:lpwstr/>
      </vt:variant>
      <vt:variant>
        <vt:lpwstr>_Toc239862079</vt:lpwstr>
      </vt:variant>
      <vt:variant>
        <vt:i4>1638461</vt:i4>
      </vt:variant>
      <vt:variant>
        <vt:i4>5</vt:i4>
      </vt:variant>
      <vt:variant>
        <vt:i4>0</vt:i4>
      </vt:variant>
      <vt:variant>
        <vt:i4>5</vt:i4>
      </vt:variant>
      <vt:variant>
        <vt:lpwstr/>
      </vt:variant>
      <vt:variant>
        <vt:lpwstr>_Toc239862078</vt:lpwstr>
      </vt:variant>
      <vt:variant>
        <vt:i4>6291548</vt:i4>
      </vt:variant>
      <vt:variant>
        <vt:i4>0</vt:i4>
      </vt:variant>
      <vt:variant>
        <vt:i4>0</vt:i4>
      </vt:variant>
      <vt:variant>
        <vt:i4>5</vt:i4>
      </vt:variant>
      <vt:variant>
        <vt:lpwstr>mailto:tga.copyright@tga.gov.au</vt:lpwstr>
      </vt:variant>
      <vt:variant>
        <vt:lpwstr/>
      </vt:variant>
      <vt:variant>
        <vt:i4>6422604</vt:i4>
      </vt:variant>
      <vt:variant>
        <vt:i4>6</vt:i4>
      </vt:variant>
      <vt:variant>
        <vt:i4>0</vt:i4>
      </vt:variant>
      <vt:variant>
        <vt:i4>5</vt:i4>
      </vt:variant>
      <vt:variant>
        <vt:lpwstr>https://www.canada.ca/content/dam/hc-sc/migration/hc-sc/dhp-mps/alt_formats/pdf/consultation/natur/sunscreen-ecransolaire-eng.pdf</vt:lpwstr>
      </vt:variant>
      <vt:variant>
        <vt:lpwstr/>
      </vt:variant>
      <vt:variant>
        <vt:i4>6160479</vt:i4>
      </vt:variant>
      <vt:variant>
        <vt:i4>3</vt:i4>
      </vt:variant>
      <vt:variant>
        <vt:i4>0</vt:i4>
      </vt:variant>
      <vt:variant>
        <vt:i4>5</vt:i4>
      </vt:variant>
      <vt:variant>
        <vt:lpwstr>https://eur-lex.europa.eu/eli/reg/2024/996/oj</vt:lpwstr>
      </vt:variant>
      <vt:variant>
        <vt:lpwstr/>
      </vt:variant>
      <vt:variant>
        <vt:i4>131087</vt:i4>
      </vt:variant>
      <vt:variant>
        <vt:i4>0</vt:i4>
      </vt:variant>
      <vt:variant>
        <vt:i4>0</vt:i4>
      </vt:variant>
      <vt:variant>
        <vt:i4>5</vt:i4>
      </vt:variant>
      <vt:variant>
        <vt:lpwstr>https://www.federalregister.gov/documents/2015/02/25/2015-03884/over-the-counter-sunscreen-drug-products-regulatory-status-of-enzacamene</vt:lpwstr>
      </vt:variant>
      <vt:variant>
        <vt:lpwstr/>
      </vt:variant>
      <vt:variant>
        <vt:i4>3735563</vt:i4>
      </vt:variant>
      <vt:variant>
        <vt:i4>9</vt:i4>
      </vt:variant>
      <vt:variant>
        <vt:i4>0</vt:i4>
      </vt:variant>
      <vt:variant>
        <vt:i4>5</vt:i4>
      </vt:variant>
      <vt:variant>
        <vt:lpwstr>mailto:medicines.scheduling@health.gov.au</vt:lpwstr>
      </vt:variant>
      <vt:variant>
        <vt:lpwstr/>
      </vt:variant>
      <vt:variant>
        <vt:i4>1966101</vt:i4>
      </vt:variant>
      <vt:variant>
        <vt:i4>6</vt:i4>
      </vt:variant>
      <vt:variant>
        <vt:i4>0</vt:i4>
      </vt:variant>
      <vt:variant>
        <vt:i4>5</vt:i4>
      </vt:variant>
      <vt:variant>
        <vt:lpwstr>https://www.tga.gov.au/committee/advisory-committee-chemicals-scheduling-accs</vt:lpwstr>
      </vt:variant>
      <vt:variant>
        <vt:lpwstr/>
      </vt:variant>
      <vt:variant>
        <vt:i4>1703967</vt:i4>
      </vt:variant>
      <vt:variant>
        <vt:i4>3</vt:i4>
      </vt:variant>
      <vt:variant>
        <vt:i4>0</vt:i4>
      </vt:variant>
      <vt:variant>
        <vt:i4>5</vt:i4>
      </vt:variant>
      <vt:variant>
        <vt:lpwstr>https://www.tga.gov.au/committee/advisory-committee-medicines-scheduling-acms</vt:lpwstr>
      </vt:variant>
      <vt:variant>
        <vt:lpwstr/>
      </vt:variant>
      <vt:variant>
        <vt:i4>4194314</vt:i4>
      </vt:variant>
      <vt:variant>
        <vt:i4>0</vt:i4>
      </vt:variant>
      <vt:variant>
        <vt:i4>0</vt:i4>
      </vt:variant>
      <vt:variant>
        <vt:i4>5</vt:i4>
      </vt:variant>
      <vt:variant>
        <vt:lpwstr>https://consultations.tga.gov.au/tga/scheduling-pre-meeting-notice-4mbc-nov-2026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 Vivi</dc:creator>
  <cp:keywords/>
  <dc:description/>
  <cp:lastModifiedBy>CHANG, Vivi</cp:lastModifiedBy>
  <cp:revision>5</cp:revision>
  <dcterms:created xsi:type="dcterms:W3CDTF">2026-09-11T00:38:00Z</dcterms:created>
  <dcterms:modified xsi:type="dcterms:W3CDTF">2026-09-11T02:19:00Z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69e909bb,d7ca87d,297a6753,22d011b9,6d41b1b3</vt:lpwstr>
  </property>
  <property fmtid="{D5CDD505-2E9C-101B-9397-08002B2CF9AE}" pid="3" name="ClassificationContentMarkingHeaderFontProps">
    <vt:lpwstr>#ff0000,12,Aptos</vt:lpwstr>
  </property>
  <property fmtid="{D5CDD505-2E9C-101B-9397-08002B2CF9AE}" pid="4" name="ClassificationContentMarkingHeaderText">
    <vt:lpwstr>OFFICIAL</vt:lpwstr>
  </property>
  <property fmtid="{D5CDD505-2E9C-101B-9397-08002B2CF9AE}" pid="5" name="ClassificationContentMarkingFooterShapeIds">
    <vt:lpwstr>4a0019cc,2099501a,6fc9e98d,204e41f1,41c5844</vt:lpwstr>
  </property>
  <property fmtid="{D5CDD505-2E9C-101B-9397-08002B2CF9AE}" pid="6" name="ClassificationContentMarkingFooterFontProps">
    <vt:lpwstr>#ff0000,12,Aptos</vt:lpwstr>
  </property>
  <property fmtid="{D5CDD505-2E9C-101B-9397-08002B2CF9AE}" pid="7" name="ClassificationContentMarkingFooterText">
    <vt:lpwstr>OFFICIAL</vt:lpwstr>
  </property>
  <property fmtid="{D5CDD505-2E9C-101B-9397-08002B2CF9AE}" pid="8" name="MSIP_Label_7cd3e8b9-ffed-43a8-b7f4-cc2fa0382d36_Enabled">
    <vt:lpwstr>true</vt:lpwstr>
  </property>
  <property fmtid="{D5CDD505-2E9C-101B-9397-08002B2CF9AE}" pid="9" name="MSIP_Label_7cd3e8b9-ffed-43a8-b7f4-cc2fa0382d36_SetDate">
    <vt:lpwstr>2025-12-18T03:42:46Z</vt:lpwstr>
  </property>
  <property fmtid="{D5CDD505-2E9C-101B-9397-08002B2CF9AE}" pid="10" name="MSIP_Label_7cd3e8b9-ffed-43a8-b7f4-cc2fa0382d36_Method">
    <vt:lpwstr>Privileged</vt:lpwstr>
  </property>
  <property fmtid="{D5CDD505-2E9C-101B-9397-08002B2CF9AE}" pid="11" name="MSIP_Label_7cd3e8b9-ffed-43a8-b7f4-cc2fa0382d36_Name">
    <vt:lpwstr>O</vt:lpwstr>
  </property>
  <property fmtid="{D5CDD505-2E9C-101B-9397-08002B2CF9AE}" pid="12" name="MSIP_Label_7cd3e8b9-ffed-43a8-b7f4-cc2fa0382d36_SiteId">
    <vt:lpwstr>34a3929c-73cf-4954-abfe-147dc3517892</vt:lpwstr>
  </property>
  <property fmtid="{D5CDD505-2E9C-101B-9397-08002B2CF9AE}" pid="13" name="MSIP_Label_7cd3e8b9-ffed-43a8-b7f4-cc2fa0382d36_ActionId">
    <vt:lpwstr>92f55ec8-0538-448a-b48c-962024cf906f</vt:lpwstr>
  </property>
  <property fmtid="{D5CDD505-2E9C-101B-9397-08002B2CF9AE}" pid="14" name="MSIP_Label_7cd3e8b9-ffed-43a8-b7f4-cc2fa0382d36_ContentBits">
    <vt:lpwstr>3</vt:lpwstr>
  </property>
  <property fmtid="{D5CDD505-2E9C-101B-9397-08002B2CF9AE}" pid="15" name="MSIP_Label_7cd3e8b9-ffed-43a8-b7f4-cc2fa0382d36_Tag">
    <vt:lpwstr>10, 0, 1, 1</vt:lpwstr>
  </property>
  <property fmtid="{D5CDD505-2E9C-101B-9397-08002B2CF9AE}" pid="16" name="ContentTypeId">
    <vt:lpwstr>0x010100EFE0E35EFD4F464680E6AF1C0D13EB20</vt:lpwstr>
  </property>
  <property fmtid="{D5CDD505-2E9C-101B-9397-08002B2CF9AE}" pid="17" name="docLang">
    <vt:lpwstr>en</vt:lpwstr>
  </property>
  <property fmtid="{D5CDD505-2E9C-101B-9397-08002B2CF9AE}" pid="18" name="MediaServiceImageTags">
    <vt:lpwstr/>
  </property>
</Properties>
</file>