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C3ED" w14:textId="77777777" w:rsidR="00F02AEC" w:rsidRDefault="00F02AEC" w:rsidP="00C417B6">
      <w:bookmarkStart w:id="0" w:name="_Hlk165881389"/>
    </w:p>
    <w:p w14:paraId="406D280D" w14:textId="77777777" w:rsidR="00F57320" w:rsidRPr="00F57320" w:rsidRDefault="00F57320" w:rsidP="00F57320"/>
    <w:p w14:paraId="18CA889A" w14:textId="77777777" w:rsidR="00B935A1" w:rsidRDefault="00B935A1" w:rsidP="004F3570">
      <w:pPr>
        <w:pStyle w:val="Title"/>
      </w:pPr>
    </w:p>
    <w:p w14:paraId="3F350FD3" w14:textId="77777777" w:rsidR="00B935A1" w:rsidRDefault="00B935A1" w:rsidP="004F3570">
      <w:pPr>
        <w:pStyle w:val="Title"/>
      </w:pPr>
    </w:p>
    <w:p w14:paraId="18022C0D" w14:textId="2CE74454" w:rsidR="004F3570" w:rsidRDefault="004F3570" w:rsidP="004F3570">
      <w:pPr>
        <w:pStyle w:val="Title"/>
      </w:pPr>
      <w:r w:rsidRPr="00C417B6">
        <w:t>Consultation: Proposed amendments to the Poisons Standard – ACMS</w:t>
      </w:r>
      <w:r>
        <w:t xml:space="preserve"> #50 </w:t>
      </w:r>
      <w:r w:rsidRPr="00C417B6">
        <w:t>and Joint ACMS-ACCS</w:t>
      </w:r>
      <w:r>
        <w:t xml:space="preserve"> #44</w:t>
      </w:r>
      <w:r w:rsidRPr="00C417B6">
        <w:t xml:space="preserve"> meetings,</w:t>
      </w:r>
      <w:r>
        <w:t xml:space="preserve"> July</w:t>
      </w:r>
      <w:r w:rsidRPr="00C417B6">
        <w:t xml:space="preserve"> 20</w:t>
      </w:r>
      <w:r>
        <w:t>26</w:t>
      </w:r>
    </w:p>
    <w:p w14:paraId="2369281F" w14:textId="029CB0B9" w:rsidR="003D51C5" w:rsidRPr="00F57320" w:rsidRDefault="009E3230" w:rsidP="00097246">
      <w:pPr>
        <w:pStyle w:val="Subtitle"/>
        <w:ind w:left="0"/>
        <w:sectPr w:rsidR="003D51C5" w:rsidRPr="00F57320" w:rsidSect="000D6BB2">
          <w:headerReference w:type="even" r:id="rId11"/>
          <w:headerReference w:type="default" r:id="rId12"/>
          <w:footerReference w:type="even" r:id="rId13"/>
          <w:footerReference w:type="default" r:id="rId14"/>
          <w:headerReference w:type="first" r:id="rId15"/>
          <w:footerReference w:type="first" r:id="rId16"/>
          <w:pgSz w:w="11906" w:h="16838"/>
          <w:pgMar w:top="1006" w:right="1440" w:bottom="1440" w:left="1440" w:header="708" w:footer="708" w:gutter="0"/>
          <w:cols w:space="708"/>
          <w:titlePg/>
          <w:docGrid w:linePitch="360"/>
        </w:sectPr>
      </w:pPr>
      <w:r w:rsidRPr="003D6525">
        <w:t>29</w:t>
      </w:r>
      <w:r w:rsidR="00F41EC8" w:rsidRPr="003D6525">
        <w:t xml:space="preserve"> </w:t>
      </w:r>
      <w:r w:rsidR="00130C64">
        <w:t>M</w:t>
      </w:r>
      <w:r w:rsidR="003E1AE4">
        <w:t>ay 2026</w:t>
      </w:r>
    </w:p>
    <w:p w14:paraId="1434E16A" w14:textId="77777777" w:rsidR="00F02AEC" w:rsidRPr="00BF2FE0" w:rsidRDefault="00F02AEC" w:rsidP="00BF2FE0">
      <w:pPr>
        <w:pStyle w:val="LegalSubheading"/>
        <w:rPr>
          <w:b/>
          <w:bCs/>
        </w:rPr>
      </w:pPr>
      <w:bookmarkStart w:id="1" w:name="_Hlk139891783"/>
      <w:r w:rsidRPr="00BF2FE0">
        <w:rPr>
          <w:b/>
          <w:bCs/>
        </w:rPr>
        <w:lastRenderedPageBreak/>
        <w:t>Copyright</w:t>
      </w:r>
    </w:p>
    <w:p w14:paraId="4BB8632B" w14:textId="0EBB2368" w:rsidR="00930D58" w:rsidRPr="00C417B6" w:rsidRDefault="00F02AEC" w:rsidP="00BF2FE0">
      <w:pPr>
        <w:pStyle w:val="LegalSubheading"/>
      </w:pPr>
      <w:r w:rsidRPr="00C417B6">
        <w:t xml:space="preserve">© Commonwealth of Australia </w:t>
      </w:r>
      <w:r w:rsidR="003E1AE4" w:rsidRPr="00C417B6">
        <w:t>202</w:t>
      </w:r>
      <w:r w:rsidR="003E1AE4">
        <w:t>6</w:t>
      </w:r>
      <w:r w:rsidRPr="00C417B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7" w:history="1">
        <w:r w:rsidR="003D6525" w:rsidRPr="00D11B4D">
          <w:rPr>
            <w:rStyle w:val="Hyperlink"/>
          </w:rPr>
          <w:t>tga.copyright@tga.gov.au</w:t>
        </w:r>
      </w:hyperlink>
      <w:r w:rsidRPr="00C417B6">
        <w:t>.</w:t>
      </w:r>
    </w:p>
    <w:p w14:paraId="7BC14348" w14:textId="77777777" w:rsidR="00175CD8" w:rsidRPr="00C417B6" w:rsidRDefault="00175CD8" w:rsidP="00C417B6"/>
    <w:p w14:paraId="403F191E" w14:textId="77777777" w:rsidR="0088292E" w:rsidRPr="00BF2FE0" w:rsidRDefault="0088292E" w:rsidP="00BF2FE0">
      <w:pPr>
        <w:pStyle w:val="LegalSubheading"/>
        <w:rPr>
          <w:b/>
          <w:bCs/>
        </w:rPr>
      </w:pPr>
      <w:bookmarkStart w:id="2" w:name="_Hlk139901247"/>
      <w:r w:rsidRPr="00BF2FE0">
        <w:rPr>
          <w:b/>
          <w:bCs/>
        </w:rPr>
        <w:t>Confidentiality</w:t>
      </w:r>
    </w:p>
    <w:p w14:paraId="4FB36665" w14:textId="77777777" w:rsidR="00BF2FE0" w:rsidRDefault="0088292E" w:rsidP="00F41EC8">
      <w:pPr>
        <w:pStyle w:val="LegalSubheading"/>
      </w:pPr>
      <w:r w:rsidRPr="00C417B6">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bookmarkEnd w:id="2"/>
    </w:p>
    <w:p w14:paraId="306C0A02" w14:textId="77777777" w:rsidR="0088292E" w:rsidRPr="00C417B6" w:rsidRDefault="0088292E" w:rsidP="00C417B6"/>
    <w:bookmarkEnd w:id="1" w:displacedByCustomXml="next"/>
    <w:bookmarkStart w:id="3" w:name="_Hlk139892237" w:displacedByCustomXml="next"/>
    <w:sdt>
      <w:sdtPr>
        <w:rPr>
          <w:rFonts w:eastAsiaTheme="minorEastAsia" w:cstheme="minorBidi"/>
          <w:b w:val="0"/>
          <w:color w:val="auto"/>
          <w:sz w:val="20"/>
        </w:rPr>
        <w:id w:val="21514769"/>
        <w:docPartObj>
          <w:docPartGallery w:val="Table of Contents"/>
          <w:docPartUnique/>
        </w:docPartObj>
      </w:sdtPr>
      <w:sdtContent>
        <w:p w14:paraId="3BC8B5FC" w14:textId="77777777" w:rsidR="00F02AEC" w:rsidRPr="00C417B6" w:rsidRDefault="00F02AEC" w:rsidP="00F41EC8">
          <w:pPr>
            <w:pStyle w:val="NonTOCheading2"/>
          </w:pPr>
          <w:r w:rsidRPr="00C417B6">
            <w:t>Contents</w:t>
          </w:r>
        </w:p>
        <w:p w14:paraId="3F56A5D4" w14:textId="3E66DB3C" w:rsidR="00D709D8"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C417B6">
            <w:fldChar w:fldCharType="begin"/>
          </w:r>
          <w:r w:rsidRPr="00C417B6">
            <w:instrText xml:space="preserve"> TOC \h \z \u \t "Heading 2,1,Heading 3,2,Heading 4,3" </w:instrText>
          </w:r>
          <w:r w:rsidRPr="00C417B6">
            <w:fldChar w:fldCharType="separate"/>
          </w:r>
          <w:hyperlink w:anchor="_Toc230951699" w:history="1">
            <w:r w:rsidR="00D709D8" w:rsidRPr="002957F7">
              <w:rPr>
                <w:rStyle w:val="Hyperlink"/>
                <w:noProof/>
              </w:rPr>
              <w:t>About this consultation</w:t>
            </w:r>
            <w:r w:rsidR="00D709D8">
              <w:rPr>
                <w:noProof/>
                <w:webHidden/>
              </w:rPr>
              <w:tab/>
            </w:r>
            <w:r w:rsidR="00D709D8">
              <w:rPr>
                <w:noProof/>
                <w:webHidden/>
              </w:rPr>
              <w:fldChar w:fldCharType="begin"/>
            </w:r>
            <w:r w:rsidR="00D709D8">
              <w:rPr>
                <w:noProof/>
                <w:webHidden/>
              </w:rPr>
              <w:instrText xml:space="preserve"> PAGEREF _Toc230951699 \h </w:instrText>
            </w:r>
            <w:r w:rsidR="00D709D8">
              <w:rPr>
                <w:noProof/>
                <w:webHidden/>
              </w:rPr>
            </w:r>
            <w:r w:rsidR="00D709D8">
              <w:rPr>
                <w:noProof/>
                <w:webHidden/>
              </w:rPr>
              <w:fldChar w:fldCharType="separate"/>
            </w:r>
            <w:r w:rsidR="00D709D8">
              <w:rPr>
                <w:noProof/>
                <w:webHidden/>
              </w:rPr>
              <w:t>5</w:t>
            </w:r>
            <w:r w:rsidR="00D709D8">
              <w:rPr>
                <w:noProof/>
                <w:webHidden/>
              </w:rPr>
              <w:fldChar w:fldCharType="end"/>
            </w:r>
          </w:hyperlink>
        </w:p>
        <w:p w14:paraId="7A249DB7" w14:textId="023BBABB" w:rsidR="00D709D8" w:rsidRDefault="00D709D8">
          <w:pPr>
            <w:pStyle w:val="TOC1"/>
            <w:tabs>
              <w:tab w:val="left" w:pos="425"/>
            </w:tabs>
            <w:rPr>
              <w:rFonts w:asciiTheme="minorHAnsi" w:eastAsiaTheme="minorEastAsia" w:hAnsiTheme="minorHAnsi" w:cstheme="minorBidi"/>
              <w:b w:val="0"/>
              <w:noProof/>
              <w:color w:val="auto"/>
              <w:kern w:val="2"/>
              <w:sz w:val="24"/>
              <w:szCs w:val="24"/>
              <w:lang w:eastAsia="en-AU"/>
              <w14:ligatures w14:val="standardContextual"/>
            </w:rPr>
          </w:pPr>
          <w:hyperlink w:anchor="_Toc230951700" w:history="1">
            <w:r w:rsidRPr="002957F7">
              <w:rPr>
                <w:rStyle w:val="Hyperlink"/>
                <w:noProof/>
              </w:rPr>
              <w:t>1</w:t>
            </w:r>
            <w:r>
              <w:rPr>
                <w:rFonts w:asciiTheme="minorHAnsi" w:eastAsiaTheme="minorEastAsia" w:hAnsiTheme="minorHAnsi" w:cstheme="minorBidi"/>
                <w:b w:val="0"/>
                <w:noProof/>
                <w:color w:val="auto"/>
                <w:kern w:val="2"/>
                <w:sz w:val="24"/>
                <w:szCs w:val="24"/>
                <w:lang w:eastAsia="en-AU"/>
                <w14:ligatures w14:val="standardContextual"/>
              </w:rPr>
              <w:tab/>
            </w:r>
            <w:r w:rsidRPr="002957F7">
              <w:rPr>
                <w:rStyle w:val="Hyperlink"/>
                <w:noProof/>
              </w:rPr>
              <w:t>Proposed amendment referred for scheduling advice to ACMS meeting #50</w:t>
            </w:r>
            <w:r>
              <w:rPr>
                <w:noProof/>
                <w:webHidden/>
              </w:rPr>
              <w:tab/>
            </w:r>
            <w:r>
              <w:rPr>
                <w:noProof/>
                <w:webHidden/>
              </w:rPr>
              <w:fldChar w:fldCharType="begin"/>
            </w:r>
            <w:r>
              <w:rPr>
                <w:noProof/>
                <w:webHidden/>
              </w:rPr>
              <w:instrText xml:space="preserve"> PAGEREF _Toc230951700 \h </w:instrText>
            </w:r>
            <w:r>
              <w:rPr>
                <w:noProof/>
                <w:webHidden/>
              </w:rPr>
            </w:r>
            <w:r>
              <w:rPr>
                <w:noProof/>
                <w:webHidden/>
              </w:rPr>
              <w:fldChar w:fldCharType="separate"/>
            </w:r>
            <w:r>
              <w:rPr>
                <w:noProof/>
                <w:webHidden/>
              </w:rPr>
              <w:t>6</w:t>
            </w:r>
            <w:r>
              <w:rPr>
                <w:noProof/>
                <w:webHidden/>
              </w:rPr>
              <w:fldChar w:fldCharType="end"/>
            </w:r>
          </w:hyperlink>
        </w:p>
        <w:p w14:paraId="69C35E4E" w14:textId="209B0F18" w:rsidR="00D709D8" w:rsidRDefault="00D709D8">
          <w:pPr>
            <w:pStyle w:val="TOC2"/>
            <w:tabs>
              <w:tab w:val="left" w:pos="1276"/>
            </w:tabs>
            <w:rPr>
              <w:rFonts w:asciiTheme="minorHAnsi" w:eastAsiaTheme="minorEastAsia" w:hAnsiTheme="minorHAnsi" w:cstheme="minorBidi"/>
              <w:noProof/>
              <w:color w:val="auto"/>
              <w:kern w:val="2"/>
              <w:szCs w:val="24"/>
              <w:lang w:eastAsia="en-AU"/>
              <w14:ligatures w14:val="standardContextual"/>
            </w:rPr>
          </w:pPr>
          <w:hyperlink w:anchor="_Toc230951701" w:history="1">
            <w:r w:rsidRPr="002957F7">
              <w:rPr>
                <w:rStyle w:val="Hyperlink"/>
                <w:noProof/>
              </w:rPr>
              <w:t>1.1</w:t>
            </w:r>
            <w:r>
              <w:rPr>
                <w:rFonts w:asciiTheme="minorHAnsi" w:eastAsiaTheme="minorEastAsia" w:hAnsiTheme="minorHAnsi" w:cstheme="minorBidi"/>
                <w:noProof/>
                <w:color w:val="auto"/>
                <w:kern w:val="2"/>
                <w:szCs w:val="24"/>
                <w:lang w:eastAsia="en-AU"/>
                <w14:ligatures w14:val="standardContextual"/>
              </w:rPr>
              <w:tab/>
            </w:r>
            <w:r w:rsidRPr="002957F7">
              <w:rPr>
                <w:rStyle w:val="Hyperlink"/>
                <w:noProof/>
              </w:rPr>
              <w:t>Loratadine</w:t>
            </w:r>
            <w:r>
              <w:rPr>
                <w:noProof/>
                <w:webHidden/>
              </w:rPr>
              <w:tab/>
            </w:r>
            <w:r>
              <w:rPr>
                <w:noProof/>
                <w:webHidden/>
              </w:rPr>
              <w:fldChar w:fldCharType="begin"/>
            </w:r>
            <w:r>
              <w:rPr>
                <w:noProof/>
                <w:webHidden/>
              </w:rPr>
              <w:instrText xml:space="preserve"> PAGEREF _Toc230951701 \h </w:instrText>
            </w:r>
            <w:r>
              <w:rPr>
                <w:noProof/>
                <w:webHidden/>
              </w:rPr>
            </w:r>
            <w:r>
              <w:rPr>
                <w:noProof/>
                <w:webHidden/>
              </w:rPr>
              <w:fldChar w:fldCharType="separate"/>
            </w:r>
            <w:r>
              <w:rPr>
                <w:noProof/>
                <w:webHidden/>
              </w:rPr>
              <w:t>6</w:t>
            </w:r>
            <w:r>
              <w:rPr>
                <w:noProof/>
                <w:webHidden/>
              </w:rPr>
              <w:fldChar w:fldCharType="end"/>
            </w:r>
          </w:hyperlink>
        </w:p>
        <w:p w14:paraId="0705B4AD" w14:textId="206A2F38"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02" w:history="1">
            <w:r w:rsidRPr="002957F7">
              <w:rPr>
                <w:rStyle w:val="Hyperlink"/>
                <w:noProof/>
              </w:rPr>
              <w:t>Proposal</w:t>
            </w:r>
            <w:r>
              <w:rPr>
                <w:noProof/>
                <w:webHidden/>
              </w:rPr>
              <w:tab/>
            </w:r>
            <w:r>
              <w:rPr>
                <w:noProof/>
                <w:webHidden/>
              </w:rPr>
              <w:fldChar w:fldCharType="begin"/>
            </w:r>
            <w:r>
              <w:rPr>
                <w:noProof/>
                <w:webHidden/>
              </w:rPr>
              <w:instrText xml:space="preserve"> PAGEREF _Toc230951702 \h </w:instrText>
            </w:r>
            <w:r>
              <w:rPr>
                <w:noProof/>
                <w:webHidden/>
              </w:rPr>
            </w:r>
            <w:r>
              <w:rPr>
                <w:noProof/>
                <w:webHidden/>
              </w:rPr>
              <w:fldChar w:fldCharType="separate"/>
            </w:r>
            <w:r>
              <w:rPr>
                <w:noProof/>
                <w:webHidden/>
              </w:rPr>
              <w:t>6</w:t>
            </w:r>
            <w:r>
              <w:rPr>
                <w:noProof/>
                <w:webHidden/>
              </w:rPr>
              <w:fldChar w:fldCharType="end"/>
            </w:r>
          </w:hyperlink>
        </w:p>
        <w:p w14:paraId="00F0F844" w14:textId="7C3A8CFE"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03" w:history="1">
            <w:r w:rsidRPr="002957F7">
              <w:rPr>
                <w:rStyle w:val="Hyperlink"/>
                <w:noProof/>
              </w:rPr>
              <w:t>CAS number</w:t>
            </w:r>
            <w:r>
              <w:rPr>
                <w:noProof/>
                <w:webHidden/>
              </w:rPr>
              <w:tab/>
            </w:r>
            <w:r>
              <w:rPr>
                <w:noProof/>
                <w:webHidden/>
              </w:rPr>
              <w:fldChar w:fldCharType="begin"/>
            </w:r>
            <w:r>
              <w:rPr>
                <w:noProof/>
                <w:webHidden/>
              </w:rPr>
              <w:instrText xml:space="preserve"> PAGEREF _Toc230951703 \h </w:instrText>
            </w:r>
            <w:r>
              <w:rPr>
                <w:noProof/>
                <w:webHidden/>
              </w:rPr>
            </w:r>
            <w:r>
              <w:rPr>
                <w:noProof/>
                <w:webHidden/>
              </w:rPr>
              <w:fldChar w:fldCharType="separate"/>
            </w:r>
            <w:r>
              <w:rPr>
                <w:noProof/>
                <w:webHidden/>
              </w:rPr>
              <w:t>6</w:t>
            </w:r>
            <w:r>
              <w:rPr>
                <w:noProof/>
                <w:webHidden/>
              </w:rPr>
              <w:fldChar w:fldCharType="end"/>
            </w:r>
          </w:hyperlink>
        </w:p>
        <w:p w14:paraId="3770EAA6" w14:textId="477FA028"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04" w:history="1">
            <w:r w:rsidRPr="002957F7">
              <w:rPr>
                <w:rStyle w:val="Hyperlink"/>
                <w:noProof/>
              </w:rPr>
              <w:t>Alternative names</w:t>
            </w:r>
            <w:r>
              <w:rPr>
                <w:noProof/>
                <w:webHidden/>
              </w:rPr>
              <w:tab/>
            </w:r>
            <w:r>
              <w:rPr>
                <w:noProof/>
                <w:webHidden/>
              </w:rPr>
              <w:fldChar w:fldCharType="begin"/>
            </w:r>
            <w:r>
              <w:rPr>
                <w:noProof/>
                <w:webHidden/>
              </w:rPr>
              <w:instrText xml:space="preserve"> PAGEREF _Toc230951704 \h </w:instrText>
            </w:r>
            <w:r>
              <w:rPr>
                <w:noProof/>
                <w:webHidden/>
              </w:rPr>
            </w:r>
            <w:r>
              <w:rPr>
                <w:noProof/>
                <w:webHidden/>
              </w:rPr>
              <w:fldChar w:fldCharType="separate"/>
            </w:r>
            <w:r>
              <w:rPr>
                <w:noProof/>
                <w:webHidden/>
              </w:rPr>
              <w:t>6</w:t>
            </w:r>
            <w:r>
              <w:rPr>
                <w:noProof/>
                <w:webHidden/>
              </w:rPr>
              <w:fldChar w:fldCharType="end"/>
            </w:r>
          </w:hyperlink>
        </w:p>
        <w:p w14:paraId="01E6A0A6" w14:textId="76C303ED"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05" w:history="1">
            <w:r w:rsidRPr="002957F7">
              <w:rPr>
                <w:rStyle w:val="Hyperlink"/>
                <w:noProof/>
              </w:rPr>
              <w:t>Applicant</w:t>
            </w:r>
            <w:r>
              <w:rPr>
                <w:noProof/>
                <w:webHidden/>
              </w:rPr>
              <w:tab/>
            </w:r>
            <w:r>
              <w:rPr>
                <w:noProof/>
                <w:webHidden/>
              </w:rPr>
              <w:fldChar w:fldCharType="begin"/>
            </w:r>
            <w:r>
              <w:rPr>
                <w:noProof/>
                <w:webHidden/>
              </w:rPr>
              <w:instrText xml:space="preserve"> PAGEREF _Toc230951705 \h </w:instrText>
            </w:r>
            <w:r>
              <w:rPr>
                <w:noProof/>
                <w:webHidden/>
              </w:rPr>
            </w:r>
            <w:r>
              <w:rPr>
                <w:noProof/>
                <w:webHidden/>
              </w:rPr>
              <w:fldChar w:fldCharType="separate"/>
            </w:r>
            <w:r>
              <w:rPr>
                <w:noProof/>
                <w:webHidden/>
              </w:rPr>
              <w:t>6</w:t>
            </w:r>
            <w:r>
              <w:rPr>
                <w:noProof/>
                <w:webHidden/>
              </w:rPr>
              <w:fldChar w:fldCharType="end"/>
            </w:r>
          </w:hyperlink>
        </w:p>
        <w:p w14:paraId="07ADC40B" w14:textId="22E43EE5"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06" w:history="1">
            <w:r w:rsidRPr="002957F7">
              <w:rPr>
                <w:rStyle w:val="Hyperlink"/>
                <w:noProof/>
              </w:rPr>
              <w:t>Proposed Scheduling</w:t>
            </w:r>
            <w:r>
              <w:rPr>
                <w:noProof/>
                <w:webHidden/>
              </w:rPr>
              <w:tab/>
            </w:r>
            <w:r>
              <w:rPr>
                <w:noProof/>
                <w:webHidden/>
              </w:rPr>
              <w:fldChar w:fldCharType="begin"/>
            </w:r>
            <w:r>
              <w:rPr>
                <w:noProof/>
                <w:webHidden/>
              </w:rPr>
              <w:instrText xml:space="preserve"> PAGEREF _Toc230951706 \h </w:instrText>
            </w:r>
            <w:r>
              <w:rPr>
                <w:noProof/>
                <w:webHidden/>
              </w:rPr>
            </w:r>
            <w:r>
              <w:rPr>
                <w:noProof/>
                <w:webHidden/>
              </w:rPr>
              <w:fldChar w:fldCharType="separate"/>
            </w:r>
            <w:r>
              <w:rPr>
                <w:noProof/>
                <w:webHidden/>
              </w:rPr>
              <w:t>6</w:t>
            </w:r>
            <w:r>
              <w:rPr>
                <w:noProof/>
                <w:webHidden/>
              </w:rPr>
              <w:fldChar w:fldCharType="end"/>
            </w:r>
          </w:hyperlink>
        </w:p>
        <w:p w14:paraId="30469545" w14:textId="2422F65D"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07" w:history="1">
            <w:r w:rsidRPr="002957F7">
              <w:rPr>
                <w:rStyle w:val="Hyperlink"/>
                <w:noProof/>
              </w:rPr>
              <w:t>Background</w:t>
            </w:r>
            <w:r>
              <w:rPr>
                <w:noProof/>
                <w:webHidden/>
              </w:rPr>
              <w:tab/>
            </w:r>
            <w:r>
              <w:rPr>
                <w:noProof/>
                <w:webHidden/>
              </w:rPr>
              <w:fldChar w:fldCharType="begin"/>
            </w:r>
            <w:r>
              <w:rPr>
                <w:noProof/>
                <w:webHidden/>
              </w:rPr>
              <w:instrText xml:space="preserve"> PAGEREF _Toc230951707 \h </w:instrText>
            </w:r>
            <w:r>
              <w:rPr>
                <w:noProof/>
                <w:webHidden/>
              </w:rPr>
            </w:r>
            <w:r>
              <w:rPr>
                <w:noProof/>
                <w:webHidden/>
              </w:rPr>
              <w:fldChar w:fldCharType="separate"/>
            </w:r>
            <w:r>
              <w:rPr>
                <w:noProof/>
                <w:webHidden/>
              </w:rPr>
              <w:t>7</w:t>
            </w:r>
            <w:r>
              <w:rPr>
                <w:noProof/>
                <w:webHidden/>
              </w:rPr>
              <w:fldChar w:fldCharType="end"/>
            </w:r>
          </w:hyperlink>
        </w:p>
        <w:p w14:paraId="1ED9362D" w14:textId="26905942"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08" w:history="1">
            <w:r w:rsidRPr="002957F7">
              <w:rPr>
                <w:rStyle w:val="Hyperlink"/>
                <w:noProof/>
              </w:rPr>
              <w:t>Summary of applicant’s reasons for the proposal</w:t>
            </w:r>
            <w:r>
              <w:rPr>
                <w:noProof/>
                <w:webHidden/>
              </w:rPr>
              <w:tab/>
            </w:r>
            <w:r>
              <w:rPr>
                <w:noProof/>
                <w:webHidden/>
              </w:rPr>
              <w:fldChar w:fldCharType="begin"/>
            </w:r>
            <w:r>
              <w:rPr>
                <w:noProof/>
                <w:webHidden/>
              </w:rPr>
              <w:instrText xml:space="preserve"> PAGEREF _Toc230951708 \h </w:instrText>
            </w:r>
            <w:r>
              <w:rPr>
                <w:noProof/>
                <w:webHidden/>
              </w:rPr>
            </w:r>
            <w:r>
              <w:rPr>
                <w:noProof/>
                <w:webHidden/>
              </w:rPr>
              <w:fldChar w:fldCharType="separate"/>
            </w:r>
            <w:r>
              <w:rPr>
                <w:noProof/>
                <w:webHidden/>
              </w:rPr>
              <w:t>7</w:t>
            </w:r>
            <w:r>
              <w:rPr>
                <w:noProof/>
                <w:webHidden/>
              </w:rPr>
              <w:fldChar w:fldCharType="end"/>
            </w:r>
          </w:hyperlink>
        </w:p>
        <w:p w14:paraId="0E0016D5" w14:textId="0CF5EDBF"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09" w:history="1">
            <w:r w:rsidRPr="002957F7">
              <w:rPr>
                <w:rStyle w:val="Hyperlink"/>
                <w:noProof/>
              </w:rPr>
              <w:t>Key uses / expected use</w:t>
            </w:r>
            <w:r>
              <w:rPr>
                <w:noProof/>
                <w:webHidden/>
              </w:rPr>
              <w:tab/>
            </w:r>
            <w:r>
              <w:rPr>
                <w:noProof/>
                <w:webHidden/>
              </w:rPr>
              <w:fldChar w:fldCharType="begin"/>
            </w:r>
            <w:r>
              <w:rPr>
                <w:noProof/>
                <w:webHidden/>
              </w:rPr>
              <w:instrText xml:space="preserve"> PAGEREF _Toc230951709 \h </w:instrText>
            </w:r>
            <w:r>
              <w:rPr>
                <w:noProof/>
                <w:webHidden/>
              </w:rPr>
            </w:r>
            <w:r>
              <w:rPr>
                <w:noProof/>
                <w:webHidden/>
              </w:rPr>
              <w:fldChar w:fldCharType="separate"/>
            </w:r>
            <w:r>
              <w:rPr>
                <w:noProof/>
                <w:webHidden/>
              </w:rPr>
              <w:t>8</w:t>
            </w:r>
            <w:r>
              <w:rPr>
                <w:noProof/>
                <w:webHidden/>
              </w:rPr>
              <w:fldChar w:fldCharType="end"/>
            </w:r>
          </w:hyperlink>
        </w:p>
        <w:p w14:paraId="3478A73C" w14:textId="2CF97D1D"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10" w:history="1">
            <w:r w:rsidRPr="002957F7">
              <w:rPr>
                <w:rStyle w:val="Hyperlink"/>
                <w:noProof/>
              </w:rPr>
              <w:t>Australian regulations</w:t>
            </w:r>
            <w:r>
              <w:rPr>
                <w:noProof/>
                <w:webHidden/>
              </w:rPr>
              <w:tab/>
            </w:r>
            <w:r>
              <w:rPr>
                <w:noProof/>
                <w:webHidden/>
              </w:rPr>
              <w:fldChar w:fldCharType="begin"/>
            </w:r>
            <w:r>
              <w:rPr>
                <w:noProof/>
                <w:webHidden/>
              </w:rPr>
              <w:instrText xml:space="preserve"> PAGEREF _Toc230951710 \h </w:instrText>
            </w:r>
            <w:r>
              <w:rPr>
                <w:noProof/>
                <w:webHidden/>
              </w:rPr>
            </w:r>
            <w:r>
              <w:rPr>
                <w:noProof/>
                <w:webHidden/>
              </w:rPr>
              <w:fldChar w:fldCharType="separate"/>
            </w:r>
            <w:r>
              <w:rPr>
                <w:noProof/>
                <w:webHidden/>
              </w:rPr>
              <w:t>8</w:t>
            </w:r>
            <w:r>
              <w:rPr>
                <w:noProof/>
                <w:webHidden/>
              </w:rPr>
              <w:fldChar w:fldCharType="end"/>
            </w:r>
          </w:hyperlink>
        </w:p>
        <w:p w14:paraId="13B46D52" w14:textId="3D243AE6"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11" w:history="1">
            <w:r w:rsidRPr="002957F7">
              <w:rPr>
                <w:rStyle w:val="Hyperlink"/>
                <w:noProof/>
              </w:rPr>
              <w:t>International regulations</w:t>
            </w:r>
            <w:r>
              <w:rPr>
                <w:noProof/>
                <w:webHidden/>
              </w:rPr>
              <w:tab/>
            </w:r>
            <w:r>
              <w:rPr>
                <w:noProof/>
                <w:webHidden/>
              </w:rPr>
              <w:fldChar w:fldCharType="begin"/>
            </w:r>
            <w:r>
              <w:rPr>
                <w:noProof/>
                <w:webHidden/>
              </w:rPr>
              <w:instrText xml:space="preserve"> PAGEREF _Toc230951711 \h </w:instrText>
            </w:r>
            <w:r>
              <w:rPr>
                <w:noProof/>
                <w:webHidden/>
              </w:rPr>
            </w:r>
            <w:r>
              <w:rPr>
                <w:noProof/>
                <w:webHidden/>
              </w:rPr>
              <w:fldChar w:fldCharType="separate"/>
            </w:r>
            <w:r>
              <w:rPr>
                <w:noProof/>
                <w:webHidden/>
              </w:rPr>
              <w:t>9</w:t>
            </w:r>
            <w:r>
              <w:rPr>
                <w:noProof/>
                <w:webHidden/>
              </w:rPr>
              <w:fldChar w:fldCharType="end"/>
            </w:r>
          </w:hyperlink>
        </w:p>
        <w:p w14:paraId="0BD2ADAF" w14:textId="0767ED70" w:rsidR="00D709D8" w:rsidRDefault="00D709D8">
          <w:pPr>
            <w:pStyle w:val="TOC2"/>
            <w:tabs>
              <w:tab w:val="left" w:pos="1276"/>
            </w:tabs>
            <w:rPr>
              <w:rFonts w:asciiTheme="minorHAnsi" w:eastAsiaTheme="minorEastAsia" w:hAnsiTheme="minorHAnsi" w:cstheme="minorBidi"/>
              <w:noProof/>
              <w:color w:val="auto"/>
              <w:kern w:val="2"/>
              <w:szCs w:val="24"/>
              <w:lang w:eastAsia="en-AU"/>
              <w14:ligatures w14:val="standardContextual"/>
            </w:rPr>
          </w:pPr>
          <w:hyperlink w:anchor="_Toc230951712" w:history="1">
            <w:r w:rsidRPr="002957F7">
              <w:rPr>
                <w:rStyle w:val="Hyperlink"/>
                <w:noProof/>
              </w:rPr>
              <w:t>1.2</w:t>
            </w:r>
            <w:r>
              <w:rPr>
                <w:rFonts w:asciiTheme="minorHAnsi" w:eastAsiaTheme="minorEastAsia" w:hAnsiTheme="minorHAnsi" w:cstheme="minorBidi"/>
                <w:noProof/>
                <w:color w:val="auto"/>
                <w:kern w:val="2"/>
                <w:szCs w:val="24"/>
                <w:lang w:eastAsia="en-AU"/>
                <w14:ligatures w14:val="standardContextual"/>
              </w:rPr>
              <w:tab/>
            </w:r>
            <w:r w:rsidRPr="002957F7">
              <w:rPr>
                <w:rStyle w:val="Hyperlink"/>
                <w:noProof/>
              </w:rPr>
              <w:t>Fexofenadine</w:t>
            </w:r>
            <w:r>
              <w:rPr>
                <w:noProof/>
                <w:webHidden/>
              </w:rPr>
              <w:tab/>
            </w:r>
            <w:r>
              <w:rPr>
                <w:noProof/>
                <w:webHidden/>
              </w:rPr>
              <w:fldChar w:fldCharType="begin"/>
            </w:r>
            <w:r>
              <w:rPr>
                <w:noProof/>
                <w:webHidden/>
              </w:rPr>
              <w:instrText xml:space="preserve"> PAGEREF _Toc230951712 \h </w:instrText>
            </w:r>
            <w:r>
              <w:rPr>
                <w:noProof/>
                <w:webHidden/>
              </w:rPr>
            </w:r>
            <w:r>
              <w:rPr>
                <w:noProof/>
                <w:webHidden/>
              </w:rPr>
              <w:fldChar w:fldCharType="separate"/>
            </w:r>
            <w:r>
              <w:rPr>
                <w:noProof/>
                <w:webHidden/>
              </w:rPr>
              <w:t>9</w:t>
            </w:r>
            <w:r>
              <w:rPr>
                <w:noProof/>
                <w:webHidden/>
              </w:rPr>
              <w:fldChar w:fldCharType="end"/>
            </w:r>
          </w:hyperlink>
        </w:p>
        <w:p w14:paraId="2C5DC7F6" w14:textId="31141154"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13" w:history="1">
            <w:r w:rsidRPr="002957F7">
              <w:rPr>
                <w:rStyle w:val="Hyperlink"/>
                <w:noProof/>
              </w:rPr>
              <w:t>Proposal</w:t>
            </w:r>
            <w:r>
              <w:rPr>
                <w:noProof/>
                <w:webHidden/>
              </w:rPr>
              <w:tab/>
            </w:r>
            <w:r>
              <w:rPr>
                <w:noProof/>
                <w:webHidden/>
              </w:rPr>
              <w:fldChar w:fldCharType="begin"/>
            </w:r>
            <w:r>
              <w:rPr>
                <w:noProof/>
                <w:webHidden/>
              </w:rPr>
              <w:instrText xml:space="preserve"> PAGEREF _Toc230951713 \h </w:instrText>
            </w:r>
            <w:r>
              <w:rPr>
                <w:noProof/>
                <w:webHidden/>
              </w:rPr>
            </w:r>
            <w:r>
              <w:rPr>
                <w:noProof/>
                <w:webHidden/>
              </w:rPr>
              <w:fldChar w:fldCharType="separate"/>
            </w:r>
            <w:r>
              <w:rPr>
                <w:noProof/>
                <w:webHidden/>
              </w:rPr>
              <w:t>9</w:t>
            </w:r>
            <w:r>
              <w:rPr>
                <w:noProof/>
                <w:webHidden/>
              </w:rPr>
              <w:fldChar w:fldCharType="end"/>
            </w:r>
          </w:hyperlink>
        </w:p>
        <w:p w14:paraId="24CCFF19" w14:textId="42DBF701"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14" w:history="1">
            <w:r w:rsidRPr="002957F7">
              <w:rPr>
                <w:rStyle w:val="Hyperlink"/>
                <w:noProof/>
              </w:rPr>
              <w:t>CAS number</w:t>
            </w:r>
            <w:r>
              <w:rPr>
                <w:noProof/>
                <w:webHidden/>
              </w:rPr>
              <w:tab/>
            </w:r>
            <w:r>
              <w:rPr>
                <w:noProof/>
                <w:webHidden/>
              </w:rPr>
              <w:fldChar w:fldCharType="begin"/>
            </w:r>
            <w:r>
              <w:rPr>
                <w:noProof/>
                <w:webHidden/>
              </w:rPr>
              <w:instrText xml:space="preserve"> PAGEREF _Toc230951714 \h </w:instrText>
            </w:r>
            <w:r>
              <w:rPr>
                <w:noProof/>
                <w:webHidden/>
              </w:rPr>
            </w:r>
            <w:r>
              <w:rPr>
                <w:noProof/>
                <w:webHidden/>
              </w:rPr>
              <w:fldChar w:fldCharType="separate"/>
            </w:r>
            <w:r>
              <w:rPr>
                <w:noProof/>
                <w:webHidden/>
              </w:rPr>
              <w:t>10</w:t>
            </w:r>
            <w:r>
              <w:rPr>
                <w:noProof/>
                <w:webHidden/>
              </w:rPr>
              <w:fldChar w:fldCharType="end"/>
            </w:r>
          </w:hyperlink>
        </w:p>
        <w:p w14:paraId="6763324A" w14:textId="0C2DB0ED"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15" w:history="1">
            <w:r w:rsidRPr="002957F7">
              <w:rPr>
                <w:rStyle w:val="Hyperlink"/>
                <w:noProof/>
              </w:rPr>
              <w:t>Alternative names</w:t>
            </w:r>
            <w:r>
              <w:rPr>
                <w:noProof/>
                <w:webHidden/>
              </w:rPr>
              <w:tab/>
            </w:r>
            <w:r>
              <w:rPr>
                <w:noProof/>
                <w:webHidden/>
              </w:rPr>
              <w:fldChar w:fldCharType="begin"/>
            </w:r>
            <w:r>
              <w:rPr>
                <w:noProof/>
                <w:webHidden/>
              </w:rPr>
              <w:instrText xml:space="preserve"> PAGEREF _Toc230951715 \h </w:instrText>
            </w:r>
            <w:r>
              <w:rPr>
                <w:noProof/>
                <w:webHidden/>
              </w:rPr>
            </w:r>
            <w:r>
              <w:rPr>
                <w:noProof/>
                <w:webHidden/>
              </w:rPr>
              <w:fldChar w:fldCharType="separate"/>
            </w:r>
            <w:r>
              <w:rPr>
                <w:noProof/>
                <w:webHidden/>
              </w:rPr>
              <w:t>10</w:t>
            </w:r>
            <w:r>
              <w:rPr>
                <w:noProof/>
                <w:webHidden/>
              </w:rPr>
              <w:fldChar w:fldCharType="end"/>
            </w:r>
          </w:hyperlink>
        </w:p>
        <w:p w14:paraId="638D3F06" w14:textId="3DD10D63"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16" w:history="1">
            <w:r w:rsidRPr="002957F7">
              <w:rPr>
                <w:rStyle w:val="Hyperlink"/>
                <w:noProof/>
              </w:rPr>
              <w:t>Applicant</w:t>
            </w:r>
            <w:r>
              <w:rPr>
                <w:noProof/>
                <w:webHidden/>
              </w:rPr>
              <w:tab/>
            </w:r>
            <w:r>
              <w:rPr>
                <w:noProof/>
                <w:webHidden/>
              </w:rPr>
              <w:fldChar w:fldCharType="begin"/>
            </w:r>
            <w:r>
              <w:rPr>
                <w:noProof/>
                <w:webHidden/>
              </w:rPr>
              <w:instrText xml:space="preserve"> PAGEREF _Toc230951716 \h </w:instrText>
            </w:r>
            <w:r>
              <w:rPr>
                <w:noProof/>
                <w:webHidden/>
              </w:rPr>
            </w:r>
            <w:r>
              <w:rPr>
                <w:noProof/>
                <w:webHidden/>
              </w:rPr>
              <w:fldChar w:fldCharType="separate"/>
            </w:r>
            <w:r>
              <w:rPr>
                <w:noProof/>
                <w:webHidden/>
              </w:rPr>
              <w:t>10</w:t>
            </w:r>
            <w:r>
              <w:rPr>
                <w:noProof/>
                <w:webHidden/>
              </w:rPr>
              <w:fldChar w:fldCharType="end"/>
            </w:r>
          </w:hyperlink>
        </w:p>
        <w:p w14:paraId="3CB7AE2F" w14:textId="21584AE0"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17" w:history="1">
            <w:r w:rsidRPr="002957F7">
              <w:rPr>
                <w:rStyle w:val="Hyperlink"/>
                <w:noProof/>
              </w:rPr>
              <w:t>Proposed Scheduling</w:t>
            </w:r>
            <w:r>
              <w:rPr>
                <w:noProof/>
                <w:webHidden/>
              </w:rPr>
              <w:tab/>
            </w:r>
            <w:r>
              <w:rPr>
                <w:noProof/>
                <w:webHidden/>
              </w:rPr>
              <w:fldChar w:fldCharType="begin"/>
            </w:r>
            <w:r>
              <w:rPr>
                <w:noProof/>
                <w:webHidden/>
              </w:rPr>
              <w:instrText xml:space="preserve"> PAGEREF _Toc230951717 \h </w:instrText>
            </w:r>
            <w:r>
              <w:rPr>
                <w:noProof/>
                <w:webHidden/>
              </w:rPr>
            </w:r>
            <w:r>
              <w:rPr>
                <w:noProof/>
                <w:webHidden/>
              </w:rPr>
              <w:fldChar w:fldCharType="separate"/>
            </w:r>
            <w:r>
              <w:rPr>
                <w:noProof/>
                <w:webHidden/>
              </w:rPr>
              <w:t>10</w:t>
            </w:r>
            <w:r>
              <w:rPr>
                <w:noProof/>
                <w:webHidden/>
              </w:rPr>
              <w:fldChar w:fldCharType="end"/>
            </w:r>
          </w:hyperlink>
        </w:p>
        <w:p w14:paraId="6DA21537" w14:textId="6D6CBAD4"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18" w:history="1">
            <w:r w:rsidRPr="002957F7">
              <w:rPr>
                <w:rStyle w:val="Hyperlink"/>
                <w:noProof/>
              </w:rPr>
              <w:t>Background</w:t>
            </w:r>
            <w:r>
              <w:rPr>
                <w:noProof/>
                <w:webHidden/>
              </w:rPr>
              <w:tab/>
            </w:r>
            <w:r>
              <w:rPr>
                <w:noProof/>
                <w:webHidden/>
              </w:rPr>
              <w:fldChar w:fldCharType="begin"/>
            </w:r>
            <w:r>
              <w:rPr>
                <w:noProof/>
                <w:webHidden/>
              </w:rPr>
              <w:instrText xml:space="preserve"> PAGEREF _Toc230951718 \h </w:instrText>
            </w:r>
            <w:r>
              <w:rPr>
                <w:noProof/>
                <w:webHidden/>
              </w:rPr>
            </w:r>
            <w:r>
              <w:rPr>
                <w:noProof/>
                <w:webHidden/>
              </w:rPr>
              <w:fldChar w:fldCharType="separate"/>
            </w:r>
            <w:r>
              <w:rPr>
                <w:noProof/>
                <w:webHidden/>
              </w:rPr>
              <w:t>12</w:t>
            </w:r>
            <w:r>
              <w:rPr>
                <w:noProof/>
                <w:webHidden/>
              </w:rPr>
              <w:fldChar w:fldCharType="end"/>
            </w:r>
          </w:hyperlink>
        </w:p>
        <w:p w14:paraId="7E14DE81" w14:textId="135E2714"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19" w:history="1">
            <w:r w:rsidRPr="002957F7">
              <w:rPr>
                <w:rStyle w:val="Hyperlink"/>
                <w:noProof/>
              </w:rPr>
              <w:t>Summary of applicant’s reasons for the proposal</w:t>
            </w:r>
            <w:r>
              <w:rPr>
                <w:noProof/>
                <w:webHidden/>
              </w:rPr>
              <w:tab/>
            </w:r>
            <w:r>
              <w:rPr>
                <w:noProof/>
                <w:webHidden/>
              </w:rPr>
              <w:fldChar w:fldCharType="begin"/>
            </w:r>
            <w:r>
              <w:rPr>
                <w:noProof/>
                <w:webHidden/>
              </w:rPr>
              <w:instrText xml:space="preserve"> PAGEREF _Toc230951719 \h </w:instrText>
            </w:r>
            <w:r>
              <w:rPr>
                <w:noProof/>
                <w:webHidden/>
              </w:rPr>
            </w:r>
            <w:r>
              <w:rPr>
                <w:noProof/>
                <w:webHidden/>
              </w:rPr>
              <w:fldChar w:fldCharType="separate"/>
            </w:r>
            <w:r>
              <w:rPr>
                <w:noProof/>
                <w:webHidden/>
              </w:rPr>
              <w:t>12</w:t>
            </w:r>
            <w:r>
              <w:rPr>
                <w:noProof/>
                <w:webHidden/>
              </w:rPr>
              <w:fldChar w:fldCharType="end"/>
            </w:r>
          </w:hyperlink>
        </w:p>
        <w:p w14:paraId="01A90110" w14:textId="177EB6FD"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20" w:history="1">
            <w:r w:rsidRPr="002957F7">
              <w:rPr>
                <w:rStyle w:val="Hyperlink"/>
                <w:noProof/>
              </w:rPr>
              <w:t>Key uses / expected use</w:t>
            </w:r>
            <w:r>
              <w:rPr>
                <w:noProof/>
                <w:webHidden/>
              </w:rPr>
              <w:tab/>
            </w:r>
            <w:r>
              <w:rPr>
                <w:noProof/>
                <w:webHidden/>
              </w:rPr>
              <w:fldChar w:fldCharType="begin"/>
            </w:r>
            <w:r>
              <w:rPr>
                <w:noProof/>
                <w:webHidden/>
              </w:rPr>
              <w:instrText xml:space="preserve"> PAGEREF _Toc230951720 \h </w:instrText>
            </w:r>
            <w:r>
              <w:rPr>
                <w:noProof/>
                <w:webHidden/>
              </w:rPr>
            </w:r>
            <w:r>
              <w:rPr>
                <w:noProof/>
                <w:webHidden/>
              </w:rPr>
              <w:fldChar w:fldCharType="separate"/>
            </w:r>
            <w:r>
              <w:rPr>
                <w:noProof/>
                <w:webHidden/>
              </w:rPr>
              <w:t>12</w:t>
            </w:r>
            <w:r>
              <w:rPr>
                <w:noProof/>
                <w:webHidden/>
              </w:rPr>
              <w:fldChar w:fldCharType="end"/>
            </w:r>
          </w:hyperlink>
        </w:p>
        <w:p w14:paraId="4B9A8293" w14:textId="49768D53"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21" w:history="1">
            <w:r w:rsidRPr="002957F7">
              <w:rPr>
                <w:rStyle w:val="Hyperlink"/>
                <w:noProof/>
              </w:rPr>
              <w:t>Australian regulations</w:t>
            </w:r>
            <w:r>
              <w:rPr>
                <w:noProof/>
                <w:webHidden/>
              </w:rPr>
              <w:tab/>
            </w:r>
            <w:r>
              <w:rPr>
                <w:noProof/>
                <w:webHidden/>
              </w:rPr>
              <w:fldChar w:fldCharType="begin"/>
            </w:r>
            <w:r>
              <w:rPr>
                <w:noProof/>
                <w:webHidden/>
              </w:rPr>
              <w:instrText xml:space="preserve"> PAGEREF _Toc230951721 \h </w:instrText>
            </w:r>
            <w:r>
              <w:rPr>
                <w:noProof/>
                <w:webHidden/>
              </w:rPr>
            </w:r>
            <w:r>
              <w:rPr>
                <w:noProof/>
                <w:webHidden/>
              </w:rPr>
              <w:fldChar w:fldCharType="separate"/>
            </w:r>
            <w:r>
              <w:rPr>
                <w:noProof/>
                <w:webHidden/>
              </w:rPr>
              <w:t>12</w:t>
            </w:r>
            <w:r>
              <w:rPr>
                <w:noProof/>
                <w:webHidden/>
              </w:rPr>
              <w:fldChar w:fldCharType="end"/>
            </w:r>
          </w:hyperlink>
        </w:p>
        <w:p w14:paraId="0190315A" w14:textId="1CE18AE0"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22" w:history="1">
            <w:r w:rsidRPr="002957F7">
              <w:rPr>
                <w:rStyle w:val="Hyperlink"/>
                <w:noProof/>
              </w:rPr>
              <w:t>International regulations</w:t>
            </w:r>
            <w:r>
              <w:rPr>
                <w:noProof/>
                <w:webHidden/>
              </w:rPr>
              <w:tab/>
            </w:r>
            <w:r>
              <w:rPr>
                <w:noProof/>
                <w:webHidden/>
              </w:rPr>
              <w:fldChar w:fldCharType="begin"/>
            </w:r>
            <w:r>
              <w:rPr>
                <w:noProof/>
                <w:webHidden/>
              </w:rPr>
              <w:instrText xml:space="preserve"> PAGEREF _Toc230951722 \h </w:instrText>
            </w:r>
            <w:r>
              <w:rPr>
                <w:noProof/>
                <w:webHidden/>
              </w:rPr>
            </w:r>
            <w:r>
              <w:rPr>
                <w:noProof/>
                <w:webHidden/>
              </w:rPr>
              <w:fldChar w:fldCharType="separate"/>
            </w:r>
            <w:r>
              <w:rPr>
                <w:noProof/>
                <w:webHidden/>
              </w:rPr>
              <w:t>13</w:t>
            </w:r>
            <w:r>
              <w:rPr>
                <w:noProof/>
                <w:webHidden/>
              </w:rPr>
              <w:fldChar w:fldCharType="end"/>
            </w:r>
          </w:hyperlink>
        </w:p>
        <w:p w14:paraId="13C1F083" w14:textId="03B19555" w:rsidR="00D709D8" w:rsidRDefault="00D709D8">
          <w:pPr>
            <w:pStyle w:val="TOC2"/>
            <w:tabs>
              <w:tab w:val="left" w:pos="1276"/>
            </w:tabs>
            <w:rPr>
              <w:rFonts w:asciiTheme="minorHAnsi" w:eastAsiaTheme="minorEastAsia" w:hAnsiTheme="minorHAnsi" w:cstheme="minorBidi"/>
              <w:noProof/>
              <w:color w:val="auto"/>
              <w:kern w:val="2"/>
              <w:szCs w:val="24"/>
              <w:lang w:eastAsia="en-AU"/>
              <w14:ligatures w14:val="standardContextual"/>
            </w:rPr>
          </w:pPr>
          <w:hyperlink w:anchor="_Toc230951723" w:history="1">
            <w:r w:rsidRPr="002957F7">
              <w:rPr>
                <w:rStyle w:val="Hyperlink"/>
                <w:noProof/>
              </w:rPr>
              <w:t>1.3</w:t>
            </w:r>
            <w:r>
              <w:rPr>
                <w:rFonts w:asciiTheme="minorHAnsi" w:eastAsiaTheme="minorEastAsia" w:hAnsiTheme="minorHAnsi" w:cstheme="minorBidi"/>
                <w:noProof/>
                <w:color w:val="auto"/>
                <w:kern w:val="2"/>
                <w:szCs w:val="24"/>
                <w:lang w:eastAsia="en-AU"/>
                <w14:ligatures w14:val="standardContextual"/>
              </w:rPr>
              <w:tab/>
            </w:r>
            <w:r w:rsidRPr="002957F7">
              <w:rPr>
                <w:rStyle w:val="Hyperlink"/>
                <w:noProof/>
              </w:rPr>
              <w:t>Pseudoephedrine</w:t>
            </w:r>
            <w:r>
              <w:rPr>
                <w:noProof/>
                <w:webHidden/>
              </w:rPr>
              <w:tab/>
            </w:r>
            <w:r>
              <w:rPr>
                <w:noProof/>
                <w:webHidden/>
              </w:rPr>
              <w:fldChar w:fldCharType="begin"/>
            </w:r>
            <w:r>
              <w:rPr>
                <w:noProof/>
                <w:webHidden/>
              </w:rPr>
              <w:instrText xml:space="preserve"> PAGEREF _Toc230951723 \h </w:instrText>
            </w:r>
            <w:r>
              <w:rPr>
                <w:noProof/>
                <w:webHidden/>
              </w:rPr>
            </w:r>
            <w:r>
              <w:rPr>
                <w:noProof/>
                <w:webHidden/>
              </w:rPr>
              <w:fldChar w:fldCharType="separate"/>
            </w:r>
            <w:r>
              <w:rPr>
                <w:noProof/>
                <w:webHidden/>
              </w:rPr>
              <w:t>14</w:t>
            </w:r>
            <w:r>
              <w:rPr>
                <w:noProof/>
                <w:webHidden/>
              </w:rPr>
              <w:fldChar w:fldCharType="end"/>
            </w:r>
          </w:hyperlink>
        </w:p>
        <w:p w14:paraId="12348884" w14:textId="639E41CD"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24" w:history="1">
            <w:r w:rsidRPr="002957F7">
              <w:rPr>
                <w:rStyle w:val="Hyperlink"/>
                <w:noProof/>
              </w:rPr>
              <w:t>Proposal</w:t>
            </w:r>
            <w:r>
              <w:rPr>
                <w:noProof/>
                <w:webHidden/>
              </w:rPr>
              <w:tab/>
            </w:r>
            <w:r>
              <w:rPr>
                <w:noProof/>
                <w:webHidden/>
              </w:rPr>
              <w:fldChar w:fldCharType="begin"/>
            </w:r>
            <w:r>
              <w:rPr>
                <w:noProof/>
                <w:webHidden/>
              </w:rPr>
              <w:instrText xml:space="preserve"> PAGEREF _Toc230951724 \h </w:instrText>
            </w:r>
            <w:r>
              <w:rPr>
                <w:noProof/>
                <w:webHidden/>
              </w:rPr>
            </w:r>
            <w:r>
              <w:rPr>
                <w:noProof/>
                <w:webHidden/>
              </w:rPr>
              <w:fldChar w:fldCharType="separate"/>
            </w:r>
            <w:r>
              <w:rPr>
                <w:noProof/>
                <w:webHidden/>
              </w:rPr>
              <w:t>14</w:t>
            </w:r>
            <w:r>
              <w:rPr>
                <w:noProof/>
                <w:webHidden/>
              </w:rPr>
              <w:fldChar w:fldCharType="end"/>
            </w:r>
          </w:hyperlink>
        </w:p>
        <w:p w14:paraId="0465F467" w14:textId="01747818"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25" w:history="1">
            <w:r w:rsidRPr="002957F7">
              <w:rPr>
                <w:rStyle w:val="Hyperlink"/>
                <w:noProof/>
              </w:rPr>
              <w:t>CAS numbers:</w:t>
            </w:r>
            <w:r>
              <w:rPr>
                <w:noProof/>
                <w:webHidden/>
              </w:rPr>
              <w:tab/>
            </w:r>
            <w:r>
              <w:rPr>
                <w:noProof/>
                <w:webHidden/>
              </w:rPr>
              <w:fldChar w:fldCharType="begin"/>
            </w:r>
            <w:r>
              <w:rPr>
                <w:noProof/>
                <w:webHidden/>
              </w:rPr>
              <w:instrText xml:space="preserve"> PAGEREF _Toc230951725 \h </w:instrText>
            </w:r>
            <w:r>
              <w:rPr>
                <w:noProof/>
                <w:webHidden/>
              </w:rPr>
            </w:r>
            <w:r>
              <w:rPr>
                <w:noProof/>
                <w:webHidden/>
              </w:rPr>
              <w:fldChar w:fldCharType="separate"/>
            </w:r>
            <w:r>
              <w:rPr>
                <w:noProof/>
                <w:webHidden/>
              </w:rPr>
              <w:t>14</w:t>
            </w:r>
            <w:r>
              <w:rPr>
                <w:noProof/>
                <w:webHidden/>
              </w:rPr>
              <w:fldChar w:fldCharType="end"/>
            </w:r>
          </w:hyperlink>
        </w:p>
        <w:p w14:paraId="565DD757" w14:textId="069C8975"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26" w:history="1">
            <w:r w:rsidRPr="002957F7">
              <w:rPr>
                <w:rStyle w:val="Hyperlink"/>
                <w:noProof/>
              </w:rPr>
              <w:t>Alternative names</w:t>
            </w:r>
            <w:r>
              <w:rPr>
                <w:noProof/>
                <w:webHidden/>
              </w:rPr>
              <w:tab/>
            </w:r>
            <w:r>
              <w:rPr>
                <w:noProof/>
                <w:webHidden/>
              </w:rPr>
              <w:fldChar w:fldCharType="begin"/>
            </w:r>
            <w:r>
              <w:rPr>
                <w:noProof/>
                <w:webHidden/>
              </w:rPr>
              <w:instrText xml:space="preserve"> PAGEREF _Toc230951726 \h </w:instrText>
            </w:r>
            <w:r>
              <w:rPr>
                <w:noProof/>
                <w:webHidden/>
              </w:rPr>
            </w:r>
            <w:r>
              <w:rPr>
                <w:noProof/>
                <w:webHidden/>
              </w:rPr>
              <w:fldChar w:fldCharType="separate"/>
            </w:r>
            <w:r>
              <w:rPr>
                <w:noProof/>
                <w:webHidden/>
              </w:rPr>
              <w:t>15</w:t>
            </w:r>
            <w:r>
              <w:rPr>
                <w:noProof/>
                <w:webHidden/>
              </w:rPr>
              <w:fldChar w:fldCharType="end"/>
            </w:r>
          </w:hyperlink>
        </w:p>
        <w:p w14:paraId="691B0479" w14:textId="6D245606"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27" w:history="1">
            <w:r w:rsidRPr="002957F7">
              <w:rPr>
                <w:rStyle w:val="Hyperlink"/>
                <w:noProof/>
              </w:rPr>
              <w:t>Applicant</w:t>
            </w:r>
            <w:r>
              <w:rPr>
                <w:noProof/>
                <w:webHidden/>
              </w:rPr>
              <w:tab/>
            </w:r>
            <w:r>
              <w:rPr>
                <w:noProof/>
                <w:webHidden/>
              </w:rPr>
              <w:fldChar w:fldCharType="begin"/>
            </w:r>
            <w:r>
              <w:rPr>
                <w:noProof/>
                <w:webHidden/>
              </w:rPr>
              <w:instrText xml:space="preserve"> PAGEREF _Toc230951727 \h </w:instrText>
            </w:r>
            <w:r>
              <w:rPr>
                <w:noProof/>
                <w:webHidden/>
              </w:rPr>
            </w:r>
            <w:r>
              <w:rPr>
                <w:noProof/>
                <w:webHidden/>
              </w:rPr>
              <w:fldChar w:fldCharType="separate"/>
            </w:r>
            <w:r>
              <w:rPr>
                <w:noProof/>
                <w:webHidden/>
              </w:rPr>
              <w:t>15</w:t>
            </w:r>
            <w:r>
              <w:rPr>
                <w:noProof/>
                <w:webHidden/>
              </w:rPr>
              <w:fldChar w:fldCharType="end"/>
            </w:r>
          </w:hyperlink>
        </w:p>
        <w:p w14:paraId="4C8792A3" w14:textId="2AA87F83"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28" w:history="1">
            <w:r w:rsidRPr="002957F7">
              <w:rPr>
                <w:rStyle w:val="Hyperlink"/>
                <w:noProof/>
              </w:rPr>
              <w:t>Proposed Scheduling</w:t>
            </w:r>
            <w:r>
              <w:rPr>
                <w:noProof/>
                <w:webHidden/>
              </w:rPr>
              <w:tab/>
            </w:r>
            <w:r>
              <w:rPr>
                <w:noProof/>
                <w:webHidden/>
              </w:rPr>
              <w:fldChar w:fldCharType="begin"/>
            </w:r>
            <w:r>
              <w:rPr>
                <w:noProof/>
                <w:webHidden/>
              </w:rPr>
              <w:instrText xml:space="preserve"> PAGEREF _Toc230951728 \h </w:instrText>
            </w:r>
            <w:r>
              <w:rPr>
                <w:noProof/>
                <w:webHidden/>
              </w:rPr>
            </w:r>
            <w:r>
              <w:rPr>
                <w:noProof/>
                <w:webHidden/>
              </w:rPr>
              <w:fldChar w:fldCharType="separate"/>
            </w:r>
            <w:r>
              <w:rPr>
                <w:noProof/>
                <w:webHidden/>
              </w:rPr>
              <w:t>15</w:t>
            </w:r>
            <w:r>
              <w:rPr>
                <w:noProof/>
                <w:webHidden/>
              </w:rPr>
              <w:fldChar w:fldCharType="end"/>
            </w:r>
          </w:hyperlink>
        </w:p>
        <w:p w14:paraId="08115AA6" w14:textId="6891C94D"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29" w:history="1">
            <w:r w:rsidRPr="002957F7">
              <w:rPr>
                <w:rStyle w:val="Hyperlink"/>
                <w:noProof/>
              </w:rPr>
              <w:t>Background</w:t>
            </w:r>
            <w:r>
              <w:rPr>
                <w:noProof/>
                <w:webHidden/>
              </w:rPr>
              <w:tab/>
            </w:r>
            <w:r>
              <w:rPr>
                <w:noProof/>
                <w:webHidden/>
              </w:rPr>
              <w:fldChar w:fldCharType="begin"/>
            </w:r>
            <w:r>
              <w:rPr>
                <w:noProof/>
                <w:webHidden/>
              </w:rPr>
              <w:instrText xml:space="preserve"> PAGEREF _Toc230951729 \h </w:instrText>
            </w:r>
            <w:r>
              <w:rPr>
                <w:noProof/>
                <w:webHidden/>
              </w:rPr>
            </w:r>
            <w:r>
              <w:rPr>
                <w:noProof/>
                <w:webHidden/>
              </w:rPr>
              <w:fldChar w:fldCharType="separate"/>
            </w:r>
            <w:r>
              <w:rPr>
                <w:noProof/>
                <w:webHidden/>
              </w:rPr>
              <w:t>15</w:t>
            </w:r>
            <w:r>
              <w:rPr>
                <w:noProof/>
                <w:webHidden/>
              </w:rPr>
              <w:fldChar w:fldCharType="end"/>
            </w:r>
          </w:hyperlink>
        </w:p>
        <w:p w14:paraId="1CCF4735" w14:textId="47DA3F9A"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30" w:history="1">
            <w:r w:rsidRPr="002957F7">
              <w:rPr>
                <w:rStyle w:val="Hyperlink"/>
                <w:noProof/>
              </w:rPr>
              <w:t>Summary of applicant’s reasons for the proposal</w:t>
            </w:r>
            <w:r>
              <w:rPr>
                <w:noProof/>
                <w:webHidden/>
              </w:rPr>
              <w:tab/>
            </w:r>
            <w:r>
              <w:rPr>
                <w:noProof/>
                <w:webHidden/>
              </w:rPr>
              <w:fldChar w:fldCharType="begin"/>
            </w:r>
            <w:r>
              <w:rPr>
                <w:noProof/>
                <w:webHidden/>
              </w:rPr>
              <w:instrText xml:space="preserve"> PAGEREF _Toc230951730 \h </w:instrText>
            </w:r>
            <w:r>
              <w:rPr>
                <w:noProof/>
                <w:webHidden/>
              </w:rPr>
            </w:r>
            <w:r>
              <w:rPr>
                <w:noProof/>
                <w:webHidden/>
              </w:rPr>
              <w:fldChar w:fldCharType="separate"/>
            </w:r>
            <w:r>
              <w:rPr>
                <w:noProof/>
                <w:webHidden/>
              </w:rPr>
              <w:t>16</w:t>
            </w:r>
            <w:r>
              <w:rPr>
                <w:noProof/>
                <w:webHidden/>
              </w:rPr>
              <w:fldChar w:fldCharType="end"/>
            </w:r>
          </w:hyperlink>
        </w:p>
        <w:p w14:paraId="56EB78DF" w14:textId="56B4F2AB"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31" w:history="1">
            <w:r w:rsidRPr="002957F7">
              <w:rPr>
                <w:rStyle w:val="Hyperlink"/>
                <w:noProof/>
              </w:rPr>
              <w:t>Key uses / expected use</w:t>
            </w:r>
            <w:r>
              <w:rPr>
                <w:noProof/>
                <w:webHidden/>
              </w:rPr>
              <w:tab/>
            </w:r>
            <w:r>
              <w:rPr>
                <w:noProof/>
                <w:webHidden/>
              </w:rPr>
              <w:fldChar w:fldCharType="begin"/>
            </w:r>
            <w:r>
              <w:rPr>
                <w:noProof/>
                <w:webHidden/>
              </w:rPr>
              <w:instrText xml:space="preserve"> PAGEREF _Toc230951731 \h </w:instrText>
            </w:r>
            <w:r>
              <w:rPr>
                <w:noProof/>
                <w:webHidden/>
              </w:rPr>
            </w:r>
            <w:r>
              <w:rPr>
                <w:noProof/>
                <w:webHidden/>
              </w:rPr>
              <w:fldChar w:fldCharType="separate"/>
            </w:r>
            <w:r>
              <w:rPr>
                <w:noProof/>
                <w:webHidden/>
              </w:rPr>
              <w:t>16</w:t>
            </w:r>
            <w:r>
              <w:rPr>
                <w:noProof/>
                <w:webHidden/>
              </w:rPr>
              <w:fldChar w:fldCharType="end"/>
            </w:r>
          </w:hyperlink>
        </w:p>
        <w:p w14:paraId="2288DAD4" w14:textId="6667CB57"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32" w:history="1">
            <w:r w:rsidRPr="002957F7">
              <w:rPr>
                <w:rStyle w:val="Hyperlink"/>
                <w:noProof/>
              </w:rPr>
              <w:t>Australian regulations</w:t>
            </w:r>
            <w:r>
              <w:rPr>
                <w:noProof/>
                <w:webHidden/>
              </w:rPr>
              <w:tab/>
            </w:r>
            <w:r>
              <w:rPr>
                <w:noProof/>
                <w:webHidden/>
              </w:rPr>
              <w:fldChar w:fldCharType="begin"/>
            </w:r>
            <w:r>
              <w:rPr>
                <w:noProof/>
                <w:webHidden/>
              </w:rPr>
              <w:instrText xml:space="preserve"> PAGEREF _Toc230951732 \h </w:instrText>
            </w:r>
            <w:r>
              <w:rPr>
                <w:noProof/>
                <w:webHidden/>
              </w:rPr>
            </w:r>
            <w:r>
              <w:rPr>
                <w:noProof/>
                <w:webHidden/>
              </w:rPr>
              <w:fldChar w:fldCharType="separate"/>
            </w:r>
            <w:r>
              <w:rPr>
                <w:noProof/>
                <w:webHidden/>
              </w:rPr>
              <w:t>16</w:t>
            </w:r>
            <w:r>
              <w:rPr>
                <w:noProof/>
                <w:webHidden/>
              </w:rPr>
              <w:fldChar w:fldCharType="end"/>
            </w:r>
          </w:hyperlink>
        </w:p>
        <w:p w14:paraId="773FCC5B" w14:textId="4AD966F6"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33" w:history="1">
            <w:r w:rsidRPr="002957F7">
              <w:rPr>
                <w:rStyle w:val="Hyperlink"/>
                <w:noProof/>
              </w:rPr>
              <w:t>International regulations</w:t>
            </w:r>
            <w:r>
              <w:rPr>
                <w:noProof/>
                <w:webHidden/>
              </w:rPr>
              <w:tab/>
            </w:r>
            <w:r>
              <w:rPr>
                <w:noProof/>
                <w:webHidden/>
              </w:rPr>
              <w:fldChar w:fldCharType="begin"/>
            </w:r>
            <w:r>
              <w:rPr>
                <w:noProof/>
                <w:webHidden/>
              </w:rPr>
              <w:instrText xml:space="preserve"> PAGEREF _Toc230951733 \h </w:instrText>
            </w:r>
            <w:r>
              <w:rPr>
                <w:noProof/>
                <w:webHidden/>
              </w:rPr>
            </w:r>
            <w:r>
              <w:rPr>
                <w:noProof/>
                <w:webHidden/>
              </w:rPr>
              <w:fldChar w:fldCharType="separate"/>
            </w:r>
            <w:r>
              <w:rPr>
                <w:noProof/>
                <w:webHidden/>
              </w:rPr>
              <w:t>18</w:t>
            </w:r>
            <w:r>
              <w:rPr>
                <w:noProof/>
                <w:webHidden/>
              </w:rPr>
              <w:fldChar w:fldCharType="end"/>
            </w:r>
          </w:hyperlink>
        </w:p>
        <w:p w14:paraId="658FBAFD" w14:textId="3DF6C0C9" w:rsidR="00D709D8" w:rsidRDefault="00D709D8">
          <w:pPr>
            <w:pStyle w:val="TOC1"/>
            <w:tabs>
              <w:tab w:val="left" w:pos="425"/>
            </w:tabs>
            <w:rPr>
              <w:rFonts w:asciiTheme="minorHAnsi" w:eastAsiaTheme="minorEastAsia" w:hAnsiTheme="minorHAnsi" w:cstheme="minorBidi"/>
              <w:b w:val="0"/>
              <w:noProof/>
              <w:color w:val="auto"/>
              <w:kern w:val="2"/>
              <w:sz w:val="24"/>
              <w:szCs w:val="24"/>
              <w:lang w:eastAsia="en-AU"/>
              <w14:ligatures w14:val="standardContextual"/>
            </w:rPr>
          </w:pPr>
          <w:hyperlink w:anchor="_Toc230951734" w:history="1">
            <w:r w:rsidRPr="002957F7">
              <w:rPr>
                <w:rStyle w:val="Hyperlink"/>
                <w:noProof/>
              </w:rPr>
              <w:t>2</w:t>
            </w:r>
            <w:r>
              <w:rPr>
                <w:rFonts w:asciiTheme="minorHAnsi" w:eastAsiaTheme="minorEastAsia" w:hAnsiTheme="minorHAnsi" w:cstheme="minorBidi"/>
                <w:b w:val="0"/>
                <w:noProof/>
                <w:color w:val="auto"/>
                <w:kern w:val="2"/>
                <w:sz w:val="24"/>
                <w:szCs w:val="24"/>
                <w:lang w:eastAsia="en-AU"/>
                <w14:ligatures w14:val="standardContextual"/>
              </w:rPr>
              <w:tab/>
            </w:r>
            <w:r w:rsidRPr="002957F7">
              <w:rPr>
                <w:rStyle w:val="Hyperlink"/>
                <w:noProof/>
              </w:rPr>
              <w:t>Proposed amendments referred for scheduling advice to the Joint ACMS-ACCS meeting #44</w:t>
            </w:r>
            <w:r>
              <w:rPr>
                <w:noProof/>
                <w:webHidden/>
              </w:rPr>
              <w:tab/>
            </w:r>
            <w:r>
              <w:rPr>
                <w:noProof/>
                <w:webHidden/>
              </w:rPr>
              <w:fldChar w:fldCharType="begin"/>
            </w:r>
            <w:r>
              <w:rPr>
                <w:noProof/>
                <w:webHidden/>
              </w:rPr>
              <w:instrText xml:space="preserve"> PAGEREF _Toc230951734 \h </w:instrText>
            </w:r>
            <w:r>
              <w:rPr>
                <w:noProof/>
                <w:webHidden/>
              </w:rPr>
            </w:r>
            <w:r>
              <w:rPr>
                <w:noProof/>
                <w:webHidden/>
              </w:rPr>
              <w:fldChar w:fldCharType="separate"/>
            </w:r>
            <w:r>
              <w:rPr>
                <w:noProof/>
                <w:webHidden/>
              </w:rPr>
              <w:t>20</w:t>
            </w:r>
            <w:r>
              <w:rPr>
                <w:noProof/>
                <w:webHidden/>
              </w:rPr>
              <w:fldChar w:fldCharType="end"/>
            </w:r>
          </w:hyperlink>
        </w:p>
        <w:p w14:paraId="56056688" w14:textId="6D9ADBA4" w:rsidR="00D709D8" w:rsidRDefault="00D709D8">
          <w:pPr>
            <w:pStyle w:val="TOC2"/>
            <w:tabs>
              <w:tab w:val="left" w:pos="1276"/>
            </w:tabs>
            <w:rPr>
              <w:rFonts w:asciiTheme="minorHAnsi" w:eastAsiaTheme="minorEastAsia" w:hAnsiTheme="minorHAnsi" w:cstheme="minorBidi"/>
              <w:noProof/>
              <w:color w:val="auto"/>
              <w:kern w:val="2"/>
              <w:szCs w:val="24"/>
              <w:lang w:eastAsia="en-AU"/>
              <w14:ligatures w14:val="standardContextual"/>
            </w:rPr>
          </w:pPr>
          <w:hyperlink w:anchor="_Toc230951735" w:history="1">
            <w:r w:rsidRPr="002957F7">
              <w:rPr>
                <w:rStyle w:val="Hyperlink"/>
                <w:noProof/>
              </w:rPr>
              <w:t xml:space="preserve">2.1 </w:t>
            </w:r>
            <w:r>
              <w:rPr>
                <w:rFonts w:asciiTheme="minorHAnsi" w:eastAsiaTheme="minorEastAsia" w:hAnsiTheme="minorHAnsi" w:cstheme="minorBidi"/>
                <w:noProof/>
                <w:color w:val="auto"/>
                <w:kern w:val="2"/>
                <w:szCs w:val="24"/>
                <w:lang w:eastAsia="en-AU"/>
                <w14:ligatures w14:val="standardContextual"/>
              </w:rPr>
              <w:tab/>
            </w:r>
            <w:r w:rsidRPr="002957F7">
              <w:rPr>
                <w:rStyle w:val="Hyperlink"/>
                <w:noProof/>
              </w:rPr>
              <w:t>Salicylic acid</w:t>
            </w:r>
            <w:r>
              <w:rPr>
                <w:noProof/>
                <w:webHidden/>
              </w:rPr>
              <w:tab/>
            </w:r>
            <w:r>
              <w:rPr>
                <w:noProof/>
                <w:webHidden/>
              </w:rPr>
              <w:fldChar w:fldCharType="begin"/>
            </w:r>
            <w:r>
              <w:rPr>
                <w:noProof/>
                <w:webHidden/>
              </w:rPr>
              <w:instrText xml:space="preserve"> PAGEREF _Toc230951735 \h </w:instrText>
            </w:r>
            <w:r>
              <w:rPr>
                <w:noProof/>
                <w:webHidden/>
              </w:rPr>
            </w:r>
            <w:r>
              <w:rPr>
                <w:noProof/>
                <w:webHidden/>
              </w:rPr>
              <w:fldChar w:fldCharType="separate"/>
            </w:r>
            <w:r>
              <w:rPr>
                <w:noProof/>
                <w:webHidden/>
              </w:rPr>
              <w:t>20</w:t>
            </w:r>
            <w:r>
              <w:rPr>
                <w:noProof/>
                <w:webHidden/>
              </w:rPr>
              <w:fldChar w:fldCharType="end"/>
            </w:r>
          </w:hyperlink>
        </w:p>
        <w:p w14:paraId="283B5B74" w14:textId="532D214C"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36" w:history="1">
            <w:r w:rsidRPr="002957F7">
              <w:rPr>
                <w:rStyle w:val="Hyperlink"/>
                <w:rFonts w:cs="Arial"/>
                <w:noProof/>
              </w:rPr>
              <w:t>Proposal</w:t>
            </w:r>
            <w:r>
              <w:rPr>
                <w:noProof/>
                <w:webHidden/>
              </w:rPr>
              <w:tab/>
            </w:r>
            <w:r>
              <w:rPr>
                <w:noProof/>
                <w:webHidden/>
              </w:rPr>
              <w:fldChar w:fldCharType="begin"/>
            </w:r>
            <w:r>
              <w:rPr>
                <w:noProof/>
                <w:webHidden/>
              </w:rPr>
              <w:instrText xml:space="preserve"> PAGEREF _Toc230951736 \h </w:instrText>
            </w:r>
            <w:r>
              <w:rPr>
                <w:noProof/>
                <w:webHidden/>
              </w:rPr>
            </w:r>
            <w:r>
              <w:rPr>
                <w:noProof/>
                <w:webHidden/>
              </w:rPr>
              <w:fldChar w:fldCharType="separate"/>
            </w:r>
            <w:r>
              <w:rPr>
                <w:noProof/>
                <w:webHidden/>
              </w:rPr>
              <w:t>20</w:t>
            </w:r>
            <w:r>
              <w:rPr>
                <w:noProof/>
                <w:webHidden/>
              </w:rPr>
              <w:fldChar w:fldCharType="end"/>
            </w:r>
          </w:hyperlink>
        </w:p>
        <w:p w14:paraId="08304823" w14:textId="4E2D1843"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37" w:history="1">
            <w:r w:rsidRPr="002957F7">
              <w:rPr>
                <w:rStyle w:val="Hyperlink"/>
                <w:rFonts w:cs="Arial"/>
                <w:noProof/>
              </w:rPr>
              <w:t>Alternative name</w:t>
            </w:r>
            <w:r>
              <w:rPr>
                <w:noProof/>
                <w:webHidden/>
              </w:rPr>
              <w:tab/>
            </w:r>
            <w:r>
              <w:rPr>
                <w:noProof/>
                <w:webHidden/>
              </w:rPr>
              <w:fldChar w:fldCharType="begin"/>
            </w:r>
            <w:r>
              <w:rPr>
                <w:noProof/>
                <w:webHidden/>
              </w:rPr>
              <w:instrText xml:space="preserve"> PAGEREF _Toc230951737 \h </w:instrText>
            </w:r>
            <w:r>
              <w:rPr>
                <w:noProof/>
                <w:webHidden/>
              </w:rPr>
            </w:r>
            <w:r>
              <w:rPr>
                <w:noProof/>
                <w:webHidden/>
              </w:rPr>
              <w:fldChar w:fldCharType="separate"/>
            </w:r>
            <w:r>
              <w:rPr>
                <w:noProof/>
                <w:webHidden/>
              </w:rPr>
              <w:t>20</w:t>
            </w:r>
            <w:r>
              <w:rPr>
                <w:noProof/>
                <w:webHidden/>
              </w:rPr>
              <w:fldChar w:fldCharType="end"/>
            </w:r>
          </w:hyperlink>
        </w:p>
        <w:p w14:paraId="3F4C15C5" w14:textId="6EE32548"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38" w:history="1">
            <w:r w:rsidRPr="002957F7">
              <w:rPr>
                <w:rStyle w:val="Hyperlink"/>
                <w:rFonts w:cs="Arial"/>
                <w:noProof/>
              </w:rPr>
              <w:t>CAS number</w:t>
            </w:r>
            <w:r>
              <w:rPr>
                <w:noProof/>
                <w:webHidden/>
              </w:rPr>
              <w:tab/>
            </w:r>
            <w:r>
              <w:rPr>
                <w:noProof/>
                <w:webHidden/>
              </w:rPr>
              <w:fldChar w:fldCharType="begin"/>
            </w:r>
            <w:r>
              <w:rPr>
                <w:noProof/>
                <w:webHidden/>
              </w:rPr>
              <w:instrText xml:space="preserve"> PAGEREF _Toc230951738 \h </w:instrText>
            </w:r>
            <w:r>
              <w:rPr>
                <w:noProof/>
                <w:webHidden/>
              </w:rPr>
            </w:r>
            <w:r>
              <w:rPr>
                <w:noProof/>
                <w:webHidden/>
              </w:rPr>
              <w:fldChar w:fldCharType="separate"/>
            </w:r>
            <w:r>
              <w:rPr>
                <w:noProof/>
                <w:webHidden/>
              </w:rPr>
              <w:t>20</w:t>
            </w:r>
            <w:r>
              <w:rPr>
                <w:noProof/>
                <w:webHidden/>
              </w:rPr>
              <w:fldChar w:fldCharType="end"/>
            </w:r>
          </w:hyperlink>
        </w:p>
        <w:p w14:paraId="64EC031A" w14:textId="5758B645"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39" w:history="1">
            <w:r w:rsidRPr="002957F7">
              <w:rPr>
                <w:rStyle w:val="Hyperlink"/>
                <w:noProof/>
              </w:rPr>
              <w:t>Proposed Scheduling</w:t>
            </w:r>
            <w:r>
              <w:rPr>
                <w:noProof/>
                <w:webHidden/>
              </w:rPr>
              <w:tab/>
            </w:r>
            <w:r>
              <w:rPr>
                <w:noProof/>
                <w:webHidden/>
              </w:rPr>
              <w:fldChar w:fldCharType="begin"/>
            </w:r>
            <w:r>
              <w:rPr>
                <w:noProof/>
                <w:webHidden/>
              </w:rPr>
              <w:instrText xml:space="preserve"> PAGEREF _Toc230951739 \h </w:instrText>
            </w:r>
            <w:r>
              <w:rPr>
                <w:noProof/>
                <w:webHidden/>
              </w:rPr>
            </w:r>
            <w:r>
              <w:rPr>
                <w:noProof/>
                <w:webHidden/>
              </w:rPr>
              <w:fldChar w:fldCharType="separate"/>
            </w:r>
            <w:r>
              <w:rPr>
                <w:noProof/>
                <w:webHidden/>
              </w:rPr>
              <w:t>20</w:t>
            </w:r>
            <w:r>
              <w:rPr>
                <w:noProof/>
                <w:webHidden/>
              </w:rPr>
              <w:fldChar w:fldCharType="end"/>
            </w:r>
          </w:hyperlink>
        </w:p>
        <w:p w14:paraId="4D3FE2CC" w14:textId="42B7F552"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40" w:history="1">
            <w:r w:rsidRPr="002957F7">
              <w:rPr>
                <w:rStyle w:val="Hyperlink"/>
                <w:rFonts w:cs="Arial"/>
                <w:noProof/>
              </w:rPr>
              <w:t>Background</w:t>
            </w:r>
            <w:r>
              <w:rPr>
                <w:noProof/>
                <w:webHidden/>
              </w:rPr>
              <w:tab/>
            </w:r>
            <w:r>
              <w:rPr>
                <w:noProof/>
                <w:webHidden/>
              </w:rPr>
              <w:fldChar w:fldCharType="begin"/>
            </w:r>
            <w:r>
              <w:rPr>
                <w:noProof/>
                <w:webHidden/>
              </w:rPr>
              <w:instrText xml:space="preserve"> PAGEREF _Toc230951740 \h </w:instrText>
            </w:r>
            <w:r>
              <w:rPr>
                <w:noProof/>
                <w:webHidden/>
              </w:rPr>
            </w:r>
            <w:r>
              <w:rPr>
                <w:noProof/>
                <w:webHidden/>
              </w:rPr>
              <w:fldChar w:fldCharType="separate"/>
            </w:r>
            <w:r>
              <w:rPr>
                <w:noProof/>
                <w:webHidden/>
              </w:rPr>
              <w:t>22</w:t>
            </w:r>
            <w:r>
              <w:rPr>
                <w:noProof/>
                <w:webHidden/>
              </w:rPr>
              <w:fldChar w:fldCharType="end"/>
            </w:r>
          </w:hyperlink>
        </w:p>
        <w:p w14:paraId="26EC8A99" w14:textId="2CDFE515"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41" w:history="1">
            <w:r w:rsidRPr="002957F7">
              <w:rPr>
                <w:rStyle w:val="Hyperlink"/>
                <w:rFonts w:cs="Arial"/>
                <w:noProof/>
              </w:rPr>
              <w:t>Summary of reasons for the proposal</w:t>
            </w:r>
            <w:r>
              <w:rPr>
                <w:noProof/>
                <w:webHidden/>
              </w:rPr>
              <w:tab/>
            </w:r>
            <w:r>
              <w:rPr>
                <w:noProof/>
                <w:webHidden/>
              </w:rPr>
              <w:fldChar w:fldCharType="begin"/>
            </w:r>
            <w:r>
              <w:rPr>
                <w:noProof/>
                <w:webHidden/>
              </w:rPr>
              <w:instrText xml:space="preserve"> PAGEREF _Toc230951741 \h </w:instrText>
            </w:r>
            <w:r>
              <w:rPr>
                <w:noProof/>
                <w:webHidden/>
              </w:rPr>
            </w:r>
            <w:r>
              <w:rPr>
                <w:noProof/>
                <w:webHidden/>
              </w:rPr>
              <w:fldChar w:fldCharType="separate"/>
            </w:r>
            <w:r>
              <w:rPr>
                <w:noProof/>
                <w:webHidden/>
              </w:rPr>
              <w:t>22</w:t>
            </w:r>
            <w:r>
              <w:rPr>
                <w:noProof/>
                <w:webHidden/>
              </w:rPr>
              <w:fldChar w:fldCharType="end"/>
            </w:r>
          </w:hyperlink>
        </w:p>
        <w:p w14:paraId="5B8DC4EE" w14:textId="2EF567B0" w:rsidR="00D709D8" w:rsidRDefault="00D709D8">
          <w:pPr>
            <w:pStyle w:val="TOC3"/>
            <w:rPr>
              <w:rFonts w:asciiTheme="minorHAnsi" w:eastAsiaTheme="minorEastAsia" w:hAnsiTheme="minorHAnsi" w:cstheme="minorBidi"/>
              <w:noProof/>
              <w:color w:val="auto"/>
              <w:kern w:val="2"/>
              <w:sz w:val="24"/>
              <w:szCs w:val="24"/>
              <w:lang w:eastAsia="en-AU"/>
              <w14:ligatures w14:val="standardContextual"/>
            </w:rPr>
          </w:pPr>
          <w:hyperlink w:anchor="_Toc230951742" w:history="1">
            <w:r w:rsidRPr="002957F7">
              <w:rPr>
                <w:rStyle w:val="Hyperlink"/>
                <w:rFonts w:cs="Arial"/>
                <w:noProof/>
              </w:rPr>
              <w:t>Key and expected uses</w:t>
            </w:r>
            <w:r>
              <w:rPr>
                <w:noProof/>
                <w:webHidden/>
              </w:rPr>
              <w:tab/>
            </w:r>
            <w:r>
              <w:rPr>
                <w:noProof/>
                <w:webHidden/>
              </w:rPr>
              <w:fldChar w:fldCharType="begin"/>
            </w:r>
            <w:r>
              <w:rPr>
                <w:noProof/>
                <w:webHidden/>
              </w:rPr>
              <w:instrText xml:space="preserve"> PAGEREF _Toc230951742 \h </w:instrText>
            </w:r>
            <w:r>
              <w:rPr>
                <w:noProof/>
                <w:webHidden/>
              </w:rPr>
            </w:r>
            <w:r>
              <w:rPr>
                <w:noProof/>
                <w:webHidden/>
              </w:rPr>
              <w:fldChar w:fldCharType="separate"/>
            </w:r>
            <w:r>
              <w:rPr>
                <w:noProof/>
                <w:webHidden/>
              </w:rPr>
              <w:t>23</w:t>
            </w:r>
            <w:r>
              <w:rPr>
                <w:noProof/>
                <w:webHidden/>
              </w:rPr>
              <w:fldChar w:fldCharType="end"/>
            </w:r>
          </w:hyperlink>
        </w:p>
        <w:p w14:paraId="68C8C4E3" w14:textId="2B212B70" w:rsidR="00D709D8" w:rsidRDefault="00D709D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0951743" w:history="1">
            <w:r w:rsidRPr="002957F7">
              <w:rPr>
                <w:rStyle w:val="Hyperlink"/>
                <w:noProof/>
              </w:rPr>
              <w:t>How to respond</w:t>
            </w:r>
            <w:r>
              <w:rPr>
                <w:noProof/>
                <w:webHidden/>
              </w:rPr>
              <w:tab/>
            </w:r>
            <w:r>
              <w:rPr>
                <w:noProof/>
                <w:webHidden/>
              </w:rPr>
              <w:fldChar w:fldCharType="begin"/>
            </w:r>
            <w:r>
              <w:rPr>
                <w:noProof/>
                <w:webHidden/>
              </w:rPr>
              <w:instrText xml:space="preserve"> PAGEREF _Toc230951743 \h </w:instrText>
            </w:r>
            <w:r>
              <w:rPr>
                <w:noProof/>
                <w:webHidden/>
              </w:rPr>
            </w:r>
            <w:r>
              <w:rPr>
                <w:noProof/>
                <w:webHidden/>
              </w:rPr>
              <w:fldChar w:fldCharType="separate"/>
            </w:r>
            <w:r>
              <w:rPr>
                <w:noProof/>
                <w:webHidden/>
              </w:rPr>
              <w:t>26</w:t>
            </w:r>
            <w:r>
              <w:rPr>
                <w:noProof/>
                <w:webHidden/>
              </w:rPr>
              <w:fldChar w:fldCharType="end"/>
            </w:r>
          </w:hyperlink>
        </w:p>
        <w:p w14:paraId="79361DEA" w14:textId="483F3AC9" w:rsidR="00D709D8" w:rsidRDefault="00D709D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0951744" w:history="1">
            <w:r w:rsidRPr="002957F7">
              <w:rPr>
                <w:rStyle w:val="Hyperlink"/>
                <w:noProof/>
              </w:rPr>
              <w:t>What will happen</w:t>
            </w:r>
            <w:r>
              <w:rPr>
                <w:noProof/>
                <w:webHidden/>
              </w:rPr>
              <w:tab/>
            </w:r>
            <w:r>
              <w:rPr>
                <w:noProof/>
                <w:webHidden/>
              </w:rPr>
              <w:fldChar w:fldCharType="begin"/>
            </w:r>
            <w:r>
              <w:rPr>
                <w:noProof/>
                <w:webHidden/>
              </w:rPr>
              <w:instrText xml:space="preserve"> PAGEREF _Toc230951744 \h </w:instrText>
            </w:r>
            <w:r>
              <w:rPr>
                <w:noProof/>
                <w:webHidden/>
              </w:rPr>
            </w:r>
            <w:r>
              <w:rPr>
                <w:noProof/>
                <w:webHidden/>
              </w:rPr>
              <w:fldChar w:fldCharType="separate"/>
            </w:r>
            <w:r>
              <w:rPr>
                <w:noProof/>
                <w:webHidden/>
              </w:rPr>
              <w:t>26</w:t>
            </w:r>
            <w:r>
              <w:rPr>
                <w:noProof/>
                <w:webHidden/>
              </w:rPr>
              <w:fldChar w:fldCharType="end"/>
            </w:r>
          </w:hyperlink>
        </w:p>
        <w:p w14:paraId="62BD508D" w14:textId="2C2697F7" w:rsidR="00F02AEC" w:rsidRPr="00C417B6" w:rsidRDefault="00F02AEC" w:rsidP="00C417B6">
          <w:r w:rsidRPr="00C417B6">
            <w:fldChar w:fldCharType="end"/>
          </w:r>
        </w:p>
      </w:sdtContent>
    </w:sdt>
    <w:bookmarkEnd w:id="3" w:displacedByCustomXml="prev"/>
    <w:p w14:paraId="13C8182D" w14:textId="77777777" w:rsidR="00F02AEC" w:rsidRPr="00C417B6" w:rsidRDefault="00F02AEC" w:rsidP="00C417B6">
      <w:r w:rsidRPr="00C417B6">
        <w:br w:type="page"/>
      </w:r>
    </w:p>
    <w:p w14:paraId="7E543FD9" w14:textId="77777777" w:rsidR="00F02AEC" w:rsidRPr="00C417B6" w:rsidRDefault="00685E72" w:rsidP="00395107">
      <w:pPr>
        <w:pStyle w:val="Heading2"/>
      </w:pPr>
      <w:bookmarkStart w:id="4" w:name="_Hlk139892263"/>
      <w:bookmarkStart w:id="5" w:name="_Toc230951699"/>
      <w:r w:rsidRPr="00C417B6">
        <w:lastRenderedPageBreak/>
        <w:t>About this consultation</w:t>
      </w:r>
      <w:bookmarkEnd w:id="5"/>
    </w:p>
    <w:p w14:paraId="01226F4E" w14:textId="77777777" w:rsidR="00685E72" w:rsidRPr="00C417B6" w:rsidRDefault="00685E72" w:rsidP="00F53761">
      <w:bookmarkStart w:id="6" w:name="_Toc323739591"/>
      <w:bookmarkStart w:id="7" w:name="_Toc356305218"/>
      <w:r w:rsidRPr="00C417B6">
        <w:t>Subdivision 3D.2 of the Therapeutic Goods Regulations 1990 (the Regulations) sets out the procedure to be followed where the Secretary receives an application under section 52EAA of the Therapeutic Goods Act 1989 (the Act)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2114C666" w14:textId="39ED0FB9" w:rsidR="00685E72" w:rsidRPr="00C417B6" w:rsidRDefault="00685E72" w:rsidP="00F53761">
      <w:r w:rsidRPr="00C417B6">
        <w:rPr>
          <w:noProof/>
        </w:rPr>
        <mc:AlternateContent>
          <mc:Choice Requires="wps">
            <w:drawing>
              <wp:anchor distT="0" distB="0" distL="114300" distR="114300" simplePos="0" relativeHeight="251658240" behindDoc="0" locked="0" layoutInCell="1" allowOverlap="1" wp14:anchorId="78822159" wp14:editId="360CEDE6">
                <wp:simplePos x="0" y="0"/>
                <wp:positionH relativeFrom="margin">
                  <wp:posOffset>0</wp:posOffset>
                </wp:positionH>
                <wp:positionV relativeFrom="paragraph">
                  <wp:posOffset>1007110</wp:posOffset>
                </wp:positionV>
                <wp:extent cx="1828800" cy="1828800"/>
                <wp:effectExtent l="0" t="0" r="25400" b="1333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48041790" w14:textId="5575B923" w:rsidR="00685E72" w:rsidRPr="00520CD5" w:rsidRDefault="00685E72" w:rsidP="00F53761">
                            <w:pPr>
                              <w:rPr>
                                <w:lang w:val="en"/>
                              </w:rPr>
                            </w:pPr>
                            <w:r w:rsidRPr="00520CD5">
                              <w:t>Submissions should be provided through our</w:t>
                            </w:r>
                            <w:r w:rsidRPr="00520CD5">
                              <w:rPr>
                                <w:lang w:val="en"/>
                              </w:rPr>
                              <w:t xml:space="preserve"> </w:t>
                            </w:r>
                            <w:hyperlink r:id="rId18" w:history="1">
                              <w:r w:rsidRPr="00520CD5">
                                <w:rPr>
                                  <w:rStyle w:val="Hyperlink"/>
                                  <w:rFonts w:cs="Arial"/>
                                  <w:szCs w:val="18"/>
                                </w:rPr>
                                <w:t>consultation hub</w:t>
                              </w:r>
                            </w:hyperlink>
                            <w:r w:rsidRPr="00520CD5">
                              <w:rPr>
                                <w:lang w:val="en"/>
                              </w:rPr>
                              <w:t xml:space="preserve">. </w:t>
                            </w:r>
                            <w:r w:rsidRPr="00520CD5">
                              <w:t>Any submission about any of the proposals to amend the Poisons Standard will be considered at the next meeting of the</w:t>
                            </w:r>
                            <w:r w:rsidRPr="00520CD5">
                              <w:rPr>
                                <w:lang w:val="en"/>
                              </w:rPr>
                              <w:t xml:space="preserve"> </w:t>
                            </w:r>
                            <w:hyperlink r:id="rId19" w:history="1">
                              <w:r w:rsidRPr="00520CD5">
                                <w:rPr>
                                  <w:rStyle w:val="Hyperlink"/>
                                  <w:rFonts w:cs="Arial"/>
                                  <w:szCs w:val="18"/>
                                </w:rPr>
                                <w:t>Advisory Committee on Medicines Scheduling (ACMS)</w:t>
                              </w:r>
                            </w:hyperlink>
                            <w:r w:rsidR="00910DC8">
                              <w:t xml:space="preserve"> and a j</w:t>
                            </w:r>
                            <w:r w:rsidR="009004E5">
                              <w:t>oint</w:t>
                            </w:r>
                            <w:r w:rsidRPr="00520CD5">
                              <w:rPr>
                                <w:lang w:val="en"/>
                              </w:rPr>
                              <w:t xml:space="preserve"> </w:t>
                            </w:r>
                            <w:r w:rsidRPr="00520CD5">
                              <w:t>meeting of the</w:t>
                            </w:r>
                            <w:r w:rsidRPr="00520CD5">
                              <w:rPr>
                                <w:lang w:val="en"/>
                              </w:rPr>
                              <w:t xml:space="preserve"> </w:t>
                            </w:r>
                            <w:r w:rsidR="00125B2E">
                              <w:rPr>
                                <w:lang w:val="en"/>
                              </w:rPr>
                              <w:t xml:space="preserve">ACMS and </w:t>
                            </w:r>
                            <w:hyperlink r:id="rId20" w:history="1">
                              <w:r w:rsidRPr="00520CD5">
                                <w:rPr>
                                  <w:rStyle w:val="Hyperlink"/>
                                  <w:rFonts w:cs="Arial"/>
                                  <w:szCs w:val="18"/>
                                </w:rPr>
                                <w:t>Advisory Committee on Chemicals Scheduling (ACCS)</w:t>
                              </w:r>
                            </w:hyperlink>
                            <w:r w:rsidR="00E633C6">
                              <w:t>.</w:t>
                            </w:r>
                          </w:p>
                          <w:p w14:paraId="6008C960" w14:textId="1AC4417B" w:rsidR="00685E72" w:rsidRPr="00520CD5" w:rsidRDefault="00685E72" w:rsidP="00F53761">
                            <w:pPr>
                              <w:rPr>
                                <w:b/>
                                <w:lang w:val="en"/>
                              </w:rPr>
                            </w:pPr>
                            <w:r w:rsidRPr="00520CD5">
                              <w:rPr>
                                <w:b/>
                                <w:lang w:val="en"/>
                              </w:rPr>
                              <w:t xml:space="preserve">This consultation closes on </w:t>
                            </w:r>
                            <w:r w:rsidR="00397237" w:rsidRPr="00D659AA">
                              <w:rPr>
                                <w:b/>
                                <w:lang w:val="en"/>
                              </w:rPr>
                              <w:t>30 June 2026</w:t>
                            </w:r>
                          </w:p>
                          <w:p w14:paraId="4C224E74" w14:textId="77777777" w:rsidR="00685E72" w:rsidRPr="00520CD5" w:rsidRDefault="00685E72" w:rsidP="00F53761">
                            <w:r w:rsidRPr="00520CD5">
                              <w:t>We aim to provide documents in an accessible format. If you're having problems using this document, please contact </w:t>
                            </w:r>
                            <w:hyperlink r:id="rId21" w:history="1">
                              <w:r w:rsidRPr="00520CD5">
                                <w:rPr>
                                  <w:rStyle w:val="Hyperlink"/>
                                  <w:rFonts w:cs="Arial"/>
                                  <w:szCs w:val="18"/>
                                </w:rPr>
                                <w:t>medicines.scheduling@health.gov.au</w:t>
                              </w:r>
                            </w:hyperlink>
                            <w:r w:rsidRPr="00520CD5">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822159" id="_x0000_t202" coordsize="21600,21600" o:spt="202" path="m,l,21600r21600,l21600,xe">
                <v:stroke joinstyle="miter"/>
                <v:path gradientshapeok="t" o:connecttype="rect"/>
              </v:shapetype>
              <v:shape id="Text Box 1" o:spid="_x0000_s1026" type="#_x0000_t202" style="position:absolute;margin-left:0;margin-top:79.3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JAMgIAAHwEAAAOAAAAZHJzL2Uyb0RvYy54bWysVE1v2zAMvQ/YfxB0b+ykaZYacYosWYYB&#10;QVsgHXqWZTk2JouCpMTOfv0o2flou9Owi0KK9BP5HpnZQ1tLchDGVqBSOhzElAjFIa/ULqU/X9Y3&#10;U0qsYypnEpRI6VFY+jD//GnW6ESMoASZC0MQRNmk0SktndNJFFleiprZAWihMFiAqZlD1+yi3LAG&#10;0WsZjeJ4EjVgcm2AC2vxdtUF6TzgF4Xg7qkorHBEphRrc+E04cz8Gc1nLNkZpsuK92Wwf6iiZpXC&#10;R89QK+YY2ZvqA1RdcQMWCjfgUEdQFBUXoQfsZhi/62ZbMi1CL0iO1Wea7P+D5Y+HrX42xLVfoUUB&#10;PSGNtonFS99PW5ja/2KlBONI4fFMm2gd4f6j6Wg6jTHEMXZyECe6fK6Ndd8F1MQbKTWoS6CLHTbW&#10;damnFP+aBVnl60rK4JhdtpSGHBhquJys4m/3vkpEf5MmFWlSOrm9iwPym5jHPkNkkvFfHxEQTyqE&#10;vXTvLddmbU9JBvkRmTLQDZHVfF0h7oZZ98wMTg0ygJvgnvAoJGAx0FuUlGB+/+3e56OYGKWkwSlM&#10;qcI1oUT+UCjy/XA89kMbnPHdlxE65jqSXUfUvl4CUjTEjdM8mD7fyZNZGKhfcV0W/k0MMcXx5ZS6&#10;k7l03WbgunGxWIQkHFPN3EZtNffQXhDP5kv7yozu5XQ4CY9wmlaWvFO1yw1S6sXewboKknt6O057&#10;1nHEg6z9OvoduvZD1uVPY/4HAAD//wMAUEsDBBQABgAIAAAAIQA8eYGB3AAAAAgBAAAPAAAAZHJz&#10;L2Rvd25yZXYueG1sTI/NTsMwEITvSLyDtZW4USdRG5k0ToVAHBGiRYijG2/iKP6JYrcNb89yguPO&#10;jGa/qfeLs+yCcxyCl5CvM2Do26AH30v4OL7cC2AxKa+VDR4lfGOEfXN7U6tKh6t/x8sh9YxKfKyU&#10;BJPSVHEeW4NOxXWY0JPXhdmpROfccz2rK5U7y4ssK7lTg6cPRk34ZLAdD2cnoRCj+sy33UP71Zns&#10;eXzN8W22Ut6tlscdsIRL+gvDLz6hQ0NMp3D2OjIrgYYkUreiBEZ2IQQpJwmbTVkCb2r+f0DzAwAA&#10;//8DAFBLAQItABQABgAIAAAAIQC2gziS/gAAAOEBAAATAAAAAAAAAAAAAAAAAAAAAABbQ29udGVu&#10;dF9UeXBlc10ueG1sUEsBAi0AFAAGAAgAAAAhADj9If/WAAAAlAEAAAsAAAAAAAAAAAAAAAAALwEA&#10;AF9yZWxzLy5yZWxzUEsBAi0AFAAGAAgAAAAhADjbEkAyAgAAfAQAAA4AAAAAAAAAAAAAAAAALgIA&#10;AGRycy9lMm9Eb2MueG1sUEsBAi0AFAAGAAgAAAAhADx5gYHcAAAACAEAAA8AAAAAAAAAAAAAAAAA&#10;jAQAAGRycy9kb3ducmV2LnhtbFBLBQYAAAAABAAEAPMAAACVBQAAAAA=&#10;" fillcolor="#c6d0e9" strokeweight=".5pt">
                <v:textbox style="mso-fit-shape-to-text:t">
                  <w:txbxContent>
                    <w:p w14:paraId="48041790" w14:textId="5575B923" w:rsidR="00685E72" w:rsidRPr="00520CD5" w:rsidRDefault="00685E72" w:rsidP="00F53761">
                      <w:pPr>
                        <w:rPr>
                          <w:lang w:val="en"/>
                        </w:rPr>
                      </w:pPr>
                      <w:r w:rsidRPr="00520CD5">
                        <w:t>Submissions should be provided through our</w:t>
                      </w:r>
                      <w:r w:rsidRPr="00520CD5">
                        <w:rPr>
                          <w:lang w:val="en"/>
                        </w:rPr>
                        <w:t xml:space="preserve"> </w:t>
                      </w:r>
                      <w:hyperlink r:id="rId22" w:history="1">
                        <w:r w:rsidRPr="00520CD5">
                          <w:rPr>
                            <w:rStyle w:val="Hyperlink"/>
                            <w:rFonts w:cs="Arial"/>
                            <w:szCs w:val="18"/>
                          </w:rPr>
                          <w:t>consultation hub</w:t>
                        </w:r>
                      </w:hyperlink>
                      <w:r w:rsidRPr="00520CD5">
                        <w:rPr>
                          <w:lang w:val="en"/>
                        </w:rPr>
                        <w:t xml:space="preserve">. </w:t>
                      </w:r>
                      <w:r w:rsidRPr="00520CD5">
                        <w:t>Any submission about any of the proposals to amend the Poisons Standard will be considered at the next meeting of the</w:t>
                      </w:r>
                      <w:r w:rsidRPr="00520CD5">
                        <w:rPr>
                          <w:lang w:val="en"/>
                        </w:rPr>
                        <w:t xml:space="preserve"> </w:t>
                      </w:r>
                      <w:hyperlink r:id="rId23" w:history="1">
                        <w:r w:rsidRPr="00520CD5">
                          <w:rPr>
                            <w:rStyle w:val="Hyperlink"/>
                            <w:rFonts w:cs="Arial"/>
                            <w:szCs w:val="18"/>
                          </w:rPr>
                          <w:t>Advisory Committee on Medicines Scheduling (ACMS)</w:t>
                        </w:r>
                      </w:hyperlink>
                      <w:r w:rsidR="00910DC8">
                        <w:t xml:space="preserve"> and a j</w:t>
                      </w:r>
                      <w:r w:rsidR="009004E5">
                        <w:t>oint</w:t>
                      </w:r>
                      <w:r w:rsidRPr="00520CD5">
                        <w:rPr>
                          <w:lang w:val="en"/>
                        </w:rPr>
                        <w:t xml:space="preserve"> </w:t>
                      </w:r>
                      <w:r w:rsidRPr="00520CD5">
                        <w:t>meeting of the</w:t>
                      </w:r>
                      <w:r w:rsidRPr="00520CD5">
                        <w:rPr>
                          <w:lang w:val="en"/>
                        </w:rPr>
                        <w:t xml:space="preserve"> </w:t>
                      </w:r>
                      <w:r w:rsidR="00125B2E">
                        <w:rPr>
                          <w:lang w:val="en"/>
                        </w:rPr>
                        <w:t xml:space="preserve">ACMS and </w:t>
                      </w:r>
                      <w:hyperlink r:id="rId24" w:history="1">
                        <w:r w:rsidRPr="00520CD5">
                          <w:rPr>
                            <w:rStyle w:val="Hyperlink"/>
                            <w:rFonts w:cs="Arial"/>
                            <w:szCs w:val="18"/>
                          </w:rPr>
                          <w:t>Advisory Committee on Chemicals Scheduling (ACCS)</w:t>
                        </w:r>
                      </w:hyperlink>
                      <w:r w:rsidR="00E633C6">
                        <w:t>.</w:t>
                      </w:r>
                    </w:p>
                    <w:p w14:paraId="6008C960" w14:textId="1AC4417B" w:rsidR="00685E72" w:rsidRPr="00520CD5" w:rsidRDefault="00685E72" w:rsidP="00F53761">
                      <w:pPr>
                        <w:rPr>
                          <w:b/>
                          <w:lang w:val="en"/>
                        </w:rPr>
                      </w:pPr>
                      <w:r w:rsidRPr="00520CD5">
                        <w:rPr>
                          <w:b/>
                          <w:lang w:val="en"/>
                        </w:rPr>
                        <w:t xml:space="preserve">This consultation closes on </w:t>
                      </w:r>
                      <w:r w:rsidR="00397237" w:rsidRPr="00D659AA">
                        <w:rPr>
                          <w:b/>
                          <w:lang w:val="en"/>
                        </w:rPr>
                        <w:t>30 June 2026</w:t>
                      </w:r>
                    </w:p>
                    <w:p w14:paraId="4C224E74" w14:textId="77777777" w:rsidR="00685E72" w:rsidRPr="00520CD5" w:rsidRDefault="00685E72" w:rsidP="00F53761">
                      <w:r w:rsidRPr="00520CD5">
                        <w:t>We aim to provide documents in an accessible format. If you're having problems using this document, please contact </w:t>
                      </w:r>
                      <w:hyperlink r:id="rId25" w:history="1">
                        <w:r w:rsidRPr="00520CD5">
                          <w:rPr>
                            <w:rStyle w:val="Hyperlink"/>
                            <w:rFonts w:cs="Arial"/>
                            <w:szCs w:val="18"/>
                          </w:rPr>
                          <w:t>medicines.scheduling@health.gov.au</w:t>
                        </w:r>
                      </w:hyperlink>
                      <w:r w:rsidRPr="00520CD5">
                        <w:t>.</w:t>
                      </w:r>
                    </w:p>
                  </w:txbxContent>
                </v:textbox>
                <w10:wrap type="square" anchorx="margin"/>
              </v:shape>
            </w:pict>
          </mc:Fallback>
        </mc:AlternateContent>
      </w:r>
      <w:r w:rsidRPr="00C417B6">
        <w:t xml:space="preserve">In accordance with regulation 42ZCZK of the Regulations, the Secretary invites public submissions on scheduling proposals referred to the </w:t>
      </w:r>
      <w:r w:rsidR="00EA465B">
        <w:t>July 2026</w:t>
      </w:r>
      <w:r w:rsidR="002327B4" w:rsidRPr="00C417B6">
        <w:t xml:space="preserve"> </w:t>
      </w:r>
      <w:r w:rsidRPr="00C417B6">
        <w:t>meeting</w:t>
      </w:r>
      <w:r w:rsidR="00F258A8" w:rsidRPr="00C417B6">
        <w:t>s</w:t>
      </w:r>
      <w:r w:rsidRPr="00C417B6">
        <w:t xml:space="preserve"> of the</w:t>
      </w:r>
      <w:r w:rsidR="00F258A8" w:rsidRPr="00C417B6">
        <w:t xml:space="preserve"> </w:t>
      </w:r>
      <w:r w:rsidR="00F258A8" w:rsidRPr="006A5C6B">
        <w:t>Advisory Committee on Medicines Scheduling (ACMS</w:t>
      </w:r>
      <w:r w:rsidR="00156688" w:rsidRPr="006A5C6B">
        <w:t xml:space="preserve"> #50</w:t>
      </w:r>
      <w:r w:rsidR="00F258A8" w:rsidRPr="006A5C6B">
        <w:t>) and</w:t>
      </w:r>
      <w:r w:rsidRPr="00C417B6">
        <w:t xml:space="preserve"> </w:t>
      </w:r>
      <w:r w:rsidRPr="006A5C6B">
        <w:t>Joint</w:t>
      </w:r>
      <w:r w:rsidR="00F258A8" w:rsidRPr="00C417B6">
        <w:t xml:space="preserve"> </w:t>
      </w:r>
      <w:r w:rsidR="00F258A8" w:rsidRPr="00C417B6" w:rsidDel="00EA465B">
        <w:t xml:space="preserve">Advisory Committee on </w:t>
      </w:r>
      <w:r w:rsidRPr="006A5C6B">
        <w:t>Medicines</w:t>
      </w:r>
      <w:r w:rsidR="006A5C6B" w:rsidRPr="006A5C6B">
        <w:t xml:space="preserve"> and </w:t>
      </w:r>
      <w:r w:rsidR="00F258A8" w:rsidRPr="006A5C6B" w:rsidDel="00EA465B">
        <w:t>Chemicals</w:t>
      </w:r>
      <w:r w:rsidR="00F258A8" w:rsidRPr="00C417B6" w:rsidDel="00EA465B">
        <w:t xml:space="preserve"> Scheduling (</w:t>
      </w:r>
      <w:r w:rsidRPr="006A5C6B">
        <w:t>Joint ACMS-ACCS #</w:t>
      </w:r>
      <w:r w:rsidR="00031065" w:rsidRPr="006A5C6B">
        <w:t>44</w:t>
      </w:r>
      <w:r w:rsidRPr="00C417B6">
        <w:t>). Submissions must be received by close of business </w:t>
      </w:r>
      <w:r w:rsidR="00A62731" w:rsidRPr="00D659AA">
        <w:t>30 June 2026.</w:t>
      </w:r>
    </w:p>
    <w:bookmarkEnd w:id="4"/>
    <w:bookmarkEnd w:id="6"/>
    <w:bookmarkEnd w:id="7"/>
    <w:p w14:paraId="350C0056" w14:textId="77777777" w:rsidR="00685E72" w:rsidRPr="00C417B6" w:rsidRDefault="00685E72" w:rsidP="00C417B6">
      <w:r w:rsidRPr="00C417B6">
        <w:br w:type="page"/>
      </w:r>
    </w:p>
    <w:p w14:paraId="2875BAF3" w14:textId="5BB160C6" w:rsidR="00685E72" w:rsidRPr="00C417B6" w:rsidRDefault="004B0184" w:rsidP="004B0184">
      <w:pPr>
        <w:pStyle w:val="Heading2"/>
      </w:pPr>
      <w:bookmarkStart w:id="8" w:name="_Toc230951700"/>
      <w:r>
        <w:lastRenderedPageBreak/>
        <w:t>1</w:t>
      </w:r>
      <w:r>
        <w:tab/>
      </w:r>
      <w:r w:rsidR="00685E72" w:rsidRPr="00C417B6">
        <w:t>Proposed amendment referred for scheduling advice to ACMS</w:t>
      </w:r>
      <w:r w:rsidR="00B90A0A" w:rsidRPr="00C417B6">
        <w:t> </w:t>
      </w:r>
      <w:r w:rsidR="00685E72" w:rsidRPr="00C417B6">
        <w:t>meeting</w:t>
      </w:r>
      <w:r w:rsidR="00B90A0A" w:rsidRPr="00C417B6">
        <w:t> </w:t>
      </w:r>
      <w:r w:rsidR="00685E72" w:rsidRPr="00E25B12">
        <w:t>#</w:t>
      </w:r>
      <w:r w:rsidR="00E25B12">
        <w:t>50</w:t>
      </w:r>
      <w:bookmarkEnd w:id="8"/>
    </w:p>
    <w:p w14:paraId="4791B3FD" w14:textId="6C909A24" w:rsidR="00685E72" w:rsidRPr="00C417B6" w:rsidRDefault="00F62AC9" w:rsidP="00F62AC9">
      <w:pPr>
        <w:pStyle w:val="Heading3"/>
      </w:pPr>
      <w:bookmarkStart w:id="9" w:name="_Toc122614214"/>
      <w:bookmarkStart w:id="10" w:name="_Toc230951701"/>
      <w:r w:rsidRPr="00F62AC9">
        <w:t>1.1</w:t>
      </w:r>
      <w:r w:rsidRPr="00F62AC9">
        <w:tab/>
      </w:r>
      <w:bookmarkEnd w:id="9"/>
      <w:r w:rsidR="00E90EEE">
        <w:t>Loratadine</w:t>
      </w:r>
      <w:bookmarkEnd w:id="10"/>
    </w:p>
    <w:p w14:paraId="3BB2B97B" w14:textId="4CF0DE37" w:rsidR="00685E72" w:rsidRPr="00C417B6" w:rsidRDefault="00685E72" w:rsidP="00F62AC9">
      <w:pPr>
        <w:pStyle w:val="Heading4"/>
      </w:pPr>
      <w:bookmarkStart w:id="11" w:name="_Toc122614215"/>
      <w:bookmarkStart w:id="12" w:name="_Toc230951702"/>
      <w:r w:rsidRPr="00C417B6">
        <w:t>Proposal</w:t>
      </w:r>
      <w:bookmarkEnd w:id="11"/>
      <w:bookmarkEnd w:id="12"/>
    </w:p>
    <w:p w14:paraId="52826745" w14:textId="00265C90" w:rsidR="00685E72" w:rsidRPr="00C417B6" w:rsidRDefault="005A279C" w:rsidP="00E00D81">
      <w:pPr>
        <w:spacing w:before="120" w:line="240" w:lineRule="auto"/>
      </w:pPr>
      <w:r>
        <w:t xml:space="preserve">The applicant has proposed </w:t>
      </w:r>
      <w:r w:rsidR="00641867">
        <w:t>to</w:t>
      </w:r>
      <w:r w:rsidR="00514FEE">
        <w:t xml:space="preserve"> amend the current Poisons S</w:t>
      </w:r>
      <w:r w:rsidR="00362D3A">
        <w:t xml:space="preserve">tandard </w:t>
      </w:r>
      <w:r w:rsidR="006820FB">
        <w:t>to</w:t>
      </w:r>
      <w:r w:rsidR="00641867">
        <w:t xml:space="preserve"> </w:t>
      </w:r>
      <w:r w:rsidR="00F57044">
        <w:t xml:space="preserve">increase the pack size </w:t>
      </w:r>
      <w:r w:rsidR="00EA446A">
        <w:t xml:space="preserve">of </w:t>
      </w:r>
      <w:r w:rsidR="000541F2">
        <w:t xml:space="preserve">unscheduled loratadine </w:t>
      </w:r>
      <w:r w:rsidR="00D170A5">
        <w:t>(</w:t>
      </w:r>
      <w:r w:rsidR="000541F2">
        <w:t>divided oral preparations</w:t>
      </w:r>
      <w:r w:rsidR="00306EBF">
        <w:t xml:space="preserve"> </w:t>
      </w:r>
      <w:r w:rsidR="00D170A5">
        <w:t xml:space="preserve">containing </w:t>
      </w:r>
      <w:r w:rsidR="00306EBF">
        <w:t>10 mg or less</w:t>
      </w:r>
      <w:r w:rsidR="00D170A5">
        <w:t xml:space="preserve"> loratadine </w:t>
      </w:r>
      <w:r w:rsidR="007419C4">
        <w:t>for</w:t>
      </w:r>
      <w:r w:rsidR="00D170A5">
        <w:t xml:space="preserve"> </w:t>
      </w:r>
      <w:r w:rsidR="007419C4">
        <w:t xml:space="preserve">the treatment of seasonal allergic rhinitis </w:t>
      </w:r>
      <w:r w:rsidR="005471C6">
        <w:t xml:space="preserve">(SAR) </w:t>
      </w:r>
      <w:r w:rsidR="007419C4">
        <w:t xml:space="preserve">in </w:t>
      </w:r>
      <w:r w:rsidR="00D170A5">
        <w:t xml:space="preserve">adults and children </w:t>
      </w:r>
      <w:r w:rsidR="004F681F">
        <w:t xml:space="preserve">aged </w:t>
      </w:r>
      <w:r w:rsidR="00D170A5">
        <w:t>6 years and over</w:t>
      </w:r>
      <w:r w:rsidR="00306EBF">
        <w:t xml:space="preserve">) </w:t>
      </w:r>
      <w:r w:rsidR="000541F2">
        <w:t>from 10 dosage units to 30 dosage units.</w:t>
      </w:r>
      <w:r w:rsidR="0083364C">
        <w:t xml:space="preserve"> The proposal, if implemented, will allow </w:t>
      </w:r>
      <w:r w:rsidR="005E4346">
        <w:t xml:space="preserve">for </w:t>
      </w:r>
      <w:r w:rsidR="008B1A3C">
        <w:t xml:space="preserve">general </w:t>
      </w:r>
      <w:r w:rsidR="0083364C">
        <w:t xml:space="preserve">sale of </w:t>
      </w:r>
      <w:r w:rsidR="00063B9D">
        <w:t>30</w:t>
      </w:r>
      <w:r w:rsidR="006A601D">
        <w:t>-</w:t>
      </w:r>
      <w:r w:rsidR="00063B9D">
        <w:t>packs</w:t>
      </w:r>
      <w:r w:rsidR="000C4F1E">
        <w:t xml:space="preserve"> of </w:t>
      </w:r>
      <w:r w:rsidR="00326A3B">
        <w:t>loratadine</w:t>
      </w:r>
      <w:r w:rsidR="002F3ADC">
        <w:t xml:space="preserve"> </w:t>
      </w:r>
      <w:r w:rsidR="00702B03">
        <w:t xml:space="preserve">for the treatment of </w:t>
      </w:r>
      <w:r w:rsidR="008318AD">
        <w:t xml:space="preserve">SAR </w:t>
      </w:r>
      <w:r w:rsidR="00702B03">
        <w:t xml:space="preserve">in adults and children </w:t>
      </w:r>
      <w:r w:rsidR="002D66D1">
        <w:t xml:space="preserve">aged </w:t>
      </w:r>
      <w:r w:rsidR="00702B03">
        <w:t xml:space="preserve">6 years </w:t>
      </w:r>
      <w:r w:rsidR="002D66D1">
        <w:t xml:space="preserve">and over </w:t>
      </w:r>
      <w:r w:rsidR="00DB7F82">
        <w:t>from retail</w:t>
      </w:r>
      <w:r w:rsidR="002D66D1">
        <w:t xml:space="preserve"> stores</w:t>
      </w:r>
      <w:r w:rsidR="00DB7F82">
        <w:t xml:space="preserve"> and supermarkets. Currently, on</w:t>
      </w:r>
      <w:r w:rsidR="00AB2D13">
        <w:t>ly</w:t>
      </w:r>
      <w:r w:rsidR="00DB7F82">
        <w:t xml:space="preserve"> 10</w:t>
      </w:r>
      <w:r w:rsidR="006A601D">
        <w:t>-</w:t>
      </w:r>
      <w:r w:rsidR="00DB7F82">
        <w:t>packs of lorat</w:t>
      </w:r>
      <w:r w:rsidR="007F7273">
        <w:t xml:space="preserve">adine are available </w:t>
      </w:r>
      <w:r w:rsidR="00C74E7F">
        <w:t>through general sale.</w:t>
      </w:r>
    </w:p>
    <w:p w14:paraId="6FC095C2" w14:textId="2441E361" w:rsidR="00685E72" w:rsidRPr="00C417B6" w:rsidRDefault="00685E72" w:rsidP="00E018A2">
      <w:pPr>
        <w:pStyle w:val="Heading4"/>
      </w:pPr>
      <w:bookmarkStart w:id="13" w:name="_Toc122614216"/>
      <w:bookmarkStart w:id="14" w:name="_Toc230951703"/>
      <w:r w:rsidRPr="00C417B6">
        <w:t>CAS number</w:t>
      </w:r>
      <w:bookmarkEnd w:id="13"/>
      <w:bookmarkEnd w:id="14"/>
    </w:p>
    <w:p w14:paraId="0729DA67" w14:textId="77777777" w:rsidR="0020366F" w:rsidRPr="00E00D81" w:rsidRDefault="0020366F" w:rsidP="00E00D81">
      <w:pPr>
        <w:spacing w:before="120" w:line="240" w:lineRule="auto"/>
      </w:pPr>
      <w:bookmarkStart w:id="15" w:name="_Toc122614217"/>
      <w:r w:rsidRPr="00E00D81">
        <w:t xml:space="preserve">79794-75-5 </w:t>
      </w:r>
    </w:p>
    <w:p w14:paraId="4EB352FF" w14:textId="77777777" w:rsidR="00685E72" w:rsidRPr="00C417B6" w:rsidRDefault="00685E72" w:rsidP="00E018A2">
      <w:pPr>
        <w:pStyle w:val="Heading4"/>
      </w:pPr>
      <w:bookmarkStart w:id="16" w:name="_Toc230951704"/>
      <w:r w:rsidRPr="00C417B6">
        <w:t>Alternative names</w:t>
      </w:r>
      <w:bookmarkEnd w:id="15"/>
      <w:bookmarkEnd w:id="16"/>
    </w:p>
    <w:p w14:paraId="5083D681" w14:textId="7822E72C" w:rsidR="00685E72" w:rsidRPr="00C417B6" w:rsidRDefault="00B36E54" w:rsidP="00E00D81">
      <w:pPr>
        <w:spacing w:before="120" w:line="240" w:lineRule="auto"/>
      </w:pPr>
      <w:r w:rsidRPr="00B36E54">
        <w:t>4-(8-Chloro-5,6-dihydro-11</w:t>
      </w:r>
      <w:r w:rsidRPr="00E00D81">
        <w:t>H-</w:t>
      </w:r>
      <w:r w:rsidRPr="00B36E54">
        <w:t>benzo[5,6]cyclohepta[1,2-</w:t>
      </w:r>
      <w:r w:rsidRPr="00E00D81">
        <w:t>b</w:t>
      </w:r>
      <w:r w:rsidRPr="00B36E54">
        <w:t>]pyridin-11-ylidene)-1-piperidinecarboxylic acid ethyl ester</w:t>
      </w:r>
    </w:p>
    <w:p w14:paraId="6CC8F2D8" w14:textId="77777777" w:rsidR="00685E72" w:rsidRPr="00C417B6" w:rsidRDefault="00685E72" w:rsidP="00E018A2">
      <w:pPr>
        <w:pStyle w:val="Heading4"/>
      </w:pPr>
      <w:bookmarkStart w:id="17" w:name="_Toc122614218"/>
      <w:bookmarkStart w:id="18" w:name="_Toc230951705"/>
      <w:r w:rsidRPr="00C417B6">
        <w:t>Applicant</w:t>
      </w:r>
      <w:bookmarkEnd w:id="17"/>
      <w:bookmarkEnd w:id="18"/>
    </w:p>
    <w:p w14:paraId="74193C74" w14:textId="58715C23" w:rsidR="00685E72" w:rsidRPr="00C417B6" w:rsidRDefault="00685E72" w:rsidP="00E018A2">
      <w:r w:rsidRPr="00472C0A">
        <w:t>Private applicant</w:t>
      </w:r>
    </w:p>
    <w:p w14:paraId="0731353D" w14:textId="77777777" w:rsidR="00685E72" w:rsidRPr="00C417B6" w:rsidRDefault="00685E72" w:rsidP="00E018A2">
      <w:pPr>
        <w:pStyle w:val="Heading4"/>
      </w:pPr>
      <w:bookmarkStart w:id="19" w:name="_Toc122614219"/>
      <w:bookmarkStart w:id="20" w:name="_Toc230951706"/>
      <w:r w:rsidRPr="00C417B6">
        <w:t>Proposed Scheduling</w:t>
      </w:r>
      <w:bookmarkEnd w:id="19"/>
      <w:bookmarkEnd w:id="20"/>
    </w:p>
    <w:p w14:paraId="56931FDD" w14:textId="4F29C674" w:rsidR="00685E72" w:rsidRPr="00C417B6" w:rsidRDefault="00C94D81" w:rsidP="00E00D81">
      <w:pPr>
        <w:spacing w:before="120" w:line="240" w:lineRule="auto"/>
      </w:pPr>
      <w:r>
        <w:t>Loratadine</w:t>
      </w:r>
      <w:r w:rsidR="00685E72" w:rsidRPr="00C417B6">
        <w:t xml:space="preserve"> is currently listed in Schedules </w:t>
      </w:r>
      <w:r w:rsidR="00173BE5">
        <w:t>4</w:t>
      </w:r>
      <w:r w:rsidR="00685E72" w:rsidRPr="00287ABB">
        <w:t xml:space="preserve"> and </w:t>
      </w:r>
      <w:r w:rsidR="00173BE5">
        <w:t>2</w:t>
      </w:r>
      <w:r w:rsidR="00685E72" w:rsidRPr="00C417B6">
        <w:t xml:space="preserve"> of the Poisons Standard as follows:</w:t>
      </w:r>
    </w:p>
    <w:p w14:paraId="7DE2037F" w14:textId="3DF2AA3D" w:rsidR="006F350B" w:rsidRPr="006F350B" w:rsidRDefault="006F350B" w:rsidP="00E00D81">
      <w:pPr>
        <w:pStyle w:val="PoisonsStandardScheduleEntry"/>
        <w:spacing w:before="120" w:after="120"/>
        <w:ind w:left="284" w:firstLine="0"/>
        <w:rPr>
          <w:rFonts w:ascii="Arial" w:hAnsi="Arial" w:cs="Arial"/>
          <w:b/>
          <w:bCs/>
          <w:sz w:val="20"/>
          <w:szCs w:val="18"/>
        </w:rPr>
      </w:pPr>
      <w:r w:rsidRPr="006F350B">
        <w:rPr>
          <w:rFonts w:ascii="Arial" w:hAnsi="Arial" w:cs="Arial"/>
          <w:b/>
          <w:bCs/>
          <w:sz w:val="20"/>
          <w:szCs w:val="18"/>
        </w:rPr>
        <w:t>Schedule 4</w:t>
      </w:r>
    </w:p>
    <w:p w14:paraId="13B31988" w14:textId="454EDF86" w:rsidR="006F350B" w:rsidRPr="006F350B" w:rsidRDefault="006F350B" w:rsidP="00E00D81">
      <w:pPr>
        <w:pStyle w:val="PoisonsStandardScheduleEntry"/>
        <w:spacing w:before="120" w:after="120"/>
        <w:ind w:firstLine="0"/>
        <w:rPr>
          <w:rFonts w:ascii="Arial" w:hAnsi="Arial" w:cs="Arial"/>
          <w:sz w:val="20"/>
          <w:szCs w:val="18"/>
        </w:rPr>
      </w:pPr>
      <w:r w:rsidRPr="006F350B">
        <w:rPr>
          <w:rFonts w:ascii="Arial" w:hAnsi="Arial" w:cs="Arial"/>
          <w:sz w:val="20"/>
          <w:szCs w:val="18"/>
        </w:rPr>
        <w:t xml:space="preserve">LORATADINE </w:t>
      </w:r>
      <w:r w:rsidRPr="006F350B">
        <w:rPr>
          <w:rFonts w:ascii="Arial" w:hAnsi="Arial" w:cs="Arial"/>
          <w:b/>
          <w:sz w:val="20"/>
          <w:szCs w:val="18"/>
        </w:rPr>
        <w:t>except</w:t>
      </w:r>
      <w:r w:rsidRPr="006F350B">
        <w:rPr>
          <w:rFonts w:ascii="Arial" w:hAnsi="Arial" w:cs="Arial"/>
          <w:sz w:val="20"/>
          <w:szCs w:val="18"/>
        </w:rPr>
        <w:t>:</w:t>
      </w:r>
    </w:p>
    <w:p w14:paraId="58E72B74" w14:textId="77777777" w:rsidR="006F350B" w:rsidRPr="006F350B" w:rsidRDefault="006F350B" w:rsidP="00E00D81">
      <w:pPr>
        <w:pStyle w:val="PoisonsStandardScheduleEntryParagraph"/>
        <w:spacing w:after="120"/>
        <w:ind w:left="1134" w:hanging="425"/>
        <w:rPr>
          <w:rFonts w:ascii="Arial" w:hAnsi="Arial" w:cs="Arial"/>
          <w:sz w:val="20"/>
          <w:szCs w:val="18"/>
        </w:rPr>
      </w:pPr>
      <w:r w:rsidRPr="006F350B">
        <w:rPr>
          <w:rFonts w:ascii="Arial" w:hAnsi="Arial" w:cs="Arial"/>
          <w:sz w:val="20"/>
          <w:szCs w:val="18"/>
        </w:rPr>
        <w:tab/>
        <w:t>(a)</w:t>
      </w:r>
      <w:r w:rsidRPr="006F350B">
        <w:rPr>
          <w:rFonts w:ascii="Arial" w:hAnsi="Arial" w:cs="Arial"/>
          <w:sz w:val="20"/>
          <w:szCs w:val="18"/>
        </w:rPr>
        <w:tab/>
        <w:t>when included in Schedule 2; or</w:t>
      </w:r>
    </w:p>
    <w:p w14:paraId="377AF20F" w14:textId="77777777" w:rsidR="006F350B" w:rsidRPr="006F350B" w:rsidRDefault="006F350B" w:rsidP="00E00D81">
      <w:pPr>
        <w:pStyle w:val="PoisonsStandardScheduleEntryParagraph"/>
        <w:spacing w:after="120"/>
        <w:ind w:left="1134" w:hanging="425"/>
        <w:rPr>
          <w:rFonts w:ascii="Arial" w:hAnsi="Arial" w:cs="Arial"/>
          <w:sz w:val="20"/>
          <w:szCs w:val="18"/>
        </w:rPr>
      </w:pPr>
      <w:r w:rsidRPr="006F350B">
        <w:rPr>
          <w:rFonts w:ascii="Arial" w:hAnsi="Arial" w:cs="Arial"/>
          <w:sz w:val="20"/>
          <w:szCs w:val="18"/>
        </w:rPr>
        <w:tab/>
        <w:t>(b)</w:t>
      </w:r>
      <w:r w:rsidRPr="006F350B">
        <w:rPr>
          <w:rFonts w:ascii="Arial" w:hAnsi="Arial" w:cs="Arial"/>
          <w:sz w:val="20"/>
          <w:szCs w:val="18"/>
        </w:rPr>
        <w:tab/>
        <w:t>in divided preparations for oral use for the treatment of seasonal allergic rhinitis in adults and children 6 years of age and over, when:</w:t>
      </w:r>
    </w:p>
    <w:p w14:paraId="02A4F907" w14:textId="7D5479F5" w:rsidR="00174863" w:rsidRDefault="00112FEC" w:rsidP="00E00D81">
      <w:pPr>
        <w:pStyle w:val="paragraphsub"/>
        <w:tabs>
          <w:tab w:val="clear" w:pos="1985"/>
          <w:tab w:val="right" w:pos="1276"/>
        </w:tabs>
        <w:spacing w:before="120" w:after="120"/>
        <w:ind w:left="1701" w:hanging="425"/>
        <w:rPr>
          <w:rFonts w:ascii="Arial" w:hAnsi="Arial" w:cs="Arial"/>
          <w:sz w:val="20"/>
          <w:szCs w:val="18"/>
        </w:rPr>
      </w:pPr>
      <w:r>
        <w:rPr>
          <w:rStyle w:val="fontstyle01"/>
          <w:rFonts w:ascii="Arial" w:hAnsi="Arial" w:cs="Arial"/>
          <w:sz w:val="20"/>
          <w:szCs w:val="20"/>
        </w:rPr>
        <w:t>(</w:t>
      </w:r>
      <w:proofErr w:type="spellStart"/>
      <w:r>
        <w:rPr>
          <w:rStyle w:val="fontstyle01"/>
          <w:rFonts w:ascii="Arial" w:hAnsi="Arial" w:cs="Arial"/>
          <w:sz w:val="20"/>
          <w:szCs w:val="20"/>
        </w:rPr>
        <w:t>i</w:t>
      </w:r>
      <w:proofErr w:type="spellEnd"/>
      <w:r>
        <w:rPr>
          <w:rStyle w:val="fontstyle01"/>
          <w:rFonts w:ascii="Arial" w:hAnsi="Arial" w:cs="Arial"/>
          <w:sz w:val="20"/>
          <w:szCs w:val="20"/>
        </w:rPr>
        <w:t xml:space="preserve">) </w:t>
      </w:r>
      <w:r>
        <w:rPr>
          <w:rStyle w:val="fontstyle01"/>
          <w:rFonts w:ascii="Arial" w:hAnsi="Arial" w:cs="Arial"/>
          <w:sz w:val="20"/>
          <w:szCs w:val="20"/>
        </w:rPr>
        <w:tab/>
      </w:r>
      <w:r w:rsidR="006F350B" w:rsidRPr="006F350B">
        <w:rPr>
          <w:rFonts w:ascii="Arial" w:hAnsi="Arial" w:cs="Arial"/>
          <w:sz w:val="20"/>
          <w:szCs w:val="18"/>
        </w:rPr>
        <w:t>in a primary pack containing 10 dosage units or less; and</w:t>
      </w:r>
    </w:p>
    <w:p w14:paraId="0DF23147" w14:textId="00853C75" w:rsidR="006F350B" w:rsidRPr="006F350B" w:rsidRDefault="006F350B" w:rsidP="00E00D81">
      <w:pPr>
        <w:pStyle w:val="paragraphsub"/>
        <w:tabs>
          <w:tab w:val="clear" w:pos="1985"/>
          <w:tab w:val="right" w:pos="1276"/>
        </w:tabs>
        <w:spacing w:before="120" w:after="120"/>
        <w:ind w:left="1701" w:hanging="425"/>
        <w:rPr>
          <w:rFonts w:ascii="Arial" w:hAnsi="Arial" w:cs="Arial"/>
          <w:sz w:val="20"/>
          <w:szCs w:val="18"/>
        </w:rPr>
      </w:pPr>
      <w:r w:rsidRPr="006F350B">
        <w:rPr>
          <w:rStyle w:val="fontstyle01"/>
          <w:rFonts w:ascii="Arial" w:hAnsi="Arial" w:cs="Arial"/>
          <w:sz w:val="20"/>
          <w:szCs w:val="20"/>
        </w:rPr>
        <w:t>(ii)</w:t>
      </w:r>
      <w:r w:rsidR="00743F4F">
        <w:rPr>
          <w:rStyle w:val="fontstyle01"/>
          <w:rFonts w:ascii="Arial" w:hAnsi="Arial" w:cs="Arial"/>
          <w:sz w:val="20"/>
          <w:szCs w:val="20"/>
        </w:rPr>
        <w:t xml:space="preserve"> </w:t>
      </w:r>
      <w:r w:rsidRPr="006F350B">
        <w:rPr>
          <w:rStyle w:val="fontstyle01"/>
          <w:rFonts w:ascii="Arial" w:hAnsi="Arial" w:cs="Arial"/>
          <w:sz w:val="20"/>
          <w:szCs w:val="20"/>
        </w:rPr>
        <w:tab/>
      </w:r>
      <w:r w:rsidRPr="006F350B">
        <w:rPr>
          <w:rFonts w:ascii="Arial" w:hAnsi="Arial" w:cs="Arial"/>
          <w:sz w:val="20"/>
          <w:szCs w:val="18"/>
        </w:rPr>
        <w:t>labelled with a recommended daily dose not exceeding 10 mg of loratadine.</w:t>
      </w:r>
    </w:p>
    <w:p w14:paraId="51D1C7C0" w14:textId="54D06F47" w:rsidR="005E6235" w:rsidRPr="00112FEC" w:rsidRDefault="005E6235" w:rsidP="00E00D81">
      <w:pPr>
        <w:pStyle w:val="PoisonsStandardScheduleEntry"/>
        <w:spacing w:before="120" w:after="120"/>
        <w:ind w:left="284" w:firstLine="0"/>
        <w:rPr>
          <w:rFonts w:ascii="Arial" w:hAnsi="Arial" w:cs="Arial"/>
          <w:b/>
          <w:bCs/>
          <w:sz w:val="20"/>
        </w:rPr>
      </w:pPr>
      <w:r w:rsidRPr="00112FEC">
        <w:rPr>
          <w:rFonts w:ascii="Arial" w:hAnsi="Arial" w:cs="Arial"/>
          <w:b/>
          <w:bCs/>
          <w:sz w:val="20"/>
        </w:rPr>
        <w:t>Schedule 2</w:t>
      </w:r>
    </w:p>
    <w:p w14:paraId="5E2CF758" w14:textId="77777777" w:rsidR="005E6235" w:rsidRPr="005E6235" w:rsidRDefault="005E6235" w:rsidP="00E00D81">
      <w:pPr>
        <w:pStyle w:val="PoisonsStandardScheduleEntry"/>
        <w:spacing w:before="120" w:after="120"/>
        <w:ind w:firstLine="0"/>
        <w:rPr>
          <w:rFonts w:ascii="Arial" w:hAnsi="Arial" w:cs="Arial"/>
          <w:sz w:val="20"/>
          <w:szCs w:val="18"/>
        </w:rPr>
      </w:pPr>
      <w:r w:rsidRPr="005E6235">
        <w:rPr>
          <w:rFonts w:ascii="Arial" w:hAnsi="Arial" w:cs="Arial"/>
          <w:sz w:val="20"/>
          <w:szCs w:val="18"/>
        </w:rPr>
        <w:t xml:space="preserve">LORATADINE in preparations for oral use </w:t>
      </w:r>
      <w:r w:rsidRPr="005E6235">
        <w:rPr>
          <w:rFonts w:ascii="Arial" w:hAnsi="Arial" w:cs="Arial"/>
          <w:b/>
          <w:sz w:val="20"/>
          <w:szCs w:val="18"/>
        </w:rPr>
        <w:t>except</w:t>
      </w:r>
      <w:r w:rsidRPr="005E6235">
        <w:rPr>
          <w:rFonts w:ascii="Arial" w:hAnsi="Arial" w:cs="Arial"/>
          <w:sz w:val="20"/>
          <w:szCs w:val="18"/>
        </w:rPr>
        <w:t xml:space="preserve"> in divided preparations for the treatment of seasonal allergic rhinitis when:</w:t>
      </w:r>
    </w:p>
    <w:p w14:paraId="7E19C5EE" w14:textId="77777777" w:rsidR="00FB3825" w:rsidRDefault="005E6235" w:rsidP="00E00D81">
      <w:pPr>
        <w:pStyle w:val="PoisonsStandardScheduleEntryParagraph"/>
        <w:spacing w:after="120"/>
        <w:ind w:left="1134" w:hanging="425"/>
        <w:rPr>
          <w:rFonts w:ascii="Arial" w:hAnsi="Arial" w:cs="Arial"/>
          <w:sz w:val="20"/>
          <w:szCs w:val="18"/>
        </w:rPr>
      </w:pPr>
      <w:r w:rsidRPr="005E6235">
        <w:rPr>
          <w:rFonts w:ascii="Arial" w:hAnsi="Arial" w:cs="Arial"/>
          <w:sz w:val="20"/>
          <w:szCs w:val="18"/>
        </w:rPr>
        <w:tab/>
        <w:t>(a)</w:t>
      </w:r>
      <w:r w:rsidRPr="005E6235">
        <w:rPr>
          <w:rFonts w:ascii="Arial" w:hAnsi="Arial" w:cs="Arial"/>
          <w:sz w:val="20"/>
          <w:szCs w:val="18"/>
        </w:rPr>
        <w:tab/>
        <w:t>in a primary pack containing 10 dosage units or less when labelled for adults and children 6 years and over; and</w:t>
      </w:r>
    </w:p>
    <w:p w14:paraId="40E64D36" w14:textId="2513E8C4" w:rsidR="005E6235" w:rsidRPr="005E6235" w:rsidRDefault="00FB3825" w:rsidP="00E00D81">
      <w:pPr>
        <w:pStyle w:val="PoisonsStandardScheduleEntryParagraph"/>
        <w:spacing w:after="120"/>
        <w:ind w:left="1134" w:hanging="425"/>
        <w:rPr>
          <w:rFonts w:ascii="Arial" w:hAnsi="Arial" w:cs="Arial"/>
          <w:sz w:val="20"/>
          <w:szCs w:val="18"/>
        </w:rPr>
      </w:pPr>
      <w:r>
        <w:rPr>
          <w:rFonts w:ascii="Arial" w:hAnsi="Arial" w:cs="Arial"/>
          <w:sz w:val="20"/>
          <w:szCs w:val="18"/>
        </w:rPr>
        <w:t>(</w:t>
      </w:r>
      <w:r w:rsidR="005E6235" w:rsidRPr="005E6235">
        <w:rPr>
          <w:rFonts w:ascii="Arial" w:hAnsi="Arial" w:cs="Arial"/>
          <w:sz w:val="20"/>
          <w:szCs w:val="18"/>
        </w:rPr>
        <w:t>b)</w:t>
      </w:r>
      <w:r w:rsidR="005E6235" w:rsidRPr="005E6235">
        <w:rPr>
          <w:rFonts w:ascii="Arial" w:hAnsi="Arial" w:cs="Arial"/>
          <w:sz w:val="20"/>
          <w:szCs w:val="18"/>
        </w:rPr>
        <w:tab/>
        <w:t>labelled with a recommended daily dose not exceeding 10 mg of loratadine.</w:t>
      </w:r>
    </w:p>
    <w:p w14:paraId="283506CB" w14:textId="77777777" w:rsidR="006331F8" w:rsidRDefault="006331F8" w:rsidP="00E00D81">
      <w:pPr>
        <w:spacing w:before="120" w:line="240" w:lineRule="auto"/>
        <w:rPr>
          <w:b/>
          <w:bCs/>
        </w:rPr>
      </w:pPr>
      <w:r>
        <w:rPr>
          <w:b/>
          <w:bCs/>
        </w:rPr>
        <w:br w:type="page"/>
      </w:r>
    </w:p>
    <w:p w14:paraId="0CDB5FF6" w14:textId="6D15D06E" w:rsidR="00685E72" w:rsidRPr="00514DE8" w:rsidRDefault="00685E72" w:rsidP="00E00D81">
      <w:pPr>
        <w:spacing w:before="120" w:line="240" w:lineRule="auto"/>
        <w:ind w:left="426"/>
        <w:rPr>
          <w:b/>
          <w:bCs/>
        </w:rPr>
      </w:pPr>
      <w:r w:rsidRPr="00514DE8">
        <w:rPr>
          <w:b/>
          <w:bCs/>
        </w:rPr>
        <w:lastRenderedPageBreak/>
        <w:t>Index</w:t>
      </w:r>
    </w:p>
    <w:p w14:paraId="56FD07B4" w14:textId="4C9CE63F" w:rsidR="00685E72" w:rsidRDefault="003959CD" w:rsidP="00E00D81">
      <w:pPr>
        <w:spacing w:before="120" w:line="240" w:lineRule="auto"/>
        <w:ind w:left="709"/>
      </w:pPr>
      <w:r>
        <w:t>LORATA</w:t>
      </w:r>
      <w:r w:rsidR="00A21D91">
        <w:t>DINE</w:t>
      </w:r>
    </w:p>
    <w:p w14:paraId="441D6C17" w14:textId="5847A8B9" w:rsidR="003316C8" w:rsidRDefault="003316C8" w:rsidP="00E00D81">
      <w:pPr>
        <w:spacing w:before="120" w:line="240" w:lineRule="auto"/>
        <w:ind w:left="709"/>
      </w:pPr>
      <w:r>
        <w:t xml:space="preserve">Schedule </w:t>
      </w:r>
      <w:r w:rsidR="00A21D91">
        <w:t>4</w:t>
      </w:r>
    </w:p>
    <w:p w14:paraId="0E846DE1" w14:textId="4EFE5F18" w:rsidR="00A21D91" w:rsidRPr="00C417B6" w:rsidRDefault="00A21D91" w:rsidP="00E00D81">
      <w:pPr>
        <w:spacing w:before="120" w:line="240" w:lineRule="auto"/>
        <w:ind w:left="709"/>
      </w:pPr>
      <w:r>
        <w:t>Schedule 2</w:t>
      </w:r>
    </w:p>
    <w:p w14:paraId="56800031" w14:textId="6A66AA26" w:rsidR="00DB15F4" w:rsidRDefault="00DB15F4" w:rsidP="00E00D81">
      <w:pPr>
        <w:spacing w:before="120" w:line="240" w:lineRule="auto"/>
      </w:pPr>
      <w:r>
        <w:t>Loratadine is excluded f</w:t>
      </w:r>
      <w:r w:rsidR="00536595">
        <w:t>rom</w:t>
      </w:r>
      <w:r>
        <w:t xml:space="preserve"> </w:t>
      </w:r>
      <w:r w:rsidR="009A6822">
        <w:t xml:space="preserve">the entry for </w:t>
      </w:r>
      <w:r w:rsidR="009A6822" w:rsidRPr="00C24E87">
        <w:rPr>
          <w:rFonts w:cs="Arial"/>
        </w:rPr>
        <w:t>ANTIHISTAMINES</w:t>
      </w:r>
      <w:r w:rsidR="009A6822">
        <w:t xml:space="preserve"> </w:t>
      </w:r>
      <w:r w:rsidR="00946238">
        <w:t>under Appendix</w:t>
      </w:r>
      <w:r w:rsidR="00D35243">
        <w:t xml:space="preserve"> F, Clause 4 (</w:t>
      </w:r>
      <w:r w:rsidR="00D35243" w:rsidRPr="00D35243">
        <w:t>Poisons that must be labelled with warning statements and safety directions</w:t>
      </w:r>
      <w:r w:rsidR="00F80C35">
        <w:t>) i.e. it does not</w:t>
      </w:r>
      <w:r w:rsidR="00946238">
        <w:t xml:space="preserve"> </w:t>
      </w:r>
      <w:r>
        <w:t>requir</w:t>
      </w:r>
      <w:r w:rsidR="00F80C35">
        <w:t xml:space="preserve">e any </w:t>
      </w:r>
      <w:r w:rsidR="00536595" w:rsidRPr="00536595">
        <w:t>warning statements and safety directions</w:t>
      </w:r>
      <w:r w:rsidR="00536595">
        <w:t xml:space="preserve"> </w:t>
      </w:r>
      <w:r w:rsidR="00F80C35">
        <w:t>appli</w:t>
      </w:r>
      <w:r w:rsidR="008638FA">
        <w:t>cable to some other antihistamines.</w:t>
      </w:r>
    </w:p>
    <w:p w14:paraId="19E70896" w14:textId="2D8E7330" w:rsidR="00685E72" w:rsidRPr="00C417B6" w:rsidRDefault="00685E72" w:rsidP="00E00D81">
      <w:pPr>
        <w:spacing w:before="120" w:line="240" w:lineRule="auto"/>
      </w:pPr>
      <w:r w:rsidRPr="009E18EA">
        <w:t>The applicant’s proposed amendments to the Poisons Standard are</w:t>
      </w:r>
      <w:r w:rsidRPr="009E18EA">
        <w:rPr>
          <w:vertAlign w:val="superscript"/>
        </w:rPr>
        <w:footnoteReference w:id="1"/>
      </w:r>
      <w:r w:rsidRPr="009E18EA">
        <w:t>:</w:t>
      </w:r>
    </w:p>
    <w:p w14:paraId="67C44145" w14:textId="77777777" w:rsidR="00911D55" w:rsidRPr="00934A06" w:rsidRDefault="00911D55" w:rsidP="00E00D81">
      <w:pPr>
        <w:pStyle w:val="PoisonsStandardScheduleEntry"/>
        <w:spacing w:before="120" w:after="120"/>
        <w:ind w:left="284" w:firstLine="0"/>
        <w:rPr>
          <w:rFonts w:ascii="Arial" w:hAnsi="Arial" w:cs="Arial"/>
          <w:b/>
          <w:bCs/>
          <w:sz w:val="20"/>
        </w:rPr>
      </w:pPr>
      <w:r w:rsidRPr="00934A06">
        <w:rPr>
          <w:rFonts w:ascii="Arial" w:hAnsi="Arial" w:cs="Arial"/>
          <w:b/>
          <w:bCs/>
          <w:sz w:val="20"/>
        </w:rPr>
        <w:t>Schedule 4 – Amend entry</w:t>
      </w:r>
    </w:p>
    <w:p w14:paraId="6F08EC19" w14:textId="77777777" w:rsidR="00911D55" w:rsidRPr="00934A06" w:rsidRDefault="00911D55" w:rsidP="00E00D81">
      <w:pPr>
        <w:pStyle w:val="PoisonsStandardScheduleEntry"/>
        <w:spacing w:before="120" w:after="120"/>
        <w:ind w:firstLine="0"/>
        <w:rPr>
          <w:rFonts w:ascii="Arial" w:hAnsi="Arial" w:cs="Arial"/>
          <w:sz w:val="20"/>
        </w:rPr>
      </w:pPr>
      <w:r w:rsidRPr="00934A06">
        <w:rPr>
          <w:rFonts w:ascii="Arial" w:hAnsi="Arial" w:cs="Arial"/>
          <w:sz w:val="20"/>
        </w:rPr>
        <w:t xml:space="preserve">LORATADINE </w:t>
      </w:r>
      <w:r w:rsidRPr="00934A06">
        <w:rPr>
          <w:rFonts w:ascii="Arial" w:hAnsi="Arial" w:cs="Arial"/>
          <w:b/>
          <w:bCs/>
          <w:sz w:val="20"/>
        </w:rPr>
        <w:t>except</w:t>
      </w:r>
      <w:r w:rsidRPr="00934A06">
        <w:rPr>
          <w:rFonts w:ascii="Arial" w:hAnsi="Arial" w:cs="Arial"/>
          <w:sz w:val="20"/>
        </w:rPr>
        <w:t>:</w:t>
      </w:r>
    </w:p>
    <w:p w14:paraId="44567AD6" w14:textId="1942AEBC" w:rsidR="00911D55" w:rsidRDefault="006331F8" w:rsidP="00E00D81">
      <w:pPr>
        <w:spacing w:before="120" w:line="240" w:lineRule="auto"/>
        <w:ind w:left="1134" w:hanging="425"/>
      </w:pPr>
      <w:r>
        <w:t>(</w:t>
      </w:r>
      <w:r w:rsidR="00911D55">
        <w:t xml:space="preserve">a) </w:t>
      </w:r>
      <w:r w:rsidR="000023ED">
        <w:tab/>
      </w:r>
      <w:r w:rsidR="00911D55">
        <w:t>when included in Schedule 2; or</w:t>
      </w:r>
    </w:p>
    <w:p w14:paraId="44B3320B" w14:textId="2E3629DB" w:rsidR="00911D55" w:rsidRDefault="006331F8" w:rsidP="00E00D81">
      <w:pPr>
        <w:spacing w:before="120" w:line="240" w:lineRule="auto"/>
        <w:ind w:left="1134" w:hanging="425"/>
      </w:pPr>
      <w:r>
        <w:t>(</w:t>
      </w:r>
      <w:r w:rsidR="00911D55">
        <w:t xml:space="preserve">b) </w:t>
      </w:r>
      <w:r w:rsidR="000023ED">
        <w:tab/>
      </w:r>
      <w:r w:rsidR="00911D55">
        <w:t>in divided preparations for oral use for the treatment of seasonal allergic rhinitis in adults and children 6 years of age and over when:</w:t>
      </w:r>
    </w:p>
    <w:p w14:paraId="2993A2B8" w14:textId="61838BEC" w:rsidR="00911D55" w:rsidRPr="00934A06" w:rsidRDefault="00911D55" w:rsidP="005574F1">
      <w:pPr>
        <w:pStyle w:val="ListParagraph"/>
      </w:pPr>
      <w:r w:rsidRPr="00934A06">
        <w:t xml:space="preserve">in a primary pack containing </w:t>
      </w:r>
      <w:r w:rsidRPr="00934A06">
        <w:rPr>
          <w:strike/>
          <w:color w:val="FF0000"/>
        </w:rPr>
        <w:t>10</w:t>
      </w:r>
      <w:r w:rsidRPr="00934A06">
        <w:rPr>
          <w:color w:val="00B050"/>
          <w:u w:val="single"/>
        </w:rPr>
        <w:t>30</w:t>
      </w:r>
      <w:r w:rsidRPr="00934A06">
        <w:t xml:space="preserve"> dosage units or less; and</w:t>
      </w:r>
    </w:p>
    <w:p w14:paraId="418E4B1F" w14:textId="2FA13E7E" w:rsidR="003A0A51" w:rsidRPr="00934A06" w:rsidRDefault="00911D55" w:rsidP="003033EA">
      <w:pPr>
        <w:pStyle w:val="ListParagraph"/>
      </w:pPr>
      <w:r w:rsidRPr="00934A06">
        <w:t>labelled with a recommended daily dose not exceeding 10 mg of loratadine</w:t>
      </w:r>
      <w:r w:rsidR="006603FC" w:rsidRPr="00934A06">
        <w:t>.</w:t>
      </w:r>
    </w:p>
    <w:p w14:paraId="4F411405" w14:textId="72D9B774" w:rsidR="00685E72" w:rsidRPr="00934A06" w:rsidRDefault="00685E72" w:rsidP="00E00D81">
      <w:pPr>
        <w:pStyle w:val="PoisonsStandardScheduleEntry"/>
        <w:spacing w:before="120" w:after="120"/>
        <w:ind w:left="284" w:firstLine="0"/>
        <w:rPr>
          <w:rFonts w:ascii="Arial" w:hAnsi="Arial" w:cs="Arial"/>
          <w:b/>
          <w:bCs/>
          <w:sz w:val="20"/>
        </w:rPr>
      </w:pPr>
      <w:r w:rsidRPr="00934A06">
        <w:rPr>
          <w:rFonts w:ascii="Arial" w:hAnsi="Arial" w:cs="Arial"/>
          <w:b/>
          <w:bCs/>
          <w:sz w:val="20"/>
        </w:rPr>
        <w:t xml:space="preserve">Schedule </w:t>
      </w:r>
      <w:r w:rsidR="002D0BA4" w:rsidRPr="00934A06">
        <w:rPr>
          <w:rFonts w:ascii="Arial" w:hAnsi="Arial" w:cs="Arial"/>
          <w:b/>
          <w:bCs/>
          <w:sz w:val="20"/>
        </w:rPr>
        <w:t>2</w:t>
      </w:r>
      <w:r w:rsidRPr="00934A06">
        <w:rPr>
          <w:rFonts w:ascii="Arial" w:hAnsi="Arial" w:cs="Arial"/>
          <w:b/>
          <w:bCs/>
          <w:sz w:val="20"/>
        </w:rPr>
        <w:t xml:space="preserve"> – Amend Entry</w:t>
      </w:r>
    </w:p>
    <w:p w14:paraId="39E72AAA" w14:textId="5491AFA1" w:rsidR="00347453" w:rsidRPr="00934A06" w:rsidRDefault="00347453" w:rsidP="00E00D81">
      <w:pPr>
        <w:pStyle w:val="PoisonsStandardScheduleEntry"/>
        <w:spacing w:before="120" w:after="120"/>
        <w:ind w:firstLine="0"/>
        <w:rPr>
          <w:rFonts w:ascii="Arial" w:hAnsi="Arial" w:cs="Arial"/>
          <w:sz w:val="20"/>
        </w:rPr>
      </w:pPr>
      <w:r w:rsidRPr="00934A06">
        <w:rPr>
          <w:rFonts w:ascii="Arial" w:hAnsi="Arial" w:cs="Arial"/>
          <w:sz w:val="20"/>
        </w:rPr>
        <w:t xml:space="preserve">LORATADINE in preparations for oral use </w:t>
      </w:r>
      <w:r w:rsidRPr="00934A06">
        <w:rPr>
          <w:rFonts w:ascii="Arial" w:hAnsi="Arial" w:cs="Arial"/>
          <w:b/>
          <w:bCs/>
          <w:sz w:val="20"/>
        </w:rPr>
        <w:t>except</w:t>
      </w:r>
      <w:r w:rsidRPr="00934A06">
        <w:rPr>
          <w:rFonts w:ascii="Arial" w:hAnsi="Arial" w:cs="Arial"/>
          <w:sz w:val="20"/>
        </w:rPr>
        <w:t xml:space="preserve"> in divided preparations for the treatment of</w:t>
      </w:r>
      <w:r w:rsidR="006603FC" w:rsidRPr="00934A06">
        <w:rPr>
          <w:rFonts w:ascii="Arial" w:hAnsi="Arial" w:cs="Arial"/>
          <w:sz w:val="20"/>
        </w:rPr>
        <w:t xml:space="preserve"> </w:t>
      </w:r>
      <w:r w:rsidRPr="00934A06">
        <w:rPr>
          <w:rFonts w:ascii="Arial" w:hAnsi="Arial" w:cs="Arial"/>
          <w:sz w:val="20"/>
        </w:rPr>
        <w:t>seasonal allergic rhinitis when:</w:t>
      </w:r>
    </w:p>
    <w:p w14:paraId="369A329D" w14:textId="3894EA08" w:rsidR="00966CC8" w:rsidRDefault="00347453" w:rsidP="00E00D81">
      <w:pPr>
        <w:spacing w:before="120" w:line="240" w:lineRule="auto"/>
        <w:ind w:left="1134" w:hanging="414"/>
      </w:pPr>
      <w:r>
        <w:t xml:space="preserve">(a) </w:t>
      </w:r>
      <w:r w:rsidR="00934A06" w:rsidRPr="00934A06">
        <w:rPr>
          <w:rFonts w:cs="Arial"/>
        </w:rPr>
        <w:tab/>
      </w:r>
      <w:r>
        <w:t xml:space="preserve">in a primary pack containing </w:t>
      </w:r>
      <w:r w:rsidR="000F15B3" w:rsidRPr="000F15B3">
        <w:rPr>
          <w:strike/>
          <w:color w:val="FF0000"/>
        </w:rPr>
        <w:t>10</w:t>
      </w:r>
      <w:r w:rsidR="000F15B3" w:rsidRPr="00201FEB">
        <w:rPr>
          <w:color w:val="00B050"/>
          <w:u w:val="single"/>
        </w:rPr>
        <w:t>30</w:t>
      </w:r>
      <w:r>
        <w:t xml:space="preserve"> dosage units or less when labelled for adults and children</w:t>
      </w:r>
      <w:r w:rsidR="00966CC8">
        <w:t xml:space="preserve"> </w:t>
      </w:r>
      <w:r>
        <w:t>6 years and over; and</w:t>
      </w:r>
    </w:p>
    <w:p w14:paraId="09BDCE60" w14:textId="43E3059B" w:rsidR="00347453" w:rsidRDefault="00347453" w:rsidP="00E00D81">
      <w:pPr>
        <w:spacing w:before="120" w:line="240" w:lineRule="auto"/>
        <w:ind w:left="1134" w:hanging="414"/>
      </w:pPr>
      <w:r>
        <w:t xml:space="preserve">(b) </w:t>
      </w:r>
      <w:r w:rsidR="00934A06" w:rsidRPr="00934A06">
        <w:rPr>
          <w:rFonts w:cs="Arial"/>
        </w:rPr>
        <w:tab/>
      </w:r>
      <w:r>
        <w:t>labelled with a recommended daily dose not exceeding 10 mg of loratadine.</w:t>
      </w:r>
    </w:p>
    <w:p w14:paraId="7E38AB64" w14:textId="77777777" w:rsidR="00685E72" w:rsidRPr="00C417B6" w:rsidRDefault="00685E72" w:rsidP="009059E7">
      <w:pPr>
        <w:pStyle w:val="Heading4"/>
      </w:pPr>
      <w:bookmarkStart w:id="21" w:name="_Toc122614220"/>
      <w:bookmarkStart w:id="22" w:name="_Toc230951707"/>
      <w:r w:rsidRPr="00C417B6">
        <w:t>Background</w:t>
      </w:r>
      <w:bookmarkEnd w:id="21"/>
      <w:bookmarkEnd w:id="22"/>
    </w:p>
    <w:p w14:paraId="21884DF1" w14:textId="790BBC85" w:rsidR="005408A4" w:rsidRDefault="00C758A6" w:rsidP="00934A06">
      <w:pPr>
        <w:spacing w:before="120" w:line="240" w:lineRule="auto"/>
      </w:pPr>
      <w:r>
        <w:t>Loratadine is</w:t>
      </w:r>
      <w:r w:rsidR="00F61E72">
        <w:t xml:space="preserve"> a </w:t>
      </w:r>
      <w:r w:rsidR="0065283E">
        <w:t xml:space="preserve">long-acting, non-sedating </w:t>
      </w:r>
      <w:r w:rsidR="00F61E72">
        <w:t>second generation a</w:t>
      </w:r>
      <w:r w:rsidR="007A689E">
        <w:t>ntihistamine</w:t>
      </w:r>
      <w:r w:rsidR="00A11A91">
        <w:t xml:space="preserve">, </w:t>
      </w:r>
      <w:r w:rsidR="00DE0DBC">
        <w:t>used for the treatment of</w:t>
      </w:r>
      <w:r w:rsidR="000A33F9">
        <w:t xml:space="preserve"> both</w:t>
      </w:r>
      <w:r w:rsidR="00DE0DBC">
        <w:t xml:space="preserve"> </w:t>
      </w:r>
      <w:r w:rsidR="000A33F9">
        <w:t xml:space="preserve">perennial and </w:t>
      </w:r>
      <w:r w:rsidR="00DE0DBC">
        <w:t>seasonal</w:t>
      </w:r>
      <w:r w:rsidR="00AF7863">
        <w:t xml:space="preserve"> </w:t>
      </w:r>
      <w:r w:rsidR="00DE0DBC">
        <w:t>allergic rhinitis</w:t>
      </w:r>
      <w:r w:rsidR="002601B4">
        <w:t xml:space="preserve"> (SAR)</w:t>
      </w:r>
      <w:r w:rsidR="00760CDA">
        <w:t xml:space="preserve"> and idiopathic chronic urticaria</w:t>
      </w:r>
      <w:r w:rsidR="00DE0DBC">
        <w:t xml:space="preserve"> in adults and children 6 years of age and over. </w:t>
      </w:r>
      <w:r w:rsidR="005408A4">
        <w:t>SAR</w:t>
      </w:r>
      <w:r w:rsidR="005408A4" w:rsidRPr="002601B4">
        <w:t xml:space="preserve"> affects approximately 1 in 4 Australians</w:t>
      </w:r>
      <w:r w:rsidR="005408A4">
        <w:t>.</w:t>
      </w:r>
      <w:r w:rsidR="005408A4">
        <w:rPr>
          <w:rStyle w:val="FootnoteReference"/>
        </w:rPr>
        <w:footnoteReference w:id="2"/>
      </w:r>
    </w:p>
    <w:p w14:paraId="542840E2" w14:textId="220D943B" w:rsidR="00194949" w:rsidRDefault="005408A4" w:rsidP="00934A06">
      <w:pPr>
        <w:spacing w:before="120" w:line="240" w:lineRule="auto"/>
      </w:pPr>
      <w:r>
        <w:t>S</w:t>
      </w:r>
      <w:r w:rsidR="008326BE" w:rsidRPr="002601B4">
        <w:t>AR is characterised by an increased sensitivity to pollen</w:t>
      </w:r>
      <w:r w:rsidR="008326BE">
        <w:t xml:space="preserve">, which is found in higher quantities in the atmosphere during spring and autumn months. </w:t>
      </w:r>
      <w:r w:rsidR="004145D5">
        <w:t>The po</w:t>
      </w:r>
      <w:r w:rsidR="00827319">
        <w:t>llens</w:t>
      </w:r>
      <w:r w:rsidR="008326BE">
        <w:t xml:space="preserve"> cause degranulation of mast cells </w:t>
      </w:r>
      <w:r w:rsidR="00827319">
        <w:t xml:space="preserve">in the </w:t>
      </w:r>
      <w:r w:rsidR="008326BE">
        <w:t>blood</w:t>
      </w:r>
      <w:r w:rsidR="002D66D1">
        <w:t>,</w:t>
      </w:r>
      <w:r w:rsidR="00827319">
        <w:t xml:space="preserve"> releasing </w:t>
      </w:r>
      <w:r w:rsidR="008326BE">
        <w:t>histamine</w:t>
      </w:r>
      <w:r w:rsidR="00775EB7">
        <w:t xml:space="preserve">. Histamine </w:t>
      </w:r>
      <w:r w:rsidR="007A4875">
        <w:t>binds to cognate rece</w:t>
      </w:r>
      <w:r w:rsidR="007A7B85">
        <w:t xml:space="preserve">ptor </w:t>
      </w:r>
      <w:r w:rsidR="007A4875">
        <w:t>protein</w:t>
      </w:r>
      <w:r w:rsidR="007A7B85">
        <w:t>s</w:t>
      </w:r>
      <w:r w:rsidR="007A4875">
        <w:t xml:space="preserve"> triggering </w:t>
      </w:r>
      <w:r w:rsidR="001313AA" w:rsidRPr="001313AA">
        <w:t>physiological and inflammatory responses</w:t>
      </w:r>
      <w:r w:rsidR="001313AA">
        <w:t xml:space="preserve"> resulting in</w:t>
      </w:r>
      <w:r w:rsidR="008326BE" w:rsidRPr="002601B4">
        <w:t xml:space="preserve"> sneezing, runny nose, itchiness and watery eyes.</w:t>
      </w:r>
    </w:p>
    <w:p w14:paraId="6E9E6C95" w14:textId="5AB9B97B" w:rsidR="00C758A6" w:rsidRDefault="00E642E7" w:rsidP="00934A06">
      <w:pPr>
        <w:spacing w:before="120" w:line="240" w:lineRule="auto"/>
      </w:pPr>
      <w:r>
        <w:t>Lorat</w:t>
      </w:r>
      <w:r w:rsidR="00C713C7">
        <w:t>adine binds to</w:t>
      </w:r>
      <w:r w:rsidR="00426F49">
        <w:t xml:space="preserve"> </w:t>
      </w:r>
      <w:r w:rsidR="006A56B5">
        <w:t xml:space="preserve">histamine </w:t>
      </w:r>
      <w:r w:rsidR="002B72CA">
        <w:t xml:space="preserve">H1 </w:t>
      </w:r>
      <w:r w:rsidR="006A56B5">
        <w:t>receptor</w:t>
      </w:r>
      <w:r w:rsidR="00EB06C6">
        <w:t>s</w:t>
      </w:r>
      <w:r w:rsidR="007A7E4E">
        <w:t xml:space="preserve"> </w:t>
      </w:r>
      <w:r w:rsidR="00F02611">
        <w:t xml:space="preserve">and </w:t>
      </w:r>
      <w:r w:rsidR="005E1D8E">
        <w:t>alleviates</w:t>
      </w:r>
      <w:r w:rsidR="00F02611" w:rsidRPr="00D47F9C">
        <w:t xml:space="preserve"> allergic symptoms</w:t>
      </w:r>
      <w:r w:rsidR="00F02611">
        <w:t xml:space="preserve"> by </w:t>
      </w:r>
      <w:r w:rsidR="00A63DB0">
        <w:t xml:space="preserve">preventing </w:t>
      </w:r>
      <w:r w:rsidR="00B57C7F">
        <w:t>endogenous histamine</w:t>
      </w:r>
      <w:r w:rsidR="006F5666">
        <w:t xml:space="preserve"> </w:t>
      </w:r>
      <w:r w:rsidR="00754CEC">
        <w:t xml:space="preserve">from </w:t>
      </w:r>
      <w:r w:rsidR="00F02611">
        <w:t xml:space="preserve">binding to these </w:t>
      </w:r>
      <w:r w:rsidR="005E1D8E">
        <w:t>receptors</w:t>
      </w:r>
      <w:r w:rsidR="00820D1F">
        <w:t>.</w:t>
      </w:r>
      <w:r w:rsidR="00C713C7">
        <w:t xml:space="preserve"> </w:t>
      </w:r>
      <w:r w:rsidR="00171F17">
        <w:t>Loratadin</w:t>
      </w:r>
      <w:r w:rsidR="001243F0">
        <w:t xml:space="preserve">e elicits little effect on </w:t>
      </w:r>
      <w:r w:rsidR="00C82B7B">
        <w:t>the central nervous system due to its inability to cross the blood-brain barrier.</w:t>
      </w:r>
      <w:r w:rsidR="00ED15C9">
        <w:rPr>
          <w:rStyle w:val="FootnoteReference"/>
        </w:rPr>
        <w:footnoteReference w:id="3"/>
      </w:r>
      <w:r w:rsidR="00C82B7B">
        <w:t xml:space="preserve"> </w:t>
      </w:r>
      <w:r w:rsidR="00AF0ADC">
        <w:t xml:space="preserve">As a result, </w:t>
      </w:r>
      <w:r w:rsidR="00430F94">
        <w:t xml:space="preserve">it does not produce the sedative </w:t>
      </w:r>
      <w:r w:rsidR="006E6C62">
        <w:t xml:space="preserve">and psychomotor effects seen with administration of first-generation antihistamines. </w:t>
      </w:r>
      <w:r w:rsidR="001965F4">
        <w:t xml:space="preserve">This makes it a favourable option for </w:t>
      </w:r>
      <w:r w:rsidR="001666C2">
        <w:t xml:space="preserve">everyday </w:t>
      </w:r>
      <w:r w:rsidR="00BA31A3">
        <w:t xml:space="preserve">or ad-hoc </w:t>
      </w:r>
      <w:r w:rsidR="001666C2">
        <w:t>use.</w:t>
      </w:r>
    </w:p>
    <w:p w14:paraId="57B4386B" w14:textId="442B9BBD" w:rsidR="00C10FA4" w:rsidRPr="00C417B6" w:rsidRDefault="008C4184" w:rsidP="00934A06">
      <w:pPr>
        <w:spacing w:before="120" w:line="240" w:lineRule="auto"/>
      </w:pPr>
      <w:r w:rsidRPr="008C4184">
        <w:t xml:space="preserve">Since </w:t>
      </w:r>
      <w:r w:rsidR="0094423A">
        <w:t>October</w:t>
      </w:r>
      <w:r w:rsidRPr="008C4184">
        <w:t xml:space="preserve"> 2017, 10-packs loratadine for adults and children over 6 years are available for general sale from retails and supermarkets.</w:t>
      </w:r>
      <w:r w:rsidR="00C431EC">
        <w:rPr>
          <w:rStyle w:val="FootnoteReference"/>
        </w:rPr>
        <w:footnoteReference w:id="4"/>
      </w:r>
    </w:p>
    <w:p w14:paraId="23009041" w14:textId="77777777" w:rsidR="00685E72" w:rsidRPr="00C417B6" w:rsidRDefault="00685E72" w:rsidP="009059E7">
      <w:pPr>
        <w:pStyle w:val="Heading4"/>
      </w:pPr>
      <w:bookmarkStart w:id="23" w:name="_Toc122614221"/>
      <w:bookmarkStart w:id="24" w:name="_Toc230951708"/>
      <w:r w:rsidRPr="00C417B6">
        <w:t>Summary of applicant’s reasons for the proposal</w:t>
      </w:r>
      <w:bookmarkEnd w:id="23"/>
      <w:bookmarkEnd w:id="24"/>
    </w:p>
    <w:p w14:paraId="298A2E2F" w14:textId="7DFC568C" w:rsidR="001B5FAD" w:rsidRDefault="005C4B35" w:rsidP="00934A06">
      <w:pPr>
        <w:spacing w:before="120" w:line="240" w:lineRule="auto"/>
      </w:pPr>
      <w:r>
        <w:t xml:space="preserve">The </w:t>
      </w:r>
      <w:r w:rsidR="001F15C9">
        <w:t>applicant</w:t>
      </w:r>
      <w:r w:rsidR="00B44B80">
        <w:t xml:space="preserve"> </w:t>
      </w:r>
      <w:r w:rsidR="00B44B80" w:rsidDel="002755A3">
        <w:t>argues in their proposal</w:t>
      </w:r>
      <w:r w:rsidR="00B44B80">
        <w:t xml:space="preserve"> that </w:t>
      </w:r>
      <w:r w:rsidR="00F107BC">
        <w:t>loratadine</w:t>
      </w:r>
      <w:r w:rsidR="00A643DF">
        <w:t>,</w:t>
      </w:r>
      <w:r w:rsidR="00F107BC" w:rsidDel="00896324">
        <w:t xml:space="preserve"> </w:t>
      </w:r>
      <w:r w:rsidR="00896324">
        <w:t>with its</w:t>
      </w:r>
      <w:r w:rsidR="00F107BC">
        <w:t xml:space="preserve"> </w:t>
      </w:r>
      <w:r w:rsidR="008B6FA8">
        <w:t xml:space="preserve">long history of </w:t>
      </w:r>
      <w:r w:rsidR="00CE62AE">
        <w:t xml:space="preserve">safe </w:t>
      </w:r>
      <w:r w:rsidR="008B6FA8">
        <w:t>use in Australia</w:t>
      </w:r>
      <w:r w:rsidR="000E74BE" w:rsidDel="00CE62AE">
        <w:t xml:space="preserve"> and </w:t>
      </w:r>
      <w:r w:rsidR="00CE3999">
        <w:t xml:space="preserve">well-defined </w:t>
      </w:r>
      <w:r w:rsidR="008F2543">
        <w:t>toxicity</w:t>
      </w:r>
      <w:r w:rsidR="00355645">
        <w:t xml:space="preserve"> profile</w:t>
      </w:r>
      <w:r w:rsidR="0012109A">
        <w:t>,</w:t>
      </w:r>
      <w:r w:rsidR="008777F6">
        <w:t xml:space="preserve"> </w:t>
      </w:r>
      <w:r w:rsidR="00681BF6">
        <w:t>is</w:t>
      </w:r>
      <w:r w:rsidR="008777F6">
        <w:t xml:space="preserve"> </w:t>
      </w:r>
      <w:r w:rsidR="00E56994">
        <w:t>suitable</w:t>
      </w:r>
      <w:r w:rsidR="008777F6">
        <w:t xml:space="preserve"> for </w:t>
      </w:r>
      <w:r w:rsidR="00E56994">
        <w:t>wider availability in non-pharmacy settings</w:t>
      </w:r>
      <w:r w:rsidR="0012109A">
        <w:t xml:space="preserve"> such as super</w:t>
      </w:r>
      <w:r w:rsidR="00EA043A">
        <w:t>markets and convenience stores</w:t>
      </w:r>
      <w:r w:rsidR="00360DD6" w:rsidDel="00F91D42">
        <w:t>.</w:t>
      </w:r>
    </w:p>
    <w:p w14:paraId="5E6E0012" w14:textId="54914520" w:rsidR="00DA1DDC" w:rsidRDefault="00AB7F00" w:rsidP="00934A06">
      <w:pPr>
        <w:spacing w:before="120" w:line="240" w:lineRule="auto"/>
      </w:pPr>
      <w:r>
        <w:lastRenderedPageBreak/>
        <w:t xml:space="preserve">As SAR is </w:t>
      </w:r>
      <w:proofErr w:type="gramStart"/>
      <w:r w:rsidR="00E16F80">
        <w:t>fairly</w:t>
      </w:r>
      <w:r>
        <w:t xml:space="preserve"> common</w:t>
      </w:r>
      <w:proofErr w:type="gramEnd"/>
      <w:r>
        <w:t xml:space="preserve">, </w:t>
      </w:r>
      <w:r w:rsidR="0085785E">
        <w:t>easily self-identifiable and not typically mistaken for a more serious illness</w:t>
      </w:r>
      <w:r w:rsidR="00621EBC">
        <w:t xml:space="preserve">, </w:t>
      </w:r>
      <w:r w:rsidDel="00465A34">
        <w:t xml:space="preserve">the </w:t>
      </w:r>
      <w:r w:rsidR="00137246">
        <w:t>applicant believes</w:t>
      </w:r>
      <w:r w:rsidR="006E1B30">
        <w:t xml:space="preserve"> </w:t>
      </w:r>
      <w:r w:rsidR="006800DE">
        <w:t xml:space="preserve">that </w:t>
      </w:r>
      <w:r w:rsidR="00137246">
        <w:t>increas</w:t>
      </w:r>
      <w:r w:rsidR="00EE6DBE">
        <w:t>ing</w:t>
      </w:r>
      <w:r w:rsidR="00137246">
        <w:t xml:space="preserve"> access to </w:t>
      </w:r>
      <w:r w:rsidR="00025CAC">
        <w:t>loratadine</w:t>
      </w:r>
      <w:r w:rsidR="00125D40">
        <w:t xml:space="preserve">, a medicine </w:t>
      </w:r>
      <w:r w:rsidR="002A70F3">
        <w:t>with favourable safety profile</w:t>
      </w:r>
      <w:r w:rsidR="0008232B">
        <w:t>,</w:t>
      </w:r>
      <w:r w:rsidR="00025CAC">
        <w:t xml:space="preserve"> </w:t>
      </w:r>
      <w:r w:rsidR="0006068C">
        <w:t xml:space="preserve">will provide </w:t>
      </w:r>
      <w:r w:rsidR="00EE6DBE">
        <w:t>public health benefits</w:t>
      </w:r>
      <w:r w:rsidR="00137246">
        <w:t>.</w:t>
      </w:r>
    </w:p>
    <w:p w14:paraId="209BDA43" w14:textId="70FB5375" w:rsidR="005C4B35" w:rsidRDefault="00F90384" w:rsidP="00934A06">
      <w:pPr>
        <w:spacing w:before="120" w:line="240" w:lineRule="auto"/>
      </w:pPr>
      <w:r>
        <w:t>T</w:t>
      </w:r>
      <w:r w:rsidR="00DA1DDC">
        <w:t xml:space="preserve">he applicant </w:t>
      </w:r>
      <w:r>
        <w:t xml:space="preserve">also </w:t>
      </w:r>
      <w:r w:rsidR="00DA1DDC">
        <w:t>suggested that there is a strong preference for higher pack sizes</w:t>
      </w:r>
      <w:r w:rsidR="00B440B6">
        <w:t xml:space="preserve">, with consumers typically seeking </w:t>
      </w:r>
      <w:r w:rsidR="004D6220">
        <w:t>larger quantities of the drug in a single purchase</w:t>
      </w:r>
      <w:r w:rsidR="00896794">
        <w:t>.</w:t>
      </w:r>
      <w:r w:rsidR="00DA1DDC">
        <w:t xml:space="preserve"> </w:t>
      </w:r>
      <w:r w:rsidR="0012275E" w:rsidRPr="0012275E">
        <w:t>The current 10-pack limit on general sale is inconvenient as SAR typically lasts for several weeks at a time.</w:t>
      </w:r>
      <w:r w:rsidR="0038533C">
        <w:t xml:space="preserve"> </w:t>
      </w:r>
      <w:r w:rsidR="0076477D">
        <w:t xml:space="preserve">Furthermore, </w:t>
      </w:r>
      <w:r w:rsidR="001F68F0">
        <w:t xml:space="preserve">shorter </w:t>
      </w:r>
      <w:r w:rsidR="0026727C">
        <w:t xml:space="preserve">pharmacy operating hours present </w:t>
      </w:r>
      <w:r w:rsidR="00176811">
        <w:t xml:space="preserve">a </w:t>
      </w:r>
      <w:r w:rsidR="001F68F0">
        <w:t xml:space="preserve">challenge </w:t>
      </w:r>
      <w:r w:rsidR="00A8052D">
        <w:t>for consumer</w:t>
      </w:r>
      <w:r w:rsidR="00176811">
        <w:t xml:space="preserve"> access</w:t>
      </w:r>
      <w:r w:rsidR="00D4300C">
        <w:t>,</w:t>
      </w:r>
      <w:r w:rsidR="00A8052D">
        <w:t xml:space="preserve"> </w:t>
      </w:r>
      <w:r w:rsidR="00F62FD9">
        <w:t>whereas</w:t>
      </w:r>
      <w:r w:rsidR="00F91E3F">
        <w:t xml:space="preserve"> convenience stores and supermarkets </w:t>
      </w:r>
      <w:r w:rsidR="00BA6F5F">
        <w:t>allow</w:t>
      </w:r>
      <w:r w:rsidR="00BA6F5F" w:rsidDel="00F62FD9">
        <w:t xml:space="preserve"> </w:t>
      </w:r>
      <w:r w:rsidR="00BA6F5F">
        <w:t>consumers better</w:t>
      </w:r>
      <w:r w:rsidR="00EC2882">
        <w:t>, more flexible</w:t>
      </w:r>
      <w:r w:rsidR="00BA6F5F">
        <w:t xml:space="preserve"> </w:t>
      </w:r>
      <w:r w:rsidR="00A723C2">
        <w:t>access</w:t>
      </w:r>
      <w:r w:rsidR="00BA6F5F">
        <w:t xml:space="preserve"> </w:t>
      </w:r>
      <w:r w:rsidR="00A8052D">
        <w:t xml:space="preserve">to </w:t>
      </w:r>
      <w:r w:rsidR="008E6054">
        <w:t xml:space="preserve">the </w:t>
      </w:r>
      <w:r w:rsidR="00A723C2">
        <w:t>medicine</w:t>
      </w:r>
      <w:r w:rsidR="008E6054">
        <w:t>.</w:t>
      </w:r>
    </w:p>
    <w:p w14:paraId="6C1CDF47" w14:textId="6415B7A9" w:rsidR="00ED2D53" w:rsidRPr="005C4B35" w:rsidRDefault="00ED2D53" w:rsidP="00934A06">
      <w:pPr>
        <w:spacing w:before="120" w:line="240" w:lineRule="auto"/>
      </w:pPr>
      <w:r>
        <w:t xml:space="preserve">The applicant also argues that </w:t>
      </w:r>
      <w:r w:rsidR="0024675E">
        <w:t>loratadine is widely available in pack</w:t>
      </w:r>
      <w:r w:rsidR="00AD4E0D">
        <w:t xml:space="preserve">s of </w:t>
      </w:r>
      <w:r w:rsidR="0024675E">
        <w:t>30</w:t>
      </w:r>
      <w:r w:rsidR="00AD4E0D">
        <w:t xml:space="preserve"> dose units</w:t>
      </w:r>
      <w:r w:rsidR="00DC5A69">
        <w:t xml:space="preserve"> (and more)</w:t>
      </w:r>
      <w:r w:rsidR="0024675E">
        <w:t xml:space="preserve"> in non-pharmacy settings </w:t>
      </w:r>
      <w:r w:rsidR="00AD4E0D">
        <w:t>overseas</w:t>
      </w:r>
      <w:r w:rsidR="00D96FCC">
        <w:t>. For example, the United States allows for the sale of up to 365 tablets of loratadine in supermarkets</w:t>
      </w:r>
      <w:r w:rsidR="002B1D3B">
        <w:t xml:space="preserve"> and the United Kingdom </w:t>
      </w:r>
      <w:r w:rsidR="002D4E4A">
        <w:t>has a limit of 30 tablets for sale</w:t>
      </w:r>
      <w:r w:rsidR="001C19AB">
        <w:t>s</w:t>
      </w:r>
      <w:r w:rsidR="002D4E4A">
        <w:t xml:space="preserve"> in non-pharmacy settings</w:t>
      </w:r>
      <w:r w:rsidR="00D96FCC">
        <w:t>.</w:t>
      </w:r>
      <w:r w:rsidR="00890146">
        <w:t xml:space="preserve"> </w:t>
      </w:r>
      <w:r w:rsidR="00FD1EE2">
        <w:t>A</w:t>
      </w:r>
      <w:r w:rsidR="00931E24">
        <w:t>s such, the applicant suggests that a</w:t>
      </w:r>
      <w:r w:rsidR="00FD1EE2">
        <w:t xml:space="preserve">mending the </w:t>
      </w:r>
      <w:r w:rsidR="005574F1">
        <w:t>s</w:t>
      </w:r>
      <w:r w:rsidR="00FD1EE2">
        <w:t xml:space="preserve">cheduling of loratadine would align </w:t>
      </w:r>
      <w:r w:rsidR="00C80F01">
        <w:t xml:space="preserve">Australian regulations </w:t>
      </w:r>
      <w:r w:rsidR="00683693">
        <w:t>with the international ones.</w:t>
      </w:r>
    </w:p>
    <w:p w14:paraId="1F286539" w14:textId="77777777" w:rsidR="00685E72" w:rsidRPr="00C417B6" w:rsidRDefault="00685E72" w:rsidP="009059E7">
      <w:pPr>
        <w:pStyle w:val="Heading4"/>
      </w:pPr>
      <w:bookmarkStart w:id="25" w:name="_Toc122614222"/>
      <w:bookmarkStart w:id="26" w:name="_Toc230951709"/>
      <w:r w:rsidRPr="00C417B6">
        <w:t>Key uses / expected use</w:t>
      </w:r>
      <w:bookmarkEnd w:id="25"/>
      <w:bookmarkEnd w:id="26"/>
    </w:p>
    <w:p w14:paraId="6BC0116C" w14:textId="09F90D25" w:rsidR="00685E72" w:rsidRPr="00C417B6" w:rsidRDefault="00881D66" w:rsidP="00934A06">
      <w:pPr>
        <w:spacing w:before="120" w:line="240" w:lineRule="auto"/>
      </w:pPr>
      <w:r>
        <w:t xml:space="preserve">Loratadine is used for the treatment of </w:t>
      </w:r>
      <w:r w:rsidR="00175FDB">
        <w:t>SAR</w:t>
      </w:r>
      <w:r>
        <w:t xml:space="preserve"> in adults and children.</w:t>
      </w:r>
    </w:p>
    <w:p w14:paraId="426954A5" w14:textId="77777777" w:rsidR="00685E72" w:rsidRPr="00C417B6" w:rsidRDefault="00685E72" w:rsidP="009059E7">
      <w:pPr>
        <w:pStyle w:val="Heading4"/>
      </w:pPr>
      <w:bookmarkStart w:id="27" w:name="_Toc122614223"/>
      <w:bookmarkStart w:id="28" w:name="_Toc230951710"/>
      <w:r w:rsidRPr="00C417B6">
        <w:t>Australian regulations</w:t>
      </w:r>
      <w:bookmarkEnd w:id="27"/>
      <w:bookmarkEnd w:id="28"/>
    </w:p>
    <w:p w14:paraId="5DE113E2" w14:textId="44EAA0C6" w:rsidR="00685E72" w:rsidRDefault="00685E72" w:rsidP="00934A06">
      <w:pPr>
        <w:pStyle w:val="ListBullet"/>
      </w:pPr>
      <w:r w:rsidRPr="00C417B6">
        <w:t xml:space="preserve">According to the </w:t>
      </w:r>
      <w:hyperlink r:id="rId26" w:history="1">
        <w:r w:rsidRPr="00C417B6">
          <w:rPr>
            <w:rStyle w:val="Hyperlink"/>
          </w:rPr>
          <w:t>TGA Ingredient Database</w:t>
        </w:r>
      </w:hyperlink>
      <w:r w:rsidRPr="00C417B6">
        <w:t xml:space="preserve">, </w:t>
      </w:r>
      <w:r w:rsidR="00C8308D">
        <w:t>loratadine</w:t>
      </w:r>
      <w:r w:rsidRPr="00C417B6">
        <w:t xml:space="preserve"> is</w:t>
      </w:r>
      <w:r w:rsidR="000B20AB">
        <w:t xml:space="preserve"> </w:t>
      </w:r>
      <w:r w:rsidR="000B20AB" w:rsidRPr="00C417B6">
        <w:t>available for use as an active ingredient in: Biologicals, Export Only, Over the Counter and Prescription Medicines</w:t>
      </w:r>
      <w:r w:rsidR="000621E7">
        <w:t>.</w:t>
      </w:r>
      <w:r w:rsidR="0019285D">
        <w:t xml:space="preserve"> It is available for use as an excipient ingredient </w:t>
      </w:r>
      <w:r w:rsidR="003C312E">
        <w:t xml:space="preserve">in Biologicals, Devices and Prescription Medicines. It is not available as an equivalent </w:t>
      </w:r>
      <w:r w:rsidR="009C6590">
        <w:t>ingredient in any application.</w:t>
      </w:r>
    </w:p>
    <w:p w14:paraId="547EA7F6" w14:textId="13248F47" w:rsidR="00685E72" w:rsidRDefault="00685E72" w:rsidP="00934A06">
      <w:pPr>
        <w:pStyle w:val="ListBullet"/>
      </w:pPr>
      <w:r w:rsidRPr="00C417B6">
        <w:t xml:space="preserve">As of </w:t>
      </w:r>
      <w:r w:rsidR="0065437C">
        <w:t>11 May 2026</w:t>
      </w:r>
      <w:r w:rsidRPr="00C417B6">
        <w:t>, there were</w:t>
      </w:r>
      <w:r w:rsidR="0065437C">
        <w:t xml:space="preserve"> 64</w:t>
      </w:r>
      <w:r w:rsidRPr="00C417B6">
        <w:t xml:space="preserve"> medicines currently active on the </w:t>
      </w:r>
      <w:hyperlink r:id="rId27" w:history="1">
        <w:r w:rsidRPr="00C417B6">
          <w:rPr>
            <w:rStyle w:val="Hyperlink"/>
          </w:rPr>
          <w:t>Australian Register of Therapeutic Goods (ARTG)</w:t>
        </w:r>
      </w:hyperlink>
      <w:r w:rsidRPr="00C417B6">
        <w:t xml:space="preserve"> that contain </w:t>
      </w:r>
      <w:r w:rsidR="003041CC">
        <w:t>loratadine</w:t>
      </w:r>
      <w:r w:rsidRPr="00C417B6">
        <w:t xml:space="preserve"> as an active ingredient. The</w:t>
      </w:r>
      <w:r w:rsidR="005574F1">
        <w:t>y are all</w:t>
      </w:r>
      <w:r w:rsidRPr="00C417B6">
        <w:t xml:space="preserve"> non-prescription medicines.</w:t>
      </w:r>
    </w:p>
    <w:p w14:paraId="19FE71CB" w14:textId="3033C2D6" w:rsidR="00685E72" w:rsidRPr="00C417B6" w:rsidRDefault="007E1364" w:rsidP="00934A06">
      <w:pPr>
        <w:pStyle w:val="ListBullet"/>
      </w:pPr>
      <w:bookmarkStart w:id="29" w:name="_Hlk216961435"/>
      <w:r>
        <w:t>Loratadine</w:t>
      </w:r>
      <w:r w:rsidR="00685E72" w:rsidRPr="00C417B6">
        <w:t xml:space="preserve"> </w:t>
      </w:r>
      <w:bookmarkEnd w:id="29"/>
      <w:r w:rsidR="00685E72" w:rsidRPr="00C417B6">
        <w:t xml:space="preserve">is not permitted to be included in listed medicines as it is not included in the </w:t>
      </w:r>
      <w:hyperlink r:id="rId28" w:history="1">
        <w:r w:rsidR="00685E72" w:rsidRPr="00C417B6">
          <w:rPr>
            <w:rStyle w:val="Hyperlink"/>
          </w:rPr>
          <w:t>Therapeutic Goods (Permissible Ingredients) Determination</w:t>
        </w:r>
      </w:hyperlink>
      <w:r w:rsidR="00685E72" w:rsidRPr="00C417B6">
        <w:t xml:space="preserve"> No.</w:t>
      </w:r>
      <w:r w:rsidR="00367C46">
        <w:t xml:space="preserve"> </w:t>
      </w:r>
      <w:r>
        <w:t>1</w:t>
      </w:r>
      <w:r w:rsidR="00685E72" w:rsidRPr="00C417B6">
        <w:t xml:space="preserve"> of 20</w:t>
      </w:r>
      <w:r>
        <w:t>26</w:t>
      </w:r>
      <w:r w:rsidR="00685E72" w:rsidRPr="00C417B6">
        <w:t>.</w:t>
      </w:r>
    </w:p>
    <w:p w14:paraId="176AAA64" w14:textId="064866A4" w:rsidR="00685E72" w:rsidRDefault="00685E72" w:rsidP="00934A06">
      <w:pPr>
        <w:pStyle w:val="ListBullet"/>
      </w:pPr>
      <w:r w:rsidRPr="00C417B6">
        <w:t xml:space="preserve">The </w:t>
      </w:r>
      <w:hyperlink r:id="rId29" w:history="1">
        <w:r w:rsidRPr="00C417B6">
          <w:rPr>
            <w:rStyle w:val="Hyperlink"/>
          </w:rPr>
          <w:t>TGA prescribing medicines in pregnancy database</w:t>
        </w:r>
      </w:hyperlink>
      <w:r w:rsidRPr="00C417B6">
        <w:t xml:space="preserve"> classifies </w:t>
      </w:r>
      <w:r w:rsidR="00D667A1">
        <w:t>loratadine</w:t>
      </w:r>
      <w:r w:rsidRPr="00C417B6">
        <w:t xml:space="preserve"> as:</w:t>
      </w:r>
    </w:p>
    <w:tbl>
      <w:tblPr>
        <w:tblStyle w:val="TableTGAblue2023"/>
        <w:tblW w:w="9067" w:type="dxa"/>
        <w:tblLayout w:type="fixed"/>
        <w:tblLook w:val="04A0" w:firstRow="1" w:lastRow="0" w:firstColumn="1" w:lastColumn="0" w:noHBand="0" w:noVBand="1"/>
      </w:tblPr>
      <w:tblGrid>
        <w:gridCol w:w="1838"/>
        <w:gridCol w:w="1559"/>
        <w:gridCol w:w="2079"/>
        <w:gridCol w:w="1795"/>
        <w:gridCol w:w="1796"/>
      </w:tblGrid>
      <w:tr w:rsidR="000B20AB" w14:paraId="5113488A" w14:textId="77777777" w:rsidTr="001D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B4C6E7" w:themeFill="accent1" w:themeFillTint="66"/>
          </w:tcPr>
          <w:p w14:paraId="72177C84" w14:textId="77777777" w:rsidR="000B20AB" w:rsidRDefault="000B20AB" w:rsidP="00D878B1">
            <w:r>
              <w:t>Drug name</w:t>
            </w:r>
          </w:p>
        </w:tc>
        <w:tc>
          <w:tcPr>
            <w:tcW w:w="1559" w:type="dxa"/>
            <w:shd w:val="clear" w:color="auto" w:fill="B4C6E7" w:themeFill="accent1" w:themeFillTint="66"/>
          </w:tcPr>
          <w:p w14:paraId="0A10CB05" w14:textId="77777777" w:rsidR="000B20AB" w:rsidRDefault="000B20AB" w:rsidP="00D878B1">
            <w:pPr>
              <w:cnfStyle w:val="100000000000" w:firstRow="1" w:lastRow="0" w:firstColumn="0" w:lastColumn="0" w:oddVBand="0" w:evenVBand="0" w:oddHBand="0" w:evenHBand="0" w:firstRowFirstColumn="0" w:firstRowLastColumn="0" w:lastRowFirstColumn="0" w:lastRowLastColumn="0"/>
            </w:pPr>
            <w:r w:rsidRPr="00C417B6">
              <w:t>Category</w:t>
            </w:r>
          </w:p>
        </w:tc>
        <w:tc>
          <w:tcPr>
            <w:tcW w:w="2079" w:type="dxa"/>
            <w:shd w:val="clear" w:color="auto" w:fill="B4C6E7" w:themeFill="accent1" w:themeFillTint="66"/>
          </w:tcPr>
          <w:p w14:paraId="4149240E" w14:textId="77777777" w:rsidR="000B20AB" w:rsidRDefault="000B20AB" w:rsidP="00D878B1">
            <w:pPr>
              <w:cnfStyle w:val="100000000000" w:firstRow="1" w:lastRow="0" w:firstColumn="0" w:lastColumn="0" w:oddVBand="0" w:evenVBand="0" w:oddHBand="0" w:evenHBand="0" w:firstRowFirstColumn="0" w:firstRowLastColumn="0" w:lastRowFirstColumn="0" w:lastRowLastColumn="0"/>
            </w:pPr>
            <w:r w:rsidRPr="00C417B6">
              <w:t>Classification Level 1</w:t>
            </w:r>
          </w:p>
        </w:tc>
        <w:tc>
          <w:tcPr>
            <w:tcW w:w="1795" w:type="dxa"/>
            <w:shd w:val="clear" w:color="auto" w:fill="B4C6E7" w:themeFill="accent1" w:themeFillTint="66"/>
          </w:tcPr>
          <w:p w14:paraId="2DF9117E" w14:textId="77777777" w:rsidR="000B20AB" w:rsidRDefault="000B20AB" w:rsidP="00D878B1">
            <w:pPr>
              <w:cnfStyle w:val="100000000000" w:firstRow="1" w:lastRow="0" w:firstColumn="0" w:lastColumn="0" w:oddVBand="0" w:evenVBand="0" w:oddHBand="0" w:evenHBand="0" w:firstRowFirstColumn="0" w:firstRowLastColumn="0" w:lastRowFirstColumn="0" w:lastRowLastColumn="0"/>
            </w:pPr>
            <w:r w:rsidRPr="00C417B6">
              <w:t xml:space="preserve">Classification Level </w:t>
            </w:r>
            <w:r>
              <w:t>2</w:t>
            </w:r>
          </w:p>
        </w:tc>
        <w:tc>
          <w:tcPr>
            <w:tcW w:w="1796" w:type="dxa"/>
            <w:shd w:val="clear" w:color="auto" w:fill="B4C6E7" w:themeFill="accent1" w:themeFillTint="66"/>
          </w:tcPr>
          <w:p w14:paraId="4720D189" w14:textId="77777777" w:rsidR="000B20AB" w:rsidRDefault="000B20AB" w:rsidP="00D878B1">
            <w:pPr>
              <w:cnfStyle w:val="100000000000" w:firstRow="1" w:lastRow="0" w:firstColumn="0" w:lastColumn="0" w:oddVBand="0" w:evenVBand="0" w:oddHBand="0" w:evenHBand="0" w:firstRowFirstColumn="0" w:firstRowLastColumn="0" w:lastRowFirstColumn="0" w:lastRowLastColumn="0"/>
            </w:pPr>
            <w:r w:rsidRPr="00C417B6">
              <w:t xml:space="preserve">Classification Level </w:t>
            </w:r>
            <w:r w:rsidR="00DD2783">
              <w:t>3</w:t>
            </w:r>
          </w:p>
        </w:tc>
      </w:tr>
      <w:tr w:rsidR="000B20AB" w14:paraId="7C0FA8F7" w14:textId="77777777" w:rsidTr="00A472E6">
        <w:tc>
          <w:tcPr>
            <w:cnfStyle w:val="001000000000" w:firstRow="0" w:lastRow="0" w:firstColumn="1" w:lastColumn="0" w:oddVBand="0" w:evenVBand="0" w:oddHBand="0" w:evenHBand="0" w:firstRowFirstColumn="0" w:firstRowLastColumn="0" w:lastRowFirstColumn="0" w:lastRowLastColumn="0"/>
            <w:tcW w:w="1838" w:type="dxa"/>
          </w:tcPr>
          <w:p w14:paraId="6BD2B2D1" w14:textId="6E83A646" w:rsidR="000B20AB" w:rsidRDefault="00A45EF9" w:rsidP="008B3AFC">
            <w:pPr>
              <w:spacing w:before="120" w:after="120" w:line="240" w:lineRule="auto"/>
            </w:pPr>
            <w:r>
              <w:t>Loratadine</w:t>
            </w:r>
          </w:p>
        </w:tc>
        <w:tc>
          <w:tcPr>
            <w:tcW w:w="1559" w:type="dxa"/>
          </w:tcPr>
          <w:p w14:paraId="0D22F038" w14:textId="2DBD3A35" w:rsidR="000B20AB" w:rsidRDefault="00A472E6" w:rsidP="008B3AFC">
            <w:pPr>
              <w:spacing w:before="120" w:after="120" w:line="240" w:lineRule="auto"/>
              <w:cnfStyle w:val="000000000000" w:firstRow="0" w:lastRow="0" w:firstColumn="0" w:lastColumn="0" w:oddVBand="0" w:evenVBand="0" w:oddHBand="0" w:evenHBand="0" w:firstRowFirstColumn="0" w:firstRowLastColumn="0" w:lastRowFirstColumn="0" w:lastRowLastColumn="0"/>
            </w:pPr>
            <w:r>
              <w:t>B1</w:t>
            </w:r>
          </w:p>
        </w:tc>
        <w:tc>
          <w:tcPr>
            <w:tcW w:w="2079" w:type="dxa"/>
          </w:tcPr>
          <w:p w14:paraId="1066443A" w14:textId="67147935" w:rsidR="000B20AB" w:rsidRDefault="00A472E6" w:rsidP="008B3AFC">
            <w:pPr>
              <w:spacing w:before="120" w:after="120" w:line="240" w:lineRule="auto"/>
              <w:cnfStyle w:val="000000000000" w:firstRow="0" w:lastRow="0" w:firstColumn="0" w:lastColumn="0" w:oddVBand="0" w:evenVBand="0" w:oddHBand="0" w:evenHBand="0" w:firstRowFirstColumn="0" w:firstRowLastColumn="0" w:lastRowFirstColumn="0" w:lastRowLastColumn="0"/>
            </w:pPr>
            <w:r>
              <w:t>Allergy and Immune System</w:t>
            </w:r>
          </w:p>
        </w:tc>
        <w:tc>
          <w:tcPr>
            <w:tcW w:w="1795" w:type="dxa"/>
          </w:tcPr>
          <w:p w14:paraId="3E541B2B" w14:textId="0C36AA91" w:rsidR="000B20AB" w:rsidRDefault="00A472E6" w:rsidP="008B3AFC">
            <w:pPr>
              <w:spacing w:before="120" w:after="120" w:line="240" w:lineRule="auto"/>
              <w:cnfStyle w:val="000000000000" w:firstRow="0" w:lastRow="0" w:firstColumn="0" w:lastColumn="0" w:oddVBand="0" w:evenVBand="0" w:oddHBand="0" w:evenHBand="0" w:firstRowFirstColumn="0" w:firstRowLastColumn="0" w:lastRowFirstColumn="0" w:lastRowLastColumn="0"/>
            </w:pPr>
            <w:r>
              <w:t>Antihistamines</w:t>
            </w:r>
          </w:p>
        </w:tc>
        <w:tc>
          <w:tcPr>
            <w:tcW w:w="1796" w:type="dxa"/>
          </w:tcPr>
          <w:p w14:paraId="3BA32001" w14:textId="3D096A81" w:rsidR="000B20AB" w:rsidRDefault="003E6D54" w:rsidP="008B3AFC">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3E6D54">
              <w:rPr>
                <w:rFonts w:cs="Arial"/>
                <w:sz w:val="20"/>
                <w:szCs w:val="20"/>
              </w:rPr>
              <w:t>–</w:t>
            </w:r>
          </w:p>
        </w:tc>
      </w:tr>
      <w:tr w:rsidR="000B20AB" w14:paraId="5FB783C5" w14:textId="77777777" w:rsidTr="00D878B1">
        <w:tc>
          <w:tcPr>
            <w:cnfStyle w:val="001000000000" w:firstRow="0" w:lastRow="0" w:firstColumn="1" w:lastColumn="0" w:oddVBand="0" w:evenVBand="0" w:oddHBand="0" w:evenHBand="0" w:firstRowFirstColumn="0" w:firstRowLastColumn="0" w:lastRowFirstColumn="0" w:lastRowLastColumn="0"/>
            <w:tcW w:w="9067" w:type="dxa"/>
            <w:gridSpan w:val="5"/>
          </w:tcPr>
          <w:p w14:paraId="385A1EFC" w14:textId="77777777" w:rsidR="000B20AB" w:rsidRPr="0039205F" w:rsidRDefault="000B20AB" w:rsidP="008B3AFC">
            <w:pPr>
              <w:spacing w:before="120" w:after="120" w:line="240" w:lineRule="auto"/>
              <w:rPr>
                <w:szCs w:val="18"/>
              </w:rPr>
            </w:pPr>
            <w:r w:rsidRPr="0039205F">
              <w:rPr>
                <w:szCs w:val="18"/>
              </w:rPr>
              <w:t>Category B1 – Drugs which have been taken by only a limited number of pregnant women and women of childbearing age, without an increase in the frequency of malformation or other direct or indirect harmful effects on the human foetus having been observed.</w:t>
            </w:r>
          </w:p>
          <w:p w14:paraId="2BF48C4F" w14:textId="769FF782" w:rsidR="000B20AB" w:rsidRPr="00A45EF9" w:rsidRDefault="000B20AB" w:rsidP="008B3AFC">
            <w:pPr>
              <w:spacing w:before="120" w:after="120" w:line="240" w:lineRule="auto"/>
              <w:rPr>
                <w:szCs w:val="18"/>
              </w:rPr>
            </w:pPr>
            <w:r w:rsidRPr="0039205F">
              <w:rPr>
                <w:szCs w:val="18"/>
              </w:rPr>
              <w:t>Studies in animals have not shown evidence of an increased occurrence of foetal damage.</w:t>
            </w:r>
          </w:p>
        </w:tc>
      </w:tr>
    </w:tbl>
    <w:p w14:paraId="1E470AF0" w14:textId="351F9CCA" w:rsidR="00685E72" w:rsidRDefault="00685E72" w:rsidP="00934A06">
      <w:pPr>
        <w:pStyle w:val="ListBullet"/>
      </w:pPr>
      <w:r w:rsidRPr="00C417B6">
        <w:t xml:space="preserve">The </w:t>
      </w:r>
      <w:hyperlink r:id="rId30" w:history="1">
        <w:r w:rsidRPr="00C417B6">
          <w:rPr>
            <w:rStyle w:val="Hyperlink"/>
          </w:rPr>
          <w:t>Therapeutic Goods (Medicines Advisory Statements) Specification 2021</w:t>
        </w:r>
      </w:hyperlink>
      <w:r w:rsidRPr="00C417B6">
        <w:t xml:space="preserve"> requires the following warning statements pertaining to </w:t>
      </w:r>
      <w:r w:rsidR="00A24BF1">
        <w:t>loratadine</w:t>
      </w:r>
      <w:r w:rsidRPr="00C417B6">
        <w:t xml:space="preserve"> to be included on the labelling:</w:t>
      </w:r>
    </w:p>
    <w:tbl>
      <w:tblPr>
        <w:tblStyle w:val="TableTGAblue2023"/>
        <w:tblW w:w="0" w:type="auto"/>
        <w:tblLook w:val="04A0" w:firstRow="1" w:lastRow="0" w:firstColumn="1" w:lastColumn="0" w:noHBand="0" w:noVBand="1"/>
      </w:tblPr>
      <w:tblGrid>
        <w:gridCol w:w="2122"/>
        <w:gridCol w:w="2835"/>
        <w:gridCol w:w="4103"/>
      </w:tblGrid>
      <w:tr w:rsidR="000621E7" w14:paraId="3E8DD4B6" w14:textId="77777777" w:rsidTr="001D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B4C6E7" w:themeFill="accent1" w:themeFillTint="66"/>
          </w:tcPr>
          <w:p w14:paraId="267B6205" w14:textId="77777777" w:rsidR="000621E7" w:rsidRDefault="000621E7" w:rsidP="008B3AFC">
            <w:pPr>
              <w:spacing w:before="120" w:after="120" w:line="240" w:lineRule="auto"/>
            </w:pPr>
            <w:r>
              <w:t>Substance</w:t>
            </w:r>
          </w:p>
        </w:tc>
        <w:tc>
          <w:tcPr>
            <w:tcW w:w="2835" w:type="dxa"/>
            <w:shd w:val="clear" w:color="auto" w:fill="B4C6E7" w:themeFill="accent1" w:themeFillTint="66"/>
          </w:tcPr>
          <w:p w14:paraId="666C2292" w14:textId="77777777" w:rsidR="000621E7" w:rsidRDefault="000621E7" w:rsidP="008B3AFC">
            <w:pPr>
              <w:spacing w:before="120" w:after="120" w:line="240" w:lineRule="auto"/>
              <w:cnfStyle w:val="100000000000" w:firstRow="1" w:lastRow="0" w:firstColumn="0" w:lastColumn="0" w:oddVBand="0" w:evenVBand="0" w:oddHBand="0" w:evenHBand="0" w:firstRowFirstColumn="0" w:firstRowLastColumn="0" w:lastRowFirstColumn="0" w:lastRowLastColumn="0"/>
            </w:pPr>
            <w:r>
              <w:t>Conditions</w:t>
            </w:r>
          </w:p>
        </w:tc>
        <w:tc>
          <w:tcPr>
            <w:tcW w:w="4103" w:type="dxa"/>
            <w:shd w:val="clear" w:color="auto" w:fill="B4C6E7" w:themeFill="accent1" w:themeFillTint="66"/>
          </w:tcPr>
          <w:p w14:paraId="5D772330" w14:textId="77777777" w:rsidR="000621E7" w:rsidRDefault="000621E7" w:rsidP="008B3AFC">
            <w:pPr>
              <w:spacing w:before="120" w:after="120" w:line="240" w:lineRule="auto"/>
              <w:cnfStyle w:val="100000000000" w:firstRow="1" w:lastRow="0" w:firstColumn="0" w:lastColumn="0" w:oddVBand="0" w:evenVBand="0" w:oddHBand="0" w:evenHBand="0" w:firstRowFirstColumn="0" w:firstRowLastColumn="0" w:lastRowFirstColumn="0" w:lastRowLastColumn="0"/>
            </w:pPr>
            <w:r>
              <w:t>Required statements</w:t>
            </w:r>
          </w:p>
        </w:tc>
      </w:tr>
      <w:tr w:rsidR="000621E7" w14:paraId="2E297070" w14:textId="77777777" w:rsidTr="007D69B3">
        <w:tc>
          <w:tcPr>
            <w:cnfStyle w:val="001000000000" w:firstRow="0" w:lastRow="0" w:firstColumn="1" w:lastColumn="0" w:oddVBand="0" w:evenVBand="0" w:oddHBand="0" w:evenHBand="0" w:firstRowFirstColumn="0" w:firstRowLastColumn="0" w:lastRowFirstColumn="0" w:lastRowLastColumn="0"/>
            <w:tcW w:w="2122" w:type="dxa"/>
          </w:tcPr>
          <w:p w14:paraId="62260FA6" w14:textId="18F48EE2" w:rsidR="000621E7" w:rsidRPr="003E6D54" w:rsidRDefault="009301C6" w:rsidP="003E6D54">
            <w:pPr>
              <w:spacing w:before="120" w:after="120" w:line="240" w:lineRule="auto"/>
              <w:rPr>
                <w:sz w:val="20"/>
                <w:szCs w:val="20"/>
              </w:rPr>
            </w:pPr>
            <w:r w:rsidRPr="003E6D54">
              <w:rPr>
                <w:sz w:val="20"/>
                <w:szCs w:val="20"/>
              </w:rPr>
              <w:t>Loratadine</w:t>
            </w:r>
          </w:p>
        </w:tc>
        <w:tc>
          <w:tcPr>
            <w:tcW w:w="2835" w:type="dxa"/>
          </w:tcPr>
          <w:p w14:paraId="693342B9" w14:textId="55337697" w:rsidR="000621E7" w:rsidRPr="003E6D54" w:rsidRDefault="009301C6"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In medicines for oral use</w:t>
            </w:r>
          </w:p>
        </w:tc>
        <w:tc>
          <w:tcPr>
            <w:tcW w:w="4103" w:type="dxa"/>
          </w:tcPr>
          <w:p w14:paraId="6E9390DD" w14:textId="2EA66131" w:rsidR="000621E7" w:rsidRPr="003E6D54" w:rsidRDefault="00FC6F21" w:rsidP="003E6D54">
            <w:pPr>
              <w:spacing w:before="120" w:after="120" w:line="240" w:lineRule="auto"/>
              <w:ind w:left="36"/>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 xml:space="preserve">If you are pregnant or breastfeeding, check with your </w:t>
            </w:r>
            <w:r w:rsidR="00B62B54" w:rsidRPr="003E6D54">
              <w:rPr>
                <w:sz w:val="20"/>
                <w:szCs w:val="20"/>
              </w:rPr>
              <w:t>doctor or pharmacist before using this medicine.</w:t>
            </w:r>
          </w:p>
        </w:tc>
      </w:tr>
    </w:tbl>
    <w:p w14:paraId="4C5B9B34" w14:textId="74D1A454" w:rsidR="00685E72" w:rsidRPr="00C417B6" w:rsidRDefault="000E2302" w:rsidP="008B3AFC">
      <w:pPr>
        <w:pStyle w:val="ListBullet"/>
      </w:pPr>
      <w:r>
        <w:t>Between 1 January 2016 and</w:t>
      </w:r>
      <w:r w:rsidR="003C560F">
        <w:t xml:space="preserve"> </w:t>
      </w:r>
      <w:r w:rsidR="00DD0776">
        <w:t>24</w:t>
      </w:r>
      <w:r w:rsidR="0095737F">
        <w:t xml:space="preserve"> April </w:t>
      </w:r>
      <w:r w:rsidR="00DD0776">
        <w:t>2026</w:t>
      </w:r>
      <w:r w:rsidR="00685E72" w:rsidRPr="00C417B6">
        <w:t>, there were</w:t>
      </w:r>
      <w:r w:rsidR="00DD0776">
        <w:t xml:space="preserve"> 120 </w:t>
      </w:r>
      <w:r w:rsidR="00685E72" w:rsidRPr="00C417B6">
        <w:t xml:space="preserve">reports of adverse events for products containing </w:t>
      </w:r>
      <w:r w:rsidR="00DD0776">
        <w:t>loratadine</w:t>
      </w:r>
      <w:r w:rsidR="00685E72" w:rsidRPr="00C417B6">
        <w:t xml:space="preserve"> as an active ingredient on the </w:t>
      </w:r>
      <w:hyperlink r:id="rId31" w:history="1">
        <w:r w:rsidR="00685E72" w:rsidRPr="00C417B6">
          <w:rPr>
            <w:rStyle w:val="Hyperlink"/>
          </w:rPr>
          <w:t>Database of Adverse Event Notifications (DAEN)</w:t>
        </w:r>
      </w:hyperlink>
      <w:r w:rsidR="00685E72" w:rsidRPr="00C417B6">
        <w:t xml:space="preserve">, with </w:t>
      </w:r>
      <w:r w:rsidR="002F56B3">
        <w:t>45</w:t>
      </w:r>
      <w:r w:rsidR="00685E72" w:rsidRPr="00C417B6">
        <w:t xml:space="preserve"> reports where </w:t>
      </w:r>
      <w:r w:rsidR="002F56B3">
        <w:t>loratadine</w:t>
      </w:r>
      <w:r w:rsidR="00685E72" w:rsidRPr="00C417B6">
        <w:t xml:space="preserve"> was the single suspected medicine. There were </w:t>
      </w:r>
      <w:r w:rsidR="002F56B3">
        <w:t>2</w:t>
      </w:r>
      <w:r w:rsidR="00685E72" w:rsidRPr="00C417B6">
        <w:t xml:space="preserve"> reports of deaths associated with </w:t>
      </w:r>
      <w:r w:rsidR="005574F1">
        <w:t>these reports of adverse events</w:t>
      </w:r>
      <w:r w:rsidR="0040177C">
        <w:t>.</w:t>
      </w:r>
    </w:p>
    <w:p w14:paraId="715DFD8B" w14:textId="4CC6498F" w:rsidR="00685E72" w:rsidRPr="00C417B6" w:rsidRDefault="00685E72" w:rsidP="008B3AFC">
      <w:pPr>
        <w:pStyle w:val="ListBullet"/>
      </w:pPr>
      <w:r w:rsidRPr="00C417B6">
        <w:lastRenderedPageBreak/>
        <w:t xml:space="preserve">As of </w:t>
      </w:r>
      <w:r w:rsidR="008301B5">
        <w:t>8 May 2026</w:t>
      </w:r>
      <w:r w:rsidRPr="00C417B6">
        <w:t xml:space="preserve">, there were </w:t>
      </w:r>
      <w:r w:rsidRPr="008301B5">
        <w:t>no</w:t>
      </w:r>
      <w:r w:rsidRPr="00C417B6">
        <w:t xml:space="preserve"> products containing </w:t>
      </w:r>
      <w:r w:rsidR="008301B5">
        <w:t>loratadine</w:t>
      </w:r>
      <w:r w:rsidRPr="00C417B6">
        <w:t xml:space="preserve"> as an active ingredient/constituent or scheduled substance listed on the </w:t>
      </w:r>
      <w:hyperlink r:id="rId32" w:history="1">
        <w:r w:rsidRPr="00C417B6">
          <w:rPr>
            <w:rStyle w:val="Hyperlink"/>
          </w:rPr>
          <w:t>Public Chemical Registration Information System Search (</w:t>
        </w:r>
        <w:proofErr w:type="spellStart"/>
        <w:r w:rsidRPr="00C417B6">
          <w:rPr>
            <w:rStyle w:val="Hyperlink"/>
          </w:rPr>
          <w:t>PubCRIS</w:t>
        </w:r>
        <w:proofErr w:type="spellEnd"/>
        <w:r w:rsidRPr="00C417B6">
          <w:rPr>
            <w:rStyle w:val="Hyperlink"/>
          </w:rPr>
          <w:t>)</w:t>
        </w:r>
      </w:hyperlink>
      <w:r w:rsidRPr="00C417B6">
        <w:t>.</w:t>
      </w:r>
    </w:p>
    <w:p w14:paraId="4A9E00AF" w14:textId="0BBA073A" w:rsidR="00FD0841" w:rsidRPr="00C417B6" w:rsidRDefault="003947F3" w:rsidP="008B3AFC">
      <w:pPr>
        <w:pStyle w:val="ListBullet"/>
      </w:pPr>
      <w:r>
        <w:t>Loratadine</w:t>
      </w:r>
      <w:r w:rsidR="00FD0841">
        <w:t xml:space="preserve"> </w:t>
      </w:r>
      <w:r w:rsidR="00982912">
        <w:t>is not</w:t>
      </w:r>
      <w:r w:rsidR="00FD0841">
        <w:t xml:space="preserve"> </w:t>
      </w:r>
      <w:r w:rsidR="00847F19">
        <w:t>included</w:t>
      </w:r>
      <w:r w:rsidR="00FD0841">
        <w:t xml:space="preserve"> by </w:t>
      </w:r>
      <w:r w:rsidR="00883230">
        <w:t>the Australian Industrial Chemicals Introduction Scheme (AICIS)</w:t>
      </w:r>
      <w:r w:rsidR="00FD0841">
        <w:t xml:space="preserve"> on the </w:t>
      </w:r>
      <w:hyperlink r:id="rId33" w:history="1">
        <w:r w:rsidR="00FD0841" w:rsidRPr="00FD0841">
          <w:rPr>
            <w:rStyle w:val="Hyperlink"/>
          </w:rPr>
          <w:t>Australian Inventory of Industrial Chemicals (Inventory)</w:t>
        </w:r>
      </w:hyperlink>
      <w:r w:rsidR="00FD0841">
        <w:t>.</w:t>
      </w:r>
    </w:p>
    <w:p w14:paraId="2A8D2699" w14:textId="7BB9C26B" w:rsidR="00685E72" w:rsidRPr="00C417B6" w:rsidRDefault="00685E72" w:rsidP="00CF55F5">
      <w:pPr>
        <w:pStyle w:val="Heading4"/>
      </w:pPr>
      <w:bookmarkStart w:id="30" w:name="_Toc122614224"/>
      <w:bookmarkStart w:id="31" w:name="_Toc230951711"/>
      <w:r w:rsidRPr="00C417B6">
        <w:t>International regulations</w:t>
      </w:r>
      <w:bookmarkStart w:id="32" w:name="_Hlk139892366"/>
      <w:bookmarkEnd w:id="30"/>
      <w:bookmarkEnd w:id="31"/>
    </w:p>
    <w:p w14:paraId="040E7A14" w14:textId="6E00C72B" w:rsidR="00CF55F5" w:rsidRDefault="00CF55F5" w:rsidP="00934A06">
      <w:pPr>
        <w:pStyle w:val="ListBullet"/>
      </w:pPr>
      <w:bookmarkStart w:id="33" w:name="_Toc122614225"/>
      <w:bookmarkEnd w:id="32"/>
      <w:r w:rsidRPr="00CF55F5">
        <w:t xml:space="preserve">The </w:t>
      </w:r>
      <w:hyperlink r:id="rId34" w:history="1">
        <w:r w:rsidRPr="00CF55F5">
          <w:rPr>
            <w:rStyle w:val="Hyperlink"/>
          </w:rPr>
          <w:t>Health Canada Drug Product Database</w:t>
        </w:r>
      </w:hyperlink>
      <w:r>
        <w:t xml:space="preserve"> </w:t>
      </w:r>
      <w:r w:rsidRPr="00CF55F5">
        <w:t>includes</w:t>
      </w:r>
      <w:r w:rsidR="008944CC">
        <w:t xml:space="preserve"> </w:t>
      </w:r>
      <w:r w:rsidR="000D0219">
        <w:t>1</w:t>
      </w:r>
      <w:r w:rsidR="00CB4DA3">
        <w:t>6</w:t>
      </w:r>
      <w:r w:rsidR="003808A7">
        <w:t xml:space="preserve"> approved</w:t>
      </w:r>
      <w:r w:rsidR="000D0219">
        <w:t xml:space="preserve">/marketed drug products that </w:t>
      </w:r>
      <w:r w:rsidR="00CB4DA3">
        <w:t>contain loratadine as an active ingredient. This includes 1</w:t>
      </w:r>
      <w:r w:rsidR="00595385" w:rsidDel="007576D9">
        <w:t xml:space="preserve"> </w:t>
      </w:r>
      <w:r w:rsidR="007576D9">
        <w:t xml:space="preserve">product </w:t>
      </w:r>
      <w:r w:rsidR="00595385">
        <w:t>formulated in combination with pseudoephedrine sulfate.</w:t>
      </w:r>
    </w:p>
    <w:p w14:paraId="3A6DF11C" w14:textId="01108F3A" w:rsidR="00CF55F5" w:rsidRDefault="00CF55F5" w:rsidP="00934A06">
      <w:pPr>
        <w:pStyle w:val="ListBullet"/>
      </w:pPr>
      <w:r w:rsidRPr="00CF55F5">
        <w:t xml:space="preserve">The </w:t>
      </w:r>
      <w:hyperlink r:id="rId35" w:history="1">
        <w:r w:rsidR="009C3C0E" w:rsidRPr="009C3C0E">
          <w:rPr>
            <w:rStyle w:val="Hyperlink"/>
          </w:rPr>
          <w:t xml:space="preserve">New Zealand </w:t>
        </w:r>
        <w:proofErr w:type="spellStart"/>
        <w:r w:rsidR="009C3C0E" w:rsidRPr="009C3C0E">
          <w:rPr>
            <w:rStyle w:val="Hyperlink"/>
          </w:rPr>
          <w:t>Medsafe</w:t>
        </w:r>
        <w:proofErr w:type="spellEnd"/>
        <w:r w:rsidR="009C3C0E" w:rsidRPr="009C3C0E">
          <w:rPr>
            <w:rStyle w:val="Hyperlink"/>
          </w:rPr>
          <w:t xml:space="preserve"> Medicines Classification Database</w:t>
        </w:r>
      </w:hyperlink>
      <w:r w:rsidRPr="00CF55F5">
        <w:t xml:space="preserve"> lists </w:t>
      </w:r>
      <w:r w:rsidR="003362BF">
        <w:t>loratadine</w:t>
      </w:r>
      <w:r w:rsidRPr="00CF55F5">
        <w:t xml:space="preserve"> as follows:</w:t>
      </w:r>
    </w:p>
    <w:tbl>
      <w:tblPr>
        <w:tblStyle w:val="TableTGAblue2023"/>
        <w:tblW w:w="0" w:type="auto"/>
        <w:tblLook w:val="04A0" w:firstRow="1" w:lastRow="0" w:firstColumn="1" w:lastColumn="0" w:noHBand="0" w:noVBand="1"/>
      </w:tblPr>
      <w:tblGrid>
        <w:gridCol w:w="1696"/>
        <w:gridCol w:w="5103"/>
        <w:gridCol w:w="2261"/>
      </w:tblGrid>
      <w:tr w:rsidR="000621E7" w14:paraId="16323524" w14:textId="77777777" w:rsidTr="001D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B4C6E7" w:themeFill="accent1" w:themeFillTint="66"/>
          </w:tcPr>
          <w:p w14:paraId="26C7A095" w14:textId="77777777" w:rsidR="000621E7" w:rsidRDefault="000621E7" w:rsidP="00D878B1">
            <w:r>
              <w:t>Substance</w:t>
            </w:r>
          </w:p>
        </w:tc>
        <w:tc>
          <w:tcPr>
            <w:tcW w:w="5103" w:type="dxa"/>
            <w:shd w:val="clear" w:color="auto" w:fill="B4C6E7" w:themeFill="accent1" w:themeFillTint="66"/>
          </w:tcPr>
          <w:p w14:paraId="53682CB3" w14:textId="77777777" w:rsidR="000621E7" w:rsidRDefault="000621E7" w:rsidP="00D878B1">
            <w:pPr>
              <w:cnfStyle w:val="100000000000" w:firstRow="1" w:lastRow="0" w:firstColumn="0" w:lastColumn="0" w:oddVBand="0" w:evenVBand="0" w:oddHBand="0" w:evenHBand="0" w:firstRowFirstColumn="0" w:firstRowLastColumn="0" w:lastRowFirstColumn="0" w:lastRowLastColumn="0"/>
            </w:pPr>
            <w:r>
              <w:t>Conditions (if any)</w:t>
            </w:r>
          </w:p>
        </w:tc>
        <w:tc>
          <w:tcPr>
            <w:tcW w:w="2261" w:type="dxa"/>
            <w:shd w:val="clear" w:color="auto" w:fill="B4C6E7" w:themeFill="accent1" w:themeFillTint="66"/>
          </w:tcPr>
          <w:p w14:paraId="5E87AE2F" w14:textId="77777777" w:rsidR="000621E7" w:rsidRDefault="000621E7" w:rsidP="00D878B1">
            <w:pPr>
              <w:cnfStyle w:val="100000000000" w:firstRow="1" w:lastRow="0" w:firstColumn="0" w:lastColumn="0" w:oddVBand="0" w:evenVBand="0" w:oddHBand="0" w:evenHBand="0" w:firstRowFirstColumn="0" w:firstRowLastColumn="0" w:lastRowFirstColumn="0" w:lastRowLastColumn="0"/>
            </w:pPr>
            <w:r>
              <w:t>Classifications</w:t>
            </w:r>
          </w:p>
        </w:tc>
      </w:tr>
      <w:tr w:rsidR="000621E7" w14:paraId="3A36E0E3" w14:textId="77777777" w:rsidTr="003362BF">
        <w:tc>
          <w:tcPr>
            <w:cnfStyle w:val="001000000000" w:firstRow="0" w:lastRow="0" w:firstColumn="1" w:lastColumn="0" w:oddVBand="0" w:evenVBand="0" w:oddHBand="0" w:evenHBand="0" w:firstRowFirstColumn="0" w:firstRowLastColumn="0" w:lastRowFirstColumn="0" w:lastRowLastColumn="0"/>
            <w:tcW w:w="1696" w:type="dxa"/>
          </w:tcPr>
          <w:p w14:paraId="1F2D676B" w14:textId="5733F982" w:rsidR="000621E7" w:rsidRPr="003E6D54" w:rsidRDefault="003821E9" w:rsidP="003E6D54">
            <w:pPr>
              <w:spacing w:before="120" w:after="120" w:line="240" w:lineRule="auto"/>
              <w:rPr>
                <w:sz w:val="20"/>
                <w:szCs w:val="20"/>
              </w:rPr>
            </w:pPr>
            <w:r w:rsidRPr="003E6D54">
              <w:rPr>
                <w:sz w:val="20"/>
                <w:szCs w:val="20"/>
              </w:rPr>
              <w:t>Loratadine</w:t>
            </w:r>
          </w:p>
        </w:tc>
        <w:tc>
          <w:tcPr>
            <w:tcW w:w="5103" w:type="dxa"/>
          </w:tcPr>
          <w:p w14:paraId="2BE53656" w14:textId="41D3D47D" w:rsidR="000621E7" w:rsidRPr="003E6D54" w:rsidRDefault="00E00D81"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E</w:t>
            </w:r>
            <w:r w:rsidR="003821E9" w:rsidRPr="003E6D54">
              <w:rPr>
                <w:b/>
                <w:bCs/>
                <w:sz w:val="20"/>
                <w:szCs w:val="20"/>
              </w:rPr>
              <w:t>xcept</w:t>
            </w:r>
            <w:r w:rsidR="003821E9" w:rsidRPr="003E6D54">
              <w:rPr>
                <w:sz w:val="20"/>
                <w:szCs w:val="20"/>
              </w:rPr>
              <w:t> when specified elsewhere in this schedule</w:t>
            </w:r>
          </w:p>
        </w:tc>
        <w:tc>
          <w:tcPr>
            <w:tcW w:w="2261" w:type="dxa"/>
          </w:tcPr>
          <w:p w14:paraId="13623924" w14:textId="673158BB" w:rsidR="000621E7" w:rsidRPr="003E6D54" w:rsidRDefault="00465476"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Prescription</w:t>
            </w:r>
          </w:p>
        </w:tc>
      </w:tr>
      <w:tr w:rsidR="003E1140" w14:paraId="28540B38" w14:textId="77777777" w:rsidTr="003362BF">
        <w:tc>
          <w:tcPr>
            <w:cnfStyle w:val="001000000000" w:firstRow="0" w:lastRow="0" w:firstColumn="1" w:lastColumn="0" w:oddVBand="0" w:evenVBand="0" w:oddHBand="0" w:evenHBand="0" w:firstRowFirstColumn="0" w:firstRowLastColumn="0" w:lastRowFirstColumn="0" w:lastRowLastColumn="0"/>
            <w:tcW w:w="1696" w:type="dxa"/>
          </w:tcPr>
          <w:p w14:paraId="6136210D" w14:textId="413BEEA2" w:rsidR="003E1140" w:rsidRPr="003E6D54" w:rsidRDefault="003821E9" w:rsidP="003E6D54">
            <w:pPr>
              <w:spacing w:before="120" w:after="120" w:line="240" w:lineRule="auto"/>
              <w:rPr>
                <w:sz w:val="20"/>
                <w:szCs w:val="20"/>
              </w:rPr>
            </w:pPr>
            <w:r w:rsidRPr="003E6D54">
              <w:rPr>
                <w:sz w:val="20"/>
                <w:szCs w:val="20"/>
              </w:rPr>
              <w:t>Loratadine</w:t>
            </w:r>
          </w:p>
        </w:tc>
        <w:tc>
          <w:tcPr>
            <w:tcW w:w="5103" w:type="dxa"/>
          </w:tcPr>
          <w:p w14:paraId="749ECD88" w14:textId="63E6803A" w:rsidR="003E1140" w:rsidRPr="003E6D54" w:rsidRDefault="00E00D81"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w:t>
            </w:r>
            <w:r w:rsidR="003362BF" w:rsidRPr="003E6D54">
              <w:rPr>
                <w:sz w:val="20"/>
                <w:szCs w:val="20"/>
              </w:rPr>
              <w:t>or oral use;</w:t>
            </w:r>
            <w:r w:rsidR="003362BF" w:rsidRPr="003E6D54">
              <w:rPr>
                <w:sz w:val="20"/>
                <w:szCs w:val="20"/>
              </w:rPr>
              <w:br/>
            </w:r>
            <w:r w:rsidR="003362BF" w:rsidRPr="003E6D54">
              <w:rPr>
                <w:b/>
                <w:bCs/>
                <w:sz w:val="20"/>
                <w:szCs w:val="20"/>
              </w:rPr>
              <w:t>except</w:t>
            </w:r>
            <w:r w:rsidR="003362BF" w:rsidRPr="003E6D54">
              <w:rPr>
                <w:sz w:val="20"/>
                <w:szCs w:val="20"/>
              </w:rPr>
              <w:t> in divided solid dosage forms for oral use containing 10 milligrams or less per dose form for the treatment of seasonal allergic rhinitis when sold in the manufacturer's original pack containing not more than 10 days' supply</w:t>
            </w:r>
          </w:p>
        </w:tc>
        <w:tc>
          <w:tcPr>
            <w:tcW w:w="2261" w:type="dxa"/>
          </w:tcPr>
          <w:p w14:paraId="0B3FC422" w14:textId="10ED5BD1" w:rsidR="003E1140" w:rsidRPr="003E6D54" w:rsidRDefault="00465476"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Pharmacy Only</w:t>
            </w:r>
          </w:p>
        </w:tc>
      </w:tr>
      <w:tr w:rsidR="003E1140" w14:paraId="6C245708" w14:textId="77777777" w:rsidTr="003362BF">
        <w:tc>
          <w:tcPr>
            <w:cnfStyle w:val="001000000000" w:firstRow="0" w:lastRow="0" w:firstColumn="1" w:lastColumn="0" w:oddVBand="0" w:evenVBand="0" w:oddHBand="0" w:evenHBand="0" w:firstRowFirstColumn="0" w:firstRowLastColumn="0" w:lastRowFirstColumn="0" w:lastRowLastColumn="0"/>
            <w:tcW w:w="1696" w:type="dxa"/>
          </w:tcPr>
          <w:p w14:paraId="54BDDEA9" w14:textId="333E8C20" w:rsidR="003E1140" w:rsidRPr="003E6D54" w:rsidRDefault="003821E9" w:rsidP="003E6D54">
            <w:pPr>
              <w:spacing w:before="120" w:after="120" w:line="240" w:lineRule="auto"/>
              <w:rPr>
                <w:sz w:val="20"/>
                <w:szCs w:val="20"/>
              </w:rPr>
            </w:pPr>
            <w:r w:rsidRPr="003E6D54">
              <w:rPr>
                <w:sz w:val="20"/>
                <w:szCs w:val="20"/>
              </w:rPr>
              <w:t>Loratadine</w:t>
            </w:r>
          </w:p>
        </w:tc>
        <w:tc>
          <w:tcPr>
            <w:tcW w:w="5103" w:type="dxa"/>
          </w:tcPr>
          <w:p w14:paraId="1313DA0E" w14:textId="61CBA33A" w:rsidR="003E1140" w:rsidRPr="003E6D54" w:rsidRDefault="00E00D81"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w:t>
            </w:r>
            <w:r w:rsidR="003362BF" w:rsidRPr="003E6D54">
              <w:rPr>
                <w:sz w:val="20"/>
                <w:szCs w:val="20"/>
              </w:rPr>
              <w:t>n divided solid dosage forms for oral use containing 10 milligrams or less per dose form for the treatment of seasonal allergic rhinitis when sold in the manufacturer's original pack containing not more than 10 days' supply</w:t>
            </w:r>
          </w:p>
        </w:tc>
        <w:tc>
          <w:tcPr>
            <w:tcW w:w="2261" w:type="dxa"/>
          </w:tcPr>
          <w:p w14:paraId="7BA10AB2" w14:textId="550AF7A2" w:rsidR="003E1140" w:rsidRPr="003E6D54" w:rsidRDefault="00465476"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General Sale</w:t>
            </w:r>
          </w:p>
        </w:tc>
      </w:tr>
    </w:tbl>
    <w:p w14:paraId="2796B72A" w14:textId="39BB73C0" w:rsidR="003362BF" w:rsidRDefault="003362BF" w:rsidP="00934A06">
      <w:pPr>
        <w:pStyle w:val="ListBullet"/>
      </w:pPr>
      <w:r>
        <w:t xml:space="preserve">The </w:t>
      </w:r>
      <w:r w:rsidR="007B5D0A">
        <w:t xml:space="preserve">United Kingdom </w:t>
      </w:r>
      <w:hyperlink r:id="rId36">
        <w:r w:rsidR="00AA4C9A" w:rsidRPr="4D6D1B29">
          <w:rPr>
            <w:rStyle w:val="Hyperlink"/>
          </w:rPr>
          <w:t>electronic medicines compendium</w:t>
        </w:r>
      </w:hyperlink>
      <w:r w:rsidR="00AA4C9A">
        <w:t xml:space="preserve"> </w:t>
      </w:r>
      <w:r w:rsidR="00963E2B">
        <w:t>lists</w:t>
      </w:r>
      <w:r w:rsidR="00153047">
        <w:t xml:space="preserve"> </w:t>
      </w:r>
      <w:r w:rsidR="00046611">
        <w:t xml:space="preserve">11 </w:t>
      </w:r>
      <w:r w:rsidR="00923927">
        <w:t>medicines containing loratadine</w:t>
      </w:r>
      <w:r w:rsidR="007014DE">
        <w:t xml:space="preserve"> 7 are of which are available </w:t>
      </w:r>
      <w:r w:rsidR="00437502">
        <w:t>for</w:t>
      </w:r>
      <w:r w:rsidR="007014DE">
        <w:t xml:space="preserve"> general sale</w:t>
      </w:r>
      <w:r w:rsidR="00E8057B">
        <w:t xml:space="preserve"> </w:t>
      </w:r>
      <w:r w:rsidR="00437502">
        <w:t>(</w:t>
      </w:r>
      <w:r w:rsidR="00B348A2">
        <w:t>in non-pharmacy settings)</w:t>
      </w:r>
      <w:r w:rsidR="00E8057B">
        <w:t xml:space="preserve"> in packs of up to 30 tablets</w:t>
      </w:r>
      <w:r w:rsidR="279E9536">
        <w:t xml:space="preserve"> at a maximum concentration of 10</w:t>
      </w:r>
      <w:r w:rsidR="007B7987">
        <w:t xml:space="preserve"> </w:t>
      </w:r>
      <w:r w:rsidR="279E9536">
        <w:t>mg per tablet</w:t>
      </w:r>
      <w:r w:rsidR="007014DE">
        <w:t>.</w:t>
      </w:r>
    </w:p>
    <w:p w14:paraId="251892BF" w14:textId="5ABAB398" w:rsidR="003362BF" w:rsidRDefault="003362BF" w:rsidP="00934A06">
      <w:pPr>
        <w:pStyle w:val="ListBullet"/>
      </w:pPr>
      <w:r>
        <w:t>The</w:t>
      </w:r>
      <w:r w:rsidR="00A349D2">
        <w:t xml:space="preserve"> </w:t>
      </w:r>
      <w:hyperlink r:id="rId37">
        <w:r w:rsidR="006872B1" w:rsidRPr="4D6D1B29">
          <w:rPr>
            <w:rStyle w:val="Hyperlink"/>
          </w:rPr>
          <w:t>United States Food and Drug Administration Approved Drug Products Database (</w:t>
        </w:r>
        <w:proofErr w:type="spellStart"/>
        <w:r w:rsidR="006872B1" w:rsidRPr="4D6D1B29">
          <w:rPr>
            <w:rStyle w:val="Hyperlink"/>
          </w:rPr>
          <w:t>Drugs@FDA</w:t>
        </w:r>
        <w:proofErr w:type="spellEnd"/>
        <w:r w:rsidR="006872B1" w:rsidRPr="4D6D1B29">
          <w:rPr>
            <w:rStyle w:val="Hyperlink"/>
          </w:rPr>
          <w:t>)</w:t>
        </w:r>
      </w:hyperlink>
      <w:r w:rsidR="006872B1">
        <w:t xml:space="preserve"> lists</w:t>
      </w:r>
      <w:r w:rsidR="003126C7">
        <w:t xml:space="preserve"> </w:t>
      </w:r>
      <w:r w:rsidR="00CB58C3">
        <w:t>49</w:t>
      </w:r>
      <w:r w:rsidR="006D047D">
        <w:t xml:space="preserve"> medicines containing loratadine that are available </w:t>
      </w:r>
      <w:proofErr w:type="gramStart"/>
      <w:r w:rsidR="006D047D">
        <w:t>over-the-counter</w:t>
      </w:r>
      <w:proofErr w:type="gramEnd"/>
      <w:r w:rsidR="006D047D">
        <w:t xml:space="preserve">. </w:t>
      </w:r>
      <w:r w:rsidR="000866FD">
        <w:t xml:space="preserve">The </w:t>
      </w:r>
      <w:hyperlink r:id="rId38">
        <w:r w:rsidR="000F71A9" w:rsidRPr="4D6D1B29">
          <w:rPr>
            <w:rStyle w:val="Hyperlink"/>
          </w:rPr>
          <w:t>Orange Book: Approved Drug Products with Therapeutic Equivalence Evaluations</w:t>
        </w:r>
      </w:hyperlink>
      <w:r w:rsidR="000F71A9">
        <w:t xml:space="preserve"> contains 48 listings </w:t>
      </w:r>
      <w:r w:rsidR="002333D7">
        <w:t xml:space="preserve">available </w:t>
      </w:r>
      <w:proofErr w:type="gramStart"/>
      <w:r w:rsidR="002333D7">
        <w:t>over-the-counter</w:t>
      </w:r>
      <w:proofErr w:type="gramEnd"/>
      <w:r w:rsidR="002333D7">
        <w:t xml:space="preserve"> </w:t>
      </w:r>
      <w:r w:rsidR="00974036">
        <w:t xml:space="preserve">with loratadine as an active ingredient. </w:t>
      </w:r>
      <w:r w:rsidR="2E156F8D">
        <w:t xml:space="preserve">In </w:t>
      </w:r>
      <w:r w:rsidR="00EA140E">
        <w:t>the</w:t>
      </w:r>
      <w:r w:rsidR="2E156F8D">
        <w:t xml:space="preserve"> United States, loratadine</w:t>
      </w:r>
      <w:r w:rsidR="00EA140E">
        <w:t xml:space="preserve"> can be </w:t>
      </w:r>
      <w:r w:rsidR="00DD3281">
        <w:t>purchas</w:t>
      </w:r>
      <w:r w:rsidR="00D2102C">
        <w:t xml:space="preserve">ed from </w:t>
      </w:r>
      <w:r w:rsidR="00D2102C" w:rsidRPr="00D2102C">
        <w:t>retail outlets including pharmacies, convenience stores</w:t>
      </w:r>
      <w:r w:rsidR="00FD5C56">
        <w:t xml:space="preserve"> </w:t>
      </w:r>
      <w:r w:rsidR="00D2102C">
        <w:t>and supermarkets</w:t>
      </w:r>
      <w:r w:rsidR="580F4358">
        <w:t xml:space="preserve"> </w:t>
      </w:r>
      <w:r w:rsidR="00F32E22">
        <w:t xml:space="preserve">at quantities exceeding </w:t>
      </w:r>
      <w:r w:rsidR="00577EFA">
        <w:t>100 tablets</w:t>
      </w:r>
      <w:r w:rsidR="00D2102C">
        <w:t>.</w:t>
      </w:r>
    </w:p>
    <w:p w14:paraId="1C9D8536" w14:textId="67546C35" w:rsidR="00742D92" w:rsidRDefault="002E7667" w:rsidP="00934A06">
      <w:pPr>
        <w:pStyle w:val="ListBullet"/>
      </w:pPr>
      <w:r>
        <w:t xml:space="preserve">In the </w:t>
      </w:r>
      <w:r w:rsidR="003035BC">
        <w:t xml:space="preserve">European Union, the </w:t>
      </w:r>
      <w:hyperlink r:id="rId39" w:history="1">
        <w:r w:rsidR="003035BC" w:rsidRPr="00D96498">
          <w:rPr>
            <w:rStyle w:val="Hyperlink"/>
          </w:rPr>
          <w:t>Union Register of Medicinal Products</w:t>
        </w:r>
      </w:hyperlink>
      <w:r w:rsidR="00CF0CF5">
        <w:t xml:space="preserve"> </w:t>
      </w:r>
      <w:r w:rsidR="003035BC">
        <w:t xml:space="preserve">lists 127 products </w:t>
      </w:r>
      <w:r w:rsidR="0068641B">
        <w:t>containing loratadine as an active ingredient.</w:t>
      </w:r>
      <w:r w:rsidR="003035BC">
        <w:t xml:space="preserve"> </w:t>
      </w:r>
      <w:r w:rsidR="00037294">
        <w:t xml:space="preserve">Over-the-counter medicines, such as loratadine, are </w:t>
      </w:r>
      <w:r w:rsidR="006569B3">
        <w:t xml:space="preserve">not available in any pack size </w:t>
      </w:r>
      <w:r w:rsidR="00155B2A">
        <w:t>outside of pharmacies in Europe</w:t>
      </w:r>
      <w:r w:rsidR="006569B3">
        <w:t>.</w:t>
      </w:r>
    </w:p>
    <w:p w14:paraId="09B7E62A" w14:textId="0A0F1E5A" w:rsidR="009E18EA" w:rsidRPr="007F2728" w:rsidRDefault="00B86899" w:rsidP="00934A06">
      <w:pPr>
        <w:pStyle w:val="ListBullet"/>
      </w:pPr>
      <w:r>
        <w:t>In Ireland, the</w:t>
      </w:r>
      <w:r w:rsidR="00516F38">
        <w:t xml:space="preserve"> </w:t>
      </w:r>
      <w:hyperlink r:id="rId40" w:history="1">
        <w:r w:rsidR="00516F38" w:rsidRPr="00D91573">
          <w:rPr>
            <w:rStyle w:val="Hyperlink"/>
          </w:rPr>
          <w:t>Health Products Regulatory Authority</w:t>
        </w:r>
      </w:hyperlink>
      <w:r>
        <w:t xml:space="preserve"> lists </w:t>
      </w:r>
      <w:r w:rsidR="00CB2BE0">
        <w:t>8</w:t>
      </w:r>
      <w:r w:rsidR="00147C72">
        <w:t xml:space="preserve"> </w:t>
      </w:r>
      <w:hyperlink r:id="rId41" w:history="1">
        <w:r w:rsidR="00D91573">
          <w:rPr>
            <w:rStyle w:val="Hyperlink"/>
          </w:rPr>
          <w:t>authorised medicines</w:t>
        </w:r>
      </w:hyperlink>
      <w:r w:rsidR="00CB2BE0">
        <w:t xml:space="preserve"> </w:t>
      </w:r>
      <w:r w:rsidR="00A04FBB">
        <w:t>containing loratadine for human use.</w:t>
      </w:r>
      <w:r w:rsidR="00B22DC6">
        <w:t xml:space="preserve"> A</w:t>
      </w:r>
      <w:r w:rsidR="00155B2A">
        <w:t xml:space="preserve">ntihistamines are not available </w:t>
      </w:r>
      <w:r w:rsidR="004A0770">
        <w:t xml:space="preserve">in any pack size </w:t>
      </w:r>
      <w:r w:rsidR="00155B2A">
        <w:t xml:space="preserve">outside of pharmacies in </w:t>
      </w:r>
      <w:r w:rsidR="004A0770">
        <w:t>Ireland.</w:t>
      </w:r>
    </w:p>
    <w:p w14:paraId="320DA475" w14:textId="6A0CBE47" w:rsidR="00066D04" w:rsidRPr="00C417B6" w:rsidRDefault="00066D04" w:rsidP="00066D04">
      <w:pPr>
        <w:pStyle w:val="Heading3"/>
      </w:pPr>
      <w:bookmarkStart w:id="34" w:name="_Toc229141456"/>
      <w:bookmarkStart w:id="35" w:name="_Toc230951712"/>
      <w:bookmarkEnd w:id="33"/>
      <w:r w:rsidRPr="00F62AC9">
        <w:t>1.</w:t>
      </w:r>
      <w:r>
        <w:t>2</w:t>
      </w:r>
      <w:r w:rsidRPr="00F62AC9">
        <w:tab/>
      </w:r>
      <w:r>
        <w:t>Fexofenadine</w:t>
      </w:r>
      <w:bookmarkEnd w:id="34"/>
      <w:bookmarkEnd w:id="35"/>
    </w:p>
    <w:p w14:paraId="506AFB70" w14:textId="77777777" w:rsidR="00066D04" w:rsidRPr="00C417B6" w:rsidRDefault="00066D04" w:rsidP="00066D04">
      <w:pPr>
        <w:pStyle w:val="Heading4"/>
      </w:pPr>
      <w:bookmarkStart w:id="36" w:name="_Toc229141457"/>
      <w:bookmarkStart w:id="37" w:name="_Toc230951713"/>
      <w:r w:rsidRPr="00C417B6">
        <w:t>Proposal</w:t>
      </w:r>
      <w:bookmarkEnd w:id="36"/>
      <w:bookmarkEnd w:id="37"/>
    </w:p>
    <w:p w14:paraId="333CD6D9" w14:textId="5CA48048" w:rsidR="00066D04" w:rsidRPr="00C417B6" w:rsidRDefault="00066D04" w:rsidP="00E33FF7">
      <w:pPr>
        <w:spacing w:before="120" w:line="240" w:lineRule="auto"/>
      </w:pPr>
      <w:r>
        <w:t>The applicant has proposed to amend the current Poisons Standard in relation to fexofenadine hydrochloride (fexofenadine). Currently, fexofenadine f</w:t>
      </w:r>
      <w:r w:rsidRPr="0061798C">
        <w:t>or the treatment of seasonal allergic rhinitis</w:t>
      </w:r>
      <w:r>
        <w:t xml:space="preserve"> (SAR)</w:t>
      </w:r>
      <w:r w:rsidRPr="0061798C">
        <w:t xml:space="preserve"> in adults and children 12 years of age and over</w:t>
      </w:r>
      <w:r>
        <w:t xml:space="preserve"> is available as Pharmacy </w:t>
      </w:r>
      <w:r w:rsidR="005574F1">
        <w:t>medicine</w:t>
      </w:r>
      <w:r>
        <w:t xml:space="preserve"> (Schedule</w:t>
      </w:r>
      <w:r w:rsidR="005574F1">
        <w:t> </w:t>
      </w:r>
      <w:r>
        <w:t>2) in packs of 10 dosage units,</w:t>
      </w:r>
      <w:r w:rsidRPr="0061798C">
        <w:t xml:space="preserve"> </w:t>
      </w:r>
      <w:r>
        <w:t xml:space="preserve">when providing </w:t>
      </w:r>
      <w:r w:rsidR="006079EB">
        <w:t>not more than</w:t>
      </w:r>
      <w:r>
        <w:t xml:space="preserve"> 10 </w:t>
      </w:r>
      <w:r w:rsidR="005574F1">
        <w:t>days’</w:t>
      </w:r>
      <w:r>
        <w:t xml:space="preserve"> supply at a maximum recommended daily dose (RDD) of 180 mg. Under the proposal, the pack size of such fexofenadine preparations would be increased from 10 tablets to 20 tablets and not more than 20 </w:t>
      </w:r>
      <w:r>
        <w:lastRenderedPageBreak/>
        <w:t>days’ supply. This would allow packs of 20 fexofenadine tablets (180 mg RDD; maximum 20 days’ supply) to be sold in non-pharmacy settings, such as supermarkets.</w:t>
      </w:r>
    </w:p>
    <w:p w14:paraId="400B1088" w14:textId="2DDA28B8" w:rsidR="00066D04" w:rsidRPr="00C417B6" w:rsidRDefault="00066D04" w:rsidP="00066D04">
      <w:pPr>
        <w:pStyle w:val="Heading4"/>
      </w:pPr>
      <w:bookmarkStart w:id="38" w:name="_Toc229141458"/>
      <w:bookmarkStart w:id="39" w:name="_Toc230951714"/>
      <w:r w:rsidRPr="00C417B6">
        <w:t>CAS number</w:t>
      </w:r>
      <w:bookmarkEnd w:id="38"/>
      <w:bookmarkEnd w:id="39"/>
    </w:p>
    <w:p w14:paraId="0386191C" w14:textId="77777777" w:rsidR="00066D04" w:rsidRPr="00E33FF7" w:rsidRDefault="00066D04" w:rsidP="00E33FF7">
      <w:pPr>
        <w:autoSpaceDE w:val="0"/>
        <w:autoSpaceDN w:val="0"/>
        <w:adjustRightInd w:val="0"/>
        <w:spacing w:before="120" w:line="240" w:lineRule="auto"/>
      </w:pPr>
      <w:r w:rsidRPr="00E33FF7">
        <w:t xml:space="preserve">153439-40-8 </w:t>
      </w:r>
    </w:p>
    <w:p w14:paraId="4A7E09A2" w14:textId="77777777" w:rsidR="00066D04" w:rsidRPr="00C417B6" w:rsidRDefault="00066D04" w:rsidP="00066D04">
      <w:pPr>
        <w:pStyle w:val="Heading4"/>
      </w:pPr>
      <w:bookmarkStart w:id="40" w:name="_Toc229141459"/>
      <w:bookmarkStart w:id="41" w:name="_Toc230951715"/>
      <w:r w:rsidRPr="00C417B6">
        <w:t>Alternative names</w:t>
      </w:r>
      <w:bookmarkEnd w:id="40"/>
      <w:bookmarkEnd w:id="41"/>
    </w:p>
    <w:p w14:paraId="3BA7A158" w14:textId="2CC816D4" w:rsidR="00066D04" w:rsidRDefault="00066D04" w:rsidP="00E33FF7">
      <w:pPr>
        <w:autoSpaceDE w:val="0"/>
        <w:autoSpaceDN w:val="0"/>
        <w:adjustRightInd w:val="0"/>
        <w:spacing w:before="120" w:line="240" w:lineRule="auto"/>
        <w:rPr>
          <w:rFonts w:cs="Arial"/>
          <w:color w:val="000000"/>
        </w:rPr>
      </w:pPr>
      <w:proofErr w:type="spellStart"/>
      <w:r>
        <w:rPr>
          <w:rFonts w:cs="Arial"/>
          <w:color w:val="000000"/>
        </w:rPr>
        <w:t>C</w:t>
      </w:r>
      <w:r w:rsidRPr="00972834">
        <w:rPr>
          <w:rFonts w:cs="Arial"/>
          <w:color w:val="000000"/>
        </w:rPr>
        <w:t>arboxyterfenadine</w:t>
      </w:r>
      <w:proofErr w:type="spellEnd"/>
    </w:p>
    <w:p w14:paraId="28E57966" w14:textId="13209A3C" w:rsidR="00066D04" w:rsidRDefault="00066D04" w:rsidP="00E33FF7">
      <w:pPr>
        <w:autoSpaceDE w:val="0"/>
        <w:autoSpaceDN w:val="0"/>
        <w:adjustRightInd w:val="0"/>
        <w:spacing w:before="120" w:line="240" w:lineRule="auto"/>
        <w:rPr>
          <w:rFonts w:cs="Arial"/>
          <w:color w:val="000000"/>
        </w:rPr>
      </w:pPr>
      <w:r>
        <w:rPr>
          <w:rFonts w:cs="Arial"/>
          <w:color w:val="000000"/>
        </w:rPr>
        <w:t>T</w:t>
      </w:r>
      <w:r w:rsidRPr="00972834">
        <w:rPr>
          <w:rFonts w:cs="Arial"/>
          <w:color w:val="000000"/>
        </w:rPr>
        <w:t>erfenadine carboxylate</w:t>
      </w:r>
    </w:p>
    <w:p w14:paraId="066EFC06" w14:textId="2C57E90E" w:rsidR="00066D04" w:rsidRPr="00F32C8C" w:rsidRDefault="00066D04" w:rsidP="00E33FF7">
      <w:pPr>
        <w:autoSpaceDE w:val="0"/>
        <w:autoSpaceDN w:val="0"/>
        <w:adjustRightInd w:val="0"/>
        <w:spacing w:before="120" w:line="240" w:lineRule="auto"/>
        <w:rPr>
          <w:rFonts w:cs="Arial"/>
          <w:color w:val="000000"/>
        </w:rPr>
      </w:pPr>
      <w:r w:rsidRPr="00F32C8C">
        <w:rPr>
          <w:rFonts w:cs="Arial"/>
          <w:color w:val="000000"/>
        </w:rPr>
        <w:t>4-[1-</w:t>
      </w:r>
      <w:r>
        <w:rPr>
          <w:rFonts w:cs="Arial"/>
          <w:color w:val="000000"/>
        </w:rPr>
        <w:t>H</w:t>
      </w:r>
      <w:r w:rsidRPr="00F32C8C">
        <w:rPr>
          <w:rFonts w:cs="Arial"/>
          <w:color w:val="000000"/>
        </w:rPr>
        <w:t>ydroxy-4-[4-(</w:t>
      </w:r>
      <w:proofErr w:type="spellStart"/>
      <w:r w:rsidRPr="00F32C8C">
        <w:rPr>
          <w:rFonts w:cs="Arial"/>
          <w:color w:val="000000"/>
        </w:rPr>
        <w:t>hydroxydiphenylmethyl</w:t>
      </w:r>
      <w:proofErr w:type="spellEnd"/>
      <w:r w:rsidRPr="00F32C8C">
        <w:rPr>
          <w:rFonts w:cs="Arial"/>
          <w:color w:val="000000"/>
        </w:rPr>
        <w:t>)-1- piperidinyl]butyl]-</w:t>
      </w:r>
      <w:r>
        <w:rPr>
          <w:rFonts w:cs="Arial"/>
          <w:color w:val="000000"/>
        </w:rPr>
        <w:t>α</w:t>
      </w:r>
      <w:r w:rsidRPr="00F32C8C">
        <w:rPr>
          <w:rFonts w:cs="Arial"/>
          <w:color w:val="000000"/>
        </w:rPr>
        <w:t>,</w:t>
      </w:r>
      <w:r>
        <w:rPr>
          <w:rFonts w:cs="Arial"/>
          <w:color w:val="000000"/>
        </w:rPr>
        <w:t>α</w:t>
      </w:r>
      <w:r w:rsidRPr="00F32C8C">
        <w:rPr>
          <w:rFonts w:cs="Arial"/>
          <w:color w:val="000000"/>
        </w:rPr>
        <w:t>-</w:t>
      </w:r>
      <w:r>
        <w:rPr>
          <w:rFonts w:cs="Arial"/>
          <w:color w:val="000000"/>
        </w:rPr>
        <w:t>dimethyl-</w:t>
      </w:r>
      <w:proofErr w:type="spellStart"/>
      <w:r w:rsidRPr="008B2B6E">
        <w:rPr>
          <w:rFonts w:cs="Arial"/>
          <w:color w:val="000000"/>
        </w:rPr>
        <w:t>benzeneacetic</w:t>
      </w:r>
      <w:proofErr w:type="spellEnd"/>
      <w:r w:rsidRPr="008B2B6E">
        <w:rPr>
          <w:rFonts w:cs="Arial"/>
          <w:color w:val="000000"/>
        </w:rPr>
        <w:t xml:space="preserve"> acid</w:t>
      </w:r>
    </w:p>
    <w:p w14:paraId="6AC72DF8" w14:textId="77777777" w:rsidR="00066D04" w:rsidRPr="00C417B6" w:rsidRDefault="00066D04" w:rsidP="00066D04">
      <w:pPr>
        <w:pStyle w:val="Heading4"/>
      </w:pPr>
      <w:bookmarkStart w:id="42" w:name="_Toc229141460"/>
      <w:bookmarkStart w:id="43" w:name="_Toc230951716"/>
      <w:r w:rsidRPr="00C417B6">
        <w:t>Applicant</w:t>
      </w:r>
      <w:bookmarkEnd w:id="42"/>
      <w:bookmarkEnd w:id="43"/>
    </w:p>
    <w:p w14:paraId="763B8158" w14:textId="64C9B3C1" w:rsidR="00066D04" w:rsidRPr="00C417B6" w:rsidRDefault="00066D04" w:rsidP="00E33FF7">
      <w:pPr>
        <w:spacing w:before="120" w:line="240" w:lineRule="auto"/>
      </w:pPr>
      <w:r w:rsidRPr="0032767C">
        <w:t>Private applicant</w:t>
      </w:r>
    </w:p>
    <w:p w14:paraId="63DE0FB7" w14:textId="77777777" w:rsidR="00066D04" w:rsidRPr="00C417B6" w:rsidRDefault="00066D04" w:rsidP="00066D04">
      <w:pPr>
        <w:pStyle w:val="Heading4"/>
      </w:pPr>
      <w:bookmarkStart w:id="44" w:name="_Toc229141461"/>
      <w:bookmarkStart w:id="45" w:name="_Toc230951717"/>
      <w:r w:rsidRPr="00C417B6">
        <w:t>Proposed Scheduling</w:t>
      </w:r>
      <w:bookmarkEnd w:id="44"/>
      <w:bookmarkEnd w:id="45"/>
    </w:p>
    <w:p w14:paraId="590DDE55" w14:textId="77777777" w:rsidR="00066D04" w:rsidRDefault="00066D04" w:rsidP="00E00D81">
      <w:pPr>
        <w:spacing w:before="120" w:line="240" w:lineRule="auto"/>
      </w:pPr>
      <w:r>
        <w:t>Fexofenadine</w:t>
      </w:r>
      <w:r w:rsidRPr="00C417B6">
        <w:t xml:space="preserve"> is currently listed in Schedules </w:t>
      </w:r>
      <w:r>
        <w:t>4</w:t>
      </w:r>
      <w:r w:rsidRPr="00287ABB">
        <w:t xml:space="preserve"> and </w:t>
      </w:r>
      <w:r>
        <w:t>2</w:t>
      </w:r>
      <w:r w:rsidRPr="00C417B6">
        <w:t xml:space="preserve"> of the Poisons Standard as follows:</w:t>
      </w:r>
    </w:p>
    <w:p w14:paraId="04175094" w14:textId="77777777" w:rsidR="00066D04" w:rsidRPr="00597CDF" w:rsidRDefault="00066D04" w:rsidP="00E00D81">
      <w:pPr>
        <w:pStyle w:val="PoisonsStandardScheduleEntry"/>
        <w:spacing w:before="120" w:after="120"/>
        <w:ind w:left="284" w:firstLine="0"/>
        <w:rPr>
          <w:rStyle w:val="fontstyle01"/>
          <w:rFonts w:ascii="Arial" w:hAnsi="Arial" w:cs="Arial"/>
          <w:b/>
          <w:bCs/>
          <w:color w:val="auto"/>
          <w:sz w:val="20"/>
          <w:szCs w:val="20"/>
        </w:rPr>
      </w:pPr>
      <w:r w:rsidRPr="00597CDF">
        <w:rPr>
          <w:rFonts w:ascii="Arial" w:hAnsi="Arial" w:cs="Arial"/>
          <w:b/>
          <w:bCs/>
          <w:sz w:val="20"/>
        </w:rPr>
        <w:t>Schedule 4</w:t>
      </w:r>
    </w:p>
    <w:p w14:paraId="0D7AEE3F" w14:textId="2901E9A7" w:rsidR="00066D04" w:rsidRPr="00597CDF" w:rsidRDefault="00066D04" w:rsidP="00E00D81">
      <w:pPr>
        <w:pStyle w:val="PoisonsStandardScheduleEntry"/>
        <w:spacing w:before="120" w:after="120"/>
        <w:ind w:firstLine="0"/>
        <w:rPr>
          <w:rFonts w:ascii="Arial" w:hAnsi="Arial" w:cs="Arial"/>
          <w:sz w:val="20"/>
        </w:rPr>
      </w:pPr>
      <w:r w:rsidRPr="00597CDF">
        <w:rPr>
          <w:rFonts w:ascii="Arial" w:hAnsi="Arial" w:cs="Arial"/>
          <w:sz w:val="20"/>
        </w:rPr>
        <w:t xml:space="preserve">FEXOFENADINE </w:t>
      </w:r>
      <w:r w:rsidRPr="00597CDF">
        <w:rPr>
          <w:rFonts w:ascii="Arial" w:hAnsi="Arial" w:cs="Arial"/>
          <w:b/>
          <w:sz w:val="20"/>
        </w:rPr>
        <w:t>except</w:t>
      </w:r>
      <w:r w:rsidRPr="00597CDF">
        <w:rPr>
          <w:rFonts w:ascii="Arial" w:hAnsi="Arial" w:cs="Arial"/>
          <w:sz w:val="20"/>
        </w:rPr>
        <w:t>:</w:t>
      </w:r>
    </w:p>
    <w:p w14:paraId="4012AE5E" w14:textId="330DCDA4" w:rsidR="00066D04" w:rsidRPr="00597CDF" w:rsidRDefault="00066D04" w:rsidP="00E00D81">
      <w:pPr>
        <w:spacing w:before="120" w:line="240" w:lineRule="auto"/>
        <w:ind w:left="1134" w:hanging="425"/>
        <w:rPr>
          <w:rFonts w:cs="Arial"/>
        </w:rPr>
      </w:pPr>
      <w:bookmarkStart w:id="46" w:name="_Hlk87974077"/>
      <w:bookmarkStart w:id="47" w:name="_Hlk122423609"/>
      <w:r w:rsidRPr="00597CDF">
        <w:rPr>
          <w:rFonts w:cs="Arial"/>
        </w:rPr>
        <w:t>(a)</w:t>
      </w:r>
      <w:r w:rsidRPr="00597CDF">
        <w:rPr>
          <w:rFonts w:cs="Arial"/>
        </w:rPr>
        <w:tab/>
        <w:t>when included in Schedule 2; or</w:t>
      </w:r>
    </w:p>
    <w:p w14:paraId="27B830EE" w14:textId="3396D197" w:rsidR="00066D04" w:rsidRPr="00597CDF" w:rsidRDefault="00066D04" w:rsidP="00E00D81">
      <w:pPr>
        <w:spacing w:before="120" w:line="240" w:lineRule="auto"/>
        <w:ind w:left="1134" w:hanging="425"/>
        <w:rPr>
          <w:rFonts w:cs="Arial"/>
        </w:rPr>
      </w:pPr>
      <w:r w:rsidRPr="00597CDF">
        <w:rPr>
          <w:rFonts w:cs="Arial"/>
        </w:rPr>
        <w:t>(b)</w:t>
      </w:r>
      <w:r w:rsidRPr="00597CDF">
        <w:rPr>
          <w:rFonts w:cs="Arial"/>
        </w:rPr>
        <w:tab/>
        <w:t>in divided preparations for the treatment of seasonal allergic rhinitis in adults and children 12 years of age and over when:</w:t>
      </w:r>
    </w:p>
    <w:p w14:paraId="61FFB282" w14:textId="77777777" w:rsidR="00F92C14" w:rsidRPr="003033EA" w:rsidRDefault="00066D04" w:rsidP="003033EA">
      <w:pPr>
        <w:ind w:left="1701"/>
        <w:rPr>
          <w:rStyle w:val="fontstyle01"/>
          <w:rFonts w:ascii="Arial" w:hAnsi="Arial" w:cs="Arial"/>
          <w:sz w:val="20"/>
          <w:szCs w:val="20"/>
        </w:rPr>
      </w:pPr>
      <w:r w:rsidRPr="00597CDF">
        <w:t>(</w:t>
      </w:r>
      <w:proofErr w:type="spellStart"/>
      <w:r w:rsidRPr="00597CDF">
        <w:t>i</w:t>
      </w:r>
      <w:proofErr w:type="spellEnd"/>
      <w:r w:rsidRPr="00597CDF">
        <w:t>)</w:t>
      </w:r>
      <w:r w:rsidRPr="00597CDF">
        <w:tab/>
      </w:r>
      <w:r w:rsidRPr="003033EA">
        <w:rPr>
          <w:rStyle w:val="fontstyle01"/>
          <w:rFonts w:ascii="Arial" w:hAnsi="Arial" w:cs="Arial"/>
          <w:sz w:val="20"/>
          <w:szCs w:val="20"/>
        </w:rPr>
        <w:t>in a primary pack containing 20 dosage units or less and not more than 10 days’ supply; and</w:t>
      </w:r>
      <w:r w:rsidR="00077A41" w:rsidRPr="003033EA">
        <w:rPr>
          <w:rStyle w:val="fontstyle01"/>
          <w:rFonts w:ascii="Arial" w:hAnsi="Arial" w:cs="Arial"/>
          <w:sz w:val="20"/>
          <w:szCs w:val="20"/>
        </w:rPr>
        <w:t xml:space="preserve"> </w:t>
      </w:r>
    </w:p>
    <w:p w14:paraId="26618D8F" w14:textId="52DE3E6D" w:rsidR="00066D04" w:rsidRPr="00597CDF" w:rsidRDefault="00F92C14" w:rsidP="003033EA">
      <w:pPr>
        <w:ind w:left="1701"/>
      </w:pPr>
      <w:r w:rsidRPr="003033EA">
        <w:rPr>
          <w:rStyle w:val="fontstyle01"/>
          <w:rFonts w:ascii="Arial" w:hAnsi="Arial" w:cs="Arial"/>
          <w:sz w:val="20"/>
          <w:szCs w:val="20"/>
        </w:rPr>
        <w:t xml:space="preserve">(ii) </w:t>
      </w:r>
      <w:r w:rsidR="00066D04" w:rsidRPr="003033EA">
        <w:rPr>
          <w:rStyle w:val="fontstyle01"/>
          <w:rFonts w:ascii="Arial" w:hAnsi="Arial" w:cs="Arial"/>
          <w:sz w:val="20"/>
          <w:szCs w:val="20"/>
        </w:rPr>
        <w:t>labelled with a recommended daily dose not exceeding 120 mg of fexofenadine; or</w:t>
      </w:r>
    </w:p>
    <w:bookmarkEnd w:id="46"/>
    <w:bookmarkEnd w:id="47"/>
    <w:p w14:paraId="07805F26" w14:textId="3BF34C7F" w:rsidR="00066D04" w:rsidRPr="00597CDF" w:rsidRDefault="00066D04" w:rsidP="00E00D81">
      <w:pPr>
        <w:spacing w:before="120" w:line="240" w:lineRule="auto"/>
        <w:ind w:left="1134" w:hanging="425"/>
        <w:rPr>
          <w:rFonts w:cs="Arial"/>
        </w:rPr>
      </w:pPr>
      <w:r w:rsidRPr="00597CDF">
        <w:rPr>
          <w:rFonts w:cs="Arial"/>
        </w:rPr>
        <w:t>(c)</w:t>
      </w:r>
      <w:r w:rsidRPr="00597CDF">
        <w:rPr>
          <w:rFonts w:cs="Arial"/>
        </w:rPr>
        <w:tab/>
        <w:t>for the treatment of seasonal allergic rhinitis in adults and children 12 years of age and over when:</w:t>
      </w:r>
    </w:p>
    <w:p w14:paraId="62CEF11F" w14:textId="5E5024F5" w:rsidR="00066D04" w:rsidRPr="009D78AA" w:rsidRDefault="009D78AA" w:rsidP="003033EA">
      <w:pPr>
        <w:ind w:left="1701"/>
      </w:pPr>
      <w:r w:rsidRPr="003033EA">
        <w:rPr>
          <w:rFonts w:cs="Arial"/>
        </w:rPr>
        <w:t>(</w:t>
      </w:r>
      <w:proofErr w:type="spellStart"/>
      <w:r w:rsidRPr="003033EA">
        <w:rPr>
          <w:rFonts w:cs="Arial"/>
        </w:rPr>
        <w:t>i</w:t>
      </w:r>
      <w:proofErr w:type="spellEnd"/>
      <w:r w:rsidRPr="003033EA">
        <w:rPr>
          <w:rFonts w:cs="Arial"/>
        </w:rPr>
        <w:t>)</w:t>
      </w:r>
      <w:r w:rsidRPr="003033EA">
        <w:rPr>
          <w:rFonts w:cs="Arial"/>
        </w:rPr>
        <w:tab/>
      </w:r>
      <w:r w:rsidR="00066D04" w:rsidRPr="009D78AA">
        <w:t>in a primary pack containing 10 dosage units or less and not more than 10 days’ supply; and</w:t>
      </w:r>
    </w:p>
    <w:p w14:paraId="38051492" w14:textId="43A6A4EB" w:rsidR="00066D04" w:rsidRPr="003033EA" w:rsidRDefault="00066D04" w:rsidP="003033EA">
      <w:pPr>
        <w:ind w:left="1701"/>
        <w:rPr>
          <w:rFonts w:cs="Arial"/>
        </w:rPr>
      </w:pPr>
      <w:r w:rsidRPr="009D78AA">
        <w:t>(ii)</w:t>
      </w:r>
      <w:r w:rsidRPr="009D78AA">
        <w:tab/>
        <w:t>labelled with a recommended daily dose not exceeding 180 mg of fexofenadine; or</w:t>
      </w:r>
    </w:p>
    <w:p w14:paraId="35F2E481" w14:textId="6B11A402" w:rsidR="00066D04" w:rsidRPr="00597CDF" w:rsidRDefault="00066D04" w:rsidP="00E00D81">
      <w:pPr>
        <w:spacing w:before="120" w:line="240" w:lineRule="auto"/>
        <w:ind w:left="1134" w:hanging="425"/>
        <w:rPr>
          <w:rFonts w:cs="Arial"/>
        </w:rPr>
      </w:pPr>
      <w:r w:rsidRPr="00597CDF">
        <w:rPr>
          <w:rFonts w:cs="Arial"/>
        </w:rPr>
        <w:t>(d)</w:t>
      </w:r>
      <w:r w:rsidRPr="00597CDF">
        <w:rPr>
          <w:rFonts w:cs="Arial"/>
        </w:rPr>
        <w:tab/>
        <w:t>for the treatment of seasonal allergic rhinitis and children 6 years of age and over when:</w:t>
      </w:r>
    </w:p>
    <w:p w14:paraId="4234FCEF" w14:textId="24A53933" w:rsidR="00066D04" w:rsidRPr="003F52A2" w:rsidRDefault="00066D04" w:rsidP="003033EA">
      <w:pPr>
        <w:ind w:left="1701"/>
      </w:pPr>
      <w:r w:rsidRPr="003033EA">
        <w:rPr>
          <w:rFonts w:cs="Arial"/>
        </w:rPr>
        <w:t>(</w:t>
      </w:r>
      <w:proofErr w:type="spellStart"/>
      <w:r w:rsidRPr="003033EA">
        <w:rPr>
          <w:rFonts w:cs="Arial"/>
        </w:rPr>
        <w:t>i</w:t>
      </w:r>
      <w:proofErr w:type="spellEnd"/>
      <w:r w:rsidRPr="003033EA">
        <w:rPr>
          <w:rFonts w:cs="Arial"/>
        </w:rPr>
        <w:t>)</w:t>
      </w:r>
      <w:r w:rsidRPr="003033EA">
        <w:rPr>
          <w:rFonts w:cs="Arial"/>
        </w:rPr>
        <w:tab/>
      </w:r>
      <w:r w:rsidRPr="003F52A2">
        <w:t>in a primary pack containing 20 dosage units or less and not more than 10 days’ supply; and</w:t>
      </w:r>
    </w:p>
    <w:p w14:paraId="05D82F06" w14:textId="71901F0F" w:rsidR="00066D04" w:rsidRPr="003033EA" w:rsidRDefault="00066D04" w:rsidP="003033EA">
      <w:pPr>
        <w:ind w:left="1701"/>
        <w:rPr>
          <w:b/>
          <w:bCs/>
        </w:rPr>
      </w:pPr>
      <w:r w:rsidRPr="003F52A2">
        <w:t>(ii)</w:t>
      </w:r>
      <w:r w:rsidRPr="003F52A2">
        <w:tab/>
        <w:t>labelled with a recommended daily dose not exceeding 60 mg of fexofenadine.</w:t>
      </w:r>
    </w:p>
    <w:p w14:paraId="5190B69F" w14:textId="77777777" w:rsidR="00066D04" w:rsidRPr="00597CDF" w:rsidRDefault="00066D04" w:rsidP="00E00D81">
      <w:pPr>
        <w:pStyle w:val="PoisonsStandardScheduleEntry"/>
        <w:spacing w:before="120" w:after="120"/>
        <w:ind w:left="284" w:firstLine="0"/>
        <w:rPr>
          <w:rFonts w:ascii="Arial" w:hAnsi="Arial" w:cs="Arial"/>
          <w:b/>
          <w:bCs/>
          <w:sz w:val="20"/>
        </w:rPr>
      </w:pPr>
      <w:r w:rsidRPr="00597CDF">
        <w:rPr>
          <w:rFonts w:ascii="Arial" w:hAnsi="Arial" w:cs="Arial"/>
          <w:b/>
          <w:bCs/>
          <w:sz w:val="20"/>
        </w:rPr>
        <w:t>Schedule 2</w:t>
      </w:r>
    </w:p>
    <w:p w14:paraId="37BAC981" w14:textId="77777777" w:rsidR="00066D04" w:rsidRPr="00597CDF" w:rsidRDefault="00066D04" w:rsidP="00E00D81">
      <w:pPr>
        <w:pStyle w:val="PoisonsStandardScheduleEntry"/>
        <w:spacing w:before="120" w:after="120"/>
        <w:ind w:firstLine="0"/>
        <w:rPr>
          <w:rFonts w:ascii="Arial" w:hAnsi="Arial" w:cs="Arial"/>
          <w:sz w:val="20"/>
        </w:rPr>
      </w:pPr>
      <w:r w:rsidRPr="00597CDF">
        <w:rPr>
          <w:rFonts w:ascii="Arial" w:hAnsi="Arial" w:cs="Arial"/>
          <w:sz w:val="20"/>
        </w:rPr>
        <w:t xml:space="preserve">FEXOFENADINE in preparations for oral use </w:t>
      </w:r>
      <w:r w:rsidRPr="00597CDF">
        <w:rPr>
          <w:rFonts w:ascii="Arial" w:hAnsi="Arial" w:cs="Arial"/>
          <w:b/>
          <w:sz w:val="20"/>
        </w:rPr>
        <w:t>except</w:t>
      </w:r>
      <w:r w:rsidRPr="00597CDF">
        <w:rPr>
          <w:rFonts w:ascii="Arial" w:hAnsi="Arial" w:cs="Arial"/>
          <w:sz w:val="20"/>
        </w:rPr>
        <w:t xml:space="preserve"> in divided preparations:</w:t>
      </w:r>
    </w:p>
    <w:p w14:paraId="13D1283E" w14:textId="6084F778" w:rsidR="00066D04" w:rsidRPr="00597CDF" w:rsidRDefault="00066D04" w:rsidP="00E00D81">
      <w:pPr>
        <w:spacing w:before="120" w:line="240" w:lineRule="auto"/>
        <w:ind w:left="1134" w:hanging="425"/>
        <w:rPr>
          <w:rFonts w:cs="Arial"/>
        </w:rPr>
      </w:pPr>
      <w:r w:rsidRPr="00597CDF">
        <w:rPr>
          <w:rFonts w:cs="Arial"/>
        </w:rPr>
        <w:t>(a)</w:t>
      </w:r>
      <w:r w:rsidRPr="00597CDF">
        <w:rPr>
          <w:rFonts w:cs="Arial"/>
        </w:rPr>
        <w:tab/>
        <w:t>for the treatment of seasonal allergic rhinitis in adults and children 12 years of age and over when:</w:t>
      </w:r>
    </w:p>
    <w:p w14:paraId="5A0185D9" w14:textId="7C22D1E0" w:rsidR="00066D04" w:rsidRPr="00597CDF" w:rsidRDefault="00066D04" w:rsidP="00E00D81">
      <w:pPr>
        <w:pStyle w:val="paragraphsub"/>
        <w:tabs>
          <w:tab w:val="clear" w:pos="1985"/>
          <w:tab w:val="right" w:pos="1276"/>
        </w:tabs>
        <w:spacing w:before="120" w:after="120"/>
        <w:ind w:left="1701" w:hanging="283"/>
        <w:rPr>
          <w:rStyle w:val="fontstyle01"/>
          <w:rFonts w:ascii="Arial" w:hAnsi="Arial" w:cs="Arial"/>
          <w:sz w:val="20"/>
          <w:szCs w:val="20"/>
        </w:rPr>
      </w:pPr>
      <w:r w:rsidRPr="00597CDF">
        <w:rPr>
          <w:rFonts w:ascii="Arial" w:hAnsi="Arial" w:cs="Arial"/>
          <w:sz w:val="20"/>
        </w:rPr>
        <w:t>(</w:t>
      </w:r>
      <w:proofErr w:type="spellStart"/>
      <w:r w:rsidRPr="00597CDF">
        <w:rPr>
          <w:rFonts w:ascii="Arial" w:hAnsi="Arial" w:cs="Arial"/>
          <w:sz w:val="20"/>
        </w:rPr>
        <w:t>i</w:t>
      </w:r>
      <w:proofErr w:type="spellEnd"/>
      <w:r w:rsidRPr="00597CDF">
        <w:rPr>
          <w:rFonts w:ascii="Arial" w:hAnsi="Arial" w:cs="Arial"/>
          <w:sz w:val="20"/>
        </w:rPr>
        <w:t>)</w:t>
      </w:r>
      <w:r w:rsidRPr="00597CDF">
        <w:rPr>
          <w:rFonts w:ascii="Arial" w:hAnsi="Arial" w:cs="Arial"/>
          <w:sz w:val="20"/>
        </w:rPr>
        <w:tab/>
      </w:r>
      <w:r w:rsidRPr="00597CDF">
        <w:rPr>
          <w:rStyle w:val="fontstyle01"/>
          <w:rFonts w:ascii="Arial" w:hAnsi="Arial" w:cs="Arial"/>
          <w:sz w:val="20"/>
          <w:szCs w:val="20"/>
        </w:rPr>
        <w:t>in a primary pack containing 20 dosage units or less and not more than 10 days’ supply; and</w:t>
      </w:r>
    </w:p>
    <w:p w14:paraId="0778BFEF" w14:textId="5EDA7429" w:rsidR="00066D04" w:rsidRPr="00597CDF" w:rsidRDefault="00066D04" w:rsidP="00E00D81">
      <w:pPr>
        <w:pStyle w:val="paragraphsub"/>
        <w:tabs>
          <w:tab w:val="clear" w:pos="1985"/>
          <w:tab w:val="right" w:pos="1276"/>
        </w:tabs>
        <w:spacing w:before="120" w:after="120"/>
        <w:ind w:left="1701" w:hanging="283"/>
        <w:rPr>
          <w:rStyle w:val="fontstyle01"/>
          <w:rFonts w:ascii="Arial" w:hAnsi="Arial" w:cs="Arial"/>
          <w:sz w:val="20"/>
          <w:szCs w:val="20"/>
        </w:rPr>
      </w:pPr>
      <w:r w:rsidRPr="00597CDF">
        <w:rPr>
          <w:rStyle w:val="fontstyle01"/>
          <w:rFonts w:ascii="Arial" w:hAnsi="Arial" w:cs="Arial"/>
          <w:sz w:val="20"/>
          <w:szCs w:val="20"/>
        </w:rPr>
        <w:t>(ii)</w:t>
      </w:r>
      <w:r w:rsidRPr="00597CDF">
        <w:rPr>
          <w:rStyle w:val="fontstyle01"/>
          <w:rFonts w:ascii="Arial" w:hAnsi="Arial" w:cs="Arial"/>
          <w:sz w:val="20"/>
          <w:szCs w:val="20"/>
        </w:rPr>
        <w:tab/>
        <w:t>labelled with a recommended daily dose not exceeding 120 mg of fexofenadine; or</w:t>
      </w:r>
    </w:p>
    <w:p w14:paraId="3E67EF18" w14:textId="68169C58" w:rsidR="00066D04" w:rsidRPr="00597CDF" w:rsidRDefault="00066D04" w:rsidP="00E00D81">
      <w:pPr>
        <w:spacing w:before="120" w:line="240" w:lineRule="auto"/>
        <w:ind w:left="1134" w:hanging="425"/>
        <w:rPr>
          <w:rFonts w:cs="Arial"/>
        </w:rPr>
      </w:pPr>
      <w:r w:rsidRPr="00597CDF">
        <w:rPr>
          <w:rFonts w:cs="Arial"/>
        </w:rPr>
        <w:t>(b)</w:t>
      </w:r>
      <w:r w:rsidRPr="00597CDF">
        <w:rPr>
          <w:rFonts w:cs="Arial"/>
        </w:rPr>
        <w:tab/>
        <w:t>for the treatment of seasonal allergic rhinitis in adults and children 12 years of age and over when:</w:t>
      </w:r>
    </w:p>
    <w:p w14:paraId="344C3932" w14:textId="5BAA82DA" w:rsidR="00066D04" w:rsidRPr="00597CDF" w:rsidRDefault="00066D04" w:rsidP="00E00D81">
      <w:pPr>
        <w:pStyle w:val="paragraphsub"/>
        <w:tabs>
          <w:tab w:val="clear" w:pos="1985"/>
          <w:tab w:val="right" w:pos="1276"/>
        </w:tabs>
        <w:spacing w:before="120" w:after="120"/>
        <w:ind w:left="1701" w:hanging="283"/>
        <w:rPr>
          <w:rStyle w:val="fontstyle01"/>
          <w:rFonts w:ascii="Arial" w:hAnsi="Arial" w:cs="Arial"/>
          <w:sz w:val="20"/>
          <w:szCs w:val="20"/>
        </w:rPr>
      </w:pPr>
      <w:r w:rsidRPr="00597CDF">
        <w:rPr>
          <w:rFonts w:ascii="Arial" w:hAnsi="Arial" w:cs="Arial"/>
          <w:sz w:val="20"/>
        </w:rPr>
        <w:lastRenderedPageBreak/>
        <w:t>(</w:t>
      </w:r>
      <w:proofErr w:type="spellStart"/>
      <w:r w:rsidRPr="00597CDF">
        <w:rPr>
          <w:rFonts w:ascii="Arial" w:hAnsi="Arial" w:cs="Arial"/>
          <w:sz w:val="20"/>
        </w:rPr>
        <w:t>i</w:t>
      </w:r>
      <w:proofErr w:type="spellEnd"/>
      <w:r w:rsidRPr="00597CDF">
        <w:rPr>
          <w:rFonts w:ascii="Arial" w:hAnsi="Arial" w:cs="Arial"/>
          <w:sz w:val="20"/>
        </w:rPr>
        <w:t>)</w:t>
      </w:r>
      <w:r w:rsidRPr="00597CDF">
        <w:rPr>
          <w:rFonts w:ascii="Arial" w:hAnsi="Arial" w:cs="Arial"/>
          <w:sz w:val="20"/>
        </w:rPr>
        <w:tab/>
      </w:r>
      <w:r w:rsidRPr="00597CDF">
        <w:rPr>
          <w:rStyle w:val="fontstyle01"/>
          <w:rFonts w:ascii="Arial" w:hAnsi="Arial" w:cs="Arial"/>
          <w:sz w:val="20"/>
          <w:szCs w:val="20"/>
        </w:rPr>
        <w:t>in a primary pack containing 10 dosage units or less and not more than 10 days’ supply; and</w:t>
      </w:r>
    </w:p>
    <w:p w14:paraId="6B3B05F5" w14:textId="376AC268" w:rsidR="00066D04" w:rsidRPr="00597CDF" w:rsidRDefault="00066D04" w:rsidP="00E00D81">
      <w:pPr>
        <w:pStyle w:val="paragraphsub"/>
        <w:tabs>
          <w:tab w:val="clear" w:pos="1985"/>
          <w:tab w:val="right" w:pos="1276"/>
        </w:tabs>
        <w:spacing w:before="120" w:after="120"/>
        <w:ind w:left="1701" w:hanging="283"/>
        <w:rPr>
          <w:rStyle w:val="fontstyle01"/>
          <w:rFonts w:ascii="Arial" w:hAnsi="Arial" w:cs="Arial"/>
          <w:sz w:val="20"/>
          <w:szCs w:val="20"/>
        </w:rPr>
      </w:pPr>
      <w:r w:rsidRPr="00597CDF">
        <w:rPr>
          <w:rStyle w:val="fontstyle01"/>
          <w:rFonts w:ascii="Arial" w:hAnsi="Arial" w:cs="Arial"/>
          <w:sz w:val="20"/>
          <w:szCs w:val="20"/>
        </w:rPr>
        <w:t>(ii)</w:t>
      </w:r>
      <w:r w:rsidRPr="00597CDF">
        <w:rPr>
          <w:rStyle w:val="fontstyle01"/>
          <w:rFonts w:ascii="Arial" w:hAnsi="Arial" w:cs="Arial"/>
          <w:sz w:val="20"/>
          <w:szCs w:val="20"/>
        </w:rPr>
        <w:tab/>
        <w:t>labelled with a recommended daily dose not exceeding 180 mg of fexofenadine; or</w:t>
      </w:r>
    </w:p>
    <w:p w14:paraId="52607D31" w14:textId="078A5B2D" w:rsidR="00066D04" w:rsidRPr="00597CDF" w:rsidRDefault="00066D04" w:rsidP="00E00D81">
      <w:pPr>
        <w:spacing w:before="120" w:line="240" w:lineRule="auto"/>
        <w:ind w:left="1134" w:hanging="425"/>
        <w:rPr>
          <w:rFonts w:cs="Arial"/>
        </w:rPr>
      </w:pPr>
      <w:r w:rsidRPr="00597CDF">
        <w:rPr>
          <w:rFonts w:cs="Arial"/>
        </w:rPr>
        <w:t>(c)</w:t>
      </w:r>
      <w:r w:rsidRPr="00597CDF">
        <w:rPr>
          <w:rFonts w:cs="Arial"/>
        </w:rPr>
        <w:tab/>
        <w:t>for the treatment of seasonal allergic rhinitis and children 6 years of age and over when:</w:t>
      </w:r>
    </w:p>
    <w:p w14:paraId="5AAF9DEF" w14:textId="26633E18" w:rsidR="00066D04" w:rsidRPr="00597CDF" w:rsidRDefault="00066D04" w:rsidP="00E00D81">
      <w:pPr>
        <w:pStyle w:val="paragraphsub"/>
        <w:tabs>
          <w:tab w:val="clear" w:pos="1985"/>
          <w:tab w:val="right" w:pos="1276"/>
        </w:tabs>
        <w:spacing w:before="120" w:after="120"/>
        <w:ind w:left="1701" w:hanging="283"/>
        <w:rPr>
          <w:rStyle w:val="fontstyle01"/>
          <w:rFonts w:ascii="Arial" w:hAnsi="Arial" w:cs="Arial"/>
          <w:sz w:val="20"/>
          <w:szCs w:val="20"/>
        </w:rPr>
      </w:pPr>
      <w:r w:rsidRPr="00597CDF">
        <w:rPr>
          <w:rFonts w:ascii="Arial" w:hAnsi="Arial" w:cs="Arial"/>
          <w:sz w:val="20"/>
        </w:rPr>
        <w:t>(</w:t>
      </w:r>
      <w:proofErr w:type="spellStart"/>
      <w:r w:rsidRPr="00597CDF">
        <w:rPr>
          <w:rFonts w:ascii="Arial" w:hAnsi="Arial" w:cs="Arial"/>
          <w:sz w:val="20"/>
        </w:rPr>
        <w:t>i</w:t>
      </w:r>
      <w:proofErr w:type="spellEnd"/>
      <w:r w:rsidRPr="00597CDF">
        <w:rPr>
          <w:rFonts w:ascii="Arial" w:hAnsi="Arial" w:cs="Arial"/>
          <w:sz w:val="20"/>
        </w:rPr>
        <w:t>)</w:t>
      </w:r>
      <w:r w:rsidRPr="00597CDF">
        <w:rPr>
          <w:rFonts w:ascii="Arial" w:hAnsi="Arial" w:cs="Arial"/>
          <w:sz w:val="20"/>
        </w:rPr>
        <w:tab/>
      </w:r>
      <w:r w:rsidRPr="00597CDF">
        <w:rPr>
          <w:rStyle w:val="fontstyle01"/>
          <w:rFonts w:ascii="Arial" w:hAnsi="Arial" w:cs="Arial"/>
          <w:sz w:val="20"/>
          <w:szCs w:val="20"/>
        </w:rPr>
        <w:t>in a primary pack containing 20 dosage units or less and not more than 10 days’ supply; and</w:t>
      </w:r>
    </w:p>
    <w:p w14:paraId="1E4AD190" w14:textId="4851D9FD" w:rsidR="00066D04" w:rsidRPr="00597CDF" w:rsidRDefault="00066D04" w:rsidP="00E00D81">
      <w:pPr>
        <w:pStyle w:val="paragraphsub"/>
        <w:tabs>
          <w:tab w:val="clear" w:pos="1985"/>
          <w:tab w:val="right" w:pos="1276"/>
        </w:tabs>
        <w:spacing w:before="120" w:after="120"/>
        <w:ind w:left="1701" w:hanging="283"/>
        <w:rPr>
          <w:rStyle w:val="fontstyle01"/>
          <w:rFonts w:ascii="Arial" w:hAnsi="Arial" w:cs="Arial"/>
          <w:sz w:val="20"/>
          <w:szCs w:val="20"/>
        </w:rPr>
      </w:pPr>
      <w:r w:rsidRPr="00597CDF">
        <w:rPr>
          <w:rStyle w:val="fontstyle01"/>
          <w:rFonts w:ascii="Arial" w:hAnsi="Arial" w:cs="Arial"/>
          <w:sz w:val="20"/>
          <w:szCs w:val="20"/>
        </w:rPr>
        <w:t>(ii)</w:t>
      </w:r>
      <w:r w:rsidRPr="00597CDF">
        <w:rPr>
          <w:rStyle w:val="fontstyle01"/>
          <w:rFonts w:ascii="Arial" w:hAnsi="Arial" w:cs="Arial"/>
          <w:sz w:val="20"/>
          <w:szCs w:val="20"/>
        </w:rPr>
        <w:tab/>
        <w:t>labelled with a recommended daily dose not exceeding 60 mg of fexofenadine.</w:t>
      </w:r>
    </w:p>
    <w:p w14:paraId="37563ED4" w14:textId="77777777" w:rsidR="00066D04" w:rsidRPr="00597CDF" w:rsidRDefault="00066D04" w:rsidP="00E00D81">
      <w:pPr>
        <w:pStyle w:val="PoisonsStandardScheduleEntry"/>
        <w:spacing w:before="120" w:after="120"/>
        <w:ind w:left="284" w:firstLine="0"/>
        <w:rPr>
          <w:rFonts w:ascii="Arial" w:hAnsi="Arial" w:cs="Arial"/>
          <w:b/>
          <w:bCs/>
          <w:sz w:val="20"/>
        </w:rPr>
      </w:pPr>
      <w:r w:rsidRPr="00597CDF">
        <w:rPr>
          <w:rFonts w:ascii="Arial" w:hAnsi="Arial" w:cs="Arial"/>
          <w:b/>
          <w:bCs/>
          <w:sz w:val="20"/>
        </w:rPr>
        <w:t>Index</w:t>
      </w:r>
    </w:p>
    <w:p w14:paraId="63638022" w14:textId="77777777" w:rsidR="00066D04" w:rsidRPr="00597CDF" w:rsidRDefault="00066D04" w:rsidP="00E00D81">
      <w:pPr>
        <w:spacing w:before="120" w:line="240" w:lineRule="auto"/>
        <w:ind w:left="567"/>
        <w:rPr>
          <w:rFonts w:cs="Arial"/>
          <w:b/>
          <w:bCs/>
        </w:rPr>
      </w:pPr>
      <w:r w:rsidRPr="00597CDF">
        <w:rPr>
          <w:rFonts w:cs="Arial"/>
          <w:b/>
          <w:bCs/>
        </w:rPr>
        <w:t xml:space="preserve">FEXOFENADINE </w:t>
      </w:r>
    </w:p>
    <w:p w14:paraId="7B3789B7" w14:textId="754148BB" w:rsidR="00066D04" w:rsidRPr="00597CDF" w:rsidRDefault="00066D04" w:rsidP="00E00D81">
      <w:pPr>
        <w:spacing w:before="120" w:line="240" w:lineRule="auto"/>
        <w:ind w:left="567"/>
        <w:rPr>
          <w:rFonts w:cs="Arial"/>
        </w:rPr>
      </w:pPr>
      <w:r w:rsidRPr="00597CDF">
        <w:rPr>
          <w:rFonts w:cs="Arial"/>
        </w:rPr>
        <w:t xml:space="preserve">Schedule </w:t>
      </w:r>
      <w:r w:rsidR="001C4507">
        <w:rPr>
          <w:rFonts w:cs="Arial"/>
        </w:rPr>
        <w:t>4</w:t>
      </w:r>
    </w:p>
    <w:p w14:paraId="1CAB2ADE" w14:textId="60996B71" w:rsidR="00066D04" w:rsidRPr="00597CDF" w:rsidRDefault="00066D04" w:rsidP="00E00D81">
      <w:pPr>
        <w:spacing w:before="120" w:line="240" w:lineRule="auto"/>
        <w:ind w:left="567"/>
        <w:rPr>
          <w:rFonts w:cs="Arial"/>
        </w:rPr>
      </w:pPr>
      <w:r w:rsidRPr="00597CDF">
        <w:rPr>
          <w:rFonts w:cs="Arial"/>
        </w:rPr>
        <w:t xml:space="preserve">Schedule </w:t>
      </w:r>
      <w:r w:rsidR="001C4507">
        <w:rPr>
          <w:rFonts w:cs="Arial"/>
        </w:rPr>
        <w:t>2</w:t>
      </w:r>
    </w:p>
    <w:p w14:paraId="4AF8E152" w14:textId="1D6F48A8" w:rsidR="00066D04" w:rsidRPr="00597CDF" w:rsidRDefault="00BF57A3" w:rsidP="00E33FF7">
      <w:pPr>
        <w:spacing w:before="120" w:line="240" w:lineRule="auto"/>
        <w:rPr>
          <w:rFonts w:cs="Arial"/>
        </w:rPr>
      </w:pPr>
      <w:r w:rsidRPr="00597CDF">
        <w:rPr>
          <w:rFonts w:cs="Arial"/>
        </w:rPr>
        <w:t>Fexofenadine is excluded from the entry for ANTIHISTAMINES under Appendix F, Clause 4 (Poisons that must be labelled with warning statements and safety directions) i.e. it does not require any warning statements and safety directions applicable to some other antihistamines.</w:t>
      </w:r>
    </w:p>
    <w:p w14:paraId="48E8DC22" w14:textId="063072BD" w:rsidR="00066D04" w:rsidRPr="00597CDF" w:rsidRDefault="00066D04" w:rsidP="00E33FF7">
      <w:pPr>
        <w:spacing w:before="120" w:line="240" w:lineRule="auto"/>
        <w:rPr>
          <w:rFonts w:cs="Arial"/>
        </w:rPr>
      </w:pPr>
      <w:r w:rsidRPr="00597CDF">
        <w:rPr>
          <w:rFonts w:cs="Arial"/>
        </w:rPr>
        <w:t>The applicant’s proposed amendments to the Poisons Standard are</w:t>
      </w:r>
      <w:r w:rsidR="00E002A5">
        <w:rPr>
          <w:rFonts w:cs="Arial"/>
        </w:rPr>
        <w:t>:</w:t>
      </w:r>
      <w:r w:rsidRPr="00597CDF">
        <w:rPr>
          <w:rFonts w:cs="Arial"/>
          <w:vertAlign w:val="superscript"/>
        </w:rPr>
        <w:footnoteReference w:id="5"/>
      </w:r>
    </w:p>
    <w:p w14:paraId="2851D9EC" w14:textId="77777777" w:rsidR="00066D04" w:rsidRPr="00597CDF" w:rsidRDefault="00066D04" w:rsidP="00541BFE">
      <w:pPr>
        <w:pStyle w:val="PoisonsStandardScheduleEntry"/>
        <w:spacing w:before="120" w:after="120"/>
        <w:ind w:left="284" w:firstLine="0"/>
        <w:rPr>
          <w:rFonts w:ascii="Arial" w:hAnsi="Arial" w:cs="Arial"/>
          <w:b/>
          <w:bCs/>
          <w:sz w:val="20"/>
        </w:rPr>
      </w:pPr>
      <w:r w:rsidRPr="00597CDF">
        <w:rPr>
          <w:rFonts w:ascii="Arial" w:hAnsi="Arial" w:cs="Arial"/>
          <w:b/>
          <w:bCs/>
          <w:sz w:val="20"/>
        </w:rPr>
        <w:t>Schedule 4 – Amend Entry</w:t>
      </w:r>
    </w:p>
    <w:p w14:paraId="6721F6D8" w14:textId="77777777" w:rsidR="00066D04" w:rsidRPr="00597CDF" w:rsidRDefault="00066D04" w:rsidP="00597CDF">
      <w:pPr>
        <w:pStyle w:val="PoisonsStandardScheduleEntry"/>
        <w:spacing w:before="120" w:after="120"/>
        <w:ind w:firstLine="0"/>
        <w:rPr>
          <w:rFonts w:ascii="Arial" w:hAnsi="Arial" w:cs="Arial"/>
          <w:sz w:val="20"/>
        </w:rPr>
      </w:pPr>
      <w:r w:rsidRPr="00597CDF">
        <w:rPr>
          <w:rFonts w:ascii="Arial" w:hAnsi="Arial" w:cs="Arial"/>
          <w:sz w:val="20"/>
        </w:rPr>
        <w:t xml:space="preserve">FEXOFENADINE </w:t>
      </w:r>
      <w:r w:rsidRPr="00597CDF">
        <w:rPr>
          <w:rFonts w:ascii="Arial" w:hAnsi="Arial" w:cs="Arial"/>
          <w:b/>
          <w:sz w:val="20"/>
        </w:rPr>
        <w:t>except</w:t>
      </w:r>
      <w:r w:rsidRPr="00597CDF">
        <w:rPr>
          <w:rFonts w:ascii="Arial" w:hAnsi="Arial" w:cs="Arial"/>
          <w:sz w:val="20"/>
        </w:rPr>
        <w:t xml:space="preserve">: </w:t>
      </w:r>
    </w:p>
    <w:p w14:paraId="1D079A95" w14:textId="528878D5" w:rsidR="00066D04" w:rsidRPr="00597CDF" w:rsidRDefault="00066D04" w:rsidP="00636A11">
      <w:pPr>
        <w:spacing w:before="120" w:line="240" w:lineRule="auto"/>
        <w:ind w:left="1134" w:hanging="414"/>
        <w:rPr>
          <w:rFonts w:cs="Arial"/>
        </w:rPr>
      </w:pPr>
      <w:r w:rsidRPr="00597CDF">
        <w:rPr>
          <w:rFonts w:cs="Arial"/>
        </w:rPr>
        <w:t>(a)</w:t>
      </w:r>
      <w:r w:rsidRPr="00597CDF">
        <w:rPr>
          <w:rFonts w:cs="Arial"/>
        </w:rPr>
        <w:tab/>
        <w:t>when included in Schedule 2; or</w:t>
      </w:r>
    </w:p>
    <w:p w14:paraId="47C1FF00" w14:textId="58905FB0" w:rsidR="00066D04" w:rsidRPr="00597CDF" w:rsidRDefault="00066D04" w:rsidP="00204C43">
      <w:pPr>
        <w:spacing w:before="120" w:line="240" w:lineRule="auto"/>
        <w:ind w:left="1134" w:hanging="425"/>
        <w:rPr>
          <w:rFonts w:cs="Arial"/>
        </w:rPr>
      </w:pPr>
      <w:r w:rsidRPr="00597CDF">
        <w:rPr>
          <w:rFonts w:cs="Arial"/>
        </w:rPr>
        <w:t>(b)</w:t>
      </w:r>
      <w:r w:rsidRPr="00597CDF">
        <w:rPr>
          <w:rFonts w:cs="Arial"/>
        </w:rPr>
        <w:tab/>
        <w:t>in divided preparations for the treatment of seasonal allergic rhinitis in adults and children 12 years of age and over when:</w:t>
      </w:r>
    </w:p>
    <w:p w14:paraId="786077AA" w14:textId="29C481DD" w:rsidR="00066D04" w:rsidRPr="00597CDF" w:rsidRDefault="00066D04" w:rsidP="006F12DF">
      <w:pPr>
        <w:pStyle w:val="paragraphsub"/>
        <w:tabs>
          <w:tab w:val="clear" w:pos="1985"/>
          <w:tab w:val="right" w:pos="1276"/>
        </w:tabs>
        <w:spacing w:before="120" w:after="120"/>
        <w:ind w:left="1701" w:hanging="283"/>
        <w:rPr>
          <w:rStyle w:val="fontstyle01"/>
          <w:rFonts w:ascii="Arial" w:hAnsi="Arial" w:cs="Arial"/>
          <w:sz w:val="20"/>
          <w:szCs w:val="20"/>
        </w:rPr>
      </w:pPr>
      <w:r w:rsidRPr="00597CDF">
        <w:rPr>
          <w:rFonts w:ascii="Arial" w:hAnsi="Arial" w:cs="Arial"/>
          <w:sz w:val="20"/>
        </w:rPr>
        <w:t>(</w:t>
      </w:r>
      <w:proofErr w:type="spellStart"/>
      <w:r w:rsidRPr="00597CDF">
        <w:rPr>
          <w:rFonts w:ascii="Arial" w:hAnsi="Arial" w:cs="Arial"/>
          <w:sz w:val="20"/>
        </w:rPr>
        <w:t>i</w:t>
      </w:r>
      <w:proofErr w:type="spellEnd"/>
      <w:r w:rsidRPr="00597CDF">
        <w:rPr>
          <w:rFonts w:ascii="Arial" w:hAnsi="Arial" w:cs="Arial"/>
          <w:sz w:val="20"/>
        </w:rPr>
        <w:t>)</w:t>
      </w:r>
      <w:r w:rsidRPr="00597CDF">
        <w:rPr>
          <w:rFonts w:ascii="Arial" w:hAnsi="Arial" w:cs="Arial"/>
          <w:sz w:val="20"/>
        </w:rPr>
        <w:tab/>
      </w:r>
      <w:r w:rsidRPr="00597CDF">
        <w:rPr>
          <w:rStyle w:val="fontstyle01"/>
          <w:rFonts w:ascii="Arial" w:hAnsi="Arial" w:cs="Arial"/>
          <w:sz w:val="20"/>
          <w:szCs w:val="20"/>
        </w:rPr>
        <w:t xml:space="preserve">in a primary pack containing 20 dosage units or less and not more than </w:t>
      </w:r>
      <w:r w:rsidRPr="00597CDF">
        <w:rPr>
          <w:rStyle w:val="fontstyle01"/>
          <w:rFonts w:ascii="Arial" w:hAnsi="Arial" w:cs="Arial"/>
          <w:strike/>
          <w:color w:val="FF0000"/>
          <w:sz w:val="20"/>
          <w:szCs w:val="20"/>
        </w:rPr>
        <w:t>10</w:t>
      </w:r>
      <w:r w:rsidRPr="00597CDF">
        <w:rPr>
          <w:rStyle w:val="fontstyle01"/>
          <w:rFonts w:ascii="Arial" w:hAnsi="Arial" w:cs="Arial"/>
          <w:color w:val="00B050"/>
          <w:sz w:val="20"/>
          <w:szCs w:val="20"/>
          <w:u w:val="single"/>
        </w:rPr>
        <w:t>20</w:t>
      </w:r>
      <w:r w:rsidRPr="00597CDF">
        <w:rPr>
          <w:rStyle w:val="fontstyle01"/>
          <w:rFonts w:ascii="Arial" w:hAnsi="Arial" w:cs="Arial"/>
          <w:sz w:val="20"/>
          <w:szCs w:val="20"/>
        </w:rPr>
        <w:t xml:space="preserve"> days’ supply; and</w:t>
      </w:r>
    </w:p>
    <w:p w14:paraId="27DBBEB4" w14:textId="72B6BB92" w:rsidR="00066D04" w:rsidRPr="00597CDF" w:rsidRDefault="00066D04" w:rsidP="006F12DF">
      <w:pPr>
        <w:pStyle w:val="paragraphsub"/>
        <w:tabs>
          <w:tab w:val="clear" w:pos="1985"/>
          <w:tab w:val="right" w:pos="1276"/>
        </w:tabs>
        <w:spacing w:before="120" w:after="120"/>
        <w:ind w:left="1701" w:hanging="283"/>
        <w:rPr>
          <w:rFonts w:ascii="Arial" w:hAnsi="Arial" w:cs="Arial"/>
          <w:color w:val="000000"/>
          <w:sz w:val="20"/>
        </w:rPr>
      </w:pPr>
      <w:r w:rsidRPr="00597CDF">
        <w:rPr>
          <w:rStyle w:val="fontstyle01"/>
          <w:rFonts w:ascii="Arial" w:hAnsi="Arial" w:cs="Arial"/>
          <w:sz w:val="20"/>
          <w:szCs w:val="20"/>
        </w:rPr>
        <w:t>(ii)</w:t>
      </w:r>
      <w:r w:rsidRPr="00597CDF">
        <w:rPr>
          <w:rStyle w:val="fontstyle01"/>
          <w:rFonts w:ascii="Arial" w:hAnsi="Arial" w:cs="Arial"/>
          <w:sz w:val="20"/>
          <w:szCs w:val="20"/>
        </w:rPr>
        <w:tab/>
        <w:t xml:space="preserve">labelled with a recommended daily dose not exceeding </w:t>
      </w:r>
      <w:r w:rsidRPr="00597CDF">
        <w:rPr>
          <w:rStyle w:val="fontstyle01"/>
          <w:rFonts w:ascii="Arial" w:hAnsi="Arial" w:cs="Arial"/>
          <w:strike/>
          <w:color w:val="FF0000"/>
          <w:sz w:val="20"/>
          <w:szCs w:val="20"/>
        </w:rPr>
        <w:t>120</w:t>
      </w:r>
      <w:r w:rsidRPr="00597CDF">
        <w:rPr>
          <w:rStyle w:val="fontstyle01"/>
          <w:rFonts w:ascii="Arial" w:hAnsi="Arial" w:cs="Arial"/>
          <w:color w:val="00B050"/>
          <w:sz w:val="20"/>
          <w:szCs w:val="20"/>
          <w:u w:val="single"/>
        </w:rPr>
        <w:t>180</w:t>
      </w:r>
      <w:r w:rsidRPr="00597CDF">
        <w:rPr>
          <w:rStyle w:val="fontstyle01"/>
          <w:rFonts w:ascii="Arial" w:hAnsi="Arial" w:cs="Arial"/>
          <w:color w:val="FF0000"/>
          <w:sz w:val="20"/>
          <w:szCs w:val="20"/>
        </w:rPr>
        <w:t xml:space="preserve"> </w:t>
      </w:r>
      <w:r w:rsidRPr="00597CDF">
        <w:rPr>
          <w:rStyle w:val="fontstyle01"/>
          <w:rFonts w:ascii="Arial" w:hAnsi="Arial" w:cs="Arial"/>
          <w:sz w:val="20"/>
          <w:szCs w:val="20"/>
        </w:rPr>
        <w:t>mg of fexofenadine; or</w:t>
      </w:r>
    </w:p>
    <w:p w14:paraId="342FC24D" w14:textId="35B3DAC0" w:rsidR="00066D04" w:rsidRPr="00597CDF" w:rsidRDefault="00066D04" w:rsidP="00204C43">
      <w:pPr>
        <w:spacing w:before="120" w:line="240" w:lineRule="auto"/>
        <w:ind w:left="1134" w:hanging="425"/>
        <w:rPr>
          <w:rFonts w:cs="Arial"/>
          <w:strike/>
          <w:color w:val="FF0000"/>
        </w:rPr>
      </w:pPr>
      <w:r w:rsidRPr="00597CDF">
        <w:rPr>
          <w:rFonts w:cs="Arial"/>
          <w:strike/>
          <w:color w:val="FF0000"/>
        </w:rPr>
        <w:t>(c)</w:t>
      </w:r>
      <w:r w:rsidRPr="00597CDF">
        <w:rPr>
          <w:rFonts w:cs="Arial"/>
          <w:strike/>
          <w:color w:val="FF0000"/>
        </w:rPr>
        <w:tab/>
        <w:t>for the treatment of seasonal allergic rhinitis in adults and children 12 years of age and over when:</w:t>
      </w:r>
    </w:p>
    <w:p w14:paraId="273DE5AE" w14:textId="77777777" w:rsidR="00066D04" w:rsidRPr="00597CDF" w:rsidRDefault="00066D04" w:rsidP="00E33FF7">
      <w:pPr>
        <w:pStyle w:val="paragraphsub"/>
        <w:tabs>
          <w:tab w:val="clear" w:pos="1985"/>
          <w:tab w:val="right" w:pos="1276"/>
        </w:tabs>
        <w:spacing w:before="120" w:after="120"/>
        <w:ind w:left="1418" w:hanging="1418"/>
        <w:rPr>
          <w:rStyle w:val="fontstyle01"/>
          <w:rFonts w:ascii="Arial" w:hAnsi="Arial" w:cs="Arial"/>
          <w:strike/>
          <w:color w:val="FF0000"/>
          <w:sz w:val="20"/>
          <w:szCs w:val="20"/>
        </w:rPr>
      </w:pPr>
      <w:r w:rsidRPr="00597CDF">
        <w:rPr>
          <w:rFonts w:ascii="Arial" w:hAnsi="Arial" w:cs="Arial"/>
          <w:strike/>
          <w:color w:val="FF0000"/>
          <w:sz w:val="20"/>
        </w:rPr>
        <w:tab/>
        <w:t>(</w:t>
      </w:r>
      <w:proofErr w:type="spellStart"/>
      <w:r w:rsidRPr="00597CDF">
        <w:rPr>
          <w:rFonts w:ascii="Arial" w:hAnsi="Arial" w:cs="Arial"/>
          <w:strike/>
          <w:color w:val="FF0000"/>
          <w:sz w:val="20"/>
        </w:rPr>
        <w:t>i</w:t>
      </w:r>
      <w:proofErr w:type="spellEnd"/>
      <w:r w:rsidRPr="00597CDF">
        <w:rPr>
          <w:rFonts w:ascii="Arial" w:hAnsi="Arial" w:cs="Arial"/>
          <w:strike/>
          <w:color w:val="FF0000"/>
          <w:sz w:val="20"/>
        </w:rPr>
        <w:t>)</w:t>
      </w:r>
      <w:r w:rsidRPr="00597CDF">
        <w:rPr>
          <w:rFonts w:ascii="Arial" w:hAnsi="Arial" w:cs="Arial"/>
          <w:strike/>
          <w:color w:val="FF0000"/>
          <w:sz w:val="20"/>
        </w:rPr>
        <w:tab/>
      </w:r>
      <w:r w:rsidRPr="00597CDF">
        <w:rPr>
          <w:rStyle w:val="fontstyle01"/>
          <w:rFonts w:ascii="Arial" w:hAnsi="Arial" w:cs="Arial"/>
          <w:strike/>
          <w:color w:val="FF0000"/>
          <w:sz w:val="20"/>
          <w:szCs w:val="20"/>
        </w:rPr>
        <w:t>in a primary pack containing 10 dosage units or less and not more than 10 days’ supply; and</w:t>
      </w:r>
    </w:p>
    <w:p w14:paraId="0CA118A9" w14:textId="77777777" w:rsidR="00066D04" w:rsidRPr="00597CDF" w:rsidRDefault="00066D04" w:rsidP="00E33FF7">
      <w:pPr>
        <w:pStyle w:val="paragraphsub"/>
        <w:tabs>
          <w:tab w:val="clear" w:pos="1985"/>
          <w:tab w:val="right" w:pos="1276"/>
        </w:tabs>
        <w:spacing w:before="120" w:after="120"/>
        <w:ind w:left="1418" w:hanging="1418"/>
        <w:rPr>
          <w:rFonts w:ascii="Arial" w:hAnsi="Arial" w:cs="Arial"/>
          <w:strike/>
          <w:color w:val="FF0000"/>
          <w:sz w:val="20"/>
        </w:rPr>
      </w:pPr>
      <w:r w:rsidRPr="00597CDF">
        <w:rPr>
          <w:rStyle w:val="fontstyle01"/>
          <w:rFonts w:ascii="Arial" w:hAnsi="Arial" w:cs="Arial"/>
          <w:strike/>
          <w:color w:val="FF0000"/>
          <w:sz w:val="20"/>
          <w:szCs w:val="20"/>
        </w:rPr>
        <w:tab/>
        <w:t>(ii)</w:t>
      </w:r>
      <w:r w:rsidRPr="00597CDF">
        <w:rPr>
          <w:rStyle w:val="fontstyle01"/>
          <w:rFonts w:ascii="Arial" w:hAnsi="Arial" w:cs="Arial"/>
          <w:strike/>
          <w:color w:val="FF0000"/>
          <w:sz w:val="20"/>
          <w:szCs w:val="20"/>
        </w:rPr>
        <w:tab/>
        <w:t>labelled with a recommended daily dose not exceeding 180 mg of fexofenadine; or</w:t>
      </w:r>
    </w:p>
    <w:p w14:paraId="1B3BB3B5" w14:textId="4FDBBC3C" w:rsidR="00066D04" w:rsidRPr="00597CDF" w:rsidRDefault="00066D04" w:rsidP="00204C43">
      <w:pPr>
        <w:spacing w:before="120" w:line="240" w:lineRule="auto"/>
        <w:ind w:left="1134" w:hanging="425"/>
        <w:rPr>
          <w:rFonts w:cs="Arial"/>
        </w:rPr>
      </w:pPr>
      <w:r w:rsidRPr="00597CDF">
        <w:rPr>
          <w:rFonts w:cs="Arial"/>
        </w:rPr>
        <w:t>(</w:t>
      </w:r>
      <w:r w:rsidRPr="00597CDF">
        <w:rPr>
          <w:rFonts w:cs="Arial"/>
          <w:strike/>
          <w:color w:val="FF0000"/>
        </w:rPr>
        <w:t>d</w:t>
      </w:r>
      <w:r w:rsidRPr="00597CDF">
        <w:rPr>
          <w:rFonts w:cs="Arial"/>
          <w:color w:val="00B050"/>
          <w:u w:val="single"/>
        </w:rPr>
        <w:t>c</w:t>
      </w:r>
      <w:r w:rsidRPr="00597CDF">
        <w:rPr>
          <w:rFonts w:cs="Arial"/>
        </w:rPr>
        <w:t>)</w:t>
      </w:r>
      <w:r w:rsidRPr="00597CDF">
        <w:rPr>
          <w:rFonts w:cs="Arial"/>
        </w:rPr>
        <w:tab/>
        <w:t>for the treatment of seasonal allergic rhinitis and children 6 years of age and over when:</w:t>
      </w:r>
    </w:p>
    <w:p w14:paraId="5C69F5F4" w14:textId="3FD72075" w:rsidR="00066D04" w:rsidRPr="00597CDF" w:rsidRDefault="00066D04" w:rsidP="006F12DF">
      <w:pPr>
        <w:pStyle w:val="paragraphsub"/>
        <w:tabs>
          <w:tab w:val="clear" w:pos="1985"/>
          <w:tab w:val="right" w:pos="1276"/>
        </w:tabs>
        <w:spacing w:before="120" w:after="120"/>
        <w:ind w:left="1701" w:hanging="283"/>
        <w:rPr>
          <w:rStyle w:val="fontstyle01"/>
          <w:rFonts w:ascii="Arial" w:hAnsi="Arial" w:cs="Arial"/>
          <w:sz w:val="20"/>
          <w:szCs w:val="20"/>
        </w:rPr>
      </w:pPr>
      <w:r w:rsidRPr="00597CDF">
        <w:rPr>
          <w:rFonts w:ascii="Arial" w:hAnsi="Arial" w:cs="Arial"/>
          <w:sz w:val="20"/>
        </w:rPr>
        <w:t>(</w:t>
      </w:r>
      <w:proofErr w:type="spellStart"/>
      <w:r w:rsidRPr="00597CDF">
        <w:rPr>
          <w:rFonts w:ascii="Arial" w:hAnsi="Arial" w:cs="Arial"/>
          <w:sz w:val="20"/>
        </w:rPr>
        <w:t>i</w:t>
      </w:r>
      <w:proofErr w:type="spellEnd"/>
      <w:r w:rsidRPr="00597CDF">
        <w:rPr>
          <w:rFonts w:ascii="Arial" w:hAnsi="Arial" w:cs="Arial"/>
          <w:sz w:val="20"/>
        </w:rPr>
        <w:t>)</w:t>
      </w:r>
      <w:r w:rsidRPr="00597CDF">
        <w:rPr>
          <w:rFonts w:ascii="Arial" w:hAnsi="Arial" w:cs="Arial"/>
          <w:sz w:val="20"/>
        </w:rPr>
        <w:tab/>
      </w:r>
      <w:r w:rsidRPr="00597CDF">
        <w:rPr>
          <w:rStyle w:val="fontstyle01"/>
          <w:rFonts w:ascii="Arial" w:hAnsi="Arial" w:cs="Arial"/>
          <w:sz w:val="20"/>
          <w:szCs w:val="20"/>
        </w:rPr>
        <w:t>in a primary pack containing 20 dosage units or less and not more than 10 days’ supply; and</w:t>
      </w:r>
    </w:p>
    <w:p w14:paraId="36805732" w14:textId="2B40BCFC" w:rsidR="00D26E0B" w:rsidRPr="00E00D81" w:rsidRDefault="00066D04" w:rsidP="00E00D81">
      <w:pPr>
        <w:pStyle w:val="paragraphsub"/>
        <w:tabs>
          <w:tab w:val="clear" w:pos="1985"/>
          <w:tab w:val="right" w:pos="1276"/>
        </w:tabs>
        <w:spacing w:before="120" w:after="120"/>
        <w:ind w:left="1701" w:hanging="283"/>
        <w:rPr>
          <w:rFonts w:ascii="Arial" w:hAnsi="Arial" w:cs="Arial"/>
          <w:b/>
          <w:bCs/>
          <w:color w:val="000000"/>
          <w:sz w:val="20"/>
        </w:rPr>
      </w:pPr>
      <w:r w:rsidRPr="00597CDF">
        <w:rPr>
          <w:rStyle w:val="fontstyle01"/>
          <w:rFonts w:ascii="Arial" w:hAnsi="Arial" w:cs="Arial"/>
          <w:sz w:val="20"/>
          <w:szCs w:val="20"/>
        </w:rPr>
        <w:t>(ii)</w:t>
      </w:r>
      <w:r w:rsidRPr="00597CDF">
        <w:rPr>
          <w:rStyle w:val="fontstyle01"/>
          <w:rFonts w:ascii="Arial" w:hAnsi="Arial" w:cs="Arial"/>
          <w:sz w:val="20"/>
          <w:szCs w:val="20"/>
        </w:rPr>
        <w:tab/>
        <w:t>labelled with a recommended daily dose not exceeding 60 mg of fexofenadine.</w:t>
      </w:r>
    </w:p>
    <w:p w14:paraId="3DA981C7" w14:textId="1FB8F646" w:rsidR="00066D04" w:rsidRPr="00597CDF" w:rsidRDefault="00066D04" w:rsidP="00541BFE">
      <w:pPr>
        <w:pStyle w:val="PoisonsStandardScheduleEntry"/>
        <w:spacing w:before="120" w:after="120"/>
        <w:ind w:left="284" w:firstLine="0"/>
        <w:rPr>
          <w:rFonts w:ascii="Arial" w:hAnsi="Arial" w:cs="Arial"/>
          <w:b/>
          <w:bCs/>
          <w:sz w:val="20"/>
        </w:rPr>
      </w:pPr>
      <w:r w:rsidRPr="00597CDF">
        <w:rPr>
          <w:rFonts w:ascii="Arial" w:hAnsi="Arial" w:cs="Arial"/>
          <w:b/>
          <w:bCs/>
          <w:sz w:val="20"/>
        </w:rPr>
        <w:t>Schedule 2 – Amend Entry</w:t>
      </w:r>
    </w:p>
    <w:p w14:paraId="2AE47C65" w14:textId="77777777" w:rsidR="00066D04" w:rsidRPr="00597CDF" w:rsidRDefault="00066D04" w:rsidP="00597CDF">
      <w:pPr>
        <w:pStyle w:val="PoisonsStandardScheduleEntry"/>
        <w:spacing w:before="120" w:after="120"/>
        <w:ind w:firstLine="0"/>
        <w:rPr>
          <w:rFonts w:ascii="Arial" w:hAnsi="Arial" w:cs="Arial"/>
          <w:sz w:val="20"/>
        </w:rPr>
      </w:pPr>
      <w:r w:rsidRPr="00597CDF">
        <w:rPr>
          <w:rFonts w:ascii="Arial" w:hAnsi="Arial" w:cs="Arial"/>
          <w:sz w:val="20"/>
        </w:rPr>
        <w:t xml:space="preserve">FEXOFENADINE in preparations for oral use </w:t>
      </w:r>
      <w:r w:rsidRPr="00597CDF">
        <w:rPr>
          <w:rFonts w:ascii="Arial" w:hAnsi="Arial" w:cs="Arial"/>
          <w:b/>
          <w:sz w:val="20"/>
        </w:rPr>
        <w:t>except</w:t>
      </w:r>
      <w:r w:rsidRPr="00597CDF">
        <w:rPr>
          <w:rFonts w:ascii="Arial" w:hAnsi="Arial" w:cs="Arial"/>
          <w:sz w:val="20"/>
        </w:rPr>
        <w:t xml:space="preserve"> in divided preparations:</w:t>
      </w:r>
    </w:p>
    <w:p w14:paraId="1A850503" w14:textId="03312811" w:rsidR="00066D04" w:rsidRPr="00597CDF" w:rsidRDefault="00066D04" w:rsidP="00204C43">
      <w:pPr>
        <w:spacing w:before="120" w:line="240" w:lineRule="auto"/>
        <w:ind w:left="1134" w:hanging="425"/>
        <w:rPr>
          <w:rFonts w:cs="Arial"/>
        </w:rPr>
      </w:pPr>
      <w:r w:rsidRPr="00597CDF">
        <w:rPr>
          <w:rFonts w:cs="Arial"/>
        </w:rPr>
        <w:t>(a)</w:t>
      </w:r>
      <w:r w:rsidRPr="00597CDF">
        <w:rPr>
          <w:rFonts w:cs="Arial"/>
        </w:rPr>
        <w:tab/>
        <w:t>for the treatment of seasonal allergic rhinitis in adults and children 12 years of age and over when:</w:t>
      </w:r>
    </w:p>
    <w:p w14:paraId="7C1E0127" w14:textId="013CB916" w:rsidR="00066D04" w:rsidRPr="00597CDF" w:rsidRDefault="00066D04" w:rsidP="00EC1BB4">
      <w:pPr>
        <w:pStyle w:val="paragraphsub"/>
        <w:tabs>
          <w:tab w:val="clear" w:pos="1985"/>
          <w:tab w:val="right" w:pos="1276"/>
        </w:tabs>
        <w:spacing w:before="120" w:after="120"/>
        <w:ind w:left="1701" w:hanging="283"/>
        <w:rPr>
          <w:rStyle w:val="fontstyle01"/>
          <w:rFonts w:ascii="Arial" w:hAnsi="Arial" w:cs="Arial"/>
          <w:sz w:val="20"/>
          <w:szCs w:val="20"/>
        </w:rPr>
      </w:pPr>
      <w:r w:rsidRPr="00597CDF">
        <w:rPr>
          <w:rFonts w:ascii="Arial" w:hAnsi="Arial" w:cs="Arial"/>
          <w:sz w:val="20"/>
        </w:rPr>
        <w:t>(</w:t>
      </w:r>
      <w:proofErr w:type="spellStart"/>
      <w:r w:rsidRPr="00597CDF">
        <w:rPr>
          <w:rFonts w:ascii="Arial" w:hAnsi="Arial" w:cs="Arial"/>
          <w:sz w:val="20"/>
        </w:rPr>
        <w:t>i</w:t>
      </w:r>
      <w:proofErr w:type="spellEnd"/>
      <w:r w:rsidRPr="00597CDF">
        <w:rPr>
          <w:rFonts w:ascii="Arial" w:hAnsi="Arial" w:cs="Arial"/>
          <w:sz w:val="20"/>
        </w:rPr>
        <w:t>)</w:t>
      </w:r>
      <w:r w:rsidRPr="00597CDF">
        <w:rPr>
          <w:rFonts w:ascii="Arial" w:hAnsi="Arial" w:cs="Arial"/>
          <w:sz w:val="20"/>
        </w:rPr>
        <w:tab/>
      </w:r>
      <w:r w:rsidRPr="00597CDF">
        <w:rPr>
          <w:rStyle w:val="fontstyle01"/>
          <w:rFonts w:ascii="Arial" w:hAnsi="Arial" w:cs="Arial"/>
          <w:sz w:val="20"/>
          <w:szCs w:val="20"/>
        </w:rPr>
        <w:t xml:space="preserve">in a primary pack containing 20 dosage units or less and not more than </w:t>
      </w:r>
      <w:r w:rsidRPr="00597CDF">
        <w:rPr>
          <w:rStyle w:val="fontstyle01"/>
          <w:rFonts w:ascii="Arial" w:hAnsi="Arial" w:cs="Arial"/>
          <w:strike/>
          <w:color w:val="FF0000"/>
          <w:sz w:val="20"/>
          <w:szCs w:val="20"/>
        </w:rPr>
        <w:t>10</w:t>
      </w:r>
      <w:r w:rsidRPr="00597CDF">
        <w:rPr>
          <w:rStyle w:val="fontstyle01"/>
          <w:rFonts w:ascii="Arial" w:hAnsi="Arial" w:cs="Arial"/>
          <w:color w:val="00B050"/>
          <w:sz w:val="20"/>
          <w:szCs w:val="20"/>
          <w:u w:val="single"/>
        </w:rPr>
        <w:t>20</w:t>
      </w:r>
      <w:r w:rsidRPr="00597CDF">
        <w:rPr>
          <w:rStyle w:val="fontstyle01"/>
          <w:rFonts w:ascii="Arial" w:hAnsi="Arial" w:cs="Arial"/>
          <w:sz w:val="20"/>
          <w:szCs w:val="20"/>
        </w:rPr>
        <w:t xml:space="preserve"> days’ supply; and</w:t>
      </w:r>
    </w:p>
    <w:p w14:paraId="261F36CC" w14:textId="119529AE" w:rsidR="00066D04" w:rsidRPr="00597CDF" w:rsidRDefault="00066D04" w:rsidP="00EC1BB4">
      <w:pPr>
        <w:pStyle w:val="paragraphsub"/>
        <w:tabs>
          <w:tab w:val="clear" w:pos="1985"/>
          <w:tab w:val="right" w:pos="1276"/>
        </w:tabs>
        <w:spacing w:before="120" w:after="120"/>
        <w:ind w:left="1701" w:hanging="283"/>
        <w:rPr>
          <w:rStyle w:val="fontstyle01"/>
          <w:rFonts w:ascii="Arial" w:hAnsi="Arial" w:cs="Arial"/>
          <w:sz w:val="20"/>
          <w:szCs w:val="20"/>
        </w:rPr>
      </w:pPr>
      <w:r w:rsidRPr="00597CDF">
        <w:rPr>
          <w:rStyle w:val="fontstyle01"/>
          <w:rFonts w:ascii="Arial" w:hAnsi="Arial" w:cs="Arial"/>
          <w:sz w:val="20"/>
          <w:szCs w:val="20"/>
        </w:rPr>
        <w:t>(ii)</w:t>
      </w:r>
      <w:r w:rsidRPr="00597CDF">
        <w:rPr>
          <w:rStyle w:val="fontstyle01"/>
          <w:rFonts w:ascii="Arial" w:hAnsi="Arial" w:cs="Arial"/>
          <w:sz w:val="20"/>
          <w:szCs w:val="20"/>
        </w:rPr>
        <w:tab/>
        <w:t xml:space="preserve">labelled with a recommended daily dose not exceeding </w:t>
      </w:r>
      <w:r w:rsidRPr="00597CDF">
        <w:rPr>
          <w:rStyle w:val="fontstyle01"/>
          <w:rFonts w:ascii="Arial" w:hAnsi="Arial" w:cs="Arial"/>
          <w:strike/>
          <w:color w:val="FF0000"/>
          <w:sz w:val="20"/>
          <w:szCs w:val="20"/>
        </w:rPr>
        <w:t>120</w:t>
      </w:r>
      <w:r w:rsidRPr="00597CDF">
        <w:rPr>
          <w:rStyle w:val="fontstyle01"/>
          <w:rFonts w:ascii="Arial" w:hAnsi="Arial" w:cs="Arial"/>
          <w:color w:val="00B050"/>
          <w:sz w:val="20"/>
          <w:szCs w:val="20"/>
          <w:u w:val="single"/>
        </w:rPr>
        <w:t>180</w:t>
      </w:r>
      <w:r w:rsidRPr="00597CDF">
        <w:rPr>
          <w:rStyle w:val="fontstyle01"/>
          <w:rFonts w:ascii="Arial" w:hAnsi="Arial" w:cs="Arial"/>
          <w:color w:val="FF0000"/>
          <w:sz w:val="20"/>
          <w:szCs w:val="20"/>
        </w:rPr>
        <w:t xml:space="preserve"> </w:t>
      </w:r>
      <w:r w:rsidRPr="00597CDF">
        <w:rPr>
          <w:rStyle w:val="fontstyle01"/>
          <w:rFonts w:ascii="Arial" w:hAnsi="Arial" w:cs="Arial"/>
          <w:sz w:val="20"/>
          <w:szCs w:val="20"/>
        </w:rPr>
        <w:t>mg of fexofenadine; or</w:t>
      </w:r>
    </w:p>
    <w:p w14:paraId="1685ECE1" w14:textId="0FDAB752" w:rsidR="00066D04" w:rsidRPr="00597CDF" w:rsidRDefault="00066D04" w:rsidP="00204C43">
      <w:pPr>
        <w:spacing w:before="120" w:line="240" w:lineRule="auto"/>
        <w:ind w:left="1134" w:hanging="425"/>
        <w:rPr>
          <w:rFonts w:cs="Arial"/>
          <w:strike/>
          <w:color w:val="FF0000"/>
        </w:rPr>
      </w:pPr>
      <w:r w:rsidRPr="00597CDF">
        <w:rPr>
          <w:rFonts w:cs="Arial"/>
          <w:strike/>
          <w:color w:val="FF0000"/>
        </w:rPr>
        <w:t>(b)</w:t>
      </w:r>
      <w:r w:rsidRPr="00597CDF">
        <w:rPr>
          <w:rFonts w:cs="Arial"/>
          <w:strike/>
          <w:color w:val="FF0000"/>
        </w:rPr>
        <w:tab/>
        <w:t>for the treatment of seasonal allergic rhinitis in adults and children 12 years of age and over when:</w:t>
      </w:r>
    </w:p>
    <w:p w14:paraId="2ADD3321" w14:textId="40137464" w:rsidR="00066D04" w:rsidRPr="00597CDF" w:rsidRDefault="00066D04" w:rsidP="00EC1BB4">
      <w:pPr>
        <w:pStyle w:val="paragraphsub"/>
        <w:tabs>
          <w:tab w:val="clear" w:pos="1985"/>
          <w:tab w:val="right" w:pos="1276"/>
        </w:tabs>
        <w:spacing w:before="120" w:after="120"/>
        <w:ind w:left="1701" w:hanging="283"/>
        <w:rPr>
          <w:rStyle w:val="fontstyle01"/>
          <w:rFonts w:ascii="Arial" w:hAnsi="Arial" w:cs="Arial"/>
          <w:strike/>
          <w:color w:val="FF0000"/>
          <w:sz w:val="20"/>
          <w:szCs w:val="20"/>
        </w:rPr>
      </w:pPr>
      <w:r w:rsidRPr="00597CDF">
        <w:rPr>
          <w:rFonts w:ascii="Arial" w:hAnsi="Arial" w:cs="Arial"/>
          <w:strike/>
          <w:color w:val="FF0000"/>
          <w:sz w:val="20"/>
        </w:rPr>
        <w:lastRenderedPageBreak/>
        <w:t>(</w:t>
      </w:r>
      <w:proofErr w:type="spellStart"/>
      <w:r w:rsidRPr="00597CDF">
        <w:rPr>
          <w:rFonts w:ascii="Arial" w:hAnsi="Arial" w:cs="Arial"/>
          <w:strike/>
          <w:color w:val="FF0000"/>
          <w:sz w:val="20"/>
        </w:rPr>
        <w:t>i</w:t>
      </w:r>
      <w:proofErr w:type="spellEnd"/>
      <w:r w:rsidRPr="00597CDF">
        <w:rPr>
          <w:rFonts w:ascii="Arial" w:hAnsi="Arial" w:cs="Arial"/>
          <w:strike/>
          <w:color w:val="FF0000"/>
          <w:sz w:val="20"/>
        </w:rPr>
        <w:t>)</w:t>
      </w:r>
      <w:r w:rsidRPr="00597CDF">
        <w:rPr>
          <w:rFonts w:ascii="Arial" w:hAnsi="Arial" w:cs="Arial"/>
          <w:strike/>
          <w:color w:val="FF0000"/>
          <w:sz w:val="20"/>
        </w:rPr>
        <w:tab/>
      </w:r>
      <w:r w:rsidRPr="00597CDF">
        <w:rPr>
          <w:rStyle w:val="fontstyle01"/>
          <w:rFonts w:ascii="Arial" w:hAnsi="Arial" w:cs="Arial"/>
          <w:strike/>
          <w:color w:val="FF0000"/>
          <w:sz w:val="20"/>
          <w:szCs w:val="20"/>
        </w:rPr>
        <w:t>in a primary pack containing 10 dosage units or less and not more than 10 days’ supply; and</w:t>
      </w:r>
    </w:p>
    <w:p w14:paraId="02FF4618" w14:textId="4564FC31" w:rsidR="00066D04" w:rsidRPr="00597CDF" w:rsidRDefault="00066D04" w:rsidP="00EC1BB4">
      <w:pPr>
        <w:pStyle w:val="paragraphsub"/>
        <w:tabs>
          <w:tab w:val="clear" w:pos="1985"/>
          <w:tab w:val="right" w:pos="1276"/>
        </w:tabs>
        <w:spacing w:before="120" w:after="120"/>
        <w:ind w:left="1701" w:hanging="283"/>
        <w:rPr>
          <w:rStyle w:val="fontstyle01"/>
          <w:rFonts w:ascii="Arial" w:hAnsi="Arial" w:cs="Arial"/>
          <w:strike/>
          <w:color w:val="FF0000"/>
          <w:sz w:val="20"/>
          <w:szCs w:val="20"/>
        </w:rPr>
      </w:pPr>
      <w:r w:rsidRPr="00597CDF">
        <w:rPr>
          <w:rStyle w:val="fontstyle01"/>
          <w:rFonts w:ascii="Arial" w:hAnsi="Arial" w:cs="Arial"/>
          <w:strike/>
          <w:color w:val="FF0000"/>
          <w:sz w:val="20"/>
          <w:szCs w:val="20"/>
        </w:rPr>
        <w:t>(ii)</w:t>
      </w:r>
      <w:r w:rsidRPr="00597CDF">
        <w:rPr>
          <w:rStyle w:val="fontstyle01"/>
          <w:rFonts w:ascii="Arial" w:hAnsi="Arial" w:cs="Arial"/>
          <w:strike/>
          <w:color w:val="FF0000"/>
          <w:sz w:val="20"/>
          <w:szCs w:val="20"/>
        </w:rPr>
        <w:tab/>
        <w:t>labelled with a recommended daily dose not exceeding 180 mg of fexofenadine; or</w:t>
      </w:r>
    </w:p>
    <w:p w14:paraId="1630B6AD" w14:textId="54B77F89" w:rsidR="00066D04" w:rsidRPr="00597CDF" w:rsidRDefault="00066D04" w:rsidP="00204C43">
      <w:pPr>
        <w:spacing w:before="120" w:line="240" w:lineRule="auto"/>
        <w:ind w:left="1134" w:hanging="425"/>
        <w:rPr>
          <w:rFonts w:cs="Arial"/>
        </w:rPr>
      </w:pPr>
      <w:r w:rsidRPr="00597CDF">
        <w:rPr>
          <w:rFonts w:cs="Arial"/>
        </w:rPr>
        <w:t>(</w:t>
      </w:r>
      <w:proofErr w:type="spellStart"/>
      <w:r w:rsidRPr="00597CDF">
        <w:rPr>
          <w:rFonts w:cs="Arial"/>
          <w:strike/>
          <w:color w:val="FF0000"/>
        </w:rPr>
        <w:t>c</w:t>
      </w:r>
      <w:r w:rsidRPr="00597CDF">
        <w:rPr>
          <w:rFonts w:cs="Arial"/>
          <w:color w:val="00B050"/>
          <w:u w:val="single"/>
        </w:rPr>
        <w:t>b</w:t>
      </w:r>
      <w:proofErr w:type="spellEnd"/>
      <w:r w:rsidRPr="00597CDF">
        <w:rPr>
          <w:rFonts w:cs="Arial"/>
        </w:rPr>
        <w:t>)</w:t>
      </w:r>
      <w:r w:rsidRPr="00597CDF">
        <w:rPr>
          <w:rFonts w:cs="Arial"/>
        </w:rPr>
        <w:tab/>
        <w:t>for the treatment of seasonal allergic rhinitis and children 6 years of age and over when:</w:t>
      </w:r>
    </w:p>
    <w:p w14:paraId="65DCC7EA" w14:textId="10D3B6F1" w:rsidR="00066D04" w:rsidRPr="00597CDF" w:rsidRDefault="00066D04" w:rsidP="00EC1BB4">
      <w:pPr>
        <w:pStyle w:val="paragraphsub"/>
        <w:tabs>
          <w:tab w:val="clear" w:pos="1985"/>
          <w:tab w:val="right" w:pos="1276"/>
        </w:tabs>
        <w:spacing w:before="120" w:after="120"/>
        <w:ind w:left="1701" w:hanging="283"/>
        <w:rPr>
          <w:rStyle w:val="fontstyle01"/>
          <w:rFonts w:ascii="Arial" w:hAnsi="Arial" w:cs="Arial"/>
          <w:sz w:val="20"/>
          <w:szCs w:val="20"/>
        </w:rPr>
      </w:pPr>
      <w:r w:rsidRPr="00597CDF">
        <w:rPr>
          <w:rFonts w:ascii="Arial" w:hAnsi="Arial" w:cs="Arial"/>
          <w:sz w:val="20"/>
        </w:rPr>
        <w:t>(</w:t>
      </w:r>
      <w:proofErr w:type="spellStart"/>
      <w:r w:rsidRPr="00597CDF">
        <w:rPr>
          <w:rFonts w:ascii="Arial" w:hAnsi="Arial" w:cs="Arial"/>
          <w:sz w:val="20"/>
        </w:rPr>
        <w:t>i</w:t>
      </w:r>
      <w:proofErr w:type="spellEnd"/>
      <w:r w:rsidRPr="00597CDF">
        <w:rPr>
          <w:rFonts w:ascii="Arial" w:hAnsi="Arial" w:cs="Arial"/>
          <w:sz w:val="20"/>
        </w:rPr>
        <w:t>)</w:t>
      </w:r>
      <w:r w:rsidRPr="00597CDF">
        <w:rPr>
          <w:rFonts w:ascii="Arial" w:hAnsi="Arial" w:cs="Arial"/>
          <w:sz w:val="20"/>
        </w:rPr>
        <w:tab/>
      </w:r>
      <w:r w:rsidRPr="00597CDF">
        <w:rPr>
          <w:rStyle w:val="fontstyle01"/>
          <w:rFonts w:ascii="Arial" w:hAnsi="Arial" w:cs="Arial"/>
          <w:sz w:val="20"/>
          <w:szCs w:val="20"/>
        </w:rPr>
        <w:t>in a primary pack containing 20 dosage units or less and not more than 10 days’ supply; and</w:t>
      </w:r>
    </w:p>
    <w:p w14:paraId="61EE4E46" w14:textId="251DE942" w:rsidR="00066D04" w:rsidRPr="00597CDF" w:rsidRDefault="00066D04" w:rsidP="00EC1BB4">
      <w:pPr>
        <w:pStyle w:val="paragraphsub"/>
        <w:tabs>
          <w:tab w:val="clear" w:pos="1985"/>
          <w:tab w:val="right" w:pos="1276"/>
        </w:tabs>
        <w:spacing w:before="120" w:after="120"/>
        <w:ind w:left="1701" w:hanging="283"/>
        <w:rPr>
          <w:rStyle w:val="fontstyle01"/>
          <w:rFonts w:ascii="Arial" w:hAnsi="Arial" w:cs="Arial"/>
          <w:sz w:val="20"/>
          <w:szCs w:val="20"/>
        </w:rPr>
      </w:pPr>
      <w:r w:rsidRPr="00597CDF">
        <w:rPr>
          <w:rStyle w:val="fontstyle01"/>
          <w:rFonts w:ascii="Arial" w:hAnsi="Arial" w:cs="Arial"/>
          <w:sz w:val="20"/>
          <w:szCs w:val="20"/>
        </w:rPr>
        <w:t>(ii)</w:t>
      </w:r>
      <w:r w:rsidRPr="00597CDF">
        <w:rPr>
          <w:rStyle w:val="fontstyle01"/>
          <w:rFonts w:ascii="Arial" w:hAnsi="Arial" w:cs="Arial"/>
          <w:sz w:val="20"/>
          <w:szCs w:val="20"/>
        </w:rPr>
        <w:tab/>
        <w:t>labelled with a recommended daily dose not exceeding 60 mg of fexofenadine.</w:t>
      </w:r>
    </w:p>
    <w:p w14:paraId="0E3DAD59" w14:textId="77777777" w:rsidR="00066D04" w:rsidRPr="00C417B6" w:rsidRDefault="00066D04" w:rsidP="00066D04">
      <w:pPr>
        <w:pStyle w:val="Heading4"/>
      </w:pPr>
      <w:bookmarkStart w:id="48" w:name="_Toc229141462"/>
      <w:bookmarkStart w:id="49" w:name="_Toc230951718"/>
      <w:r w:rsidRPr="00C417B6">
        <w:t>Background</w:t>
      </w:r>
      <w:bookmarkEnd w:id="48"/>
      <w:bookmarkEnd w:id="49"/>
    </w:p>
    <w:p w14:paraId="6F2FE19B" w14:textId="38F5B341" w:rsidR="00066D04" w:rsidRDefault="00066D04" w:rsidP="00EC1BB4">
      <w:pPr>
        <w:spacing w:before="120" w:line="240" w:lineRule="auto"/>
      </w:pPr>
      <w:r>
        <w:t>Fexofenadine is a second-generation antihistamine used for the treatment of seasonal allergic rhinitis (SAR) in adults and children 12 years of age and over. It also is used for the treatment of hives in children aged 6 months and over, dosed as an oral liquid preparation.</w:t>
      </w:r>
    </w:p>
    <w:p w14:paraId="1AEEF2F1" w14:textId="52A25723" w:rsidR="00066D04" w:rsidRDefault="00066D04" w:rsidP="00EC1BB4">
      <w:pPr>
        <w:spacing w:before="120" w:line="240" w:lineRule="auto"/>
      </w:pPr>
      <w:r>
        <w:t>SAR is characterised by an increased sensitivity to pollen, producing symptoms such as sneezing, runny nose, itchiness in the trigeminal area and watery eyes. It affects approximately 1 in 4 Australians, as documented in the 2022 National Health Survey.</w:t>
      </w:r>
      <w:r>
        <w:rPr>
          <w:rStyle w:val="FootnoteReference"/>
        </w:rPr>
        <w:footnoteReference w:id="6"/>
      </w:r>
    </w:p>
    <w:p w14:paraId="5BEAD64D" w14:textId="6F3B57C0" w:rsidR="00066D04" w:rsidRDefault="00066D04" w:rsidP="00EC1BB4">
      <w:pPr>
        <w:spacing w:before="120" w:line="240" w:lineRule="auto"/>
      </w:pPr>
      <w:r>
        <w:t>Fexofenadine acts by blocking histamine H1 receptors in the body that mediate allergic responses and inflammation. The drug is highly selective for peripheral H1 histamine receptors and has very little off-target action. As it fails to cross the blood-brain barrier, it does not elicit the same effects on the central nervous system as first-generation antihistamines (such as sedation, anti-nausea and antiemesis) or impact psychomotor function.</w:t>
      </w:r>
    </w:p>
    <w:p w14:paraId="5B2C1E24" w14:textId="77777777" w:rsidR="00066D04" w:rsidRPr="00C417B6" w:rsidRDefault="00066D04" w:rsidP="00EC1BB4">
      <w:pPr>
        <w:spacing w:before="120" w:line="240" w:lineRule="auto"/>
      </w:pPr>
      <w:r>
        <w:t>Since May 2023, fexofenadine has been available in non-pharmacy settings in packs of 10 tablets, for concentrations of 180 mg or less based on its well-established history of safe use and availability of comparable products at a similar quantity.</w:t>
      </w:r>
      <w:r>
        <w:rPr>
          <w:rStyle w:val="FootnoteReference"/>
        </w:rPr>
        <w:footnoteReference w:id="7"/>
      </w:r>
      <w:r>
        <w:t xml:space="preserve"> </w:t>
      </w:r>
    </w:p>
    <w:p w14:paraId="468D2092" w14:textId="77777777" w:rsidR="00066D04" w:rsidRPr="00C417B6" w:rsidRDefault="00066D04" w:rsidP="00066D04">
      <w:pPr>
        <w:pStyle w:val="Heading4"/>
      </w:pPr>
      <w:bookmarkStart w:id="50" w:name="_Toc229141463"/>
      <w:bookmarkStart w:id="51" w:name="_Toc230951719"/>
      <w:r w:rsidRPr="00C417B6">
        <w:t>Summary of applicant’s reasons for the proposal</w:t>
      </w:r>
      <w:bookmarkEnd w:id="50"/>
      <w:bookmarkEnd w:id="51"/>
    </w:p>
    <w:p w14:paraId="2F27648C" w14:textId="3640CE69" w:rsidR="00066D04" w:rsidRDefault="00066D04" w:rsidP="00EC1BB4">
      <w:pPr>
        <w:spacing w:before="120" w:line="240" w:lineRule="auto"/>
      </w:pPr>
      <w:r>
        <w:t xml:space="preserve">The applicant </w:t>
      </w:r>
      <w:r w:rsidDel="00C26325">
        <w:t>argues</w:t>
      </w:r>
      <w:r>
        <w:t xml:space="preserve"> that the availability of larger pack sizes in non-pharmacy settings will improve access and convenience, particularly for those who live in rural, regional and remote settings, and help to alleviate the economic burden associated with seasonal allergic rhinitis from diminished productivity. They also suggest that it will reduce unnecessary pharmacy visits and improve affordability for consumers during a period of economic uncertainty and increased cost of living pressures.</w:t>
      </w:r>
    </w:p>
    <w:p w14:paraId="15490ABB" w14:textId="6CA2A27F" w:rsidR="00066D04" w:rsidRPr="009E18EA" w:rsidRDefault="00066D04" w:rsidP="00EC1BB4">
      <w:pPr>
        <w:spacing w:before="120" w:line="240" w:lineRule="auto"/>
        <w:rPr>
          <w:highlight w:val="cyan"/>
        </w:rPr>
      </w:pPr>
      <w:r>
        <w:t xml:space="preserve">The applicant also </w:t>
      </w:r>
      <w:r w:rsidDel="00C26325">
        <w:t xml:space="preserve">highlights </w:t>
      </w:r>
      <w:r>
        <w:t xml:space="preserve">that fexofenadine possesses a favourable safety profile, with little risk of serious injury if taken </w:t>
      </w:r>
      <w:proofErr w:type="gramStart"/>
      <w:r>
        <w:t>in excess of</w:t>
      </w:r>
      <w:proofErr w:type="gramEnd"/>
      <w:r>
        <w:t xml:space="preserve"> the recommended daily dose. The applicant considered that SAR is easily self-diagnosable and most consumers who experience SAR are chronic sufferers. As a result, they are generally aware of how the illness presents and when to treat it with antihistamines. Whilst there is a risk of misdiagnosis of common colds for SAR, the applicant suggests that there is no risk of exacerbation of symptoms from treatment of colds with antihistamines.</w:t>
      </w:r>
    </w:p>
    <w:p w14:paraId="2E2D606E" w14:textId="77777777" w:rsidR="00066D04" w:rsidRPr="00C417B6" w:rsidRDefault="00066D04" w:rsidP="00066D04">
      <w:pPr>
        <w:pStyle w:val="Heading4"/>
      </w:pPr>
      <w:bookmarkStart w:id="52" w:name="_Toc229141464"/>
      <w:bookmarkStart w:id="53" w:name="_Toc230951720"/>
      <w:r w:rsidRPr="00C417B6">
        <w:t>Key uses / expected use</w:t>
      </w:r>
      <w:bookmarkEnd w:id="52"/>
      <w:bookmarkEnd w:id="53"/>
    </w:p>
    <w:p w14:paraId="1DD93427" w14:textId="77777777" w:rsidR="00066D04" w:rsidRPr="00C417B6" w:rsidRDefault="00066D04" w:rsidP="00EC1BB4">
      <w:pPr>
        <w:spacing w:before="120" w:line="240" w:lineRule="auto"/>
      </w:pPr>
      <w:r>
        <w:t>Fexofenadine is used for the treatment of SAR in adults and children.</w:t>
      </w:r>
    </w:p>
    <w:p w14:paraId="30B28DFE" w14:textId="77777777" w:rsidR="00066D04" w:rsidRPr="00C417B6" w:rsidRDefault="00066D04" w:rsidP="00066D04">
      <w:pPr>
        <w:pStyle w:val="Heading4"/>
      </w:pPr>
      <w:bookmarkStart w:id="54" w:name="_Toc229141465"/>
      <w:bookmarkStart w:id="55" w:name="_Toc230951721"/>
      <w:r w:rsidRPr="00C417B6">
        <w:t>Australian regulations</w:t>
      </w:r>
      <w:bookmarkEnd w:id="54"/>
      <w:bookmarkEnd w:id="55"/>
    </w:p>
    <w:p w14:paraId="4CFE0A3C" w14:textId="4E173D97" w:rsidR="00066D04" w:rsidRPr="00C417B6" w:rsidRDefault="00066D04" w:rsidP="00EC1BB4">
      <w:pPr>
        <w:pStyle w:val="ListBullet"/>
      </w:pPr>
      <w:r w:rsidRPr="00C417B6">
        <w:t xml:space="preserve">According to the </w:t>
      </w:r>
      <w:hyperlink r:id="rId42" w:history="1">
        <w:r w:rsidRPr="00C417B6">
          <w:rPr>
            <w:rStyle w:val="Hyperlink"/>
          </w:rPr>
          <w:t>TGA Ingredient Database</w:t>
        </w:r>
      </w:hyperlink>
      <w:r w:rsidRPr="00C417B6">
        <w:t xml:space="preserve">, </w:t>
      </w:r>
      <w:r>
        <w:t>fexofenadine hydrochloride</w:t>
      </w:r>
      <w:r w:rsidRPr="00C417B6">
        <w:t xml:space="preserve"> is</w:t>
      </w:r>
      <w:r>
        <w:t xml:space="preserve"> </w:t>
      </w:r>
      <w:r w:rsidRPr="00C417B6">
        <w:t>available for use as an active ingredient in: Biologicals, Export Only, Over the Counter and Prescription Medicines</w:t>
      </w:r>
      <w:r>
        <w:t>. It is available for use as an Excipient Ingredient in: Biologicals, Devices and Prescription Medicines.</w:t>
      </w:r>
    </w:p>
    <w:p w14:paraId="48DB8C25" w14:textId="196B5CC8" w:rsidR="00066D04" w:rsidRDefault="00066D04" w:rsidP="00EC1BB4">
      <w:pPr>
        <w:pStyle w:val="ListBullet"/>
      </w:pPr>
      <w:r w:rsidRPr="00C417B6">
        <w:lastRenderedPageBreak/>
        <w:t>As of</w:t>
      </w:r>
      <w:r>
        <w:t xml:space="preserve"> 5 May 2026</w:t>
      </w:r>
      <w:r w:rsidRPr="00C417B6">
        <w:t xml:space="preserve">, there were </w:t>
      </w:r>
      <w:r>
        <w:t>65</w:t>
      </w:r>
      <w:r w:rsidRPr="00C417B6">
        <w:t xml:space="preserve"> medicines currently active on the </w:t>
      </w:r>
      <w:hyperlink r:id="rId43" w:history="1">
        <w:r w:rsidRPr="00C417B6">
          <w:rPr>
            <w:rStyle w:val="Hyperlink"/>
          </w:rPr>
          <w:t>Australian Register of Therapeutic Goods (ARTG)</w:t>
        </w:r>
      </w:hyperlink>
      <w:r w:rsidRPr="00C417B6">
        <w:t xml:space="preserve"> that contain </w:t>
      </w:r>
      <w:r>
        <w:t>fexofenadine hydrochloride</w:t>
      </w:r>
      <w:r w:rsidRPr="00C417B6">
        <w:t xml:space="preserve"> as an active ingredient. The</w:t>
      </w:r>
      <w:r w:rsidR="005574F1">
        <w:t>y are all</w:t>
      </w:r>
      <w:r w:rsidRPr="00C417B6">
        <w:t xml:space="preserve"> non-prescription medicines.</w:t>
      </w:r>
    </w:p>
    <w:p w14:paraId="299C33F2" w14:textId="030ABD92" w:rsidR="00066D04" w:rsidRPr="00C417B6" w:rsidRDefault="00066D04" w:rsidP="00EC1BB4">
      <w:pPr>
        <w:pStyle w:val="ListBullet"/>
      </w:pPr>
      <w:r>
        <w:t>Fexofenadine</w:t>
      </w:r>
      <w:r w:rsidRPr="00C417B6">
        <w:t xml:space="preserve"> is not permitted to be included in listed medicines as it is not included in the </w:t>
      </w:r>
      <w:hyperlink r:id="rId44" w:history="1">
        <w:r w:rsidRPr="00C417B6">
          <w:rPr>
            <w:rStyle w:val="Hyperlink"/>
          </w:rPr>
          <w:t>Therapeutic Goods (Permissible Ingredients) Determination</w:t>
        </w:r>
      </w:hyperlink>
      <w:r w:rsidRPr="00C417B6">
        <w:t xml:space="preserve"> No.</w:t>
      </w:r>
      <w:r>
        <w:t xml:space="preserve"> 1</w:t>
      </w:r>
      <w:r w:rsidRPr="00C417B6">
        <w:t xml:space="preserve"> of 20</w:t>
      </w:r>
      <w:r>
        <w:t>26</w:t>
      </w:r>
      <w:r w:rsidRPr="00C417B6">
        <w:t>.</w:t>
      </w:r>
    </w:p>
    <w:p w14:paraId="68818FD9" w14:textId="77777777" w:rsidR="00066D04" w:rsidRDefault="00066D04" w:rsidP="00EC1BB4">
      <w:pPr>
        <w:pStyle w:val="ListBullet"/>
      </w:pPr>
      <w:r w:rsidRPr="00C417B6">
        <w:t xml:space="preserve">The </w:t>
      </w:r>
      <w:hyperlink r:id="rId45" w:history="1">
        <w:r w:rsidRPr="00C417B6">
          <w:rPr>
            <w:rStyle w:val="Hyperlink"/>
          </w:rPr>
          <w:t>TGA prescribing medicines in pregnancy database</w:t>
        </w:r>
      </w:hyperlink>
      <w:r w:rsidRPr="00C417B6">
        <w:t xml:space="preserve"> classifies </w:t>
      </w:r>
      <w:r>
        <w:t>fexofenadine</w:t>
      </w:r>
      <w:r w:rsidRPr="00C417B6">
        <w:t xml:space="preserve"> as:</w:t>
      </w:r>
    </w:p>
    <w:tbl>
      <w:tblPr>
        <w:tblStyle w:val="TableTGAblue2023"/>
        <w:tblW w:w="9067" w:type="dxa"/>
        <w:tblLayout w:type="fixed"/>
        <w:tblLook w:val="04A0" w:firstRow="1" w:lastRow="0" w:firstColumn="1" w:lastColumn="0" w:noHBand="0" w:noVBand="1"/>
      </w:tblPr>
      <w:tblGrid>
        <w:gridCol w:w="1980"/>
        <w:gridCol w:w="1701"/>
        <w:gridCol w:w="1795"/>
        <w:gridCol w:w="1795"/>
        <w:gridCol w:w="1796"/>
      </w:tblGrid>
      <w:tr w:rsidR="00066D04" w14:paraId="77008412" w14:textId="77777777" w:rsidTr="001D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B4C6E7" w:themeFill="accent1" w:themeFillTint="66"/>
          </w:tcPr>
          <w:p w14:paraId="4D7855DE" w14:textId="77777777" w:rsidR="00066D04" w:rsidRDefault="00066D04" w:rsidP="00284A6D">
            <w:r>
              <w:t>Drug name</w:t>
            </w:r>
          </w:p>
        </w:tc>
        <w:tc>
          <w:tcPr>
            <w:tcW w:w="1701" w:type="dxa"/>
            <w:shd w:val="clear" w:color="auto" w:fill="B4C6E7" w:themeFill="accent1" w:themeFillTint="66"/>
          </w:tcPr>
          <w:p w14:paraId="1C82FDEB" w14:textId="77777777" w:rsidR="00066D04" w:rsidRDefault="00066D04" w:rsidP="00284A6D">
            <w:pPr>
              <w:cnfStyle w:val="100000000000" w:firstRow="1" w:lastRow="0" w:firstColumn="0" w:lastColumn="0" w:oddVBand="0" w:evenVBand="0" w:oddHBand="0" w:evenHBand="0" w:firstRowFirstColumn="0" w:firstRowLastColumn="0" w:lastRowFirstColumn="0" w:lastRowLastColumn="0"/>
            </w:pPr>
            <w:r w:rsidRPr="00C417B6">
              <w:t>Category</w:t>
            </w:r>
          </w:p>
        </w:tc>
        <w:tc>
          <w:tcPr>
            <w:tcW w:w="1795" w:type="dxa"/>
            <w:shd w:val="clear" w:color="auto" w:fill="B4C6E7" w:themeFill="accent1" w:themeFillTint="66"/>
          </w:tcPr>
          <w:p w14:paraId="6853D2CC" w14:textId="77777777" w:rsidR="00066D04" w:rsidRDefault="00066D04" w:rsidP="00284A6D">
            <w:pPr>
              <w:cnfStyle w:val="100000000000" w:firstRow="1" w:lastRow="0" w:firstColumn="0" w:lastColumn="0" w:oddVBand="0" w:evenVBand="0" w:oddHBand="0" w:evenHBand="0" w:firstRowFirstColumn="0" w:firstRowLastColumn="0" w:lastRowFirstColumn="0" w:lastRowLastColumn="0"/>
            </w:pPr>
            <w:r w:rsidRPr="00C417B6">
              <w:t>Classification Level 1</w:t>
            </w:r>
          </w:p>
        </w:tc>
        <w:tc>
          <w:tcPr>
            <w:tcW w:w="1795" w:type="dxa"/>
            <w:shd w:val="clear" w:color="auto" w:fill="B4C6E7" w:themeFill="accent1" w:themeFillTint="66"/>
          </w:tcPr>
          <w:p w14:paraId="72CABF50" w14:textId="77777777" w:rsidR="00066D04" w:rsidRDefault="00066D04" w:rsidP="00284A6D">
            <w:pPr>
              <w:cnfStyle w:val="100000000000" w:firstRow="1" w:lastRow="0" w:firstColumn="0" w:lastColumn="0" w:oddVBand="0" w:evenVBand="0" w:oddHBand="0" w:evenHBand="0" w:firstRowFirstColumn="0" w:firstRowLastColumn="0" w:lastRowFirstColumn="0" w:lastRowLastColumn="0"/>
            </w:pPr>
            <w:r w:rsidRPr="00C417B6">
              <w:t xml:space="preserve">Classification Level </w:t>
            </w:r>
            <w:r>
              <w:t>2</w:t>
            </w:r>
          </w:p>
        </w:tc>
        <w:tc>
          <w:tcPr>
            <w:tcW w:w="1796" w:type="dxa"/>
            <w:shd w:val="clear" w:color="auto" w:fill="B4C6E7" w:themeFill="accent1" w:themeFillTint="66"/>
          </w:tcPr>
          <w:p w14:paraId="671A4CC8" w14:textId="77777777" w:rsidR="00066D04" w:rsidRDefault="00066D04" w:rsidP="00284A6D">
            <w:pPr>
              <w:cnfStyle w:val="100000000000" w:firstRow="1" w:lastRow="0" w:firstColumn="0" w:lastColumn="0" w:oddVBand="0" w:evenVBand="0" w:oddHBand="0" w:evenHBand="0" w:firstRowFirstColumn="0" w:firstRowLastColumn="0" w:lastRowFirstColumn="0" w:lastRowLastColumn="0"/>
            </w:pPr>
            <w:r w:rsidRPr="00C417B6">
              <w:t xml:space="preserve">Classification Level </w:t>
            </w:r>
            <w:r>
              <w:t>3</w:t>
            </w:r>
          </w:p>
        </w:tc>
      </w:tr>
      <w:tr w:rsidR="00066D04" w14:paraId="4539DDDF" w14:textId="77777777" w:rsidTr="00284A6D">
        <w:tc>
          <w:tcPr>
            <w:cnfStyle w:val="001000000000" w:firstRow="0" w:lastRow="0" w:firstColumn="1" w:lastColumn="0" w:oddVBand="0" w:evenVBand="0" w:oddHBand="0" w:evenHBand="0" w:firstRowFirstColumn="0" w:firstRowLastColumn="0" w:lastRowFirstColumn="0" w:lastRowLastColumn="0"/>
            <w:tcW w:w="1980" w:type="dxa"/>
          </w:tcPr>
          <w:p w14:paraId="69D7AA8F" w14:textId="77777777" w:rsidR="00066D04" w:rsidRPr="00EC1BB4" w:rsidRDefault="00066D04" w:rsidP="00EC1BB4">
            <w:pPr>
              <w:spacing w:before="120" w:after="120" w:line="240" w:lineRule="auto"/>
              <w:rPr>
                <w:sz w:val="20"/>
                <w:szCs w:val="20"/>
              </w:rPr>
            </w:pPr>
            <w:r w:rsidRPr="00EC1BB4">
              <w:rPr>
                <w:sz w:val="20"/>
                <w:szCs w:val="20"/>
              </w:rPr>
              <w:t>Fexofenadine</w:t>
            </w:r>
          </w:p>
        </w:tc>
        <w:tc>
          <w:tcPr>
            <w:tcW w:w="1701" w:type="dxa"/>
          </w:tcPr>
          <w:p w14:paraId="11B73241" w14:textId="77777777" w:rsidR="00066D04" w:rsidRPr="00EC1BB4" w:rsidRDefault="00066D04" w:rsidP="00EC1BB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C1BB4">
              <w:rPr>
                <w:sz w:val="20"/>
                <w:szCs w:val="20"/>
              </w:rPr>
              <w:t>B2</w:t>
            </w:r>
          </w:p>
        </w:tc>
        <w:tc>
          <w:tcPr>
            <w:tcW w:w="1795" w:type="dxa"/>
          </w:tcPr>
          <w:p w14:paraId="3C0F9638" w14:textId="77777777" w:rsidR="00066D04" w:rsidRPr="00EC1BB4" w:rsidRDefault="00066D04" w:rsidP="00EC1BB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C1BB4">
              <w:rPr>
                <w:sz w:val="20"/>
                <w:szCs w:val="20"/>
              </w:rPr>
              <w:t>Allergy and Immune System</w:t>
            </w:r>
          </w:p>
        </w:tc>
        <w:tc>
          <w:tcPr>
            <w:tcW w:w="1795" w:type="dxa"/>
          </w:tcPr>
          <w:p w14:paraId="3D02BB6F" w14:textId="77777777" w:rsidR="00066D04" w:rsidRPr="00EC1BB4" w:rsidRDefault="00066D04" w:rsidP="00EC1BB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C1BB4">
              <w:rPr>
                <w:sz w:val="20"/>
                <w:szCs w:val="20"/>
              </w:rPr>
              <w:t>Antihistamines</w:t>
            </w:r>
          </w:p>
        </w:tc>
        <w:tc>
          <w:tcPr>
            <w:tcW w:w="1796" w:type="dxa"/>
          </w:tcPr>
          <w:p w14:paraId="2CDD6A0A" w14:textId="673604ED" w:rsidR="00066D04" w:rsidRPr="00EC1BB4" w:rsidRDefault="00D26E0B" w:rsidP="00EC1BB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rFonts w:cs="Arial"/>
                <w:sz w:val="20"/>
                <w:szCs w:val="20"/>
              </w:rPr>
              <w:t>–</w:t>
            </w:r>
          </w:p>
        </w:tc>
      </w:tr>
      <w:tr w:rsidR="00066D04" w14:paraId="5E0A1373" w14:textId="77777777" w:rsidTr="00284A6D">
        <w:tc>
          <w:tcPr>
            <w:cnfStyle w:val="001000000000" w:firstRow="0" w:lastRow="0" w:firstColumn="1" w:lastColumn="0" w:oddVBand="0" w:evenVBand="0" w:oddHBand="0" w:evenHBand="0" w:firstRowFirstColumn="0" w:firstRowLastColumn="0" w:lastRowFirstColumn="0" w:lastRowLastColumn="0"/>
            <w:tcW w:w="9067" w:type="dxa"/>
            <w:gridSpan w:val="5"/>
          </w:tcPr>
          <w:p w14:paraId="58017E7D" w14:textId="77777777" w:rsidR="00066D04" w:rsidRPr="0039205F" w:rsidRDefault="00066D04" w:rsidP="00EC1BB4">
            <w:pPr>
              <w:spacing w:before="120" w:after="120" w:line="240" w:lineRule="auto"/>
              <w:rPr>
                <w:szCs w:val="18"/>
              </w:rPr>
            </w:pPr>
            <w:r w:rsidRPr="0039205F">
              <w:rPr>
                <w:szCs w:val="18"/>
              </w:rPr>
              <w:t>Category B2 – Drugs which have been taken by only a limited number of pregnant women and women of childbearing age, without an increase in the frequency of malformation or other direct or indirect harmful effects on the human foetus having been observed.</w:t>
            </w:r>
          </w:p>
          <w:p w14:paraId="4C5E7061" w14:textId="77777777" w:rsidR="00066D04" w:rsidRPr="003235CA" w:rsidRDefault="00066D04" w:rsidP="00EC1BB4">
            <w:pPr>
              <w:spacing w:before="120" w:after="120" w:line="240" w:lineRule="auto"/>
              <w:rPr>
                <w:szCs w:val="18"/>
              </w:rPr>
            </w:pPr>
            <w:r w:rsidRPr="0039205F">
              <w:rPr>
                <w:szCs w:val="18"/>
              </w:rPr>
              <w:t>Studies in animals are inadequate or may be lacking, but available data show no evidence of an increased occurrence of foetal damage.</w:t>
            </w:r>
          </w:p>
        </w:tc>
      </w:tr>
    </w:tbl>
    <w:p w14:paraId="4399174A" w14:textId="77777777" w:rsidR="00066D04" w:rsidRDefault="00066D04" w:rsidP="00934A06">
      <w:pPr>
        <w:pStyle w:val="ListBullet"/>
      </w:pPr>
      <w:r w:rsidRPr="00C417B6">
        <w:t xml:space="preserve">The </w:t>
      </w:r>
      <w:hyperlink r:id="rId46" w:history="1">
        <w:r w:rsidRPr="00C417B6">
          <w:rPr>
            <w:rStyle w:val="Hyperlink"/>
          </w:rPr>
          <w:t>Therapeutic Goods (Medicines Advisory Statements) Specification 2021</w:t>
        </w:r>
      </w:hyperlink>
      <w:r w:rsidRPr="00C417B6">
        <w:t xml:space="preserve"> requires the following warning statements pertaining to </w:t>
      </w:r>
      <w:r>
        <w:t>fexofenadine</w:t>
      </w:r>
      <w:r w:rsidRPr="00C417B6">
        <w:t xml:space="preserve"> to be included on the labelling:</w:t>
      </w:r>
    </w:p>
    <w:tbl>
      <w:tblPr>
        <w:tblStyle w:val="TableTGAblue2023"/>
        <w:tblW w:w="0" w:type="auto"/>
        <w:tblLook w:val="04A0" w:firstRow="1" w:lastRow="0" w:firstColumn="1" w:lastColumn="0" w:noHBand="0" w:noVBand="1"/>
      </w:tblPr>
      <w:tblGrid>
        <w:gridCol w:w="3020"/>
        <w:gridCol w:w="3020"/>
        <w:gridCol w:w="3020"/>
      </w:tblGrid>
      <w:tr w:rsidR="00066D04" w14:paraId="48499D0D" w14:textId="77777777" w:rsidTr="001D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B4C6E7" w:themeFill="accent1" w:themeFillTint="66"/>
          </w:tcPr>
          <w:p w14:paraId="631F5D07" w14:textId="77777777" w:rsidR="00066D04" w:rsidRDefault="00066D04" w:rsidP="00284A6D">
            <w:r>
              <w:t>Substance</w:t>
            </w:r>
          </w:p>
        </w:tc>
        <w:tc>
          <w:tcPr>
            <w:tcW w:w="3020" w:type="dxa"/>
            <w:shd w:val="clear" w:color="auto" w:fill="B4C6E7" w:themeFill="accent1" w:themeFillTint="66"/>
          </w:tcPr>
          <w:p w14:paraId="4540CC01" w14:textId="77777777" w:rsidR="00066D04" w:rsidRDefault="00066D04" w:rsidP="00284A6D">
            <w:pPr>
              <w:cnfStyle w:val="100000000000" w:firstRow="1" w:lastRow="0" w:firstColumn="0" w:lastColumn="0" w:oddVBand="0" w:evenVBand="0" w:oddHBand="0" w:evenHBand="0" w:firstRowFirstColumn="0" w:firstRowLastColumn="0" w:lastRowFirstColumn="0" w:lastRowLastColumn="0"/>
            </w:pPr>
            <w:r>
              <w:t>Conditions</w:t>
            </w:r>
          </w:p>
        </w:tc>
        <w:tc>
          <w:tcPr>
            <w:tcW w:w="3020" w:type="dxa"/>
            <w:shd w:val="clear" w:color="auto" w:fill="B4C6E7" w:themeFill="accent1" w:themeFillTint="66"/>
          </w:tcPr>
          <w:p w14:paraId="61DF22DF" w14:textId="77777777" w:rsidR="00066D04" w:rsidRDefault="00066D04" w:rsidP="00284A6D">
            <w:pPr>
              <w:cnfStyle w:val="100000000000" w:firstRow="1" w:lastRow="0" w:firstColumn="0" w:lastColumn="0" w:oddVBand="0" w:evenVBand="0" w:oddHBand="0" w:evenHBand="0" w:firstRowFirstColumn="0" w:firstRowLastColumn="0" w:lastRowFirstColumn="0" w:lastRowLastColumn="0"/>
            </w:pPr>
            <w:r>
              <w:t>Required statements</w:t>
            </w:r>
          </w:p>
        </w:tc>
      </w:tr>
      <w:tr w:rsidR="00066D04" w14:paraId="5C8483D1" w14:textId="77777777" w:rsidTr="00284A6D">
        <w:tc>
          <w:tcPr>
            <w:cnfStyle w:val="001000000000" w:firstRow="0" w:lastRow="0" w:firstColumn="1" w:lastColumn="0" w:oddVBand="0" w:evenVBand="0" w:oddHBand="0" w:evenHBand="0" w:firstRowFirstColumn="0" w:firstRowLastColumn="0" w:lastRowFirstColumn="0" w:lastRowLastColumn="0"/>
            <w:tcW w:w="3020" w:type="dxa"/>
          </w:tcPr>
          <w:p w14:paraId="4B1AE5F8" w14:textId="77777777" w:rsidR="00066D04" w:rsidRPr="00EC1BB4" w:rsidRDefault="00066D04" w:rsidP="00EC1BB4">
            <w:pPr>
              <w:spacing w:before="120" w:after="120" w:line="240" w:lineRule="auto"/>
              <w:rPr>
                <w:sz w:val="20"/>
                <w:szCs w:val="20"/>
              </w:rPr>
            </w:pPr>
            <w:r w:rsidRPr="00EC1BB4">
              <w:rPr>
                <w:sz w:val="20"/>
                <w:szCs w:val="20"/>
              </w:rPr>
              <w:t>Fexofenadine</w:t>
            </w:r>
          </w:p>
        </w:tc>
        <w:tc>
          <w:tcPr>
            <w:tcW w:w="3020" w:type="dxa"/>
          </w:tcPr>
          <w:p w14:paraId="61F54AA9" w14:textId="77777777" w:rsidR="00066D04" w:rsidRPr="00EC1BB4" w:rsidRDefault="00066D04" w:rsidP="00EC1BB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C1BB4">
              <w:rPr>
                <w:sz w:val="20"/>
                <w:szCs w:val="20"/>
              </w:rPr>
              <w:t>In medicines for oral use</w:t>
            </w:r>
          </w:p>
        </w:tc>
        <w:tc>
          <w:tcPr>
            <w:tcW w:w="3020" w:type="dxa"/>
          </w:tcPr>
          <w:p w14:paraId="1A3E20FF" w14:textId="77777777" w:rsidR="00066D04" w:rsidRPr="00EC1BB4" w:rsidRDefault="00066D04" w:rsidP="00EC1BB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C1BB4">
              <w:rPr>
                <w:sz w:val="20"/>
                <w:szCs w:val="20"/>
              </w:rPr>
              <w:t>If you are pregnant or breastfeeding, check with your doctor or pharmacist before using this medicine.</w:t>
            </w:r>
          </w:p>
        </w:tc>
      </w:tr>
    </w:tbl>
    <w:p w14:paraId="62C1D712" w14:textId="0771A14E" w:rsidR="00066D04" w:rsidRPr="00C417B6" w:rsidRDefault="00066D04" w:rsidP="00EC1BB4">
      <w:pPr>
        <w:pStyle w:val="ListBullet"/>
      </w:pPr>
      <w:r>
        <w:t>Between 1 January 2016 and 21 April 2026</w:t>
      </w:r>
      <w:r w:rsidRPr="00C417B6">
        <w:t>, there were</w:t>
      </w:r>
      <w:r>
        <w:t xml:space="preserve"> 101</w:t>
      </w:r>
      <w:r w:rsidRPr="00C417B6">
        <w:t xml:space="preserve"> reports of adverse events for products containing</w:t>
      </w:r>
      <w:r>
        <w:t xml:space="preserve"> fexofenadine</w:t>
      </w:r>
      <w:r w:rsidRPr="00C417B6">
        <w:t xml:space="preserve"> as an active ingredient on the </w:t>
      </w:r>
      <w:hyperlink r:id="rId47" w:history="1">
        <w:r w:rsidRPr="00A71B9F">
          <w:rPr>
            <w:rStyle w:val="Hyperlink"/>
          </w:rPr>
          <w:t>Database of Adverse Event Notifications (DAEN)</w:t>
        </w:r>
      </w:hyperlink>
      <w:r w:rsidRPr="00C417B6">
        <w:t xml:space="preserve">, with </w:t>
      </w:r>
      <w:r>
        <w:t xml:space="preserve">48 </w:t>
      </w:r>
      <w:r w:rsidRPr="00C417B6">
        <w:t xml:space="preserve">reports where </w:t>
      </w:r>
      <w:r>
        <w:t>fexofenadine</w:t>
      </w:r>
      <w:r w:rsidRPr="00C417B6">
        <w:t xml:space="preserve"> was the single suspected medicine. </w:t>
      </w:r>
      <w:r w:rsidR="005574F1" w:rsidRPr="00C417B6">
        <w:t>There w</w:t>
      </w:r>
      <w:r w:rsidR="005574F1">
        <w:t>as one</w:t>
      </w:r>
      <w:r w:rsidR="005574F1" w:rsidRPr="00C417B6">
        <w:t xml:space="preserve"> reports of death associated with </w:t>
      </w:r>
      <w:r w:rsidR="005574F1">
        <w:t>these reports of adverse events.</w:t>
      </w:r>
    </w:p>
    <w:p w14:paraId="4164A7D4" w14:textId="441209B2" w:rsidR="00066D04" w:rsidRPr="00C417B6" w:rsidRDefault="00066D04" w:rsidP="00EC1BB4">
      <w:pPr>
        <w:pStyle w:val="ListBullet"/>
      </w:pPr>
      <w:r w:rsidRPr="00C417B6">
        <w:t>As of</w:t>
      </w:r>
      <w:r>
        <w:t xml:space="preserve"> 5 May 2026</w:t>
      </w:r>
      <w:r w:rsidRPr="00C417B6">
        <w:t xml:space="preserve">, there were </w:t>
      </w:r>
      <w:r w:rsidRPr="004E4744">
        <w:t>no</w:t>
      </w:r>
      <w:r w:rsidRPr="00C417B6">
        <w:t xml:space="preserve"> products containing </w:t>
      </w:r>
      <w:r>
        <w:t>fexofenadine</w:t>
      </w:r>
      <w:r w:rsidRPr="00C417B6">
        <w:t xml:space="preserve"> as an active ingredient/constituent or scheduled substance listed on the </w:t>
      </w:r>
      <w:hyperlink r:id="rId48" w:history="1">
        <w:r w:rsidRPr="00C417B6">
          <w:rPr>
            <w:rStyle w:val="Hyperlink"/>
          </w:rPr>
          <w:t>Public Chemical Registration Information System Search (</w:t>
        </w:r>
        <w:proofErr w:type="spellStart"/>
        <w:r w:rsidRPr="00C417B6">
          <w:rPr>
            <w:rStyle w:val="Hyperlink"/>
          </w:rPr>
          <w:t>PubCRIS</w:t>
        </w:r>
        <w:proofErr w:type="spellEnd"/>
        <w:r w:rsidRPr="00C417B6">
          <w:rPr>
            <w:rStyle w:val="Hyperlink"/>
          </w:rPr>
          <w:t>)</w:t>
        </w:r>
      </w:hyperlink>
      <w:r w:rsidRPr="00C417B6">
        <w:t>.</w:t>
      </w:r>
    </w:p>
    <w:p w14:paraId="4D874522" w14:textId="77777777" w:rsidR="00066D04" w:rsidRPr="00C417B6" w:rsidRDefault="00066D04" w:rsidP="00EC1BB4">
      <w:pPr>
        <w:pStyle w:val="ListBullet"/>
      </w:pPr>
      <w:r w:rsidRPr="001B2282">
        <w:t>Fexofenadine is not</w:t>
      </w:r>
      <w:r>
        <w:t xml:space="preserve"> included by the Australian Industrial Chemicals Introduction Scheme (AICIS) on the </w:t>
      </w:r>
      <w:hyperlink r:id="rId49" w:history="1">
        <w:r w:rsidRPr="00FD0841">
          <w:rPr>
            <w:rStyle w:val="Hyperlink"/>
          </w:rPr>
          <w:t>Australian Inventory of Industrial Chemicals (Inventory)</w:t>
        </w:r>
      </w:hyperlink>
      <w:r>
        <w:t>.</w:t>
      </w:r>
    </w:p>
    <w:p w14:paraId="59741060" w14:textId="77777777" w:rsidR="00066D04" w:rsidRPr="00C417B6" w:rsidRDefault="00066D04" w:rsidP="00066D04">
      <w:pPr>
        <w:pStyle w:val="Heading4"/>
      </w:pPr>
      <w:bookmarkStart w:id="56" w:name="_Toc229141466"/>
      <w:bookmarkStart w:id="57" w:name="_Toc230951722"/>
      <w:r w:rsidRPr="00C417B6">
        <w:t>International regulations</w:t>
      </w:r>
      <w:bookmarkEnd w:id="56"/>
      <w:bookmarkEnd w:id="57"/>
    </w:p>
    <w:p w14:paraId="54A529B6" w14:textId="392463B6" w:rsidR="00066D04" w:rsidRDefault="00066D04" w:rsidP="00934A06">
      <w:pPr>
        <w:pStyle w:val="ListBullet"/>
      </w:pPr>
      <w:r w:rsidRPr="00CF55F5">
        <w:t xml:space="preserve">The </w:t>
      </w:r>
      <w:hyperlink r:id="rId50" w:history="1">
        <w:r w:rsidRPr="00CF55F5">
          <w:rPr>
            <w:rStyle w:val="Hyperlink"/>
          </w:rPr>
          <w:t>Health Canada Drug Product Database</w:t>
        </w:r>
      </w:hyperlink>
      <w:r>
        <w:t xml:space="preserve"> </w:t>
      </w:r>
      <w:r w:rsidRPr="00CF55F5">
        <w:t>include</w:t>
      </w:r>
      <w:r>
        <w:t>s 4 non-prescription drugs containing fexofenadine hydrochloride.</w:t>
      </w:r>
    </w:p>
    <w:p w14:paraId="5F3E081A" w14:textId="77777777" w:rsidR="00066D04" w:rsidRDefault="00066D04" w:rsidP="00934A06">
      <w:pPr>
        <w:pStyle w:val="ListBullet"/>
      </w:pPr>
      <w:r w:rsidRPr="00CF55F5">
        <w:t xml:space="preserve">The </w:t>
      </w:r>
      <w:hyperlink r:id="rId51" w:history="1">
        <w:r w:rsidRPr="009C3C0E">
          <w:rPr>
            <w:rStyle w:val="Hyperlink"/>
          </w:rPr>
          <w:t xml:space="preserve">New Zealand </w:t>
        </w:r>
        <w:proofErr w:type="spellStart"/>
        <w:r w:rsidRPr="009C3C0E">
          <w:rPr>
            <w:rStyle w:val="Hyperlink"/>
          </w:rPr>
          <w:t>Medsafe</w:t>
        </w:r>
        <w:proofErr w:type="spellEnd"/>
        <w:r w:rsidRPr="009C3C0E">
          <w:rPr>
            <w:rStyle w:val="Hyperlink"/>
          </w:rPr>
          <w:t xml:space="preserve"> Medicines Classification Database</w:t>
        </w:r>
      </w:hyperlink>
      <w:r w:rsidRPr="00CF55F5">
        <w:t xml:space="preserve"> lists </w:t>
      </w:r>
      <w:r>
        <w:t>fexofenadine</w:t>
      </w:r>
      <w:r w:rsidRPr="00CF55F5">
        <w:t xml:space="preserve"> as follows:</w:t>
      </w:r>
    </w:p>
    <w:tbl>
      <w:tblPr>
        <w:tblStyle w:val="TableTGAblue2023"/>
        <w:tblW w:w="0" w:type="auto"/>
        <w:tblLayout w:type="fixed"/>
        <w:tblLook w:val="04A0" w:firstRow="1" w:lastRow="0" w:firstColumn="1" w:lastColumn="0" w:noHBand="0" w:noVBand="1"/>
      </w:tblPr>
      <w:tblGrid>
        <w:gridCol w:w="1555"/>
        <w:gridCol w:w="5623"/>
        <w:gridCol w:w="1882"/>
      </w:tblGrid>
      <w:tr w:rsidR="00066D04" w14:paraId="7D78435D" w14:textId="77777777" w:rsidTr="001D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B4C6E7" w:themeFill="accent1" w:themeFillTint="66"/>
          </w:tcPr>
          <w:p w14:paraId="69C9B73E" w14:textId="77777777" w:rsidR="00066D04" w:rsidRDefault="00066D04" w:rsidP="00284A6D">
            <w:pPr>
              <w:ind w:left="0"/>
            </w:pPr>
            <w:r>
              <w:t>Substance</w:t>
            </w:r>
          </w:p>
        </w:tc>
        <w:tc>
          <w:tcPr>
            <w:tcW w:w="5623" w:type="dxa"/>
            <w:shd w:val="clear" w:color="auto" w:fill="B4C6E7" w:themeFill="accent1" w:themeFillTint="66"/>
          </w:tcPr>
          <w:p w14:paraId="7A87B1A4" w14:textId="60529984" w:rsidR="00066D04" w:rsidRDefault="00066D04" w:rsidP="00284A6D">
            <w:pPr>
              <w:ind w:left="0"/>
              <w:cnfStyle w:val="100000000000" w:firstRow="1" w:lastRow="0" w:firstColumn="0" w:lastColumn="0" w:oddVBand="0" w:evenVBand="0" w:oddHBand="0" w:evenHBand="0" w:firstRowFirstColumn="0" w:firstRowLastColumn="0" w:lastRowFirstColumn="0" w:lastRowLastColumn="0"/>
            </w:pPr>
            <w:r>
              <w:t>Conditions</w:t>
            </w:r>
          </w:p>
        </w:tc>
        <w:tc>
          <w:tcPr>
            <w:tcW w:w="1882" w:type="dxa"/>
            <w:shd w:val="clear" w:color="auto" w:fill="B4C6E7" w:themeFill="accent1" w:themeFillTint="66"/>
          </w:tcPr>
          <w:p w14:paraId="42B6E4E7" w14:textId="77777777" w:rsidR="00066D04" w:rsidRDefault="00066D04" w:rsidP="00284A6D">
            <w:pPr>
              <w:ind w:left="0"/>
              <w:cnfStyle w:val="100000000000" w:firstRow="1" w:lastRow="0" w:firstColumn="0" w:lastColumn="0" w:oddVBand="0" w:evenVBand="0" w:oddHBand="0" w:evenHBand="0" w:firstRowFirstColumn="0" w:firstRowLastColumn="0" w:lastRowFirstColumn="0" w:lastRowLastColumn="0"/>
            </w:pPr>
            <w:r>
              <w:t>Classifications</w:t>
            </w:r>
          </w:p>
        </w:tc>
      </w:tr>
      <w:tr w:rsidR="00066D04" w14:paraId="7573D088" w14:textId="77777777" w:rsidTr="00EC1BB4">
        <w:tc>
          <w:tcPr>
            <w:cnfStyle w:val="001000000000" w:firstRow="0" w:lastRow="0" w:firstColumn="1" w:lastColumn="0" w:oddVBand="0" w:evenVBand="0" w:oddHBand="0" w:evenHBand="0" w:firstRowFirstColumn="0" w:firstRowLastColumn="0" w:lastRowFirstColumn="0" w:lastRowLastColumn="0"/>
            <w:tcW w:w="1555" w:type="dxa"/>
          </w:tcPr>
          <w:p w14:paraId="09BD31A3" w14:textId="77777777" w:rsidR="00066D04" w:rsidRPr="00EC1BB4" w:rsidRDefault="00066D04" w:rsidP="00D26E0B">
            <w:pPr>
              <w:spacing w:before="120" w:after="120" w:line="240" w:lineRule="auto"/>
              <w:ind w:left="0"/>
              <w:rPr>
                <w:sz w:val="20"/>
                <w:szCs w:val="20"/>
              </w:rPr>
            </w:pPr>
            <w:r w:rsidRPr="00EC1BB4">
              <w:rPr>
                <w:sz w:val="20"/>
                <w:szCs w:val="20"/>
              </w:rPr>
              <w:t>Fexofenadine</w:t>
            </w:r>
          </w:p>
        </w:tc>
        <w:tc>
          <w:tcPr>
            <w:tcW w:w="5623" w:type="dxa"/>
          </w:tcPr>
          <w:p w14:paraId="3A25EE97" w14:textId="711758FD" w:rsidR="00066D04" w:rsidRPr="00EC1BB4" w:rsidRDefault="00E00D81" w:rsidP="00D26E0B">
            <w:pPr>
              <w:spacing w:before="120" w:after="12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E</w:t>
            </w:r>
            <w:r w:rsidR="00066D04" w:rsidRPr="00EC1BB4">
              <w:rPr>
                <w:b/>
                <w:bCs/>
                <w:sz w:val="20"/>
                <w:szCs w:val="20"/>
              </w:rPr>
              <w:t>xcept</w:t>
            </w:r>
            <w:r w:rsidR="00066D04" w:rsidRPr="00EC1BB4">
              <w:rPr>
                <w:sz w:val="20"/>
                <w:szCs w:val="20"/>
              </w:rPr>
              <w:t> for oral use</w:t>
            </w:r>
          </w:p>
        </w:tc>
        <w:tc>
          <w:tcPr>
            <w:tcW w:w="1882" w:type="dxa"/>
          </w:tcPr>
          <w:p w14:paraId="5C3EEF6B" w14:textId="77777777" w:rsidR="00066D04" w:rsidRPr="00EC1BB4" w:rsidRDefault="00066D04" w:rsidP="00D26E0B">
            <w:pPr>
              <w:spacing w:before="120" w:after="12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EC1BB4">
              <w:rPr>
                <w:sz w:val="20"/>
                <w:szCs w:val="20"/>
              </w:rPr>
              <w:t>Prescription</w:t>
            </w:r>
          </w:p>
        </w:tc>
      </w:tr>
      <w:tr w:rsidR="00066D04" w14:paraId="7897F040" w14:textId="77777777" w:rsidTr="00EC1BB4">
        <w:tc>
          <w:tcPr>
            <w:cnfStyle w:val="001000000000" w:firstRow="0" w:lastRow="0" w:firstColumn="1" w:lastColumn="0" w:oddVBand="0" w:evenVBand="0" w:oddHBand="0" w:evenHBand="0" w:firstRowFirstColumn="0" w:firstRowLastColumn="0" w:lastRowFirstColumn="0" w:lastRowLastColumn="0"/>
            <w:tcW w:w="1555" w:type="dxa"/>
          </w:tcPr>
          <w:p w14:paraId="7713EA7D" w14:textId="77777777" w:rsidR="00066D04" w:rsidRPr="00EC1BB4" w:rsidRDefault="00066D04" w:rsidP="00D26E0B">
            <w:pPr>
              <w:spacing w:before="120" w:after="120" w:line="240" w:lineRule="auto"/>
              <w:ind w:left="0"/>
              <w:rPr>
                <w:sz w:val="20"/>
                <w:szCs w:val="20"/>
              </w:rPr>
            </w:pPr>
            <w:r w:rsidRPr="00EC1BB4">
              <w:rPr>
                <w:sz w:val="20"/>
                <w:szCs w:val="20"/>
              </w:rPr>
              <w:t>Fexofenadine</w:t>
            </w:r>
          </w:p>
        </w:tc>
        <w:tc>
          <w:tcPr>
            <w:tcW w:w="5623" w:type="dxa"/>
          </w:tcPr>
          <w:p w14:paraId="5217ABA1" w14:textId="7EBCC5FF" w:rsidR="00066D04" w:rsidRPr="00EC1BB4" w:rsidRDefault="00E00D81" w:rsidP="00D26E0B">
            <w:pPr>
              <w:spacing w:before="120" w:after="12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w:t>
            </w:r>
            <w:r w:rsidR="00066D04" w:rsidRPr="00EC1BB4">
              <w:rPr>
                <w:sz w:val="20"/>
                <w:szCs w:val="20"/>
              </w:rPr>
              <w:t>or oral use </w:t>
            </w:r>
            <w:r w:rsidR="00066D04" w:rsidRPr="00EC1BB4">
              <w:rPr>
                <w:b/>
                <w:bCs/>
                <w:sz w:val="20"/>
                <w:szCs w:val="20"/>
              </w:rPr>
              <w:t>except</w:t>
            </w:r>
            <w:r w:rsidR="00066D04" w:rsidRPr="00EC1BB4">
              <w:rPr>
                <w:sz w:val="20"/>
                <w:szCs w:val="20"/>
              </w:rPr>
              <w:t> for the treatment of seasonal allergic rhinitis in adults and children 12 years of age and over when in capsules containing 60 milligrams or less of fexofenadine hydrochloride or in tablets containing 120 milligrams or less of fexofenadine hydrochloride with a maximum daily dose of 120 milligrams when sold in the manufacturer's original pack containing 20 dosage units or less and not more than 10 days' supply;</w:t>
            </w:r>
            <w:r w:rsidR="00066D04" w:rsidRPr="00EC1BB4">
              <w:rPr>
                <w:sz w:val="20"/>
                <w:szCs w:val="20"/>
              </w:rPr>
              <w:br/>
              <w:t xml:space="preserve">for the treatment of seasonal allergic rhinitis in adults and </w:t>
            </w:r>
            <w:r w:rsidR="00066D04" w:rsidRPr="00EC1BB4">
              <w:rPr>
                <w:sz w:val="20"/>
                <w:szCs w:val="20"/>
              </w:rPr>
              <w:lastRenderedPageBreak/>
              <w:t>children 12 years of age and over when in tablets containing 180 milligrams or less of fexofenadine hydrochloride with a maximum daily dose of 180 milligrams when sold in the manufacturer's original pack containing 10 dosage units or less and not more than 10 days' supply</w:t>
            </w:r>
          </w:p>
        </w:tc>
        <w:tc>
          <w:tcPr>
            <w:tcW w:w="1882" w:type="dxa"/>
          </w:tcPr>
          <w:p w14:paraId="712020D1" w14:textId="77777777" w:rsidR="00066D04" w:rsidRPr="00EC1BB4" w:rsidRDefault="00066D04" w:rsidP="00D26E0B">
            <w:pPr>
              <w:spacing w:before="120" w:after="12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EC1BB4">
              <w:rPr>
                <w:sz w:val="20"/>
                <w:szCs w:val="20"/>
              </w:rPr>
              <w:lastRenderedPageBreak/>
              <w:t>Pharmacy Only</w:t>
            </w:r>
          </w:p>
        </w:tc>
      </w:tr>
      <w:tr w:rsidR="00066D04" w14:paraId="72992494" w14:textId="77777777" w:rsidTr="00EC1BB4">
        <w:tc>
          <w:tcPr>
            <w:cnfStyle w:val="001000000000" w:firstRow="0" w:lastRow="0" w:firstColumn="1" w:lastColumn="0" w:oddVBand="0" w:evenVBand="0" w:oddHBand="0" w:evenHBand="0" w:firstRowFirstColumn="0" w:firstRowLastColumn="0" w:lastRowFirstColumn="0" w:lastRowLastColumn="0"/>
            <w:tcW w:w="1555" w:type="dxa"/>
          </w:tcPr>
          <w:p w14:paraId="77E8D10A" w14:textId="77777777" w:rsidR="00066D04" w:rsidRPr="00EC1BB4" w:rsidRDefault="00066D04" w:rsidP="00D26E0B">
            <w:pPr>
              <w:spacing w:before="120" w:after="120" w:line="240" w:lineRule="auto"/>
              <w:ind w:left="0"/>
              <w:rPr>
                <w:sz w:val="20"/>
                <w:szCs w:val="20"/>
              </w:rPr>
            </w:pPr>
            <w:r w:rsidRPr="00EC1BB4">
              <w:rPr>
                <w:sz w:val="20"/>
                <w:szCs w:val="20"/>
              </w:rPr>
              <w:t>Fexofenadine</w:t>
            </w:r>
          </w:p>
        </w:tc>
        <w:tc>
          <w:tcPr>
            <w:tcW w:w="5623" w:type="dxa"/>
          </w:tcPr>
          <w:p w14:paraId="39A86E56" w14:textId="38567E5A" w:rsidR="00066D04" w:rsidRPr="00EC1BB4" w:rsidRDefault="00E00D81" w:rsidP="00D26E0B">
            <w:pPr>
              <w:spacing w:before="120" w:after="12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w:t>
            </w:r>
            <w:r w:rsidR="00066D04" w:rsidRPr="00EC1BB4">
              <w:rPr>
                <w:sz w:val="20"/>
                <w:szCs w:val="20"/>
              </w:rPr>
              <w:t>or the treatment of seasonal allergic rhinitis in adults and children 12 years of age and over when in capsules containing 60 milligrams or less of fexofenadine hydrochloride or in tablets containing 120 milligrams or less of fexofenadine hydrochloride with a maximum daily dose of 120 milligrams when sold in the manufacturer's original pack containing 20 dosage units or less and not more than 10 days' supply;</w:t>
            </w:r>
            <w:r w:rsidR="00066D04" w:rsidRPr="00EC1BB4">
              <w:rPr>
                <w:sz w:val="20"/>
                <w:szCs w:val="20"/>
              </w:rPr>
              <w:br/>
              <w:t>for the treatment of seasonal allergic rhinitis in adults and children 12 years of age and over when in tablets containing 180 milligrams or less of fexofenadine hydrochloride with maximum daily dose of 180 milligrams when sold in the manufacturer's original pack containing 10 dosage units or less and not more than 10 days' supply.</w:t>
            </w:r>
          </w:p>
        </w:tc>
        <w:tc>
          <w:tcPr>
            <w:tcW w:w="1882" w:type="dxa"/>
          </w:tcPr>
          <w:p w14:paraId="0D9D9CE8" w14:textId="77777777" w:rsidR="00066D04" w:rsidRPr="00EC1BB4" w:rsidRDefault="00066D04" w:rsidP="00D26E0B">
            <w:pPr>
              <w:spacing w:before="120" w:after="120"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EC1BB4">
              <w:rPr>
                <w:sz w:val="20"/>
                <w:szCs w:val="20"/>
              </w:rPr>
              <w:t>General Sale</w:t>
            </w:r>
          </w:p>
        </w:tc>
      </w:tr>
    </w:tbl>
    <w:p w14:paraId="781D39B9" w14:textId="77777777" w:rsidR="00066D04" w:rsidRDefault="00066D04" w:rsidP="00066D04"/>
    <w:p w14:paraId="143C6712" w14:textId="18EB962A" w:rsidR="00066D04" w:rsidRDefault="00066D04" w:rsidP="00934A06">
      <w:pPr>
        <w:pStyle w:val="ListBullet"/>
      </w:pPr>
      <w:r w:rsidRPr="00CF55F5">
        <w:t xml:space="preserve">The </w:t>
      </w:r>
      <w:hyperlink r:id="rId52" w:history="1">
        <w:proofErr w:type="spellStart"/>
        <w:r w:rsidRPr="008B2C1B">
          <w:rPr>
            <w:rStyle w:val="Hyperlink"/>
          </w:rPr>
          <w:t>Drugs@FDA</w:t>
        </w:r>
        <w:proofErr w:type="spellEnd"/>
        <w:r w:rsidRPr="008B2C1B">
          <w:rPr>
            <w:rStyle w:val="Hyperlink"/>
          </w:rPr>
          <w:t>: FDA-Approved Drugs</w:t>
        </w:r>
      </w:hyperlink>
      <w:r>
        <w:t xml:space="preserve"> database contains 70 products with fexofenadine as an active ingredient. Of these 70 products, 25 have been discontinued and 6 have received tentative approval for commercial sale. The </w:t>
      </w:r>
      <w:hyperlink r:id="rId53" w:history="1">
        <w:r w:rsidRPr="00F331A5">
          <w:rPr>
            <w:rStyle w:val="Hyperlink"/>
          </w:rPr>
          <w:t>Orange Book: Approved Drug Products with Therapeutic Equivalence Evaluations</w:t>
        </w:r>
      </w:hyperlink>
      <w:r>
        <w:t xml:space="preserve"> contains 90 entries with fexofenadine as an active ingredient. In the United States, antihistamines are typically available for purchase in non-pharmacy settings, such as supermarkets, in quantities exceeding 100 tablets.</w:t>
      </w:r>
    </w:p>
    <w:p w14:paraId="6C4AD090" w14:textId="24ED1C36" w:rsidR="00066D04" w:rsidRDefault="00066D04" w:rsidP="00934A06">
      <w:pPr>
        <w:pStyle w:val="ListBullet"/>
      </w:pPr>
      <w:r>
        <w:t xml:space="preserve">Fexofenadine is not listed in the </w:t>
      </w:r>
      <w:hyperlink r:id="rId54" w:history="1">
        <w:r w:rsidRPr="00892301">
          <w:rPr>
            <w:rStyle w:val="Hyperlink"/>
          </w:rPr>
          <w:t>Union Register of medicinal products - Public health - European Commission</w:t>
        </w:r>
      </w:hyperlink>
      <w:r>
        <w:t>, however, terfenadine (the active metabolite of fexofenadine) has 44 entries in the Register. Antihistamines are not available for sale in non-pharmacy settings (such as supermarkets) in the European Union.</w:t>
      </w:r>
    </w:p>
    <w:p w14:paraId="4A30174F" w14:textId="77777777" w:rsidR="008B7F43" w:rsidRDefault="00066D04" w:rsidP="00934A06">
      <w:pPr>
        <w:pStyle w:val="ListBullet"/>
      </w:pPr>
      <w:r>
        <w:t xml:space="preserve">The United Kingdom’s </w:t>
      </w:r>
      <w:hyperlink r:id="rId55" w:history="1">
        <w:r w:rsidRPr="00FE50C7">
          <w:rPr>
            <w:rStyle w:val="Hyperlink"/>
          </w:rPr>
          <w:t>Electronic Medicines Compendium</w:t>
        </w:r>
      </w:hyperlink>
      <w:r>
        <w:t xml:space="preserve"> lists 21 products containing fexofenadine that are currently available. Fexofenadine is available in non-pharmacy settings in pack sizes of up to 30 tablets, at a strength of 120 mg per tablet.</w:t>
      </w:r>
    </w:p>
    <w:p w14:paraId="45987FE6" w14:textId="6DEF1DC6" w:rsidR="00EF5850" w:rsidRDefault="00066D04" w:rsidP="00934A06">
      <w:pPr>
        <w:pStyle w:val="ListBullet"/>
      </w:pPr>
      <w:r>
        <w:t xml:space="preserve">In Ireland, the </w:t>
      </w:r>
      <w:hyperlink r:id="rId56" w:history="1">
        <w:r w:rsidRPr="00254E20">
          <w:rPr>
            <w:rStyle w:val="Hyperlink"/>
          </w:rPr>
          <w:t>Health Products Regulatory Authority</w:t>
        </w:r>
      </w:hyperlink>
      <w:r>
        <w:t xml:space="preserve"> lists 11 products authorised for human use that contain fexofenadine as an active ingredient. Antihistamines are not available for sale in non-pharmacy settings (such as supermarkets) in Ireland.</w:t>
      </w:r>
    </w:p>
    <w:p w14:paraId="791221B0" w14:textId="5426B66D" w:rsidR="005E4F95" w:rsidRPr="00C417B6" w:rsidRDefault="005E4F95" w:rsidP="005E4F95">
      <w:pPr>
        <w:pStyle w:val="Heading3"/>
      </w:pPr>
      <w:bookmarkStart w:id="58" w:name="_Toc165905867"/>
      <w:bookmarkStart w:id="59" w:name="_Toc230951723"/>
      <w:r w:rsidRPr="00F62AC9">
        <w:t>1.</w:t>
      </w:r>
      <w:r w:rsidR="545E4CDE">
        <w:t>3</w:t>
      </w:r>
      <w:r w:rsidRPr="00F62AC9">
        <w:tab/>
      </w:r>
      <w:bookmarkEnd w:id="58"/>
      <w:r>
        <w:t>Pseudoephedrine</w:t>
      </w:r>
      <w:bookmarkEnd w:id="59"/>
    </w:p>
    <w:p w14:paraId="47A34AC8" w14:textId="77777777" w:rsidR="005E4F95" w:rsidRPr="00C417B6" w:rsidRDefault="005E4F95" w:rsidP="005E4F95">
      <w:pPr>
        <w:pStyle w:val="Heading4"/>
      </w:pPr>
      <w:bookmarkStart w:id="60" w:name="_Toc165905868"/>
      <w:bookmarkStart w:id="61" w:name="_Toc230951724"/>
      <w:r w:rsidRPr="00C417B6">
        <w:t>Proposal</w:t>
      </w:r>
      <w:bookmarkEnd w:id="60"/>
      <w:bookmarkEnd w:id="61"/>
    </w:p>
    <w:p w14:paraId="5E78BF95" w14:textId="03769C09" w:rsidR="005E4F95" w:rsidRPr="005A158C" w:rsidRDefault="005E4F95" w:rsidP="008634AB">
      <w:pPr>
        <w:spacing w:before="120" w:line="240" w:lineRule="auto"/>
      </w:pPr>
      <w:bookmarkStart w:id="62" w:name="_Toc165905869"/>
      <w:r w:rsidRPr="004368EE">
        <w:t xml:space="preserve">This application proposes an amendment to the </w:t>
      </w:r>
      <w:r>
        <w:t xml:space="preserve">current </w:t>
      </w:r>
      <w:r w:rsidRPr="004368EE">
        <w:t xml:space="preserve">Poisons Standard </w:t>
      </w:r>
      <w:r>
        <w:t>in relation</w:t>
      </w:r>
      <w:r w:rsidRPr="00424BBD">
        <w:t xml:space="preserve"> </w:t>
      </w:r>
      <w:r>
        <w:t>p</w:t>
      </w:r>
      <w:r w:rsidRPr="00424BBD">
        <w:t xml:space="preserve">seudoephedrine </w:t>
      </w:r>
      <w:r w:rsidRPr="004368EE">
        <w:t xml:space="preserve">to allow the advertising of </w:t>
      </w:r>
      <w:r>
        <w:t>P</w:t>
      </w:r>
      <w:r w:rsidRPr="004368EE">
        <w:t>harmacist</w:t>
      </w:r>
      <w:r>
        <w:rPr>
          <w:rFonts w:ascii="Cambria Math" w:hAnsi="Cambria Math" w:cs="Cambria Math"/>
        </w:rPr>
        <w:t xml:space="preserve"> </w:t>
      </w:r>
      <w:r w:rsidRPr="004368EE">
        <w:t xml:space="preserve">only </w:t>
      </w:r>
      <w:r>
        <w:t xml:space="preserve">(Schedule 3) preparations of </w:t>
      </w:r>
      <w:r w:rsidRPr="004368EE">
        <w:t xml:space="preserve">pseudoephedrine </w:t>
      </w:r>
      <w:r>
        <w:t xml:space="preserve">by including the substance </w:t>
      </w:r>
      <w:r w:rsidRPr="004368EE">
        <w:t>in Appendix H (Schedule 3 medicines permitted to be advertised)</w:t>
      </w:r>
      <w:r>
        <w:t xml:space="preserve">. Pseudoephedrine preparations are </w:t>
      </w:r>
      <w:r w:rsidR="006F0A6A">
        <w:t>Pharmacist only (</w:t>
      </w:r>
      <w:r>
        <w:t>Schedule 3</w:t>
      </w:r>
      <w:r w:rsidR="006F0A6A">
        <w:t>)</w:t>
      </w:r>
      <w:r>
        <w:t xml:space="preserve"> or Prescription only (Schedule 4) medicines depending on purpose and </w:t>
      </w:r>
      <w:r w:rsidR="006F0A6A">
        <w:t>formulation</w:t>
      </w:r>
      <w:r>
        <w:t xml:space="preserve">. The proposal does not intend to change the scheduling of pseudoephedrine otherwise i.e. the </w:t>
      </w:r>
      <w:r w:rsidRPr="004368EE">
        <w:t>existing controls on access and supply</w:t>
      </w:r>
      <w:r>
        <w:t xml:space="preserve"> are retained while allowing </w:t>
      </w:r>
      <w:r w:rsidRPr="004368EE">
        <w:t>the adverti</w:t>
      </w:r>
      <w:r>
        <w:t>sing</w:t>
      </w:r>
      <w:r w:rsidRPr="004368EE">
        <w:t xml:space="preserve"> of </w:t>
      </w:r>
      <w:r w:rsidR="006F0A6A">
        <w:t>Pharmacist only</w:t>
      </w:r>
      <w:r>
        <w:t xml:space="preserve"> </w:t>
      </w:r>
      <w:r w:rsidRPr="004368EE">
        <w:t>pseudoephedrine medicines to consumers</w:t>
      </w:r>
      <w:r>
        <w:t>.</w:t>
      </w:r>
    </w:p>
    <w:p w14:paraId="595AAAAB" w14:textId="77777777" w:rsidR="005E4F95" w:rsidRPr="00C417B6" w:rsidRDefault="005E4F95" w:rsidP="005E4F95">
      <w:pPr>
        <w:pStyle w:val="Heading4"/>
      </w:pPr>
      <w:bookmarkStart w:id="63" w:name="_Toc230951725"/>
      <w:r w:rsidRPr="00C417B6">
        <w:t>CAS number</w:t>
      </w:r>
      <w:r>
        <w:t>s</w:t>
      </w:r>
      <w:r w:rsidRPr="00C417B6">
        <w:t>:</w:t>
      </w:r>
      <w:bookmarkEnd w:id="62"/>
      <w:bookmarkEnd w:id="63"/>
    </w:p>
    <w:p w14:paraId="06523F69" w14:textId="77777777" w:rsidR="005E4F95" w:rsidRDefault="005E4F95" w:rsidP="008634AB">
      <w:pPr>
        <w:spacing w:before="120" w:line="240" w:lineRule="auto"/>
      </w:pPr>
      <w:r>
        <w:t>CAS 90-82-4 (pseudoephedrine)</w:t>
      </w:r>
    </w:p>
    <w:p w14:paraId="1C575818" w14:textId="77777777" w:rsidR="005E4F95" w:rsidRPr="00C417B6" w:rsidRDefault="005E4F95" w:rsidP="008634AB">
      <w:pPr>
        <w:spacing w:before="120" w:line="240" w:lineRule="auto"/>
      </w:pPr>
      <w:r>
        <w:t>CAS 345-78-8 (pseudoephedrine hydrochloride)</w:t>
      </w:r>
    </w:p>
    <w:p w14:paraId="5DDB45FE" w14:textId="77777777" w:rsidR="005E4F95" w:rsidRPr="00C417B6" w:rsidRDefault="005E4F95" w:rsidP="005E4F95">
      <w:pPr>
        <w:pStyle w:val="Heading4"/>
      </w:pPr>
      <w:bookmarkStart w:id="64" w:name="_Toc165905870"/>
      <w:bookmarkStart w:id="65" w:name="_Toc230951726"/>
      <w:r w:rsidRPr="00C417B6">
        <w:lastRenderedPageBreak/>
        <w:t>Alternative names</w:t>
      </w:r>
      <w:bookmarkEnd w:id="64"/>
      <w:bookmarkEnd w:id="65"/>
    </w:p>
    <w:p w14:paraId="401900BB" w14:textId="77777777" w:rsidR="005E4F95" w:rsidRDefault="005E4F95" w:rsidP="008634AB">
      <w:pPr>
        <w:spacing w:before="120" w:line="240" w:lineRule="auto"/>
      </w:pPr>
      <w:r w:rsidRPr="00AA0DE8">
        <w:t xml:space="preserve">(1S,2S)-2-methylamino-1-phenylpropan-1-ol </w:t>
      </w:r>
    </w:p>
    <w:p w14:paraId="1A3DEF83" w14:textId="77777777" w:rsidR="005E4F95" w:rsidRDefault="005E4F95" w:rsidP="008634AB">
      <w:pPr>
        <w:spacing w:before="120" w:line="240" w:lineRule="auto"/>
      </w:pPr>
      <w:r>
        <w:t>D</w:t>
      </w:r>
      <w:r w:rsidRPr="00AA0DE8">
        <w:t>-</w:t>
      </w:r>
      <w:proofErr w:type="spellStart"/>
      <w:r w:rsidRPr="00AA0DE8">
        <w:t>isoephedrine</w:t>
      </w:r>
      <w:proofErr w:type="spellEnd"/>
      <w:r w:rsidRPr="00AA0DE8">
        <w:t xml:space="preserve"> </w:t>
      </w:r>
    </w:p>
    <w:p w14:paraId="551A2571" w14:textId="77777777" w:rsidR="005E4F95" w:rsidRPr="00C417B6" w:rsidRDefault="005E4F95" w:rsidP="008634AB">
      <w:pPr>
        <w:spacing w:before="120" w:line="240" w:lineRule="auto"/>
      </w:pPr>
      <w:r>
        <w:t>D</w:t>
      </w:r>
      <w:r w:rsidRPr="00AA0DE8">
        <w:t>-ψ-ephedrine</w:t>
      </w:r>
    </w:p>
    <w:p w14:paraId="671B4A5F" w14:textId="77777777" w:rsidR="005E4F95" w:rsidRPr="00C417B6" w:rsidRDefault="005E4F95" w:rsidP="005E4F95">
      <w:pPr>
        <w:pStyle w:val="Heading4"/>
      </w:pPr>
      <w:bookmarkStart w:id="66" w:name="_Toc165905871"/>
      <w:bookmarkStart w:id="67" w:name="_Toc230951727"/>
      <w:r w:rsidRPr="00C417B6">
        <w:t>Applicant</w:t>
      </w:r>
      <w:bookmarkEnd w:id="66"/>
      <w:bookmarkEnd w:id="67"/>
    </w:p>
    <w:p w14:paraId="1D01150D" w14:textId="435D7794" w:rsidR="005E4F95" w:rsidRPr="00C417B6" w:rsidRDefault="005E4F95" w:rsidP="008634AB">
      <w:pPr>
        <w:spacing w:before="120" w:line="240" w:lineRule="auto"/>
      </w:pPr>
      <w:r w:rsidRPr="00A55347">
        <w:t>Private applicant</w:t>
      </w:r>
    </w:p>
    <w:p w14:paraId="4D9154D6" w14:textId="77777777" w:rsidR="005E4F95" w:rsidRPr="00C417B6" w:rsidRDefault="005E4F95" w:rsidP="005E4F95">
      <w:pPr>
        <w:pStyle w:val="Heading4"/>
      </w:pPr>
      <w:bookmarkStart w:id="68" w:name="_Toc165905872"/>
      <w:bookmarkStart w:id="69" w:name="_Toc230951728"/>
      <w:r w:rsidRPr="00C417B6">
        <w:t>Proposed Scheduling</w:t>
      </w:r>
      <w:bookmarkEnd w:id="68"/>
      <w:bookmarkEnd w:id="69"/>
    </w:p>
    <w:p w14:paraId="5B7069A9" w14:textId="77777777" w:rsidR="005E4F95" w:rsidRPr="00C417B6" w:rsidRDefault="005E4F95" w:rsidP="008634AB">
      <w:pPr>
        <w:spacing w:before="120" w:line="240" w:lineRule="auto"/>
      </w:pPr>
      <w:r w:rsidRPr="00B53CFF">
        <w:t>Pseudoephedrine</w:t>
      </w:r>
      <w:r>
        <w:t xml:space="preserve"> </w:t>
      </w:r>
      <w:r w:rsidRPr="00C417B6">
        <w:t xml:space="preserve">is currently listed in Schedules </w:t>
      </w:r>
      <w:r>
        <w:t xml:space="preserve">3 </w:t>
      </w:r>
      <w:r w:rsidRPr="00287ABB">
        <w:t xml:space="preserve">and </w:t>
      </w:r>
      <w:r>
        <w:t xml:space="preserve">4 </w:t>
      </w:r>
      <w:r w:rsidRPr="00C417B6">
        <w:t>of the Poisons Standard as follows:</w:t>
      </w:r>
    </w:p>
    <w:p w14:paraId="02926306" w14:textId="77777777" w:rsidR="005E4F95" w:rsidRPr="00621CED" w:rsidRDefault="005E4F95" w:rsidP="001C4507">
      <w:pPr>
        <w:pStyle w:val="PoisonsStandardScheduleEntry"/>
        <w:spacing w:before="120" w:after="120"/>
        <w:ind w:left="284" w:firstLine="0"/>
        <w:rPr>
          <w:rFonts w:ascii="Arial" w:hAnsi="Arial" w:cs="Arial"/>
          <w:b/>
          <w:bCs/>
          <w:sz w:val="20"/>
          <w:szCs w:val="18"/>
        </w:rPr>
      </w:pPr>
      <w:r w:rsidRPr="00621CED">
        <w:rPr>
          <w:rFonts w:ascii="Arial" w:hAnsi="Arial" w:cs="Arial"/>
          <w:b/>
          <w:bCs/>
          <w:sz w:val="20"/>
          <w:szCs w:val="18"/>
        </w:rPr>
        <w:t>Schedule 3</w:t>
      </w:r>
    </w:p>
    <w:p w14:paraId="44ED7C80" w14:textId="77777777" w:rsidR="005E4F95" w:rsidRPr="00BB5E24" w:rsidRDefault="005E4F95" w:rsidP="001C4507">
      <w:pPr>
        <w:pStyle w:val="PoisonsStandardScheduleEntry"/>
        <w:spacing w:before="120" w:after="120"/>
        <w:ind w:firstLine="0"/>
        <w:rPr>
          <w:rFonts w:ascii="Arial" w:hAnsi="Arial" w:cs="Arial"/>
          <w:sz w:val="20"/>
          <w:szCs w:val="18"/>
        </w:rPr>
      </w:pPr>
      <w:r w:rsidRPr="00BB5E24">
        <w:rPr>
          <w:rFonts w:ascii="Arial" w:hAnsi="Arial" w:cs="Arial"/>
          <w:sz w:val="20"/>
          <w:szCs w:val="18"/>
        </w:rPr>
        <w:t>PSEUDOEPHEDRINE (other than preparations for stimulant, appetite suppression or weight</w:t>
      </w:r>
      <w:r w:rsidRPr="00BB5E24">
        <w:rPr>
          <w:rFonts w:ascii="Arial" w:hAnsi="Arial" w:cs="Arial"/>
          <w:sz w:val="20"/>
          <w:szCs w:val="18"/>
        </w:rPr>
        <w:noBreakHyphen/>
        <w:t>control purposes) when supplied in a primary pack:</w:t>
      </w:r>
    </w:p>
    <w:p w14:paraId="65CE117E" w14:textId="7395A37A" w:rsidR="005E4F95" w:rsidRPr="00411A50" w:rsidRDefault="005E4F95" w:rsidP="00411A50">
      <w:pPr>
        <w:pStyle w:val="PoisonsStandardScheduleEntryParagraph"/>
        <w:ind w:left="1134" w:hanging="425"/>
        <w:rPr>
          <w:rFonts w:ascii="Arial" w:eastAsiaTheme="minorHAnsi" w:hAnsi="Arial" w:cs="Arial"/>
          <w:sz w:val="20"/>
          <w:lang w:eastAsia="en-US"/>
        </w:rPr>
      </w:pPr>
      <w:r w:rsidRPr="00BB5E24">
        <w:rPr>
          <w:rFonts w:ascii="Arial" w:hAnsi="Arial" w:cs="Arial"/>
          <w:sz w:val="20"/>
          <w:szCs w:val="18"/>
        </w:rPr>
        <w:t>(a)</w:t>
      </w:r>
      <w:r w:rsidRPr="00BB5E24">
        <w:rPr>
          <w:rFonts w:ascii="Arial" w:hAnsi="Arial" w:cs="Arial"/>
          <w:sz w:val="20"/>
          <w:szCs w:val="18"/>
        </w:rPr>
        <w:tab/>
      </w:r>
      <w:r w:rsidRPr="00411A50">
        <w:rPr>
          <w:rFonts w:ascii="Arial" w:eastAsiaTheme="minorHAnsi" w:hAnsi="Arial" w:cs="Arial"/>
          <w:sz w:val="20"/>
          <w:lang w:eastAsia="en-US"/>
        </w:rPr>
        <w:t>in liquid preparations containing 800 mg or less of pseudoephedrine hydrochloride (or its equivalent); or</w:t>
      </w:r>
    </w:p>
    <w:p w14:paraId="2D81FB32" w14:textId="4EAD72EF" w:rsidR="005E4F95" w:rsidRPr="00411A50" w:rsidRDefault="005E4F95" w:rsidP="00411A50">
      <w:pPr>
        <w:pStyle w:val="PoisonsStandardScheduleEntryParagraph"/>
        <w:ind w:left="1134" w:hanging="425"/>
        <w:rPr>
          <w:rFonts w:ascii="Arial" w:eastAsiaTheme="minorHAnsi" w:hAnsi="Arial" w:cs="Arial"/>
          <w:sz w:val="20"/>
          <w:lang w:eastAsia="en-US"/>
        </w:rPr>
      </w:pPr>
      <w:r w:rsidRPr="00411A50">
        <w:rPr>
          <w:rFonts w:ascii="Arial" w:eastAsiaTheme="minorHAnsi" w:hAnsi="Arial" w:cs="Arial"/>
          <w:sz w:val="20"/>
          <w:lang w:eastAsia="en-US"/>
        </w:rPr>
        <w:t>(b)</w:t>
      </w:r>
      <w:r w:rsidRPr="00411A50">
        <w:rPr>
          <w:rFonts w:ascii="Arial" w:eastAsiaTheme="minorHAnsi" w:hAnsi="Arial" w:cs="Arial"/>
          <w:sz w:val="20"/>
          <w:lang w:eastAsia="en-US"/>
        </w:rPr>
        <w:tab/>
        <w:t>in other preparations containing 720 mg or less of pseudoephedrine hydrochloride (or its equivalent).</w:t>
      </w:r>
    </w:p>
    <w:p w14:paraId="6E8E80A2" w14:textId="77777777" w:rsidR="005E4F95" w:rsidRPr="00621CED" w:rsidRDefault="005E4F95" w:rsidP="002008BE">
      <w:pPr>
        <w:pStyle w:val="PoisonsStandardScheduleEntry"/>
        <w:spacing w:before="120" w:after="120"/>
        <w:ind w:left="284" w:firstLine="0"/>
        <w:rPr>
          <w:rFonts w:ascii="Arial" w:hAnsi="Arial" w:cs="Arial"/>
          <w:b/>
          <w:bCs/>
          <w:sz w:val="20"/>
          <w:szCs w:val="18"/>
        </w:rPr>
      </w:pPr>
      <w:r w:rsidRPr="00621CED">
        <w:rPr>
          <w:rFonts w:ascii="Arial" w:hAnsi="Arial" w:cs="Arial"/>
          <w:b/>
          <w:bCs/>
          <w:sz w:val="20"/>
          <w:szCs w:val="18"/>
        </w:rPr>
        <w:t>Schedule 4</w:t>
      </w:r>
    </w:p>
    <w:p w14:paraId="6BE9AE07" w14:textId="77777777" w:rsidR="005E4F95" w:rsidRPr="00BB5E24" w:rsidRDefault="005E4F95" w:rsidP="002008BE">
      <w:pPr>
        <w:pStyle w:val="PoisonsStandardScheduleEntry"/>
        <w:spacing w:before="120" w:after="120"/>
        <w:ind w:firstLine="0"/>
        <w:rPr>
          <w:rFonts w:ascii="Arial" w:hAnsi="Arial" w:cs="Arial"/>
          <w:sz w:val="20"/>
          <w:szCs w:val="18"/>
        </w:rPr>
      </w:pPr>
      <w:r w:rsidRPr="00621CED">
        <w:rPr>
          <w:rFonts w:ascii="Arial" w:hAnsi="Arial" w:cs="Arial"/>
          <w:sz w:val="20"/>
          <w:szCs w:val="18"/>
        </w:rPr>
        <w:t>PSEUDOEPHEDRINE except when included in Schedule 3.</w:t>
      </w:r>
    </w:p>
    <w:p w14:paraId="7EC62106" w14:textId="77777777" w:rsidR="005E4F95" w:rsidRPr="002008BE" w:rsidRDefault="005E4F95" w:rsidP="002008BE">
      <w:pPr>
        <w:pStyle w:val="PoisonsStandardScheduleEntry"/>
        <w:spacing w:before="120" w:after="120"/>
        <w:ind w:left="284" w:firstLine="0"/>
        <w:rPr>
          <w:rFonts w:ascii="Arial" w:hAnsi="Arial" w:cs="Arial"/>
          <w:b/>
          <w:sz w:val="20"/>
        </w:rPr>
      </w:pPr>
      <w:r w:rsidRPr="002008BE">
        <w:rPr>
          <w:rFonts w:ascii="Arial" w:hAnsi="Arial" w:cs="Arial"/>
          <w:b/>
          <w:sz w:val="20"/>
        </w:rPr>
        <w:t>Index</w:t>
      </w:r>
    </w:p>
    <w:p w14:paraId="11EDE555" w14:textId="77777777" w:rsidR="005E4F95" w:rsidRPr="002008BE" w:rsidRDefault="005E4F95" w:rsidP="002008BE">
      <w:pPr>
        <w:pStyle w:val="PoisonsStandardScheduleEntry"/>
        <w:spacing w:before="120" w:after="120"/>
        <w:ind w:firstLine="0"/>
        <w:rPr>
          <w:rFonts w:ascii="Arial" w:hAnsi="Arial" w:cs="Arial"/>
          <w:b/>
          <w:sz w:val="20"/>
        </w:rPr>
      </w:pPr>
      <w:r w:rsidRPr="002008BE">
        <w:rPr>
          <w:rFonts w:ascii="Arial" w:hAnsi="Arial" w:cs="Arial"/>
          <w:b/>
          <w:sz w:val="20"/>
        </w:rPr>
        <w:t>PSEUDOEPHEDRINE</w:t>
      </w:r>
    </w:p>
    <w:p w14:paraId="6E83B4FC" w14:textId="77777777" w:rsidR="005E4F95" w:rsidRPr="002008BE" w:rsidRDefault="005E4F95" w:rsidP="002008BE">
      <w:pPr>
        <w:pStyle w:val="PoisonsStandardScheduleEntry"/>
        <w:spacing w:before="120" w:after="120"/>
        <w:ind w:firstLine="0"/>
        <w:rPr>
          <w:rFonts w:ascii="Arial" w:hAnsi="Arial" w:cs="Arial"/>
          <w:b/>
          <w:sz w:val="20"/>
        </w:rPr>
      </w:pPr>
      <w:r w:rsidRPr="002008BE">
        <w:rPr>
          <w:rFonts w:ascii="Arial" w:hAnsi="Arial" w:cs="Arial"/>
          <w:sz w:val="20"/>
        </w:rPr>
        <w:t>Schedule 4</w:t>
      </w:r>
      <w:r w:rsidRPr="002008BE">
        <w:rPr>
          <w:rFonts w:ascii="Arial" w:hAnsi="Arial" w:cs="Arial"/>
          <w:sz w:val="20"/>
        </w:rPr>
        <w:br/>
        <w:t>Schedule 3</w:t>
      </w:r>
    </w:p>
    <w:p w14:paraId="608325F4" w14:textId="5EF9ECDF" w:rsidR="001C27C4" w:rsidRDefault="005E4F95" w:rsidP="002008BE">
      <w:pPr>
        <w:spacing w:before="120" w:line="240" w:lineRule="auto"/>
        <w:rPr>
          <w:rFonts w:cs="Arial"/>
        </w:rPr>
      </w:pPr>
      <w:r w:rsidRPr="002008BE">
        <w:rPr>
          <w:rFonts w:cs="Arial"/>
        </w:rPr>
        <w:t>The applicant proposes to create a new Appendix H entry without any changes to Schedule 3 and Schedule 4 entries.</w:t>
      </w:r>
      <w:r w:rsidR="00E002A5">
        <w:rPr>
          <w:rStyle w:val="FootnoteReference"/>
          <w:rFonts w:cs="Arial"/>
        </w:rPr>
        <w:footnoteReference w:id="8"/>
      </w:r>
    </w:p>
    <w:p w14:paraId="76E98F80" w14:textId="2253FE06" w:rsidR="005E4F95" w:rsidRPr="002008BE" w:rsidRDefault="005E4F95" w:rsidP="001C27C4">
      <w:pPr>
        <w:pStyle w:val="PoisonsStandardScheduleEntry"/>
        <w:spacing w:before="120" w:after="120"/>
        <w:ind w:left="284" w:firstLine="0"/>
        <w:rPr>
          <w:rFonts w:ascii="Arial" w:hAnsi="Arial" w:cs="Arial"/>
          <w:b/>
          <w:bCs/>
          <w:sz w:val="20"/>
        </w:rPr>
      </w:pPr>
      <w:r w:rsidRPr="002008BE">
        <w:rPr>
          <w:rFonts w:ascii="Arial" w:hAnsi="Arial" w:cs="Arial"/>
          <w:b/>
          <w:bCs/>
          <w:sz w:val="20"/>
        </w:rPr>
        <w:t>Appendix H – New Entry</w:t>
      </w:r>
    </w:p>
    <w:p w14:paraId="6F475F0B" w14:textId="77777777" w:rsidR="001C27C4" w:rsidRDefault="005E4F95" w:rsidP="001C27C4">
      <w:pPr>
        <w:pStyle w:val="PoisonsStandardScheduleEntry"/>
        <w:spacing w:before="120" w:after="120"/>
        <w:ind w:firstLine="0"/>
        <w:rPr>
          <w:rFonts w:ascii="Arial" w:hAnsi="Arial" w:cs="Arial"/>
          <w:color w:val="00B050"/>
          <w:sz w:val="20"/>
        </w:rPr>
      </w:pPr>
      <w:r w:rsidRPr="002008BE">
        <w:rPr>
          <w:rFonts w:ascii="Arial" w:hAnsi="Arial" w:cs="Arial"/>
          <w:color w:val="00B050"/>
          <w:sz w:val="20"/>
        </w:rPr>
        <w:t>PSEUDOEPHEDRINE</w:t>
      </w:r>
    </w:p>
    <w:p w14:paraId="793311AA" w14:textId="20160A7B" w:rsidR="005E4F95" w:rsidRPr="002008BE" w:rsidRDefault="005E4F95" w:rsidP="002008BE">
      <w:pPr>
        <w:pStyle w:val="PoisonsStandardScheduleEntry"/>
        <w:spacing w:before="120" w:after="120"/>
        <w:ind w:left="284" w:firstLine="0"/>
        <w:rPr>
          <w:rFonts w:ascii="Arial" w:hAnsi="Arial" w:cs="Arial"/>
          <w:b/>
          <w:bCs/>
          <w:sz w:val="20"/>
        </w:rPr>
      </w:pPr>
      <w:r w:rsidRPr="002008BE">
        <w:rPr>
          <w:rFonts w:ascii="Arial" w:hAnsi="Arial" w:cs="Arial"/>
          <w:b/>
          <w:bCs/>
          <w:sz w:val="20"/>
        </w:rPr>
        <w:t>Index – Amend Entry</w:t>
      </w:r>
    </w:p>
    <w:p w14:paraId="3739A3D0" w14:textId="77777777" w:rsidR="005E4F95" w:rsidRPr="002008BE" w:rsidRDefault="005E4F95" w:rsidP="002008BE">
      <w:pPr>
        <w:pStyle w:val="PoisonsStandardScheduleEntry"/>
        <w:spacing w:before="120" w:after="120"/>
        <w:ind w:firstLine="0"/>
        <w:rPr>
          <w:rFonts w:ascii="Arial" w:hAnsi="Arial" w:cs="Arial"/>
          <w:sz w:val="20"/>
        </w:rPr>
      </w:pPr>
      <w:r w:rsidRPr="002008BE">
        <w:rPr>
          <w:rFonts w:ascii="Arial" w:hAnsi="Arial" w:cs="Arial"/>
          <w:sz w:val="20"/>
        </w:rPr>
        <w:t xml:space="preserve">PSEUDOEPHEDRINE </w:t>
      </w:r>
    </w:p>
    <w:p w14:paraId="394E428C" w14:textId="77777777" w:rsidR="005E4F95" w:rsidRPr="002008BE" w:rsidRDefault="005E4F95" w:rsidP="002008BE">
      <w:pPr>
        <w:pStyle w:val="PoisonsStandardScheduleEntry"/>
        <w:spacing w:before="120" w:after="120"/>
        <w:ind w:firstLine="0"/>
        <w:rPr>
          <w:rFonts w:ascii="Arial" w:hAnsi="Arial" w:cs="Arial"/>
          <w:sz w:val="20"/>
        </w:rPr>
      </w:pPr>
      <w:r w:rsidRPr="002008BE">
        <w:rPr>
          <w:rFonts w:ascii="Arial" w:hAnsi="Arial" w:cs="Arial"/>
          <w:sz w:val="20"/>
        </w:rPr>
        <w:t>Schedule 3</w:t>
      </w:r>
    </w:p>
    <w:p w14:paraId="0A5BC27D" w14:textId="77777777" w:rsidR="005E4F95" w:rsidRPr="002008BE" w:rsidRDefault="005E4F95" w:rsidP="002008BE">
      <w:pPr>
        <w:pStyle w:val="PoisonsStandardScheduleEntry"/>
        <w:spacing w:before="120" w:after="120"/>
        <w:ind w:firstLine="0"/>
        <w:rPr>
          <w:rFonts w:ascii="Arial" w:hAnsi="Arial" w:cs="Arial"/>
          <w:sz w:val="20"/>
        </w:rPr>
      </w:pPr>
      <w:r w:rsidRPr="002008BE">
        <w:rPr>
          <w:rFonts w:ascii="Arial" w:hAnsi="Arial" w:cs="Arial"/>
          <w:sz w:val="20"/>
        </w:rPr>
        <w:t>Schedule 4</w:t>
      </w:r>
    </w:p>
    <w:p w14:paraId="7D40EFC7" w14:textId="77777777" w:rsidR="005E4F95" w:rsidRPr="002008BE" w:rsidRDefault="005E4F95" w:rsidP="002008BE">
      <w:pPr>
        <w:pStyle w:val="PoisonsStandardScheduleEntry"/>
        <w:spacing w:before="120" w:after="120"/>
        <w:ind w:firstLine="0"/>
        <w:rPr>
          <w:rFonts w:ascii="Arial" w:hAnsi="Arial" w:cs="Arial"/>
          <w:color w:val="00B050"/>
          <w:sz w:val="20"/>
        </w:rPr>
      </w:pPr>
      <w:r w:rsidRPr="002008BE">
        <w:rPr>
          <w:rFonts w:ascii="Arial" w:hAnsi="Arial" w:cs="Arial"/>
          <w:color w:val="00B050"/>
          <w:sz w:val="20"/>
        </w:rPr>
        <w:t>Appendix H</w:t>
      </w:r>
    </w:p>
    <w:p w14:paraId="6B660C31" w14:textId="77777777" w:rsidR="005E4F95" w:rsidRPr="00C417B6" w:rsidRDefault="005E4F95" w:rsidP="005E4F95">
      <w:pPr>
        <w:pStyle w:val="Heading4"/>
      </w:pPr>
      <w:bookmarkStart w:id="70" w:name="_Toc165905873"/>
      <w:bookmarkStart w:id="71" w:name="_Toc230951729"/>
      <w:r w:rsidRPr="00C417B6">
        <w:t>Background</w:t>
      </w:r>
      <w:bookmarkEnd w:id="70"/>
      <w:bookmarkEnd w:id="71"/>
    </w:p>
    <w:p w14:paraId="44EEB26E" w14:textId="416775F1" w:rsidR="005E4F95" w:rsidRDefault="005E4F95" w:rsidP="003E6D54">
      <w:pPr>
        <w:spacing w:before="120" w:line="240" w:lineRule="auto"/>
      </w:pPr>
      <w:r w:rsidRPr="00466BDB">
        <w:t>Pseudoephedrine is indicated for symptomatic relief of nasal congestion associated with colds, influenza, and allergic rhinitis (hay fever)</w:t>
      </w:r>
      <w:r>
        <w:t xml:space="preserve"> and</w:t>
      </w:r>
      <w:r w:rsidRPr="00F82360">
        <w:t xml:space="preserve"> </w:t>
      </w:r>
      <w:r w:rsidRPr="00466BDB">
        <w:t>has been widely used as an oral</w:t>
      </w:r>
      <w:r w:rsidR="003E6D54">
        <w:t>,</w:t>
      </w:r>
      <w:r w:rsidRPr="00466BDB">
        <w:t xml:space="preserve"> nasal and sinus decongestant for over 40 years in Australia.</w:t>
      </w:r>
      <w:r>
        <w:t xml:space="preserve"> </w:t>
      </w:r>
      <w:r w:rsidRPr="00C2214D">
        <w:t xml:space="preserve">It </w:t>
      </w:r>
      <w:r>
        <w:t>reduces</w:t>
      </w:r>
      <w:r w:rsidRPr="00C2214D">
        <w:t xml:space="preserve"> congestion in the upper respiratory tract, including the nose, nasal passages and sinuses, and making it easier to breathe</w:t>
      </w:r>
      <w:r>
        <w:t>.</w:t>
      </w:r>
    </w:p>
    <w:p w14:paraId="143FFEE7" w14:textId="262CAA44" w:rsidR="005E4F95" w:rsidRDefault="005E4F95" w:rsidP="003E6D54">
      <w:pPr>
        <w:spacing w:before="120" w:line="240" w:lineRule="auto"/>
      </w:pPr>
      <w:r w:rsidRPr="00E45DE6">
        <w:t xml:space="preserve">Historically, pseudoephedrine was available as a Pharmacy </w:t>
      </w:r>
      <w:r w:rsidR="006F0A6A">
        <w:t xml:space="preserve">medicine </w:t>
      </w:r>
      <w:r w:rsidRPr="00E45DE6">
        <w:t xml:space="preserve">(Schedule 2) and could be advertised. </w:t>
      </w:r>
      <w:r>
        <w:t>In June 2005,</w:t>
      </w:r>
      <w:r w:rsidRPr="00E45DE6">
        <w:t xml:space="preserve"> due to concerns regarding its diversion for the illicit manufacture of methamphetamine, the National Drugs and Poisons Schedule Committee (NDPSC) rescheduled pseudoephedrine products to Schedule 3 and Schedule 4</w:t>
      </w:r>
      <w:r>
        <w:t xml:space="preserve"> (</w:t>
      </w:r>
      <w:r w:rsidRPr="00E45DE6">
        <w:t>some higher</w:t>
      </w:r>
      <w:r w:rsidRPr="00E45DE6">
        <w:noBreakHyphen/>
        <w:t>dose preparations</w:t>
      </w:r>
      <w:r>
        <w:t xml:space="preserve">), but advertising continued to be allowed. The arguments for retaining the Appendix H entry for </w:t>
      </w:r>
      <w:r>
        <w:lastRenderedPageBreak/>
        <w:t xml:space="preserve">pseudoephedrine was reviewed by NDPSC In June 2010 and subsequently </w:t>
      </w:r>
      <w:r w:rsidRPr="0059622B">
        <w:t>by the Advisory Committee on Medicines Scheduling (ACMS)</w:t>
      </w:r>
      <w:r>
        <w:t xml:space="preserve"> i</w:t>
      </w:r>
      <w:r w:rsidRPr="0059622B">
        <w:t>n March 2011</w:t>
      </w:r>
      <w:r>
        <w:t xml:space="preserve">. Noting consumer awareness and existing supply arrangements, the committees considered that </w:t>
      </w:r>
      <w:r w:rsidRPr="0059622B">
        <w:t xml:space="preserve">while advertising did not contribute to misuse, </w:t>
      </w:r>
      <w:r w:rsidRPr="00037A06">
        <w:t>advertising did not provide enough public health benefit</w:t>
      </w:r>
      <w:r w:rsidRPr="0059622B">
        <w:t>.</w:t>
      </w:r>
      <w:r w:rsidRPr="00C55F0C">
        <w:t xml:space="preserve"> </w:t>
      </w:r>
      <w:r>
        <w:t>Based on this advice, advertis</w:t>
      </w:r>
      <w:r w:rsidR="006F0A6A">
        <w:t xml:space="preserve">ing </w:t>
      </w:r>
      <w:r>
        <w:t xml:space="preserve">of </w:t>
      </w:r>
      <w:r w:rsidRPr="00B93040">
        <w:t xml:space="preserve">pseudoephedrine </w:t>
      </w:r>
      <w:r>
        <w:t xml:space="preserve">was disallowed </w:t>
      </w:r>
      <w:r w:rsidR="006F0A6A">
        <w:t>from</w:t>
      </w:r>
      <w:r w:rsidRPr="00B93040">
        <w:t xml:space="preserve"> 1 June 2011.</w:t>
      </w:r>
      <w:r>
        <w:rPr>
          <w:rStyle w:val="FootnoteReference"/>
        </w:rPr>
        <w:footnoteReference w:id="9"/>
      </w:r>
    </w:p>
    <w:p w14:paraId="368232A2" w14:textId="48AED654" w:rsidR="006F0A6A" w:rsidRDefault="006F0A6A" w:rsidP="006F0A6A">
      <w:pPr>
        <w:spacing w:before="120" w:line="240" w:lineRule="auto"/>
      </w:pPr>
      <w:r>
        <w:t>In Australia, the supply of pseudoephedrine is supported by Project STOP, which provides a real-time database for recording all requests for products containing pseudoephedrine. The program provides decision support to pharmacists, while also supplying real time data to law enforcement agencies and health regulators.</w:t>
      </w:r>
    </w:p>
    <w:p w14:paraId="17FDD7F3" w14:textId="636B143D" w:rsidR="006F0A6A" w:rsidRDefault="006F0A6A" w:rsidP="003E6D54">
      <w:pPr>
        <w:spacing w:before="120" w:line="240" w:lineRule="auto"/>
      </w:pPr>
      <w:r w:rsidRPr="006F0A6A">
        <w:t xml:space="preserve">In some </w:t>
      </w:r>
      <w:r>
        <w:t>s</w:t>
      </w:r>
      <w:r w:rsidRPr="006F0A6A">
        <w:t xml:space="preserve">tates and </w:t>
      </w:r>
      <w:r>
        <w:t>t</w:t>
      </w:r>
      <w:r w:rsidRPr="006F0A6A">
        <w:t>erritories, it is mandatory for pharmacists to record the details of sales of over-the-counter packs of pseudoephedrine from community pharmacy in an online, real-time electronic form, at the time of supply.</w:t>
      </w:r>
    </w:p>
    <w:p w14:paraId="7622AEB2" w14:textId="77777777" w:rsidR="005E4F95" w:rsidRDefault="005E4F95" w:rsidP="005E4F95">
      <w:pPr>
        <w:pStyle w:val="Heading4"/>
      </w:pPr>
      <w:bookmarkStart w:id="72" w:name="_Toc165905874"/>
      <w:bookmarkStart w:id="73" w:name="_Toc230951730"/>
      <w:r w:rsidRPr="00C417B6">
        <w:t>Summary of applicant’s reasons for the proposal</w:t>
      </w:r>
      <w:bookmarkEnd w:id="72"/>
      <w:bookmarkEnd w:id="73"/>
    </w:p>
    <w:p w14:paraId="2B94C725" w14:textId="77777777" w:rsidR="005E4F95" w:rsidRDefault="005E4F95" w:rsidP="003E6D54">
      <w:pPr>
        <w:spacing w:before="120" w:line="240" w:lineRule="auto"/>
      </w:pPr>
      <w:r>
        <w:t>The applicant argues that p</w:t>
      </w:r>
      <w:r w:rsidRPr="00A65EB5">
        <w:t>seudoephedrine is a well</w:t>
      </w:r>
      <w:r w:rsidRPr="00A65EB5">
        <w:noBreakHyphen/>
        <w:t>established and effective decongestant with a known safety profile, and its risks are already managed through Schedule 3 controls and pharmacist oversight.</w:t>
      </w:r>
    </w:p>
    <w:p w14:paraId="05A8A040" w14:textId="1EA23721" w:rsidR="005E4F95" w:rsidRPr="00A65EB5" w:rsidRDefault="006F0A6A" w:rsidP="003E6D54">
      <w:pPr>
        <w:spacing w:before="120" w:line="240" w:lineRule="auto"/>
      </w:pPr>
      <w:r>
        <w:t>The a</w:t>
      </w:r>
      <w:r w:rsidR="005E4F95">
        <w:t>pplicant considered that current</w:t>
      </w:r>
      <w:r w:rsidR="005E4F95" w:rsidRPr="00A65EB5">
        <w:t xml:space="preserve"> evidence indicates that </w:t>
      </w:r>
      <w:r w:rsidR="005E4F95">
        <w:t>the risk of diversion to illicit drug manufacture</w:t>
      </w:r>
      <w:r w:rsidR="005E4F95" w:rsidRPr="00A65EB5">
        <w:t xml:space="preserve"> has diminished, with production now relying on alternative methods and precursors. </w:t>
      </w:r>
      <w:r w:rsidR="005E4F95">
        <w:t>Further, r</w:t>
      </w:r>
      <w:r w:rsidR="005E4F95" w:rsidRPr="00A65EB5">
        <w:t>estrictions on advertising have not been shown to reduce misuse or methamphetamine use.</w:t>
      </w:r>
    </w:p>
    <w:p w14:paraId="31186781" w14:textId="1DF7AAFD" w:rsidR="005E4F95" w:rsidRDefault="005E4F95" w:rsidP="003E6D54">
      <w:pPr>
        <w:spacing w:before="120" w:line="240" w:lineRule="auto"/>
      </w:pPr>
      <w:r>
        <w:t>Based on the above, t</w:t>
      </w:r>
      <w:r w:rsidRPr="00A65EB5">
        <w:t>he applicant argues that permitting advertising would improve consumer awareness and support informed choice and pharmacist engagement, consistent with practices in comparable international jurisdictions where advertising is allowed without increased public health risk.</w:t>
      </w:r>
    </w:p>
    <w:p w14:paraId="104798CE" w14:textId="77777777" w:rsidR="005E4F95" w:rsidRDefault="005E4F95" w:rsidP="005E4F95">
      <w:pPr>
        <w:pStyle w:val="Heading4"/>
      </w:pPr>
      <w:bookmarkStart w:id="74" w:name="_Toc165905875"/>
      <w:bookmarkStart w:id="75" w:name="_Toc230951731"/>
      <w:r w:rsidRPr="00C417B6">
        <w:t>Key uses / expected use</w:t>
      </w:r>
      <w:bookmarkEnd w:id="74"/>
      <w:bookmarkEnd w:id="75"/>
    </w:p>
    <w:p w14:paraId="25BDE19E" w14:textId="77777777" w:rsidR="005E4F95" w:rsidRPr="009272C5" w:rsidRDefault="005E4F95" w:rsidP="003E6D54">
      <w:pPr>
        <w:spacing w:before="120" w:line="240" w:lineRule="auto"/>
      </w:pPr>
      <w:r w:rsidRPr="009272C5">
        <w:t>Pseudoephedrine is used primarily for the relief of nasal and sinus congestion associated with conditions such as the common cold, influenza, and allergic rhinitis. It is supplied as both a single</w:t>
      </w:r>
      <w:r w:rsidRPr="009272C5">
        <w:noBreakHyphen/>
        <w:t>ingredient product and in combination with other active ingredients, including analgesics, antitussives, and antihistamines, to provide multi</w:t>
      </w:r>
      <w:r w:rsidRPr="009272C5">
        <w:noBreakHyphen/>
        <w:t>symptom relief in cold and flu preparations. There are no identified uses in cosmetic, veterinary, agricultural, or industrial applications.</w:t>
      </w:r>
    </w:p>
    <w:p w14:paraId="00852885" w14:textId="77777777" w:rsidR="005E4F95" w:rsidRPr="00C417B6" w:rsidRDefault="005E4F95" w:rsidP="005E4F95">
      <w:pPr>
        <w:pStyle w:val="Heading4"/>
      </w:pPr>
      <w:bookmarkStart w:id="76" w:name="_Toc165905876"/>
      <w:bookmarkStart w:id="77" w:name="_Toc230951732"/>
      <w:r w:rsidRPr="00C417B6">
        <w:t>Australian regulations</w:t>
      </w:r>
      <w:bookmarkEnd w:id="76"/>
      <w:bookmarkEnd w:id="77"/>
    </w:p>
    <w:p w14:paraId="0F7019B0" w14:textId="77777777" w:rsidR="005E4F95" w:rsidRDefault="005E4F95" w:rsidP="003E6D54">
      <w:pPr>
        <w:pStyle w:val="ListBullet"/>
      </w:pPr>
      <w:r w:rsidRPr="00C417B6">
        <w:t xml:space="preserve">According to the </w:t>
      </w:r>
      <w:hyperlink r:id="rId57" w:history="1">
        <w:r w:rsidRPr="00C417B6">
          <w:rPr>
            <w:rStyle w:val="Hyperlink"/>
          </w:rPr>
          <w:t>TGA Ingredient Database</w:t>
        </w:r>
      </w:hyperlink>
      <w:r w:rsidRPr="00C417B6">
        <w:t xml:space="preserve">, </w:t>
      </w:r>
      <w:r>
        <w:t>p</w:t>
      </w:r>
      <w:r w:rsidRPr="009272C5">
        <w:t xml:space="preserve">seudoephedrine </w:t>
      </w:r>
      <w:r w:rsidRPr="00C417B6">
        <w:t>is</w:t>
      </w:r>
      <w:r>
        <w:t xml:space="preserve"> </w:t>
      </w:r>
      <w:r w:rsidRPr="00C417B6">
        <w:t>available for use as an active ingredient in: Biologicals, Export Only, Over the Counter and Prescription Medicines</w:t>
      </w:r>
      <w:r>
        <w:t>.</w:t>
      </w:r>
    </w:p>
    <w:p w14:paraId="5A961E39" w14:textId="2D8E240A" w:rsidR="005E4F95" w:rsidRDefault="005E4F95" w:rsidP="003E6D54">
      <w:pPr>
        <w:pStyle w:val="ListBullet"/>
      </w:pPr>
      <w:r w:rsidRPr="00C417B6">
        <w:t>As o</w:t>
      </w:r>
      <w:r>
        <w:t>f 14 May 2026</w:t>
      </w:r>
      <w:r w:rsidRPr="00C417B6">
        <w:t>, there were</w:t>
      </w:r>
      <w:r>
        <w:t xml:space="preserve"> 85</w:t>
      </w:r>
      <w:r w:rsidRPr="00C417B6">
        <w:t xml:space="preserve"> medicines currently active on the </w:t>
      </w:r>
      <w:hyperlink r:id="rId58" w:history="1">
        <w:r w:rsidRPr="00C417B6">
          <w:rPr>
            <w:rStyle w:val="Hyperlink"/>
          </w:rPr>
          <w:t>Australian Register of Therapeutic Goods (ARTG)</w:t>
        </w:r>
      </w:hyperlink>
      <w:r w:rsidRPr="00C417B6">
        <w:t xml:space="preserve"> that contain</w:t>
      </w:r>
      <w:r w:rsidRPr="001A04AD">
        <w:t xml:space="preserve"> pseudoephedrine</w:t>
      </w:r>
      <w:r>
        <w:t xml:space="preserve"> </w:t>
      </w:r>
      <w:r w:rsidRPr="00C417B6">
        <w:t xml:space="preserve">as an active ingredient. These include </w:t>
      </w:r>
      <w:r>
        <w:t xml:space="preserve">4 </w:t>
      </w:r>
      <w:r w:rsidRPr="00C417B6">
        <w:t>prescription and</w:t>
      </w:r>
      <w:r>
        <w:t xml:space="preserve"> 78 </w:t>
      </w:r>
      <w:r w:rsidRPr="00C417B6">
        <w:t>non-prescription medicines.</w:t>
      </w:r>
    </w:p>
    <w:p w14:paraId="4C125945" w14:textId="77777777" w:rsidR="005E4F95" w:rsidRDefault="005E4F95" w:rsidP="003E6D54">
      <w:pPr>
        <w:pStyle w:val="ListBullet"/>
      </w:pPr>
      <w:r w:rsidRPr="00C417B6">
        <w:t xml:space="preserve">According to the </w:t>
      </w:r>
      <w:hyperlink r:id="rId59" w:history="1">
        <w:r w:rsidRPr="00C417B6">
          <w:rPr>
            <w:rStyle w:val="Hyperlink"/>
          </w:rPr>
          <w:t>Therapeutic Goods (Permissible Ingredients) Determination</w:t>
        </w:r>
      </w:hyperlink>
      <w:r w:rsidRPr="00C417B6">
        <w:t xml:space="preserve"> No.</w:t>
      </w:r>
      <w:r>
        <w:t xml:space="preserve"> 1 </w:t>
      </w:r>
      <w:r w:rsidRPr="00C417B6">
        <w:t>of 2</w:t>
      </w:r>
      <w:r>
        <w:t>026</w:t>
      </w:r>
      <w:r w:rsidRPr="00C417B6">
        <w:t xml:space="preserve">, </w:t>
      </w:r>
      <w:r>
        <w:t>p</w:t>
      </w:r>
      <w:r w:rsidRPr="009272C5">
        <w:t xml:space="preserve">seudoephedrine </w:t>
      </w:r>
      <w:r w:rsidRPr="00C417B6">
        <w:t>is permitted to be included in listed medicines as follows:</w:t>
      </w:r>
    </w:p>
    <w:tbl>
      <w:tblPr>
        <w:tblStyle w:val="TableTGAblue2023"/>
        <w:tblW w:w="9067" w:type="dxa"/>
        <w:tblLayout w:type="fixed"/>
        <w:tblLook w:val="04A0" w:firstRow="1" w:lastRow="0" w:firstColumn="1" w:lastColumn="0" w:noHBand="0" w:noVBand="1"/>
      </w:tblPr>
      <w:tblGrid>
        <w:gridCol w:w="1129"/>
        <w:gridCol w:w="2410"/>
        <w:gridCol w:w="1276"/>
        <w:gridCol w:w="4252"/>
      </w:tblGrid>
      <w:tr w:rsidR="005E4F95" w14:paraId="6DA621EF" w14:textId="77777777" w:rsidTr="001D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B4C6E7" w:themeFill="accent1" w:themeFillTint="66"/>
          </w:tcPr>
          <w:p w14:paraId="76F78514" w14:textId="77777777" w:rsidR="005E4F95" w:rsidRDefault="005E4F95" w:rsidP="00284A6D">
            <w:r>
              <w:t>Item</w:t>
            </w:r>
          </w:p>
        </w:tc>
        <w:tc>
          <w:tcPr>
            <w:tcW w:w="2410" w:type="dxa"/>
            <w:shd w:val="clear" w:color="auto" w:fill="B4C6E7" w:themeFill="accent1" w:themeFillTint="66"/>
          </w:tcPr>
          <w:p w14:paraId="10B94861" w14:textId="77777777" w:rsidR="005E4F95" w:rsidRDefault="005E4F95" w:rsidP="00284A6D">
            <w:pPr>
              <w:cnfStyle w:val="100000000000" w:firstRow="1" w:lastRow="0" w:firstColumn="0" w:lastColumn="0" w:oddVBand="0" w:evenVBand="0" w:oddHBand="0" w:evenHBand="0" w:firstRowFirstColumn="0" w:firstRowLastColumn="0" w:lastRowFirstColumn="0" w:lastRowLastColumn="0"/>
            </w:pPr>
            <w:r>
              <w:t>Ingredient name</w:t>
            </w:r>
          </w:p>
        </w:tc>
        <w:tc>
          <w:tcPr>
            <w:tcW w:w="1276" w:type="dxa"/>
            <w:shd w:val="clear" w:color="auto" w:fill="B4C6E7" w:themeFill="accent1" w:themeFillTint="66"/>
          </w:tcPr>
          <w:p w14:paraId="2F1A6B4F" w14:textId="77777777" w:rsidR="005E4F95" w:rsidRDefault="005E4F95" w:rsidP="00284A6D">
            <w:pPr>
              <w:cnfStyle w:val="100000000000" w:firstRow="1" w:lastRow="0" w:firstColumn="0" w:lastColumn="0" w:oddVBand="0" w:evenVBand="0" w:oddHBand="0" w:evenHBand="0" w:firstRowFirstColumn="0" w:firstRowLastColumn="0" w:lastRowFirstColumn="0" w:lastRowLastColumn="0"/>
            </w:pPr>
            <w:r>
              <w:t>Purpose</w:t>
            </w:r>
          </w:p>
        </w:tc>
        <w:tc>
          <w:tcPr>
            <w:tcW w:w="4252" w:type="dxa"/>
            <w:shd w:val="clear" w:color="auto" w:fill="B4C6E7" w:themeFill="accent1" w:themeFillTint="66"/>
          </w:tcPr>
          <w:p w14:paraId="239386C6" w14:textId="77777777" w:rsidR="005E4F95" w:rsidRPr="000B20AB" w:rsidRDefault="005E4F95" w:rsidP="00284A6D">
            <w:pPr>
              <w:cnfStyle w:val="100000000000" w:firstRow="1" w:lastRow="0" w:firstColumn="0" w:lastColumn="0" w:oddVBand="0" w:evenVBand="0" w:oddHBand="0" w:evenHBand="0" w:firstRowFirstColumn="0" w:firstRowLastColumn="0" w:lastRowFirstColumn="0" w:lastRowLastColumn="0"/>
              <w:rPr>
                <w:b w:val="0"/>
              </w:rPr>
            </w:pPr>
            <w:r>
              <w:t>Specific requirements</w:t>
            </w:r>
          </w:p>
        </w:tc>
      </w:tr>
      <w:tr w:rsidR="005E4F95" w14:paraId="5F2C81B9" w14:textId="77777777" w:rsidTr="00284A6D">
        <w:tc>
          <w:tcPr>
            <w:cnfStyle w:val="001000000000" w:firstRow="0" w:lastRow="0" w:firstColumn="1" w:lastColumn="0" w:oddVBand="0" w:evenVBand="0" w:oddHBand="0" w:evenHBand="0" w:firstRowFirstColumn="0" w:firstRowLastColumn="0" w:lastRowFirstColumn="0" w:lastRowLastColumn="0"/>
            <w:tcW w:w="1129" w:type="dxa"/>
          </w:tcPr>
          <w:p w14:paraId="1970BD05" w14:textId="77777777" w:rsidR="005E4F95" w:rsidRPr="003E6D54" w:rsidRDefault="005E4F95" w:rsidP="003E6D54">
            <w:pPr>
              <w:spacing w:before="120" w:after="120" w:line="240" w:lineRule="auto"/>
              <w:rPr>
                <w:sz w:val="20"/>
                <w:szCs w:val="20"/>
              </w:rPr>
            </w:pPr>
            <w:r w:rsidRPr="003E6D54">
              <w:rPr>
                <w:sz w:val="20"/>
                <w:szCs w:val="20"/>
              </w:rPr>
              <w:t>2017</w:t>
            </w:r>
          </w:p>
        </w:tc>
        <w:tc>
          <w:tcPr>
            <w:tcW w:w="2410" w:type="dxa"/>
          </w:tcPr>
          <w:p w14:paraId="15103193"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EPHEDRA DISTACHYA</w:t>
            </w:r>
          </w:p>
        </w:tc>
        <w:tc>
          <w:tcPr>
            <w:tcW w:w="1276" w:type="dxa"/>
          </w:tcPr>
          <w:p w14:paraId="294A9631"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A, H</w:t>
            </w:r>
          </w:p>
        </w:tc>
        <w:tc>
          <w:tcPr>
            <w:tcW w:w="4252" w:type="dxa"/>
          </w:tcPr>
          <w:p w14:paraId="2D709BB6"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 xml:space="preserve">Ephedrine and Pseudoephedrine (of </w:t>
            </w:r>
            <w:r w:rsidRPr="003E6D54">
              <w:rPr>
                <w:i/>
                <w:iCs/>
                <w:sz w:val="20"/>
                <w:szCs w:val="20"/>
              </w:rPr>
              <w:t xml:space="preserve">Ephedra </w:t>
            </w:r>
            <w:proofErr w:type="spellStart"/>
            <w:r w:rsidRPr="003E6D54">
              <w:rPr>
                <w:i/>
                <w:iCs/>
                <w:sz w:val="20"/>
                <w:szCs w:val="20"/>
              </w:rPr>
              <w:t>distachya</w:t>
            </w:r>
            <w:proofErr w:type="spellEnd"/>
            <w:r w:rsidRPr="003E6D54">
              <w:rPr>
                <w:sz w:val="20"/>
                <w:szCs w:val="20"/>
              </w:rPr>
              <w:t xml:space="preserve">) are mandatory components of </w:t>
            </w:r>
            <w:r w:rsidRPr="003E6D54">
              <w:rPr>
                <w:i/>
                <w:iCs/>
                <w:sz w:val="20"/>
                <w:szCs w:val="20"/>
              </w:rPr>
              <w:t xml:space="preserve">Ephedra </w:t>
            </w:r>
            <w:proofErr w:type="spellStart"/>
            <w:r w:rsidRPr="003E6D54">
              <w:rPr>
                <w:i/>
                <w:iCs/>
                <w:sz w:val="20"/>
                <w:szCs w:val="20"/>
              </w:rPr>
              <w:t>distachya</w:t>
            </w:r>
            <w:proofErr w:type="spellEnd"/>
            <w:r w:rsidRPr="003E6D54">
              <w:rPr>
                <w:sz w:val="20"/>
                <w:szCs w:val="20"/>
              </w:rPr>
              <w:t xml:space="preserve"> and must be declared in the application.</w:t>
            </w:r>
          </w:p>
          <w:p w14:paraId="54125AA6"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lastRenderedPageBreak/>
              <w:t>The concentration of ephedrine from all ingredients in the product must be no more than 10 mg/kg or 10 mg/L or 0.001%.</w:t>
            </w:r>
          </w:p>
        </w:tc>
      </w:tr>
      <w:tr w:rsidR="005E4F95" w14:paraId="319BB437" w14:textId="77777777" w:rsidTr="00284A6D">
        <w:tc>
          <w:tcPr>
            <w:cnfStyle w:val="001000000000" w:firstRow="0" w:lastRow="0" w:firstColumn="1" w:lastColumn="0" w:oddVBand="0" w:evenVBand="0" w:oddHBand="0" w:evenHBand="0" w:firstRowFirstColumn="0" w:firstRowLastColumn="0" w:lastRowFirstColumn="0" w:lastRowLastColumn="0"/>
            <w:tcW w:w="1129" w:type="dxa"/>
          </w:tcPr>
          <w:p w14:paraId="497973DE" w14:textId="77777777" w:rsidR="005E4F95" w:rsidRPr="003E6D54" w:rsidRDefault="005E4F95" w:rsidP="003E6D54">
            <w:pPr>
              <w:spacing w:before="120" w:after="120" w:line="240" w:lineRule="auto"/>
              <w:rPr>
                <w:sz w:val="20"/>
                <w:szCs w:val="20"/>
              </w:rPr>
            </w:pPr>
            <w:r w:rsidRPr="003E6D54">
              <w:rPr>
                <w:sz w:val="20"/>
                <w:szCs w:val="20"/>
              </w:rPr>
              <w:lastRenderedPageBreak/>
              <w:t>2018</w:t>
            </w:r>
          </w:p>
        </w:tc>
        <w:tc>
          <w:tcPr>
            <w:tcW w:w="2410" w:type="dxa"/>
          </w:tcPr>
          <w:p w14:paraId="535EE76F"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EPHEDRA SINICA</w:t>
            </w:r>
          </w:p>
        </w:tc>
        <w:tc>
          <w:tcPr>
            <w:tcW w:w="1276" w:type="dxa"/>
          </w:tcPr>
          <w:p w14:paraId="7AE17AB7"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A, H</w:t>
            </w:r>
          </w:p>
        </w:tc>
        <w:tc>
          <w:tcPr>
            <w:tcW w:w="4252" w:type="dxa"/>
          </w:tcPr>
          <w:p w14:paraId="372DC62D"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 xml:space="preserve">Ephedrine and Pseudoephedrine (of </w:t>
            </w:r>
            <w:r w:rsidRPr="003E6D54">
              <w:rPr>
                <w:i/>
                <w:iCs/>
                <w:sz w:val="20"/>
                <w:szCs w:val="20"/>
              </w:rPr>
              <w:t>Ephedra sinica</w:t>
            </w:r>
            <w:r w:rsidRPr="003E6D54">
              <w:rPr>
                <w:sz w:val="20"/>
                <w:szCs w:val="20"/>
              </w:rPr>
              <w:t xml:space="preserve">) are mandatory components of </w:t>
            </w:r>
            <w:r w:rsidRPr="003E6D54">
              <w:rPr>
                <w:i/>
                <w:iCs/>
                <w:sz w:val="20"/>
                <w:szCs w:val="20"/>
              </w:rPr>
              <w:t>Ephedra sinica</w:t>
            </w:r>
            <w:r w:rsidRPr="003E6D54">
              <w:rPr>
                <w:sz w:val="20"/>
                <w:szCs w:val="20"/>
              </w:rPr>
              <w:t>.</w:t>
            </w:r>
          </w:p>
          <w:p w14:paraId="72188463"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The concentration of ephedrine from all ingredients in the product must be no more than 10 mg/kg or 10 mg/L or 0.001%.</w:t>
            </w:r>
          </w:p>
        </w:tc>
      </w:tr>
      <w:tr w:rsidR="005E4F95" w14:paraId="43EB956A" w14:textId="77777777" w:rsidTr="00284A6D">
        <w:tc>
          <w:tcPr>
            <w:cnfStyle w:val="001000000000" w:firstRow="0" w:lastRow="0" w:firstColumn="1" w:lastColumn="0" w:oddVBand="0" w:evenVBand="0" w:oddHBand="0" w:evenHBand="0" w:firstRowFirstColumn="0" w:firstRowLastColumn="0" w:lastRowFirstColumn="0" w:lastRowLastColumn="0"/>
            <w:tcW w:w="9067" w:type="dxa"/>
            <w:gridSpan w:val="4"/>
          </w:tcPr>
          <w:p w14:paraId="3D5D6B56" w14:textId="77777777" w:rsidR="005E4F95" w:rsidRDefault="005E4F95" w:rsidP="00D26E0B">
            <w:pPr>
              <w:spacing w:before="120" w:after="120" w:line="240" w:lineRule="auto"/>
            </w:pPr>
            <w:r w:rsidRPr="0039205F">
              <w:rPr>
                <w:szCs w:val="18"/>
              </w:rPr>
              <w:t>A = active ingredient for a medicine has the same meaning as in the Regulations</w:t>
            </w:r>
            <w:r w:rsidRPr="0039205F">
              <w:rPr>
                <w:szCs w:val="18"/>
              </w:rPr>
              <w:br/>
              <w:t>E = excipient for a medicine meaning an ingredient that is not an active ingredient or a homoeopathic preparation ingredient</w:t>
            </w:r>
            <w:r w:rsidRPr="0039205F">
              <w:rPr>
                <w:szCs w:val="18"/>
              </w:rPr>
              <w:br/>
              <w:t>H = homoeopathic preparation ingredient meaning an ingredient that is a constituent of a homoeopathic preparation</w:t>
            </w:r>
          </w:p>
        </w:tc>
      </w:tr>
    </w:tbl>
    <w:p w14:paraId="3FCFCED0" w14:textId="77777777" w:rsidR="005E4F95" w:rsidRDefault="005E4F95" w:rsidP="00934A06">
      <w:pPr>
        <w:pStyle w:val="ListBullet"/>
      </w:pPr>
      <w:r w:rsidRPr="00C417B6">
        <w:t xml:space="preserve">The </w:t>
      </w:r>
      <w:hyperlink r:id="rId60" w:history="1">
        <w:r w:rsidRPr="00C417B6">
          <w:rPr>
            <w:rStyle w:val="Hyperlink"/>
          </w:rPr>
          <w:t>TGA prescribing medicines in pregnancy database</w:t>
        </w:r>
      </w:hyperlink>
      <w:r w:rsidRPr="00C417B6">
        <w:t xml:space="preserve"> classifies </w:t>
      </w:r>
      <w:r>
        <w:t>p</w:t>
      </w:r>
      <w:r w:rsidRPr="00732E83">
        <w:t xml:space="preserve">seudoephedrine </w:t>
      </w:r>
      <w:r w:rsidRPr="00C417B6">
        <w:t>as:</w:t>
      </w:r>
    </w:p>
    <w:tbl>
      <w:tblPr>
        <w:tblStyle w:val="TableTGAblue2023"/>
        <w:tblW w:w="9067" w:type="dxa"/>
        <w:tblLayout w:type="fixed"/>
        <w:tblLook w:val="04A0" w:firstRow="1" w:lastRow="0" w:firstColumn="1" w:lastColumn="0" w:noHBand="0" w:noVBand="1"/>
      </w:tblPr>
      <w:tblGrid>
        <w:gridCol w:w="1980"/>
        <w:gridCol w:w="1701"/>
        <w:gridCol w:w="1795"/>
        <w:gridCol w:w="1795"/>
        <w:gridCol w:w="1796"/>
      </w:tblGrid>
      <w:tr w:rsidR="005E4F95" w14:paraId="707B57F8" w14:textId="77777777" w:rsidTr="001D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B4C6E7" w:themeFill="accent1" w:themeFillTint="66"/>
          </w:tcPr>
          <w:p w14:paraId="223DCA18" w14:textId="77777777" w:rsidR="005E4F95" w:rsidRDefault="005E4F95" w:rsidP="00284A6D">
            <w:r>
              <w:t>Drug name</w:t>
            </w:r>
          </w:p>
        </w:tc>
        <w:tc>
          <w:tcPr>
            <w:tcW w:w="1701" w:type="dxa"/>
            <w:shd w:val="clear" w:color="auto" w:fill="B4C6E7" w:themeFill="accent1" w:themeFillTint="66"/>
          </w:tcPr>
          <w:p w14:paraId="377ECDF7" w14:textId="77777777" w:rsidR="005E4F95" w:rsidRDefault="005E4F95" w:rsidP="00284A6D">
            <w:pPr>
              <w:cnfStyle w:val="100000000000" w:firstRow="1" w:lastRow="0" w:firstColumn="0" w:lastColumn="0" w:oddVBand="0" w:evenVBand="0" w:oddHBand="0" w:evenHBand="0" w:firstRowFirstColumn="0" w:firstRowLastColumn="0" w:lastRowFirstColumn="0" w:lastRowLastColumn="0"/>
            </w:pPr>
            <w:r w:rsidRPr="00C417B6">
              <w:t>Category</w:t>
            </w:r>
          </w:p>
        </w:tc>
        <w:tc>
          <w:tcPr>
            <w:tcW w:w="1795" w:type="dxa"/>
            <w:shd w:val="clear" w:color="auto" w:fill="B4C6E7" w:themeFill="accent1" w:themeFillTint="66"/>
          </w:tcPr>
          <w:p w14:paraId="16B04F01" w14:textId="77777777" w:rsidR="005E4F95" w:rsidRDefault="005E4F95" w:rsidP="00284A6D">
            <w:pPr>
              <w:cnfStyle w:val="100000000000" w:firstRow="1" w:lastRow="0" w:firstColumn="0" w:lastColumn="0" w:oddVBand="0" w:evenVBand="0" w:oddHBand="0" w:evenHBand="0" w:firstRowFirstColumn="0" w:firstRowLastColumn="0" w:lastRowFirstColumn="0" w:lastRowLastColumn="0"/>
            </w:pPr>
            <w:r w:rsidRPr="00C417B6">
              <w:t>Classification Level 1</w:t>
            </w:r>
          </w:p>
        </w:tc>
        <w:tc>
          <w:tcPr>
            <w:tcW w:w="1795" w:type="dxa"/>
            <w:shd w:val="clear" w:color="auto" w:fill="B4C6E7" w:themeFill="accent1" w:themeFillTint="66"/>
          </w:tcPr>
          <w:p w14:paraId="04D39DC7" w14:textId="77777777" w:rsidR="005E4F95" w:rsidRDefault="005E4F95" w:rsidP="00284A6D">
            <w:pPr>
              <w:cnfStyle w:val="100000000000" w:firstRow="1" w:lastRow="0" w:firstColumn="0" w:lastColumn="0" w:oddVBand="0" w:evenVBand="0" w:oddHBand="0" w:evenHBand="0" w:firstRowFirstColumn="0" w:firstRowLastColumn="0" w:lastRowFirstColumn="0" w:lastRowLastColumn="0"/>
            </w:pPr>
            <w:r w:rsidRPr="00C417B6">
              <w:t xml:space="preserve">Classification Level </w:t>
            </w:r>
            <w:r>
              <w:t>2</w:t>
            </w:r>
          </w:p>
        </w:tc>
        <w:tc>
          <w:tcPr>
            <w:tcW w:w="1796" w:type="dxa"/>
            <w:shd w:val="clear" w:color="auto" w:fill="B4C6E7" w:themeFill="accent1" w:themeFillTint="66"/>
          </w:tcPr>
          <w:p w14:paraId="4558888D" w14:textId="77777777" w:rsidR="005E4F95" w:rsidRDefault="005E4F95" w:rsidP="00284A6D">
            <w:pPr>
              <w:cnfStyle w:val="100000000000" w:firstRow="1" w:lastRow="0" w:firstColumn="0" w:lastColumn="0" w:oddVBand="0" w:evenVBand="0" w:oddHBand="0" w:evenHBand="0" w:firstRowFirstColumn="0" w:firstRowLastColumn="0" w:lastRowFirstColumn="0" w:lastRowLastColumn="0"/>
            </w:pPr>
            <w:r w:rsidRPr="00C417B6">
              <w:t xml:space="preserve">Classification Level </w:t>
            </w:r>
            <w:r>
              <w:t>3</w:t>
            </w:r>
          </w:p>
        </w:tc>
      </w:tr>
      <w:tr w:rsidR="005E4F95" w14:paraId="04F22C90" w14:textId="77777777" w:rsidTr="00284A6D">
        <w:tc>
          <w:tcPr>
            <w:cnfStyle w:val="001000000000" w:firstRow="0" w:lastRow="0" w:firstColumn="1" w:lastColumn="0" w:oddVBand="0" w:evenVBand="0" w:oddHBand="0" w:evenHBand="0" w:firstRowFirstColumn="0" w:firstRowLastColumn="0" w:lastRowFirstColumn="0" w:lastRowLastColumn="0"/>
            <w:tcW w:w="1980" w:type="dxa"/>
          </w:tcPr>
          <w:p w14:paraId="46EAC1A0" w14:textId="77777777" w:rsidR="005E4F95" w:rsidRPr="003E6D54" w:rsidRDefault="005E4F95" w:rsidP="003E6D54">
            <w:pPr>
              <w:spacing w:before="120" w:after="120" w:line="240" w:lineRule="auto"/>
              <w:rPr>
                <w:sz w:val="20"/>
                <w:szCs w:val="20"/>
              </w:rPr>
            </w:pPr>
            <w:r w:rsidRPr="003E6D54">
              <w:rPr>
                <w:sz w:val="20"/>
                <w:szCs w:val="20"/>
              </w:rPr>
              <w:t>Pseudoephedrine</w:t>
            </w:r>
          </w:p>
        </w:tc>
        <w:tc>
          <w:tcPr>
            <w:tcW w:w="1701" w:type="dxa"/>
          </w:tcPr>
          <w:p w14:paraId="3712ECC5"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B2</w:t>
            </w:r>
          </w:p>
        </w:tc>
        <w:tc>
          <w:tcPr>
            <w:tcW w:w="1795" w:type="dxa"/>
          </w:tcPr>
          <w:p w14:paraId="6C120CA4"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Cardiovascular System</w:t>
            </w:r>
          </w:p>
        </w:tc>
        <w:tc>
          <w:tcPr>
            <w:tcW w:w="1795" w:type="dxa"/>
          </w:tcPr>
          <w:p w14:paraId="0B7BEFEF"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Adrenergic stimulants</w:t>
            </w:r>
          </w:p>
        </w:tc>
        <w:tc>
          <w:tcPr>
            <w:tcW w:w="1796" w:type="dxa"/>
          </w:tcPr>
          <w:p w14:paraId="2CB05D25" w14:textId="4410F1FC" w:rsidR="005E4F95" w:rsidRPr="003E6D54" w:rsidRDefault="000F0FA6"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rFonts w:cs="Arial"/>
                <w:sz w:val="20"/>
                <w:szCs w:val="20"/>
              </w:rPr>
              <w:t>–</w:t>
            </w:r>
          </w:p>
        </w:tc>
      </w:tr>
      <w:tr w:rsidR="005E4F95" w14:paraId="499EC9B9" w14:textId="77777777" w:rsidTr="00284A6D">
        <w:tc>
          <w:tcPr>
            <w:cnfStyle w:val="001000000000" w:firstRow="0" w:lastRow="0" w:firstColumn="1" w:lastColumn="0" w:oddVBand="0" w:evenVBand="0" w:oddHBand="0" w:evenHBand="0" w:firstRowFirstColumn="0" w:firstRowLastColumn="0" w:lastRowFirstColumn="0" w:lastRowLastColumn="0"/>
            <w:tcW w:w="1980" w:type="dxa"/>
          </w:tcPr>
          <w:p w14:paraId="59A434CD" w14:textId="77777777" w:rsidR="005E4F95" w:rsidRPr="003E6D54" w:rsidRDefault="005E4F95" w:rsidP="003E6D54">
            <w:pPr>
              <w:spacing w:before="120" w:after="120" w:line="240" w:lineRule="auto"/>
              <w:rPr>
                <w:sz w:val="20"/>
                <w:szCs w:val="20"/>
              </w:rPr>
            </w:pPr>
            <w:r w:rsidRPr="003E6D54">
              <w:rPr>
                <w:sz w:val="20"/>
                <w:szCs w:val="20"/>
              </w:rPr>
              <w:t>Pseudoephedrine</w:t>
            </w:r>
          </w:p>
        </w:tc>
        <w:tc>
          <w:tcPr>
            <w:tcW w:w="1701" w:type="dxa"/>
          </w:tcPr>
          <w:p w14:paraId="0B8A87EC"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B2</w:t>
            </w:r>
          </w:p>
        </w:tc>
        <w:tc>
          <w:tcPr>
            <w:tcW w:w="1795" w:type="dxa"/>
          </w:tcPr>
          <w:p w14:paraId="5C8D2E57"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Respiratory System</w:t>
            </w:r>
          </w:p>
        </w:tc>
        <w:tc>
          <w:tcPr>
            <w:tcW w:w="1795" w:type="dxa"/>
          </w:tcPr>
          <w:p w14:paraId="2F37B5FE" w14:textId="77777777" w:rsidR="005E4F95" w:rsidRPr="003E6D54" w:rsidRDefault="005E4F95"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sz w:val="20"/>
                <w:szCs w:val="20"/>
              </w:rPr>
              <w:t>Decongestants</w:t>
            </w:r>
          </w:p>
        </w:tc>
        <w:tc>
          <w:tcPr>
            <w:tcW w:w="1796" w:type="dxa"/>
          </w:tcPr>
          <w:p w14:paraId="074DAAD1" w14:textId="43431B69" w:rsidR="005E4F95" w:rsidRPr="003E6D54" w:rsidRDefault="000F0FA6" w:rsidP="003E6D54">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3E6D54">
              <w:rPr>
                <w:rFonts w:cs="Arial"/>
                <w:sz w:val="20"/>
                <w:szCs w:val="20"/>
              </w:rPr>
              <w:t>–</w:t>
            </w:r>
          </w:p>
        </w:tc>
      </w:tr>
      <w:tr w:rsidR="005E4F95" w14:paraId="66324EE5" w14:textId="77777777" w:rsidTr="00284A6D">
        <w:tc>
          <w:tcPr>
            <w:cnfStyle w:val="001000000000" w:firstRow="0" w:lastRow="0" w:firstColumn="1" w:lastColumn="0" w:oddVBand="0" w:evenVBand="0" w:oddHBand="0" w:evenHBand="0" w:firstRowFirstColumn="0" w:firstRowLastColumn="0" w:lastRowFirstColumn="0" w:lastRowLastColumn="0"/>
            <w:tcW w:w="9067" w:type="dxa"/>
            <w:gridSpan w:val="5"/>
          </w:tcPr>
          <w:p w14:paraId="6BADA814" w14:textId="77777777" w:rsidR="005E4F95" w:rsidRPr="0039205F" w:rsidRDefault="005E4F95" w:rsidP="00D26E0B">
            <w:pPr>
              <w:spacing w:before="120" w:after="120" w:line="240" w:lineRule="auto"/>
              <w:rPr>
                <w:szCs w:val="18"/>
              </w:rPr>
            </w:pPr>
            <w:r w:rsidRPr="0039205F">
              <w:rPr>
                <w:szCs w:val="18"/>
              </w:rPr>
              <w:t>Category B2 – Drugs which have been taken by only a limited number of pregnant women and women of childbearing age, without an increase in the frequency of malformation or other direct or indirect harmful effects on the human foetus having been observed.</w:t>
            </w:r>
          </w:p>
          <w:p w14:paraId="0015FA5C" w14:textId="77777777" w:rsidR="005E4F95" w:rsidRPr="00307D63" w:rsidRDefault="005E4F95" w:rsidP="00D26E0B">
            <w:pPr>
              <w:spacing w:before="120" w:after="120" w:line="240" w:lineRule="auto"/>
              <w:rPr>
                <w:szCs w:val="18"/>
              </w:rPr>
            </w:pPr>
            <w:r w:rsidRPr="0039205F">
              <w:rPr>
                <w:szCs w:val="18"/>
              </w:rPr>
              <w:t>Studies in animals are inadequate or may be lacking, but available data show no evidence of an increased occurrence of foetal damage.</w:t>
            </w:r>
          </w:p>
        </w:tc>
      </w:tr>
    </w:tbl>
    <w:p w14:paraId="33099F3B" w14:textId="77777777" w:rsidR="005E4F95" w:rsidRDefault="005E4F95" w:rsidP="00934A06">
      <w:pPr>
        <w:pStyle w:val="ListBullet"/>
      </w:pPr>
      <w:r w:rsidRPr="00C417B6">
        <w:t xml:space="preserve">The </w:t>
      </w:r>
      <w:hyperlink r:id="rId61" w:history="1">
        <w:r w:rsidRPr="00C417B6">
          <w:rPr>
            <w:rStyle w:val="Hyperlink"/>
          </w:rPr>
          <w:t>Therapeutic Goods (Medicines Advisory Statements) Specification 2021</w:t>
        </w:r>
      </w:hyperlink>
      <w:r w:rsidRPr="00C417B6">
        <w:t xml:space="preserve"> requires the following warning statements pertaining to </w:t>
      </w:r>
      <w:r>
        <w:t>p</w:t>
      </w:r>
      <w:r w:rsidRPr="00630C73">
        <w:t xml:space="preserve">seudoephedrine </w:t>
      </w:r>
      <w:r w:rsidRPr="00C417B6">
        <w:t>to be included on the labelling:</w:t>
      </w:r>
    </w:p>
    <w:tbl>
      <w:tblPr>
        <w:tblStyle w:val="TableTGAblue2023"/>
        <w:tblW w:w="0" w:type="auto"/>
        <w:tblLook w:val="04A0" w:firstRow="1" w:lastRow="0" w:firstColumn="1" w:lastColumn="0" w:noHBand="0" w:noVBand="1"/>
      </w:tblPr>
      <w:tblGrid>
        <w:gridCol w:w="2122"/>
        <w:gridCol w:w="3918"/>
        <w:gridCol w:w="3020"/>
      </w:tblGrid>
      <w:tr w:rsidR="005E4F95" w14:paraId="4A74ECEA" w14:textId="77777777" w:rsidTr="001D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B4C6E7" w:themeFill="accent1" w:themeFillTint="66"/>
          </w:tcPr>
          <w:p w14:paraId="132E5B1A" w14:textId="77777777" w:rsidR="005E4F95" w:rsidRDefault="005E4F95" w:rsidP="00284A6D">
            <w:r>
              <w:t>Substance</w:t>
            </w:r>
          </w:p>
        </w:tc>
        <w:tc>
          <w:tcPr>
            <w:tcW w:w="3918" w:type="dxa"/>
            <w:shd w:val="clear" w:color="auto" w:fill="B4C6E7" w:themeFill="accent1" w:themeFillTint="66"/>
          </w:tcPr>
          <w:p w14:paraId="74699E8D" w14:textId="77777777" w:rsidR="005E4F95" w:rsidRDefault="005E4F95" w:rsidP="00284A6D">
            <w:pPr>
              <w:cnfStyle w:val="100000000000" w:firstRow="1" w:lastRow="0" w:firstColumn="0" w:lastColumn="0" w:oddVBand="0" w:evenVBand="0" w:oddHBand="0" w:evenHBand="0" w:firstRowFirstColumn="0" w:firstRowLastColumn="0" w:lastRowFirstColumn="0" w:lastRowLastColumn="0"/>
            </w:pPr>
            <w:r>
              <w:t>Conditions</w:t>
            </w:r>
          </w:p>
        </w:tc>
        <w:tc>
          <w:tcPr>
            <w:tcW w:w="3020" w:type="dxa"/>
            <w:shd w:val="clear" w:color="auto" w:fill="B4C6E7" w:themeFill="accent1" w:themeFillTint="66"/>
          </w:tcPr>
          <w:p w14:paraId="12F48A93" w14:textId="77777777" w:rsidR="005E4F95" w:rsidRDefault="005E4F95" w:rsidP="00284A6D">
            <w:pPr>
              <w:cnfStyle w:val="100000000000" w:firstRow="1" w:lastRow="0" w:firstColumn="0" w:lastColumn="0" w:oddVBand="0" w:evenVBand="0" w:oddHBand="0" w:evenHBand="0" w:firstRowFirstColumn="0" w:firstRowLastColumn="0" w:lastRowFirstColumn="0" w:lastRowLastColumn="0"/>
            </w:pPr>
            <w:r>
              <w:t>Required statements</w:t>
            </w:r>
          </w:p>
        </w:tc>
      </w:tr>
      <w:tr w:rsidR="005E4F95" w14:paraId="68A0F386" w14:textId="77777777" w:rsidTr="00F67DAE">
        <w:tc>
          <w:tcPr>
            <w:cnfStyle w:val="001000000000" w:firstRow="0" w:lastRow="0" w:firstColumn="1" w:lastColumn="0" w:oddVBand="0" w:evenVBand="0" w:oddHBand="0" w:evenHBand="0" w:firstRowFirstColumn="0" w:firstRowLastColumn="0" w:lastRowFirstColumn="0" w:lastRowLastColumn="0"/>
            <w:tcW w:w="2122" w:type="dxa"/>
          </w:tcPr>
          <w:p w14:paraId="02B199BD" w14:textId="79C6E6D0" w:rsidR="005E4F95" w:rsidRPr="00D26E0B" w:rsidRDefault="005E4F95" w:rsidP="00D26E0B">
            <w:pPr>
              <w:spacing w:before="120" w:after="120" w:line="240" w:lineRule="auto"/>
              <w:rPr>
                <w:sz w:val="20"/>
                <w:szCs w:val="20"/>
              </w:rPr>
            </w:pPr>
            <w:r w:rsidRPr="00D26E0B">
              <w:rPr>
                <w:sz w:val="20"/>
                <w:szCs w:val="20"/>
              </w:rPr>
              <w:t>Pseudoephedrine (Entry 1 of 3)</w:t>
            </w:r>
          </w:p>
        </w:tc>
        <w:tc>
          <w:tcPr>
            <w:tcW w:w="3918" w:type="dxa"/>
          </w:tcPr>
          <w:p w14:paraId="72639B22" w14:textId="77777777" w:rsidR="005E4F95" w:rsidRPr="00D26E0B" w:rsidRDefault="005E4F95" w:rsidP="00D26E0B">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When the preparation is NOT indicated for use for cough, cold or flu</w:t>
            </w:r>
          </w:p>
        </w:tc>
        <w:tc>
          <w:tcPr>
            <w:tcW w:w="3020" w:type="dxa"/>
          </w:tcPr>
          <w:p w14:paraId="72435F63" w14:textId="77777777" w:rsidR="005E4F95" w:rsidRPr="00D26E0B" w:rsidRDefault="005E4F95" w:rsidP="00D26E0B">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See your doctor or pharmacist before taking pseudoephedrine if you have high blood pressure or heart problems or are taking antidepressant medication.</w:t>
            </w:r>
          </w:p>
          <w:p w14:paraId="1DAF496F" w14:textId="77777777" w:rsidR="005E4F95" w:rsidRPr="00D26E0B" w:rsidRDefault="005E4F95" w:rsidP="00D26E0B">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Pseudoephedrine may cause sleeplessness if it is taken up to several hours before going to bed.</w:t>
            </w:r>
          </w:p>
        </w:tc>
      </w:tr>
      <w:tr w:rsidR="005E4F95" w14:paraId="04E07A40" w14:textId="77777777" w:rsidTr="00F67DAE">
        <w:tc>
          <w:tcPr>
            <w:cnfStyle w:val="001000000000" w:firstRow="0" w:lastRow="0" w:firstColumn="1" w:lastColumn="0" w:oddVBand="0" w:evenVBand="0" w:oddHBand="0" w:evenHBand="0" w:firstRowFirstColumn="0" w:firstRowLastColumn="0" w:lastRowFirstColumn="0" w:lastRowLastColumn="0"/>
            <w:tcW w:w="2122" w:type="dxa"/>
          </w:tcPr>
          <w:p w14:paraId="01AB5179" w14:textId="77777777" w:rsidR="005E4F95" w:rsidRPr="00D26E0B" w:rsidRDefault="005E4F95" w:rsidP="00D26E0B">
            <w:pPr>
              <w:spacing w:before="120" w:after="120" w:line="240" w:lineRule="auto"/>
              <w:rPr>
                <w:sz w:val="20"/>
                <w:szCs w:val="20"/>
              </w:rPr>
            </w:pPr>
            <w:r w:rsidRPr="00D26E0B">
              <w:rPr>
                <w:sz w:val="20"/>
                <w:szCs w:val="20"/>
              </w:rPr>
              <w:t>Pseudoephedrine (Entry 2 of 3)</w:t>
            </w:r>
          </w:p>
        </w:tc>
        <w:tc>
          <w:tcPr>
            <w:tcW w:w="3918" w:type="dxa"/>
          </w:tcPr>
          <w:p w14:paraId="246130C0" w14:textId="77777777" w:rsidR="005E4F95" w:rsidRPr="00D26E0B" w:rsidRDefault="005E4F95" w:rsidP="00D26E0B">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In oral preparations indicated for cough, cold or flu which DO NOT include dosage instructions for children aged under 12 years</w:t>
            </w:r>
          </w:p>
        </w:tc>
        <w:tc>
          <w:tcPr>
            <w:tcW w:w="3020" w:type="dxa"/>
          </w:tcPr>
          <w:p w14:paraId="3F980C85" w14:textId="77777777" w:rsidR="005E4F95" w:rsidRPr="00D26E0B" w:rsidRDefault="005E4F95" w:rsidP="00D26E0B">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See your doctor or pharmacist before taking pseudoephedrine if you have high blood pressure or heart problems or are taking antidepressant medication.</w:t>
            </w:r>
          </w:p>
          <w:p w14:paraId="472521D5" w14:textId="77777777" w:rsidR="005E4F95" w:rsidRPr="00D26E0B" w:rsidRDefault="005E4F95" w:rsidP="00D26E0B">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 xml:space="preserve">Pseudoephedrine may cause sleeplessness if it is taken up </w:t>
            </w:r>
            <w:r w:rsidRPr="00D26E0B">
              <w:rPr>
                <w:sz w:val="20"/>
                <w:szCs w:val="20"/>
              </w:rPr>
              <w:lastRenderedPageBreak/>
              <w:t>to several hours before going to bed.</w:t>
            </w:r>
          </w:p>
          <w:p w14:paraId="0500A5AC" w14:textId="2285B252" w:rsidR="005E4F95" w:rsidRPr="00D26E0B" w:rsidRDefault="005E4F95" w:rsidP="00F67DAE">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Do not give to children under 12 years of age.</w:t>
            </w:r>
          </w:p>
        </w:tc>
      </w:tr>
      <w:tr w:rsidR="005E4F95" w14:paraId="23558067" w14:textId="77777777" w:rsidTr="00F67DAE">
        <w:tc>
          <w:tcPr>
            <w:cnfStyle w:val="001000000000" w:firstRow="0" w:lastRow="0" w:firstColumn="1" w:lastColumn="0" w:oddVBand="0" w:evenVBand="0" w:oddHBand="0" w:evenHBand="0" w:firstRowFirstColumn="0" w:firstRowLastColumn="0" w:lastRowFirstColumn="0" w:lastRowLastColumn="0"/>
            <w:tcW w:w="2122" w:type="dxa"/>
          </w:tcPr>
          <w:p w14:paraId="32BE96A8" w14:textId="77777777" w:rsidR="005E4F95" w:rsidRPr="00D26E0B" w:rsidRDefault="005E4F95" w:rsidP="00D26E0B">
            <w:pPr>
              <w:spacing w:before="120" w:after="120" w:line="240" w:lineRule="auto"/>
              <w:rPr>
                <w:sz w:val="20"/>
                <w:szCs w:val="20"/>
              </w:rPr>
            </w:pPr>
            <w:r w:rsidRPr="00D26E0B">
              <w:rPr>
                <w:sz w:val="20"/>
                <w:szCs w:val="20"/>
              </w:rPr>
              <w:lastRenderedPageBreak/>
              <w:t>Pseudoephedrine (Entry 3 of 3)</w:t>
            </w:r>
          </w:p>
        </w:tc>
        <w:tc>
          <w:tcPr>
            <w:tcW w:w="3918" w:type="dxa"/>
          </w:tcPr>
          <w:p w14:paraId="54A687B7" w14:textId="77777777" w:rsidR="005E4F95" w:rsidRPr="00D26E0B" w:rsidRDefault="005E4F95" w:rsidP="00D26E0B">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In oral preparations indicated for cough, cold or flu which include dosage instructions for children aged from ‘x’ years (where ‘x’ is 6, 7, 8, 9, 10 or 11)</w:t>
            </w:r>
          </w:p>
        </w:tc>
        <w:tc>
          <w:tcPr>
            <w:tcW w:w="3020" w:type="dxa"/>
          </w:tcPr>
          <w:p w14:paraId="13B16BC6" w14:textId="77777777" w:rsidR="005E4F95" w:rsidRPr="00D26E0B" w:rsidRDefault="005E4F95" w:rsidP="00D26E0B">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See your doctor or pharmacist before taking pseudoephedrine if you have high blood pressure or heart problems or are taking antidepressant medication.</w:t>
            </w:r>
          </w:p>
          <w:p w14:paraId="0A5CF3AA" w14:textId="77777777" w:rsidR="005E4F95" w:rsidRPr="00D26E0B" w:rsidRDefault="005E4F95" w:rsidP="00D26E0B">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Pseudoephedrine may cause sleeplessness if it is taken up to several hours before going to bed.</w:t>
            </w:r>
          </w:p>
          <w:p w14:paraId="2AFC79C8" w14:textId="77777777" w:rsidR="005E4F95" w:rsidRPr="00D26E0B" w:rsidRDefault="005E4F95" w:rsidP="00D26E0B">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Do not give to children under ‘x’ years of age.</w:t>
            </w:r>
          </w:p>
          <w:p w14:paraId="32D8A9E6" w14:textId="5A4998CF" w:rsidR="005E4F95" w:rsidRPr="00D26E0B" w:rsidRDefault="005E4F95" w:rsidP="00D26E0B">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either (if ‘x’ is 11)</w:t>
            </w:r>
            <w:r w:rsidR="00173015">
              <w:rPr>
                <w:sz w:val="20"/>
                <w:szCs w:val="20"/>
              </w:rPr>
              <w:t>:</w:t>
            </w:r>
          </w:p>
          <w:p w14:paraId="796D8FC6" w14:textId="77777777" w:rsidR="005E4F95" w:rsidRPr="00D26E0B" w:rsidRDefault="005E4F95" w:rsidP="00173015">
            <w:pPr>
              <w:spacing w:before="120" w:after="120" w:line="240" w:lineRule="auto"/>
              <w:ind w:left="370"/>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Do not give to children aged 11 years, except on the advice of a doctor, pharmacist or nurse practitioner.</w:t>
            </w:r>
          </w:p>
          <w:p w14:paraId="7B3198FC" w14:textId="77777777" w:rsidR="005E4F95" w:rsidRPr="00D26E0B" w:rsidRDefault="005E4F95" w:rsidP="00D26E0B">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or (if ‘x’ is 6, 7, 8, 9 or 10)</w:t>
            </w:r>
          </w:p>
          <w:p w14:paraId="44198D7B" w14:textId="77777777" w:rsidR="005E4F95" w:rsidRPr="00D26E0B" w:rsidRDefault="005E4F95" w:rsidP="00173015">
            <w:pPr>
              <w:spacing w:before="120" w:after="120" w:line="240" w:lineRule="auto"/>
              <w:ind w:left="370"/>
              <w:cnfStyle w:val="000000000000" w:firstRow="0" w:lastRow="0" w:firstColumn="0" w:lastColumn="0" w:oddVBand="0" w:evenVBand="0" w:oddHBand="0" w:evenHBand="0" w:firstRowFirstColumn="0" w:firstRowLastColumn="0" w:lastRowFirstColumn="0" w:lastRowLastColumn="0"/>
              <w:rPr>
                <w:sz w:val="20"/>
                <w:szCs w:val="20"/>
              </w:rPr>
            </w:pPr>
            <w:r w:rsidRPr="00D26E0B">
              <w:rPr>
                <w:sz w:val="20"/>
                <w:szCs w:val="20"/>
              </w:rPr>
              <w:t>Do not give to children aged between ‘x’ and 11 years of age, except on the advice of a doctor, pharmacist or nurse practitioner.</w:t>
            </w:r>
          </w:p>
        </w:tc>
      </w:tr>
    </w:tbl>
    <w:p w14:paraId="7F70F8B9" w14:textId="408C01C7" w:rsidR="005E4F95" w:rsidRPr="00C417B6" w:rsidRDefault="005E4F95" w:rsidP="00934A06">
      <w:pPr>
        <w:pStyle w:val="ListBullet"/>
      </w:pPr>
      <w:r w:rsidRPr="00C417B6">
        <w:t>As of</w:t>
      </w:r>
      <w:r>
        <w:t xml:space="preserve"> </w:t>
      </w:r>
      <w:r w:rsidR="00E00D81">
        <w:t>11</w:t>
      </w:r>
      <w:r>
        <w:t xml:space="preserve"> May 2026</w:t>
      </w:r>
      <w:r w:rsidRPr="00C417B6">
        <w:t xml:space="preserve">, </w:t>
      </w:r>
      <w:r w:rsidR="00E00D81">
        <w:t xml:space="preserve">in the last 10 years, </w:t>
      </w:r>
      <w:r w:rsidRPr="00C417B6">
        <w:t xml:space="preserve">there were </w:t>
      </w:r>
      <w:r w:rsidR="00E00D81">
        <w:t>59</w:t>
      </w:r>
      <w:r>
        <w:t xml:space="preserve"> </w:t>
      </w:r>
      <w:r w:rsidRPr="00C417B6">
        <w:t>reports of adverse events for products containing</w:t>
      </w:r>
      <w:r w:rsidRPr="00996B30">
        <w:t xml:space="preserve"> </w:t>
      </w:r>
      <w:r>
        <w:t>p</w:t>
      </w:r>
      <w:r w:rsidRPr="00996B30">
        <w:t>seudoephedrine</w:t>
      </w:r>
      <w:r>
        <w:t xml:space="preserve"> </w:t>
      </w:r>
      <w:r w:rsidRPr="00C417B6">
        <w:t xml:space="preserve">as an active ingredient on the </w:t>
      </w:r>
      <w:hyperlink r:id="rId62" w:history="1">
        <w:r w:rsidRPr="00C417B6">
          <w:rPr>
            <w:rStyle w:val="Hyperlink"/>
          </w:rPr>
          <w:t>Database of Adverse Event Notifications (DAEN)</w:t>
        </w:r>
      </w:hyperlink>
      <w:r w:rsidRPr="00C417B6">
        <w:t>, with</w:t>
      </w:r>
      <w:r>
        <w:t xml:space="preserve"> </w:t>
      </w:r>
      <w:r w:rsidR="00E00D81">
        <w:t>30</w:t>
      </w:r>
      <w:r>
        <w:t xml:space="preserve"> </w:t>
      </w:r>
      <w:r w:rsidRPr="00C417B6">
        <w:t xml:space="preserve">reports where </w:t>
      </w:r>
      <w:r w:rsidRPr="00996B30">
        <w:t xml:space="preserve">pseudoephedrine </w:t>
      </w:r>
      <w:r w:rsidRPr="00C417B6">
        <w:t xml:space="preserve">was the single suspected medicine. </w:t>
      </w:r>
      <w:r w:rsidR="006F0A6A" w:rsidRPr="00C417B6">
        <w:t xml:space="preserve">There were </w:t>
      </w:r>
      <w:r w:rsidR="006F0A6A">
        <w:t>8</w:t>
      </w:r>
      <w:r w:rsidR="006F0A6A" w:rsidRPr="00C417B6">
        <w:t xml:space="preserve"> reports of deaths associated with </w:t>
      </w:r>
      <w:r w:rsidR="006F0A6A">
        <w:t>these reports of adverse events</w:t>
      </w:r>
      <w:r>
        <w:t>.</w:t>
      </w:r>
    </w:p>
    <w:p w14:paraId="2C02C02D" w14:textId="3C8705D8" w:rsidR="005E4F95" w:rsidRPr="00C417B6" w:rsidRDefault="005E4F95" w:rsidP="00934A06">
      <w:pPr>
        <w:pStyle w:val="ListBullet"/>
      </w:pPr>
      <w:r w:rsidRPr="00C417B6">
        <w:t xml:space="preserve">As of </w:t>
      </w:r>
      <w:r>
        <w:t>14 May 2026</w:t>
      </w:r>
      <w:r w:rsidRPr="00C417B6">
        <w:t>, there were</w:t>
      </w:r>
      <w:r>
        <w:t xml:space="preserve"> no</w:t>
      </w:r>
      <w:r w:rsidRPr="00C417B6">
        <w:t xml:space="preserve"> products containing </w:t>
      </w:r>
      <w:r w:rsidRPr="00CA6ECB">
        <w:t xml:space="preserve">pseudoephedrine </w:t>
      </w:r>
      <w:r w:rsidRPr="00C417B6">
        <w:t xml:space="preserve">as an active ingredient/constituent or scheduled substance listed on the </w:t>
      </w:r>
      <w:hyperlink r:id="rId63" w:history="1">
        <w:r w:rsidRPr="00C417B6">
          <w:rPr>
            <w:rStyle w:val="Hyperlink"/>
          </w:rPr>
          <w:t>Public Chemical Registration Information System Search (</w:t>
        </w:r>
        <w:proofErr w:type="spellStart"/>
        <w:r w:rsidRPr="00C417B6">
          <w:rPr>
            <w:rStyle w:val="Hyperlink"/>
          </w:rPr>
          <w:t>PubCRIS</w:t>
        </w:r>
        <w:proofErr w:type="spellEnd"/>
        <w:r w:rsidRPr="00C417B6">
          <w:rPr>
            <w:rStyle w:val="Hyperlink"/>
          </w:rPr>
          <w:t>)</w:t>
        </w:r>
      </w:hyperlink>
      <w:r w:rsidRPr="00C417B6">
        <w:t>.</w:t>
      </w:r>
    </w:p>
    <w:p w14:paraId="009358A4" w14:textId="77777777" w:rsidR="005E4F95" w:rsidRPr="00C417B6" w:rsidRDefault="005E4F95" w:rsidP="00934A06">
      <w:pPr>
        <w:pStyle w:val="ListBullet"/>
      </w:pPr>
      <w:r w:rsidRPr="00E508FF">
        <w:t>Pseudoephedrine is not included</w:t>
      </w:r>
      <w:r>
        <w:t xml:space="preserve"> by the Australian Industrial Chemicals Introduction Scheme (AICIS) on the </w:t>
      </w:r>
      <w:hyperlink r:id="rId64" w:history="1">
        <w:r w:rsidRPr="00FD0841">
          <w:rPr>
            <w:rStyle w:val="Hyperlink"/>
          </w:rPr>
          <w:t>Australian Inventory of Industrial Chemicals (Inventory)</w:t>
        </w:r>
      </w:hyperlink>
      <w:r>
        <w:t>.</w:t>
      </w:r>
    </w:p>
    <w:p w14:paraId="2FBC3A56" w14:textId="77777777" w:rsidR="005E4F95" w:rsidRPr="00C417B6" w:rsidRDefault="005E4F95" w:rsidP="005E4F95">
      <w:pPr>
        <w:pStyle w:val="Heading4"/>
      </w:pPr>
      <w:bookmarkStart w:id="78" w:name="_Toc165905877"/>
      <w:bookmarkStart w:id="79" w:name="_Toc230951733"/>
      <w:r w:rsidRPr="00C417B6">
        <w:t>International regulations</w:t>
      </w:r>
      <w:bookmarkEnd w:id="78"/>
      <w:bookmarkEnd w:id="79"/>
    </w:p>
    <w:p w14:paraId="6316B5E8" w14:textId="7CC2A70F" w:rsidR="005E4F95" w:rsidRDefault="005E4F95" w:rsidP="00934A06">
      <w:pPr>
        <w:pStyle w:val="ListBullet"/>
      </w:pPr>
      <w:r w:rsidRPr="00CF55F5">
        <w:t xml:space="preserve">The </w:t>
      </w:r>
      <w:hyperlink r:id="rId65" w:history="1">
        <w:r w:rsidRPr="009C3C0E">
          <w:rPr>
            <w:rStyle w:val="Hyperlink"/>
          </w:rPr>
          <w:t xml:space="preserve">New Zealand </w:t>
        </w:r>
        <w:proofErr w:type="spellStart"/>
        <w:r w:rsidRPr="009C3C0E">
          <w:rPr>
            <w:rStyle w:val="Hyperlink"/>
          </w:rPr>
          <w:t>Medsafe</w:t>
        </w:r>
        <w:proofErr w:type="spellEnd"/>
        <w:r w:rsidRPr="009C3C0E">
          <w:rPr>
            <w:rStyle w:val="Hyperlink"/>
          </w:rPr>
          <w:t xml:space="preserve"> Medicines Classification Database</w:t>
        </w:r>
      </w:hyperlink>
      <w:r w:rsidRPr="00CF55F5">
        <w:t xml:space="preserve"> lists </w:t>
      </w:r>
      <w:r>
        <w:t>p</w:t>
      </w:r>
      <w:r w:rsidRPr="005906F5">
        <w:t xml:space="preserve">seudoephedrine </w:t>
      </w:r>
      <w:r w:rsidRPr="00CF55F5">
        <w:t xml:space="preserve">as </w:t>
      </w:r>
      <w:r w:rsidR="00E2375E">
        <w:t>follows</w:t>
      </w:r>
      <w:r>
        <w:t xml:space="preserve">. </w:t>
      </w:r>
    </w:p>
    <w:tbl>
      <w:tblPr>
        <w:tblStyle w:val="TableTGAblue2023"/>
        <w:tblW w:w="0" w:type="auto"/>
        <w:tblLook w:val="04A0" w:firstRow="1" w:lastRow="0" w:firstColumn="1" w:lastColumn="0" w:noHBand="0" w:noVBand="1"/>
      </w:tblPr>
      <w:tblGrid>
        <w:gridCol w:w="1932"/>
        <w:gridCol w:w="5106"/>
        <w:gridCol w:w="2022"/>
      </w:tblGrid>
      <w:tr w:rsidR="005E4F95" w14:paraId="68690809" w14:textId="77777777" w:rsidTr="001D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shd w:val="clear" w:color="auto" w:fill="B4C6E7" w:themeFill="accent1" w:themeFillTint="66"/>
          </w:tcPr>
          <w:p w14:paraId="794D6141" w14:textId="77777777" w:rsidR="005E4F95" w:rsidRDefault="005E4F95" w:rsidP="00284A6D">
            <w:r>
              <w:t>Substance</w:t>
            </w:r>
          </w:p>
        </w:tc>
        <w:tc>
          <w:tcPr>
            <w:tcW w:w="4997" w:type="dxa"/>
            <w:shd w:val="clear" w:color="auto" w:fill="B4C6E7" w:themeFill="accent1" w:themeFillTint="66"/>
          </w:tcPr>
          <w:p w14:paraId="2898E636" w14:textId="77777777" w:rsidR="005E4F95" w:rsidRDefault="005E4F95" w:rsidP="00284A6D">
            <w:pPr>
              <w:cnfStyle w:val="100000000000" w:firstRow="1" w:lastRow="0" w:firstColumn="0" w:lastColumn="0" w:oddVBand="0" w:evenVBand="0" w:oddHBand="0" w:evenHBand="0" w:firstRowFirstColumn="0" w:firstRowLastColumn="0" w:lastRowFirstColumn="0" w:lastRowLastColumn="0"/>
            </w:pPr>
            <w:r>
              <w:t>Conditions (if any)</w:t>
            </w:r>
          </w:p>
        </w:tc>
        <w:tc>
          <w:tcPr>
            <w:tcW w:w="1989" w:type="dxa"/>
            <w:shd w:val="clear" w:color="auto" w:fill="B4C6E7" w:themeFill="accent1" w:themeFillTint="66"/>
          </w:tcPr>
          <w:p w14:paraId="0CC4792A" w14:textId="77777777" w:rsidR="005E4F95" w:rsidRDefault="005E4F95" w:rsidP="00284A6D">
            <w:pPr>
              <w:cnfStyle w:val="100000000000" w:firstRow="1" w:lastRow="0" w:firstColumn="0" w:lastColumn="0" w:oddVBand="0" w:evenVBand="0" w:oddHBand="0" w:evenHBand="0" w:firstRowFirstColumn="0" w:firstRowLastColumn="0" w:lastRowFirstColumn="0" w:lastRowLastColumn="0"/>
            </w:pPr>
            <w:r>
              <w:t>Classifications</w:t>
            </w:r>
          </w:p>
        </w:tc>
      </w:tr>
      <w:tr w:rsidR="005E4F95" w:rsidRPr="00E01884" w14:paraId="11D7EC2F" w14:textId="77777777" w:rsidTr="00284A6D">
        <w:tc>
          <w:tcPr>
            <w:cnfStyle w:val="001000000000" w:firstRow="0" w:lastRow="0" w:firstColumn="1" w:lastColumn="0" w:oddVBand="0" w:evenVBand="0" w:oddHBand="0" w:evenHBand="0" w:firstRowFirstColumn="0" w:firstRowLastColumn="0" w:lastRowFirstColumn="0" w:lastRowLastColumn="0"/>
            <w:tcW w:w="0" w:type="auto"/>
            <w:hideMark/>
          </w:tcPr>
          <w:p w14:paraId="206641EC" w14:textId="77777777" w:rsidR="005E4F95" w:rsidRPr="00EA6829" w:rsidRDefault="005E4F95" w:rsidP="00EA6829">
            <w:pPr>
              <w:spacing w:before="120" w:after="120" w:line="240" w:lineRule="auto"/>
              <w:rPr>
                <w:sz w:val="20"/>
                <w:szCs w:val="20"/>
              </w:rPr>
            </w:pPr>
            <w:r w:rsidRPr="00EA6829">
              <w:rPr>
                <w:sz w:val="20"/>
                <w:szCs w:val="20"/>
              </w:rPr>
              <w:t>Pseudoephedrine</w:t>
            </w:r>
          </w:p>
        </w:tc>
        <w:tc>
          <w:tcPr>
            <w:tcW w:w="0" w:type="auto"/>
            <w:hideMark/>
          </w:tcPr>
          <w:p w14:paraId="0DFBCFDB" w14:textId="062109F1" w:rsidR="005E4F95" w:rsidRPr="00EA6829" w:rsidRDefault="000A0C08" w:rsidP="00EA6829">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Pr>
                <w:rFonts w:cs="Arial"/>
                <w:sz w:val="20"/>
                <w:szCs w:val="20"/>
              </w:rPr>
              <w:t>–</w:t>
            </w:r>
          </w:p>
        </w:tc>
        <w:tc>
          <w:tcPr>
            <w:tcW w:w="0" w:type="auto"/>
            <w:hideMark/>
          </w:tcPr>
          <w:p w14:paraId="1061C53A" w14:textId="77777777" w:rsidR="005E4F95" w:rsidRPr="00EA6829" w:rsidRDefault="005E4F95" w:rsidP="00EA6829">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A6829">
              <w:rPr>
                <w:sz w:val="20"/>
                <w:szCs w:val="20"/>
              </w:rPr>
              <w:t>Class C3 Controlled Drug</w:t>
            </w:r>
          </w:p>
        </w:tc>
      </w:tr>
      <w:tr w:rsidR="005E4F95" w:rsidRPr="00E01884" w14:paraId="7065F0DE" w14:textId="77777777" w:rsidTr="00284A6D">
        <w:tc>
          <w:tcPr>
            <w:cnfStyle w:val="001000000000" w:firstRow="0" w:lastRow="0" w:firstColumn="1" w:lastColumn="0" w:oddVBand="0" w:evenVBand="0" w:oddHBand="0" w:evenHBand="0" w:firstRowFirstColumn="0" w:firstRowLastColumn="0" w:lastRowFirstColumn="0" w:lastRowLastColumn="0"/>
            <w:tcW w:w="0" w:type="auto"/>
            <w:hideMark/>
          </w:tcPr>
          <w:p w14:paraId="238C7DB3" w14:textId="77777777" w:rsidR="005E4F95" w:rsidRPr="00EA6829" w:rsidRDefault="005E4F95" w:rsidP="00EA6829">
            <w:pPr>
              <w:spacing w:before="120" w:after="120" w:line="240" w:lineRule="auto"/>
              <w:rPr>
                <w:sz w:val="20"/>
                <w:szCs w:val="20"/>
              </w:rPr>
            </w:pPr>
            <w:r w:rsidRPr="00EA6829">
              <w:rPr>
                <w:sz w:val="20"/>
                <w:szCs w:val="20"/>
              </w:rPr>
              <w:t>Pseudoephedrine</w:t>
            </w:r>
          </w:p>
        </w:tc>
        <w:tc>
          <w:tcPr>
            <w:tcW w:w="0" w:type="auto"/>
            <w:hideMark/>
          </w:tcPr>
          <w:p w14:paraId="5FBEFF76" w14:textId="799C56A0" w:rsidR="005E4F95" w:rsidRPr="00EA6829" w:rsidRDefault="00EA6829" w:rsidP="00EA6829">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r w:rsidR="005E4F95" w:rsidRPr="00EA6829">
              <w:rPr>
                <w:sz w:val="20"/>
                <w:szCs w:val="20"/>
              </w:rPr>
              <w:t>xcept when specified elsewhere in this schedule</w:t>
            </w:r>
          </w:p>
        </w:tc>
        <w:tc>
          <w:tcPr>
            <w:tcW w:w="0" w:type="auto"/>
            <w:hideMark/>
          </w:tcPr>
          <w:p w14:paraId="3D5B3DFD" w14:textId="77777777" w:rsidR="005E4F95" w:rsidRPr="00EA6829" w:rsidRDefault="005E4F95" w:rsidP="00EA6829">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A6829">
              <w:rPr>
                <w:sz w:val="20"/>
                <w:szCs w:val="20"/>
              </w:rPr>
              <w:t>Prescription</w:t>
            </w:r>
          </w:p>
        </w:tc>
      </w:tr>
      <w:tr w:rsidR="005E4F95" w:rsidRPr="00E01884" w14:paraId="38A086A2" w14:textId="77777777" w:rsidTr="00284A6D">
        <w:tc>
          <w:tcPr>
            <w:cnfStyle w:val="001000000000" w:firstRow="0" w:lastRow="0" w:firstColumn="1" w:lastColumn="0" w:oddVBand="0" w:evenVBand="0" w:oddHBand="0" w:evenHBand="0" w:firstRowFirstColumn="0" w:firstRowLastColumn="0" w:lastRowFirstColumn="0" w:lastRowLastColumn="0"/>
            <w:tcW w:w="0" w:type="auto"/>
            <w:hideMark/>
          </w:tcPr>
          <w:p w14:paraId="11D66C50" w14:textId="77777777" w:rsidR="005E4F95" w:rsidRPr="00EA6829" w:rsidRDefault="005E4F95" w:rsidP="00EA6829">
            <w:pPr>
              <w:spacing w:before="120" w:after="120" w:line="240" w:lineRule="auto"/>
              <w:rPr>
                <w:sz w:val="20"/>
                <w:szCs w:val="20"/>
              </w:rPr>
            </w:pPr>
            <w:r w:rsidRPr="00EA6829">
              <w:rPr>
                <w:sz w:val="20"/>
                <w:szCs w:val="20"/>
              </w:rPr>
              <w:t>Pseudoephedrine</w:t>
            </w:r>
          </w:p>
        </w:tc>
        <w:tc>
          <w:tcPr>
            <w:tcW w:w="0" w:type="auto"/>
            <w:hideMark/>
          </w:tcPr>
          <w:p w14:paraId="6A05EFAF" w14:textId="04C24D33" w:rsidR="005E4F95" w:rsidRPr="00EA6829" w:rsidRDefault="00EA6829" w:rsidP="00EA6829">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w:t>
            </w:r>
            <w:r w:rsidR="005E4F95" w:rsidRPr="00EA6829">
              <w:rPr>
                <w:sz w:val="20"/>
                <w:szCs w:val="20"/>
              </w:rPr>
              <w:t xml:space="preserve">n solid-dose cough or decongestant medicines containing not more than 60 milligrams per </w:t>
            </w:r>
            <w:r w:rsidR="005E4F95" w:rsidRPr="00EA6829">
              <w:rPr>
                <w:sz w:val="20"/>
                <w:szCs w:val="20"/>
              </w:rPr>
              <w:lastRenderedPageBreak/>
              <w:t>recommended dose and not more than 240 milligrams per recommended daily dose, in a pack size of 720 milligrams or less;</w:t>
            </w:r>
            <w:r w:rsidR="005E4F95" w:rsidRPr="00EA6829">
              <w:rPr>
                <w:sz w:val="20"/>
                <w:szCs w:val="20"/>
              </w:rPr>
              <w:br/>
              <w:t>in liquid-dose cough or decongestant medicines containing not more than 60 milligrams per recommended dose and not more than 240 milligrams per recommended daily dose, in a pack size of 800 milligrams or less</w:t>
            </w:r>
          </w:p>
        </w:tc>
        <w:tc>
          <w:tcPr>
            <w:tcW w:w="0" w:type="auto"/>
            <w:hideMark/>
          </w:tcPr>
          <w:p w14:paraId="00C8F661" w14:textId="77777777" w:rsidR="005E4F95" w:rsidRPr="00EA6829" w:rsidRDefault="005E4F95" w:rsidP="00EA6829">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A6829">
              <w:rPr>
                <w:sz w:val="20"/>
                <w:szCs w:val="20"/>
              </w:rPr>
              <w:lastRenderedPageBreak/>
              <w:t>Restrict</w:t>
            </w:r>
          </w:p>
        </w:tc>
      </w:tr>
    </w:tbl>
    <w:p w14:paraId="0159D2D1" w14:textId="77777777" w:rsidR="005E4F95" w:rsidRDefault="005E4F95" w:rsidP="005E4F95"/>
    <w:p w14:paraId="638398C6" w14:textId="5D7C7D5C" w:rsidR="00F92891" w:rsidRPr="00EA6829" w:rsidRDefault="005E4F95" w:rsidP="00EA6829">
      <w:pPr>
        <w:pStyle w:val="ListBullet"/>
        <w:rPr>
          <w:rFonts w:cs="Arial"/>
        </w:rPr>
      </w:pPr>
      <w:r w:rsidRPr="00EA6829">
        <w:rPr>
          <w:rFonts w:cs="Arial"/>
        </w:rPr>
        <w:t xml:space="preserve">In New Zealand, pseudoephedrine is classified as a Class C3 controlled drug under the </w:t>
      </w:r>
      <w:hyperlink r:id="rId66" w:anchor="DLM436101" w:history="1">
        <w:r w:rsidRPr="00EA6829">
          <w:rPr>
            <w:rStyle w:val="Hyperlink"/>
            <w:rFonts w:cs="Arial"/>
            <w:i/>
            <w:iCs/>
          </w:rPr>
          <w:t>Misuse of Drugs Act, 1975</w:t>
        </w:r>
      </w:hyperlink>
      <w:r w:rsidRPr="00EA6829">
        <w:rPr>
          <w:rFonts w:cs="Arial"/>
        </w:rPr>
        <w:t xml:space="preserve">, meaning it is subject to legal controls due to its moderate risk of harm, while under the </w:t>
      </w:r>
      <w:hyperlink r:id="rId67" w:anchor="DLM54687" w:history="1">
        <w:r w:rsidRPr="00EA6829">
          <w:rPr>
            <w:rStyle w:val="Hyperlink"/>
            <w:rFonts w:cs="Arial"/>
            <w:i/>
            <w:iCs/>
          </w:rPr>
          <w:t>Medicines Act, 1981</w:t>
        </w:r>
      </w:hyperlink>
      <w:r w:rsidRPr="00EA6829">
        <w:rPr>
          <w:rFonts w:cs="Arial"/>
        </w:rPr>
        <w:t xml:space="preserve"> it can be classified as either a prescription medicine or a restricted (pharmacist</w:t>
      </w:r>
      <w:r w:rsidRPr="00EA6829">
        <w:rPr>
          <w:rFonts w:ascii="Cambria Math" w:hAnsi="Cambria Math" w:cs="Cambria Math"/>
        </w:rPr>
        <w:t>‑</w:t>
      </w:r>
      <w:r w:rsidRPr="00EA6829">
        <w:rPr>
          <w:rFonts w:cs="Arial"/>
        </w:rPr>
        <w:t>only) medicine depending on its formulation and dosage. As of 21 May 2026, there are 11 products containing pseudoephedrine available in New Zealand as pharmacist</w:t>
      </w:r>
      <w:r w:rsidR="00FE5271">
        <w:rPr>
          <w:rFonts w:cs="Arial"/>
        </w:rPr>
        <w:t xml:space="preserve"> </w:t>
      </w:r>
      <w:r w:rsidRPr="00EA6829">
        <w:rPr>
          <w:rFonts w:cs="Arial"/>
        </w:rPr>
        <w:t>only medicines.</w:t>
      </w:r>
    </w:p>
    <w:p w14:paraId="4D89DD41" w14:textId="77777777" w:rsidR="00F92891" w:rsidRPr="00EA6829" w:rsidRDefault="00F92891" w:rsidP="00EA6829">
      <w:pPr>
        <w:pStyle w:val="ListBullet"/>
        <w:rPr>
          <w:rFonts w:cs="Arial"/>
        </w:rPr>
      </w:pPr>
      <w:r w:rsidRPr="00EA6829">
        <w:rPr>
          <w:rFonts w:cs="Arial"/>
        </w:rPr>
        <w:t xml:space="preserve">As of 21 May 2026, the US Food and Drug Administration (FDA) </w:t>
      </w:r>
      <w:hyperlink r:id="rId68" w:history="1">
        <w:r w:rsidRPr="00EA6829">
          <w:rPr>
            <w:rStyle w:val="Hyperlink"/>
            <w:rFonts w:cs="Arial"/>
          </w:rPr>
          <w:t>Orange Book: Approved Drug Products with Therapeutic Equivalence Evaluations</w:t>
        </w:r>
      </w:hyperlink>
      <w:r w:rsidRPr="00EA6829">
        <w:rPr>
          <w:rFonts w:cs="Arial"/>
        </w:rPr>
        <w:t xml:space="preserve"> includes 62 pseudoephedrine-containing products, of which 51 are </w:t>
      </w:r>
      <w:proofErr w:type="gramStart"/>
      <w:r w:rsidRPr="00EA6829">
        <w:rPr>
          <w:rFonts w:cs="Arial"/>
        </w:rPr>
        <w:t>over-the-counter</w:t>
      </w:r>
      <w:proofErr w:type="gramEnd"/>
      <w:r w:rsidRPr="00EA6829">
        <w:rPr>
          <w:rFonts w:cs="Arial"/>
        </w:rPr>
        <w:t xml:space="preserve"> and 11 are prescription medicines. These include both single</w:t>
      </w:r>
      <w:r w:rsidRPr="00EA6829">
        <w:rPr>
          <w:rFonts w:cs="Arial"/>
        </w:rPr>
        <w:noBreakHyphen/>
        <w:t>ingredient products (such as pseudoephedrine alone for nasal decongestion) and combination products (with antihistamines, analgesics, or cough suppressants) that are primarily used for the relief of cold, flu, and allergy symptoms. These products are available in multiple dosage forms, including tablets (immediate and extended</w:t>
      </w:r>
      <w:r w:rsidRPr="00EA6829">
        <w:rPr>
          <w:rFonts w:cs="Arial"/>
        </w:rPr>
        <w:noBreakHyphen/>
        <w:t>release), capsules, syrups, and oral suspensions.</w:t>
      </w:r>
    </w:p>
    <w:p w14:paraId="6D4975DE" w14:textId="77777777" w:rsidR="00F92891" w:rsidRPr="00EA6829" w:rsidRDefault="005E4F95" w:rsidP="00EA6829">
      <w:pPr>
        <w:pStyle w:val="ListBullet"/>
        <w:rPr>
          <w:rFonts w:cs="Arial"/>
        </w:rPr>
      </w:pPr>
      <w:r w:rsidRPr="00EA6829">
        <w:rPr>
          <w:rFonts w:cs="Arial"/>
        </w:rPr>
        <w:t xml:space="preserve">The </w:t>
      </w:r>
      <w:hyperlink r:id="rId69">
        <w:r w:rsidRPr="00EA6829">
          <w:rPr>
            <w:rStyle w:val="Hyperlink"/>
            <w:rFonts w:cs="Arial"/>
          </w:rPr>
          <w:t>Canadian (Health Canada) Drug Product Database</w:t>
        </w:r>
      </w:hyperlink>
      <w:r w:rsidRPr="00EA6829">
        <w:rPr>
          <w:rFonts w:cs="Arial"/>
        </w:rPr>
        <w:t xml:space="preserve"> includes 98 marketed products. These products are primarily non</w:t>
      </w:r>
      <w:r w:rsidRPr="00EA6829">
        <w:rPr>
          <w:rFonts w:cs="Arial"/>
        </w:rPr>
        <w:noBreakHyphen/>
        <w:t>prescription drugs, with a small number classified as narcotics (codeine</w:t>
      </w:r>
      <w:r w:rsidRPr="00EA6829">
        <w:rPr>
          <w:rFonts w:cs="Arial"/>
        </w:rPr>
        <w:noBreakHyphen/>
        <w:t xml:space="preserve">containing products). The majority are combination products containing multiple active ingredients (typically 2 to 8), although some simpler formulations contain fewer ingredients. They are available in a variety of dosage forms, including tablets, liquid capsules, </w:t>
      </w:r>
      <w:proofErr w:type="spellStart"/>
      <w:r w:rsidRPr="00EA6829">
        <w:rPr>
          <w:rFonts w:cs="Arial"/>
        </w:rPr>
        <w:t>softgels</w:t>
      </w:r>
      <w:proofErr w:type="spellEnd"/>
      <w:r w:rsidRPr="00EA6829">
        <w:rPr>
          <w:rFonts w:cs="Arial"/>
        </w:rPr>
        <w:t>, syrups, oral solutions, and powders (sachets).</w:t>
      </w:r>
    </w:p>
    <w:p w14:paraId="4BC61D18" w14:textId="6329C5A5" w:rsidR="005E4F95" w:rsidRPr="00EA6829" w:rsidRDefault="00F92891" w:rsidP="00EA6829">
      <w:pPr>
        <w:pStyle w:val="ListBullet"/>
        <w:rPr>
          <w:rFonts w:cs="Arial"/>
        </w:rPr>
      </w:pPr>
      <w:r w:rsidRPr="00EA6829">
        <w:rPr>
          <w:rFonts w:cs="Arial"/>
        </w:rPr>
        <w:t>In the United Kingdom, pseudoephedrine and ephedrine are classified as pharmacy (P) medicine, which are medicines that can be supplied without a prescription but only from a pharmacy under the supervision of a pharmacist. There are strict limits on the quantity that can be supplied without a prescription, with a maximum of 720 mg of pseudoephedrine allowed per transaction</w:t>
      </w:r>
      <w:r w:rsidR="00A0188C">
        <w:rPr>
          <w:rFonts w:cs="Arial"/>
        </w:rPr>
        <w:t>.</w:t>
      </w:r>
      <w:r w:rsidRPr="00EA6829">
        <w:rPr>
          <w:rStyle w:val="FootnoteReference"/>
          <w:rFonts w:cs="Arial"/>
        </w:rPr>
        <w:footnoteReference w:id="10"/>
      </w:r>
      <w:r w:rsidRPr="00EA6829">
        <w:rPr>
          <w:rFonts w:cs="Arial"/>
        </w:rPr>
        <w:t xml:space="preserve"> Pharmacy staff are also expected to monitor for signs of suspicious purchasing behaviour and may refuse a sale if misuse is suspected</w:t>
      </w:r>
      <w:r w:rsidRPr="00EA6829">
        <w:rPr>
          <w:rStyle w:val="EndnoteReference"/>
          <w:rFonts w:cs="Arial"/>
        </w:rPr>
        <w:endnoteReference w:id="1"/>
      </w:r>
      <w:r w:rsidRPr="00EA6829">
        <w:rPr>
          <w:rFonts w:cs="Arial"/>
        </w:rPr>
        <w:t xml:space="preserve">. A search of the </w:t>
      </w:r>
      <w:hyperlink r:id="rId70">
        <w:r w:rsidR="31C3FB35" w:rsidRPr="00EA6829">
          <w:rPr>
            <w:rStyle w:val="Hyperlink"/>
            <w:rFonts w:cs="Arial"/>
          </w:rPr>
          <w:t>Medicines and Healthcare products Regulatory Agency (MHRA)</w:t>
        </w:r>
      </w:hyperlink>
      <w:r w:rsidRPr="00EA6829">
        <w:rPr>
          <w:rFonts w:cs="Arial"/>
        </w:rPr>
        <w:t xml:space="preserve"> database returns 319 products containing pseudoephedrine.</w:t>
      </w:r>
    </w:p>
    <w:p w14:paraId="0440F93E" w14:textId="10A99AAB" w:rsidR="681D56FF" w:rsidRDefault="681D56FF">
      <w:r>
        <w:br w:type="page"/>
      </w:r>
    </w:p>
    <w:p w14:paraId="6917329D" w14:textId="77777777" w:rsidR="00456AAE" w:rsidRPr="00D709D8" w:rsidRDefault="00534E27" w:rsidP="00D709D8">
      <w:pPr>
        <w:pStyle w:val="Heading2"/>
      </w:pPr>
      <w:bookmarkStart w:id="80" w:name="_Toc122614249"/>
      <w:bookmarkStart w:id="81" w:name="_Toc230951734"/>
      <w:r>
        <w:lastRenderedPageBreak/>
        <w:t>2</w:t>
      </w:r>
      <w:r w:rsidR="00456AAE">
        <w:tab/>
      </w:r>
      <w:r w:rsidR="0056583D" w:rsidRPr="00534E27">
        <w:t>Proposed amendments referred for scheduling advice to the Joint ACMS-ACCS meeting #44</w:t>
      </w:r>
      <w:bookmarkEnd w:id="81"/>
    </w:p>
    <w:p w14:paraId="799EA314" w14:textId="3BA9903D" w:rsidR="003B6A16" w:rsidRDefault="0028435E" w:rsidP="0028435E">
      <w:pPr>
        <w:pStyle w:val="Heading3"/>
      </w:pPr>
      <w:bookmarkStart w:id="82" w:name="_Toc122614238"/>
      <w:bookmarkStart w:id="83" w:name="_Toc165905891"/>
      <w:bookmarkStart w:id="84" w:name="_Toc230951735"/>
      <w:r>
        <w:t>2</w:t>
      </w:r>
      <w:r w:rsidRPr="00FE5A9A">
        <w:t xml:space="preserve">.1 </w:t>
      </w:r>
      <w:bookmarkEnd w:id="82"/>
      <w:bookmarkEnd w:id="83"/>
      <w:r w:rsidR="00CD5F70">
        <w:tab/>
      </w:r>
      <w:r w:rsidRPr="00FE5A9A">
        <w:t>Salicylic</w:t>
      </w:r>
      <w:r>
        <w:t xml:space="preserve"> acid</w:t>
      </w:r>
      <w:bookmarkEnd w:id="84"/>
      <w:r>
        <w:t xml:space="preserve"> </w:t>
      </w:r>
    </w:p>
    <w:p w14:paraId="435EB96C" w14:textId="76C57EE5" w:rsidR="003033EA" w:rsidRPr="003033EA" w:rsidRDefault="003033EA" w:rsidP="003033EA">
      <w:pPr>
        <w:pStyle w:val="Heading4"/>
        <w:rPr>
          <w:rFonts w:ascii="Segoe UI" w:hAnsi="Segoe UI" w:cs="Segoe UI"/>
          <w:sz w:val="18"/>
          <w:szCs w:val="18"/>
        </w:rPr>
      </w:pPr>
      <w:bookmarkStart w:id="85" w:name="_Toc230951736"/>
      <w:r w:rsidRPr="003033EA">
        <w:rPr>
          <w:rStyle w:val="normaltextrun"/>
          <w:rFonts w:cs="Arial"/>
          <w:szCs w:val="28"/>
        </w:rPr>
        <w:t>Proposal</w:t>
      </w:r>
      <w:bookmarkEnd w:id="85"/>
    </w:p>
    <w:p w14:paraId="23FC445F" w14:textId="49CBA8DE" w:rsidR="003033EA" w:rsidRDefault="003033EA" w:rsidP="00025432">
      <w:pPr>
        <w:spacing w:before="120" w:line="240" w:lineRule="auto"/>
        <w:rPr>
          <w:rFonts w:ascii="Segoe UI" w:hAnsi="Segoe UI" w:cs="Segoe UI"/>
          <w:color w:val="001871"/>
          <w:sz w:val="18"/>
          <w:szCs w:val="18"/>
        </w:rPr>
      </w:pPr>
      <w:r w:rsidRPr="003033EA">
        <w:rPr>
          <w:rStyle w:val="normaltextrun"/>
          <w:rFonts w:cs="Arial"/>
        </w:rPr>
        <w:t>The Department of Health, Disability and Ageing</w:t>
      </w:r>
      <w:r w:rsidR="00C74728">
        <w:rPr>
          <w:rStyle w:val="normaltextrun"/>
          <w:rFonts w:cs="Arial"/>
        </w:rPr>
        <w:t xml:space="preserve"> </w:t>
      </w:r>
      <w:r w:rsidRPr="003033EA">
        <w:rPr>
          <w:rStyle w:val="normaltextrun"/>
          <w:rFonts w:cs="Arial"/>
        </w:rPr>
        <w:t>is proposing</w:t>
      </w:r>
      <w:r w:rsidR="00C74728">
        <w:rPr>
          <w:rStyle w:val="normaltextrun"/>
          <w:rFonts w:cs="Arial"/>
        </w:rPr>
        <w:t xml:space="preserve"> </w:t>
      </w:r>
      <w:r w:rsidRPr="003033EA">
        <w:rPr>
          <w:rStyle w:val="normaltextrun"/>
          <w:rFonts w:cs="Arial"/>
        </w:rPr>
        <w:t>to amend the current Poisons Standard in relation to</w:t>
      </w:r>
      <w:r w:rsidR="00D8644D">
        <w:rPr>
          <w:rStyle w:val="normaltextrun"/>
          <w:rFonts w:cs="Arial"/>
        </w:rPr>
        <w:t xml:space="preserve"> </w:t>
      </w:r>
      <w:r w:rsidRPr="003033EA">
        <w:rPr>
          <w:rStyle w:val="normaltextrun"/>
          <w:rFonts w:cs="Arial"/>
        </w:rPr>
        <w:t>salicylic acid.</w:t>
      </w:r>
      <w:r w:rsidR="00C74728">
        <w:rPr>
          <w:rStyle w:val="normaltextrun"/>
          <w:rFonts w:cs="Arial"/>
        </w:rPr>
        <w:t xml:space="preserve"> </w:t>
      </w:r>
      <w:r w:rsidRPr="003033EA">
        <w:rPr>
          <w:rStyle w:val="normaltextrun"/>
          <w:rFonts w:cs="Arial"/>
        </w:rPr>
        <w:t>Salicylic acid</w:t>
      </w:r>
      <w:r w:rsidR="00C74728">
        <w:rPr>
          <w:rStyle w:val="normaltextrun"/>
          <w:rFonts w:cs="Arial"/>
        </w:rPr>
        <w:t xml:space="preserve"> </w:t>
      </w:r>
      <w:r w:rsidRPr="003033EA">
        <w:rPr>
          <w:rStyle w:val="normaltextrun"/>
          <w:rFonts w:cs="Arial"/>
        </w:rPr>
        <w:t>for</w:t>
      </w:r>
      <w:r w:rsidR="00C74728">
        <w:rPr>
          <w:rStyle w:val="normaltextrun"/>
          <w:rFonts w:cs="Arial"/>
        </w:rPr>
        <w:t xml:space="preserve"> </w:t>
      </w:r>
      <w:r w:rsidRPr="003033EA">
        <w:rPr>
          <w:rStyle w:val="normaltextrun"/>
          <w:rFonts w:cs="Arial"/>
        </w:rPr>
        <w:t>dermal use</w:t>
      </w:r>
      <w:r w:rsidR="00C74728">
        <w:rPr>
          <w:rStyle w:val="normaltextrun"/>
          <w:rFonts w:cs="Arial"/>
        </w:rPr>
        <w:t xml:space="preserve"> </w:t>
      </w:r>
      <w:r w:rsidRPr="003033EA">
        <w:rPr>
          <w:rStyle w:val="normaltextrun"/>
          <w:rFonts w:cs="Arial"/>
        </w:rPr>
        <w:t>is currently</w:t>
      </w:r>
      <w:r w:rsidR="00C74728">
        <w:rPr>
          <w:rStyle w:val="normaltextrun"/>
          <w:rFonts w:cs="Arial"/>
        </w:rPr>
        <w:t xml:space="preserve"> </w:t>
      </w:r>
      <w:r w:rsidRPr="003033EA">
        <w:rPr>
          <w:rStyle w:val="normaltextrun"/>
          <w:rFonts w:cs="Arial"/>
        </w:rPr>
        <w:t>classified as a</w:t>
      </w:r>
      <w:r w:rsidR="00C74728">
        <w:rPr>
          <w:rStyle w:val="normaltextrun"/>
          <w:rFonts w:cs="Arial"/>
        </w:rPr>
        <w:t xml:space="preserve"> </w:t>
      </w:r>
      <w:proofErr w:type="gramStart"/>
      <w:r w:rsidRPr="003033EA">
        <w:rPr>
          <w:rStyle w:val="normaltextrun"/>
          <w:rFonts w:cs="Arial"/>
        </w:rPr>
        <w:t>Pharmacist</w:t>
      </w:r>
      <w:proofErr w:type="gramEnd"/>
      <w:r w:rsidRPr="003033EA">
        <w:rPr>
          <w:rStyle w:val="normaltextrun"/>
          <w:rFonts w:cs="Arial"/>
        </w:rPr>
        <w:t> only medicine (Schedule 3)</w:t>
      </w:r>
      <w:r w:rsidR="00C74728">
        <w:rPr>
          <w:rStyle w:val="normaltextrun"/>
          <w:rFonts w:cs="Arial"/>
        </w:rPr>
        <w:t xml:space="preserve"> </w:t>
      </w:r>
      <w:r>
        <w:rPr>
          <w:rStyle w:val="normaltextrun"/>
          <w:rFonts w:cs="Arial"/>
        </w:rPr>
        <w:t>except</w:t>
      </w:r>
      <w:r w:rsidR="00C74728">
        <w:rPr>
          <w:rStyle w:val="normaltextrun"/>
          <w:rFonts w:cs="Arial"/>
        </w:rPr>
        <w:t xml:space="preserve"> </w:t>
      </w:r>
      <w:r>
        <w:rPr>
          <w:rStyle w:val="normaltextrun"/>
          <w:rFonts w:cs="Arial"/>
        </w:rPr>
        <w:t>when</w:t>
      </w:r>
      <w:r w:rsidR="00D8644D">
        <w:rPr>
          <w:rStyle w:val="normaltextrun"/>
          <w:rFonts w:cs="Arial"/>
        </w:rPr>
        <w:t xml:space="preserve"> </w:t>
      </w:r>
      <w:r>
        <w:rPr>
          <w:rStyle w:val="normaltextrun"/>
          <w:rFonts w:cs="Arial"/>
        </w:rPr>
        <w:t>containing</w:t>
      </w:r>
      <w:r w:rsidR="00C74728">
        <w:rPr>
          <w:rStyle w:val="normaltextrun"/>
          <w:rFonts w:cs="Arial"/>
        </w:rPr>
        <w:t xml:space="preserve"> </w:t>
      </w:r>
      <w:r>
        <w:rPr>
          <w:rStyle w:val="normaltextrun"/>
          <w:rFonts w:cs="Arial"/>
        </w:rPr>
        <w:t>40%</w:t>
      </w:r>
      <w:r w:rsidR="00C74728">
        <w:rPr>
          <w:rStyle w:val="normaltextrun"/>
          <w:rFonts w:cs="Arial"/>
        </w:rPr>
        <w:t xml:space="preserve"> </w:t>
      </w:r>
      <w:r>
        <w:rPr>
          <w:rStyle w:val="normaltextrun"/>
          <w:rFonts w:cs="Arial"/>
        </w:rPr>
        <w:t>or less salicylic acid.</w:t>
      </w:r>
      <w:r w:rsidR="00C74728">
        <w:rPr>
          <w:rStyle w:val="normaltextrun"/>
          <w:rFonts w:cs="Arial"/>
        </w:rPr>
        <w:t xml:space="preserve"> </w:t>
      </w:r>
      <w:r>
        <w:rPr>
          <w:rStyle w:val="normaltextrun"/>
          <w:rFonts w:cs="Arial"/>
        </w:rPr>
        <w:t>The proposed changes intend to limit the maximum concentration of salicylic acid in unscheduled dermal preparations</w:t>
      </w:r>
      <w:r w:rsidR="00384837">
        <w:rPr>
          <w:rStyle w:val="normaltextrun"/>
          <w:rFonts w:cs="Arial"/>
        </w:rPr>
        <w:t>. The department is consulting on 2 options</w:t>
      </w:r>
      <w:r>
        <w:rPr>
          <w:rStyle w:val="normaltextrun"/>
          <w:rFonts w:cs="Arial"/>
        </w:rPr>
        <w:t xml:space="preserve"> by either creating a Schedule 6 entry or amending the existing Schedule 3 entry as detailed below.</w:t>
      </w:r>
      <w:r w:rsidR="00D8644D">
        <w:rPr>
          <w:rStyle w:val="normaltextrun"/>
          <w:rFonts w:cs="Arial"/>
        </w:rPr>
        <w:t xml:space="preserve"> </w:t>
      </w:r>
      <w:r>
        <w:rPr>
          <w:rStyle w:val="normaltextrun"/>
          <w:rFonts w:cs="Arial"/>
        </w:rPr>
        <w:t>Preparations captured under the</w:t>
      </w:r>
      <w:r w:rsidR="00C74728">
        <w:rPr>
          <w:rStyle w:val="normaltextrun"/>
          <w:rFonts w:cs="Arial"/>
        </w:rPr>
        <w:t xml:space="preserve"> Schedule 3 or </w:t>
      </w:r>
      <w:r>
        <w:rPr>
          <w:rStyle w:val="normaltextrun"/>
          <w:rFonts w:cs="Arial"/>
        </w:rPr>
        <w:t>Schedule 6 entr</w:t>
      </w:r>
      <w:r w:rsidR="00C74728">
        <w:rPr>
          <w:rStyle w:val="normaltextrun"/>
          <w:rFonts w:cs="Arial"/>
        </w:rPr>
        <w:t xml:space="preserve">ies </w:t>
      </w:r>
      <w:r>
        <w:rPr>
          <w:rStyle w:val="normaltextrun"/>
          <w:rFonts w:cs="Arial"/>
        </w:rPr>
        <w:t>will also require</w:t>
      </w:r>
      <w:r w:rsidR="00C74728">
        <w:rPr>
          <w:rStyle w:val="normaltextrun"/>
          <w:rFonts w:cs="Arial"/>
        </w:rPr>
        <w:t xml:space="preserve"> </w:t>
      </w:r>
      <w:r>
        <w:rPr>
          <w:rStyle w:val="normaltextrun"/>
          <w:rFonts w:cs="Arial"/>
        </w:rPr>
        <w:t>first aid instructions (Appendix E), and warning statements and general safety directions</w:t>
      </w:r>
      <w:r w:rsidR="00C74728">
        <w:rPr>
          <w:rStyle w:val="normaltextrun"/>
          <w:rFonts w:cs="Arial"/>
        </w:rPr>
        <w:t xml:space="preserve"> </w:t>
      </w:r>
      <w:r>
        <w:rPr>
          <w:rStyle w:val="normaltextrun"/>
          <w:rFonts w:cs="Arial"/>
        </w:rPr>
        <w:t>(Appendix</w:t>
      </w:r>
      <w:r w:rsidR="00C74728">
        <w:rPr>
          <w:rStyle w:val="normaltextrun"/>
          <w:rFonts w:cs="Arial"/>
        </w:rPr>
        <w:t> </w:t>
      </w:r>
      <w:r>
        <w:rPr>
          <w:rStyle w:val="normaltextrun"/>
          <w:rFonts w:cs="Arial"/>
        </w:rPr>
        <w:t>F)</w:t>
      </w:r>
      <w:r w:rsidR="00C74728">
        <w:rPr>
          <w:rStyle w:val="normaltextrun"/>
          <w:rFonts w:cs="Arial"/>
        </w:rPr>
        <w:t xml:space="preserve"> </w:t>
      </w:r>
      <w:r>
        <w:rPr>
          <w:rStyle w:val="normaltextrun"/>
          <w:rFonts w:cs="Arial"/>
        </w:rPr>
        <w:t>pertaining to</w:t>
      </w:r>
      <w:r w:rsidR="00C74728">
        <w:rPr>
          <w:rStyle w:val="normaltextrun"/>
          <w:rFonts w:cs="Arial"/>
        </w:rPr>
        <w:t xml:space="preserve"> </w:t>
      </w:r>
      <w:r>
        <w:rPr>
          <w:rStyle w:val="normaltextrun"/>
          <w:rFonts w:cs="Arial"/>
        </w:rPr>
        <w:t>the</w:t>
      </w:r>
      <w:r w:rsidR="00C74728">
        <w:rPr>
          <w:rStyle w:val="normaltextrun"/>
          <w:rFonts w:cs="Arial"/>
        </w:rPr>
        <w:t xml:space="preserve"> </w:t>
      </w:r>
      <w:r>
        <w:rPr>
          <w:rStyle w:val="normaltextrun"/>
          <w:rFonts w:cs="Arial"/>
        </w:rPr>
        <w:t>risk of</w:t>
      </w:r>
      <w:r w:rsidR="00C74728">
        <w:rPr>
          <w:rStyle w:val="normaltextrun"/>
          <w:rFonts w:cs="Arial"/>
        </w:rPr>
        <w:t xml:space="preserve"> </w:t>
      </w:r>
      <w:r>
        <w:rPr>
          <w:rStyle w:val="normaltextrun"/>
          <w:rFonts w:cs="Arial"/>
        </w:rPr>
        <w:t>eye exposure.</w:t>
      </w:r>
      <w:r w:rsidR="00C74728">
        <w:rPr>
          <w:rStyle w:val="normaltextrun"/>
          <w:rFonts w:cs="Arial"/>
        </w:rPr>
        <w:t xml:space="preserve"> </w:t>
      </w:r>
      <w:r>
        <w:rPr>
          <w:rStyle w:val="normaltextrun"/>
          <w:rFonts w:cs="Arial"/>
        </w:rPr>
        <w:t>The proposal is</w:t>
      </w:r>
      <w:r w:rsidR="00C74728">
        <w:rPr>
          <w:rStyle w:val="normaltextrun"/>
          <w:rFonts w:cs="Arial"/>
        </w:rPr>
        <w:t xml:space="preserve"> </w:t>
      </w:r>
      <w:r>
        <w:rPr>
          <w:rStyle w:val="normaltextrun"/>
          <w:rFonts w:cs="Arial"/>
        </w:rPr>
        <w:t>based</w:t>
      </w:r>
      <w:r w:rsidR="00C74728">
        <w:rPr>
          <w:rStyle w:val="normaltextrun"/>
          <w:rFonts w:cs="Arial"/>
        </w:rPr>
        <w:t xml:space="preserve"> o</w:t>
      </w:r>
      <w:r>
        <w:rPr>
          <w:rStyle w:val="normaltextrun"/>
          <w:rFonts w:cs="Arial"/>
        </w:rPr>
        <w:t>n</w:t>
      </w:r>
      <w:r w:rsidR="00C74728">
        <w:rPr>
          <w:rStyle w:val="normaltextrun"/>
          <w:rFonts w:cs="Arial"/>
        </w:rPr>
        <w:t xml:space="preserve"> </w:t>
      </w:r>
      <w:r>
        <w:rPr>
          <w:rStyle w:val="normaltextrun"/>
          <w:rFonts w:cs="Arial"/>
        </w:rPr>
        <w:t>recommendations</w:t>
      </w:r>
      <w:r w:rsidR="00C74728">
        <w:rPr>
          <w:rStyle w:val="normaltextrun"/>
          <w:rFonts w:cs="Arial"/>
        </w:rPr>
        <w:t xml:space="preserve"> </w:t>
      </w:r>
      <w:r>
        <w:rPr>
          <w:rStyle w:val="normaltextrun"/>
          <w:rFonts w:cs="Arial"/>
        </w:rPr>
        <w:t>in</w:t>
      </w:r>
      <w:r w:rsidR="00C74728">
        <w:rPr>
          <w:rStyle w:val="normaltextrun"/>
          <w:rFonts w:cs="Arial"/>
        </w:rPr>
        <w:t xml:space="preserve"> </w:t>
      </w:r>
      <w:r>
        <w:rPr>
          <w:rStyle w:val="normaltextrun"/>
          <w:rFonts w:cs="Arial"/>
        </w:rPr>
        <w:t>the</w:t>
      </w:r>
      <w:r w:rsidR="00C74728">
        <w:rPr>
          <w:rStyle w:val="normaltextrun"/>
          <w:rFonts w:cs="Arial"/>
        </w:rPr>
        <w:t xml:space="preserve"> </w:t>
      </w:r>
      <w:r>
        <w:rPr>
          <w:rStyle w:val="normaltextrun"/>
          <w:rFonts w:cs="Arial"/>
        </w:rPr>
        <w:t>Australian Industrial Chemicals Introduction Scheme</w:t>
      </w:r>
      <w:r w:rsidR="00C74728">
        <w:rPr>
          <w:rStyle w:val="normaltextrun"/>
          <w:rFonts w:cs="Arial"/>
        </w:rPr>
        <w:t xml:space="preserve"> </w:t>
      </w:r>
      <w:r>
        <w:rPr>
          <w:rStyle w:val="normaltextrun"/>
          <w:rFonts w:cs="Arial"/>
        </w:rPr>
        <w:t>(AICIS)</w:t>
      </w:r>
      <w:r w:rsidR="00C74728">
        <w:rPr>
          <w:rStyle w:val="normaltextrun"/>
          <w:rFonts w:cs="Arial"/>
        </w:rPr>
        <w:t xml:space="preserve"> </w:t>
      </w:r>
      <w:hyperlink r:id="rId71" w:tgtFrame="_blank" w:history="1">
        <w:r>
          <w:rPr>
            <w:rStyle w:val="normaltextrun"/>
            <w:rFonts w:cs="Arial"/>
            <w:color w:val="0000FF"/>
            <w:u w:val="single"/>
          </w:rPr>
          <w:t>Evaluation statement on salicylic acid and its salts</w:t>
        </w:r>
      </w:hyperlink>
      <w:r w:rsidR="00C74728">
        <w:rPr>
          <w:rStyle w:val="normaltextrun"/>
          <w:rFonts w:cs="Arial"/>
          <w:color w:val="001871"/>
        </w:rPr>
        <w:t xml:space="preserve"> </w:t>
      </w:r>
      <w:r w:rsidRPr="003033EA">
        <w:rPr>
          <w:rStyle w:val="normaltextrun"/>
          <w:rFonts w:cs="Arial"/>
        </w:rPr>
        <w:t>(Evaluation Statement).</w:t>
      </w:r>
    </w:p>
    <w:p w14:paraId="1FD7A5B7" w14:textId="41E871B4" w:rsidR="003033EA" w:rsidRDefault="003033EA" w:rsidP="003033EA">
      <w:pPr>
        <w:pStyle w:val="Heading4"/>
        <w:rPr>
          <w:rFonts w:ascii="Segoe UI" w:hAnsi="Segoe UI" w:cs="Segoe UI"/>
          <w:sz w:val="18"/>
          <w:szCs w:val="18"/>
        </w:rPr>
      </w:pPr>
      <w:bookmarkStart w:id="86" w:name="_Toc230951737"/>
      <w:r>
        <w:rPr>
          <w:rStyle w:val="normaltextrun"/>
          <w:rFonts w:cs="Arial"/>
          <w:szCs w:val="28"/>
        </w:rPr>
        <w:t>Alternative name</w:t>
      </w:r>
      <w:bookmarkEnd w:id="86"/>
    </w:p>
    <w:p w14:paraId="2EFD0F9C" w14:textId="6BCAC1C2" w:rsidR="003033EA" w:rsidRDefault="003033EA" w:rsidP="00025432">
      <w:pPr>
        <w:spacing w:before="120" w:line="240" w:lineRule="auto"/>
        <w:rPr>
          <w:rFonts w:ascii="Segoe UI" w:hAnsi="Segoe UI" w:cs="Segoe UI"/>
          <w:sz w:val="18"/>
          <w:szCs w:val="18"/>
        </w:rPr>
      </w:pPr>
      <w:r>
        <w:rPr>
          <w:rStyle w:val="normaltextrun"/>
          <w:rFonts w:cs="Arial"/>
        </w:rPr>
        <w:t>Benzoic acid, 2-hydroxy-</w:t>
      </w:r>
    </w:p>
    <w:p w14:paraId="3D4C9B01" w14:textId="7237567B" w:rsidR="003033EA" w:rsidRDefault="003033EA" w:rsidP="003033EA">
      <w:pPr>
        <w:pStyle w:val="Heading4"/>
        <w:rPr>
          <w:rFonts w:ascii="Segoe UI" w:hAnsi="Segoe UI" w:cs="Segoe UI"/>
          <w:sz w:val="18"/>
          <w:szCs w:val="18"/>
        </w:rPr>
      </w:pPr>
      <w:bookmarkStart w:id="87" w:name="_Toc230951738"/>
      <w:r>
        <w:rPr>
          <w:rStyle w:val="normaltextrun"/>
          <w:rFonts w:cs="Arial"/>
          <w:szCs w:val="28"/>
        </w:rPr>
        <w:t>CAS number</w:t>
      </w:r>
      <w:bookmarkEnd w:id="87"/>
    </w:p>
    <w:p w14:paraId="7C61E52E" w14:textId="77777777" w:rsidR="003033EA" w:rsidRDefault="003033EA" w:rsidP="00025432">
      <w:pPr>
        <w:spacing w:before="120" w:line="240" w:lineRule="auto"/>
        <w:rPr>
          <w:rStyle w:val="normaltextrun"/>
          <w:rFonts w:cs="Arial"/>
        </w:rPr>
      </w:pPr>
      <w:r>
        <w:rPr>
          <w:rStyle w:val="normaltextrun"/>
          <w:rFonts w:cs="Arial"/>
        </w:rPr>
        <w:t>69-72-7</w:t>
      </w:r>
    </w:p>
    <w:p w14:paraId="581D207C" w14:textId="63A870E9" w:rsidR="003033EA" w:rsidRPr="003033EA" w:rsidRDefault="003033EA" w:rsidP="003033EA">
      <w:pPr>
        <w:pStyle w:val="Heading4"/>
        <w:rPr>
          <w:color w:val="auto"/>
          <w:sz w:val="20"/>
          <w:szCs w:val="20"/>
        </w:rPr>
      </w:pPr>
      <w:bookmarkStart w:id="88" w:name="_Toc230951739"/>
      <w:r w:rsidRPr="003033EA">
        <w:t>Proposed Scheduling</w:t>
      </w:r>
      <w:bookmarkEnd w:id="88"/>
    </w:p>
    <w:p w14:paraId="7074163B" w14:textId="7DDAA704" w:rsidR="003033EA" w:rsidRPr="00FE5271" w:rsidRDefault="00FE5271" w:rsidP="00025432">
      <w:pPr>
        <w:spacing w:before="120" w:line="240" w:lineRule="auto"/>
      </w:pPr>
      <w:r>
        <w:t xml:space="preserve">Salicylic acid </w:t>
      </w:r>
      <w:r w:rsidRPr="00C417B6">
        <w:t>is currently listed in Schedule</w:t>
      </w:r>
      <w:r w:rsidR="00B43510">
        <w:t> </w:t>
      </w:r>
      <w:r>
        <w:t>3</w:t>
      </w:r>
      <w:r w:rsidRPr="00287ABB">
        <w:t xml:space="preserve"> </w:t>
      </w:r>
      <w:r w:rsidRPr="00C417B6">
        <w:t xml:space="preserve">of the Poisons Standard as </w:t>
      </w:r>
      <w:r>
        <w:t>below</w:t>
      </w:r>
      <w:r w:rsidR="00C74728">
        <w:t>.</w:t>
      </w:r>
    </w:p>
    <w:p w14:paraId="3085B678" w14:textId="328A3BF2" w:rsidR="003033EA" w:rsidRPr="003033EA" w:rsidRDefault="003033EA" w:rsidP="00025432">
      <w:pPr>
        <w:spacing w:before="120" w:line="240" w:lineRule="auto"/>
        <w:ind w:firstLine="555"/>
        <w:rPr>
          <w:rFonts w:ascii="Segoe UI" w:hAnsi="Segoe UI" w:cs="Segoe UI"/>
          <w:b/>
          <w:bCs/>
          <w:sz w:val="18"/>
          <w:szCs w:val="18"/>
          <w:lang w:eastAsia="en-AU"/>
        </w:rPr>
      </w:pPr>
      <w:r w:rsidRPr="003033EA">
        <w:rPr>
          <w:b/>
          <w:bCs/>
          <w:lang w:eastAsia="en-AU"/>
        </w:rPr>
        <w:t>Schedule 3</w:t>
      </w:r>
    </w:p>
    <w:p w14:paraId="14B5D5C4" w14:textId="091CD7AA" w:rsidR="003033EA" w:rsidRPr="003033EA" w:rsidRDefault="003033EA" w:rsidP="00025432">
      <w:pPr>
        <w:spacing w:before="120" w:line="240" w:lineRule="auto"/>
        <w:ind w:left="555"/>
        <w:rPr>
          <w:rFonts w:ascii="Segoe UI" w:hAnsi="Segoe UI" w:cs="Segoe UI"/>
          <w:sz w:val="18"/>
          <w:szCs w:val="18"/>
          <w:lang w:eastAsia="en-AU"/>
        </w:rPr>
      </w:pPr>
      <w:r w:rsidRPr="003033EA">
        <w:rPr>
          <w:lang w:eastAsia="en-AU"/>
        </w:rPr>
        <w:t>SALICYLIC ACID in preparations for dermal use except in preparations containing 40% or less of salicylic acid.</w:t>
      </w:r>
    </w:p>
    <w:p w14:paraId="551913A9" w14:textId="47E1F417" w:rsidR="00C74728" w:rsidRPr="00C74728" w:rsidRDefault="00C74728" w:rsidP="00025432">
      <w:pPr>
        <w:spacing w:before="120" w:line="240" w:lineRule="auto"/>
        <w:rPr>
          <w:b/>
          <w:bCs/>
          <w:lang w:eastAsia="en-AU"/>
        </w:rPr>
      </w:pPr>
      <w:r>
        <w:t>It is also included in Appendix H (</w:t>
      </w:r>
      <w:r w:rsidRPr="004711DA">
        <w:t>Schedule 3 medicines permitted to be advertised</w:t>
      </w:r>
      <w:r>
        <w:t xml:space="preserve">) and </w:t>
      </w:r>
      <w:r w:rsidRPr="007D6429">
        <w:t xml:space="preserve">cross-referenced to choline salicylate which is a Pharmacy medicine (Schedule 2) in preparations for </w:t>
      </w:r>
      <w:proofErr w:type="spellStart"/>
      <w:r w:rsidRPr="007D6429">
        <w:t>oromucosal</w:t>
      </w:r>
      <w:proofErr w:type="spellEnd"/>
      <w:r w:rsidRPr="007D6429">
        <w:t xml:space="preserve"> use.</w:t>
      </w:r>
    </w:p>
    <w:p w14:paraId="1ED66E36" w14:textId="3F7A6247" w:rsidR="003033EA" w:rsidRPr="003033EA" w:rsidRDefault="003033EA" w:rsidP="00025432">
      <w:pPr>
        <w:spacing w:before="120" w:line="240" w:lineRule="auto"/>
        <w:rPr>
          <w:rFonts w:ascii="Segoe UI" w:hAnsi="Segoe UI" w:cs="Segoe UI"/>
          <w:sz w:val="18"/>
          <w:szCs w:val="18"/>
          <w:lang w:eastAsia="en-AU"/>
        </w:rPr>
      </w:pPr>
      <w:r w:rsidRPr="003033EA">
        <w:rPr>
          <w:lang w:eastAsia="en-AU"/>
        </w:rPr>
        <w:t>Two options are being proposed to amend the scheduling of salicylic acid.</w:t>
      </w:r>
    </w:p>
    <w:p w14:paraId="44305002" w14:textId="66128CB3" w:rsidR="003033EA" w:rsidRPr="003033EA" w:rsidRDefault="003033EA" w:rsidP="00025432">
      <w:pPr>
        <w:spacing w:before="120" w:line="240" w:lineRule="auto"/>
        <w:rPr>
          <w:i/>
          <w:iCs/>
          <w:u w:val="single"/>
          <w:bdr w:val="none" w:sz="0" w:space="0" w:color="auto" w:frame="1"/>
          <w:shd w:val="clear" w:color="auto" w:fill="606060"/>
          <w:lang w:eastAsia="en-AU"/>
        </w:rPr>
      </w:pPr>
      <w:r w:rsidRPr="003033EA">
        <w:rPr>
          <w:i/>
          <w:iCs/>
          <w:u w:val="single"/>
          <w:lang w:eastAsia="en-AU"/>
        </w:rPr>
        <w:t>Option 1: Creation of a</w:t>
      </w:r>
      <w:r w:rsidR="00D8644D">
        <w:rPr>
          <w:i/>
          <w:iCs/>
          <w:u w:val="single"/>
          <w:lang w:eastAsia="en-AU"/>
        </w:rPr>
        <w:t xml:space="preserve"> </w:t>
      </w:r>
      <w:r w:rsidRPr="003033EA">
        <w:rPr>
          <w:i/>
          <w:iCs/>
          <w:u w:val="single"/>
          <w:lang w:eastAsia="en-AU"/>
        </w:rPr>
        <w:t>Poison</w:t>
      </w:r>
      <w:r w:rsidR="00D8644D">
        <w:rPr>
          <w:i/>
          <w:iCs/>
          <w:u w:val="single"/>
          <w:lang w:eastAsia="en-AU"/>
        </w:rPr>
        <w:t xml:space="preserve"> </w:t>
      </w:r>
      <w:r w:rsidRPr="003033EA">
        <w:rPr>
          <w:i/>
          <w:iCs/>
          <w:u w:val="single"/>
          <w:lang w:eastAsia="en-AU"/>
        </w:rPr>
        <w:t>(Schedule 6)</w:t>
      </w:r>
      <w:r w:rsidR="00D8644D">
        <w:rPr>
          <w:i/>
          <w:iCs/>
          <w:u w:val="single"/>
          <w:lang w:eastAsia="en-AU"/>
        </w:rPr>
        <w:t xml:space="preserve"> </w:t>
      </w:r>
      <w:r w:rsidRPr="003033EA">
        <w:rPr>
          <w:i/>
          <w:iCs/>
          <w:u w:val="single"/>
          <w:lang w:eastAsia="en-AU"/>
        </w:rPr>
        <w:t>entry</w:t>
      </w:r>
      <w:r w:rsidR="00D8644D">
        <w:rPr>
          <w:i/>
          <w:iCs/>
          <w:u w:val="single"/>
          <w:lang w:eastAsia="en-AU"/>
        </w:rPr>
        <w:t xml:space="preserve"> </w:t>
      </w:r>
      <w:r w:rsidRPr="003033EA">
        <w:rPr>
          <w:i/>
          <w:iCs/>
          <w:u w:val="single"/>
          <w:lang w:eastAsia="en-AU"/>
        </w:rPr>
        <w:t>for</w:t>
      </w:r>
      <w:r w:rsidR="00D8644D">
        <w:rPr>
          <w:i/>
          <w:iCs/>
          <w:u w:val="single"/>
          <w:lang w:eastAsia="en-AU"/>
        </w:rPr>
        <w:t xml:space="preserve"> </w:t>
      </w:r>
      <w:r w:rsidRPr="003033EA">
        <w:rPr>
          <w:i/>
          <w:iCs/>
          <w:u w:val="single"/>
          <w:lang w:eastAsia="en-AU"/>
        </w:rPr>
        <w:t>salicylic acid</w:t>
      </w:r>
      <w:r w:rsidR="00D8644D">
        <w:rPr>
          <w:i/>
          <w:iCs/>
          <w:u w:val="single"/>
          <w:lang w:eastAsia="en-AU"/>
        </w:rPr>
        <w:t xml:space="preserve"> </w:t>
      </w:r>
      <w:r w:rsidRPr="003033EA">
        <w:rPr>
          <w:i/>
          <w:iCs/>
          <w:u w:val="single"/>
          <w:lang w:eastAsia="en-AU"/>
        </w:rPr>
        <w:t>in</w:t>
      </w:r>
      <w:r w:rsidR="00D8644D">
        <w:rPr>
          <w:i/>
          <w:iCs/>
          <w:u w:val="single"/>
          <w:lang w:eastAsia="en-AU"/>
        </w:rPr>
        <w:t xml:space="preserve"> </w:t>
      </w:r>
      <w:r w:rsidRPr="003033EA">
        <w:rPr>
          <w:i/>
          <w:iCs/>
          <w:u w:val="single"/>
          <w:lang w:eastAsia="en-AU"/>
        </w:rPr>
        <w:t>dermal</w:t>
      </w:r>
      <w:r w:rsidR="00D8644D">
        <w:rPr>
          <w:i/>
          <w:iCs/>
          <w:u w:val="single"/>
          <w:lang w:eastAsia="en-AU"/>
        </w:rPr>
        <w:t xml:space="preserve"> </w:t>
      </w:r>
      <w:r w:rsidRPr="003033EA">
        <w:rPr>
          <w:i/>
          <w:iCs/>
          <w:u w:val="single"/>
          <w:lang w:eastAsia="en-AU"/>
        </w:rPr>
        <w:t>cosmetic</w:t>
      </w:r>
      <w:r w:rsidR="00D8644D">
        <w:rPr>
          <w:i/>
          <w:iCs/>
          <w:u w:val="single"/>
          <w:lang w:eastAsia="en-AU"/>
        </w:rPr>
        <w:t xml:space="preserve"> </w:t>
      </w:r>
      <w:r w:rsidRPr="003033EA">
        <w:rPr>
          <w:i/>
          <w:iCs/>
          <w:u w:val="single"/>
          <w:lang w:eastAsia="en-AU"/>
        </w:rPr>
        <w:t>preparations</w:t>
      </w:r>
    </w:p>
    <w:p w14:paraId="225AA47A" w14:textId="10D0C988" w:rsidR="003033EA" w:rsidRPr="003033EA" w:rsidRDefault="003033EA" w:rsidP="00025432">
      <w:pPr>
        <w:spacing w:before="120" w:line="240" w:lineRule="auto"/>
        <w:rPr>
          <w:rFonts w:ascii="Segoe UI" w:hAnsi="Segoe UI" w:cs="Segoe UI"/>
          <w:sz w:val="18"/>
          <w:szCs w:val="18"/>
          <w:lang w:eastAsia="en-AU"/>
        </w:rPr>
      </w:pPr>
      <w:r w:rsidRPr="003033EA">
        <w:rPr>
          <w:lang w:eastAsia="en-AU"/>
        </w:rPr>
        <w:t>Option 1</w:t>
      </w:r>
      <w:r w:rsidR="00D8644D">
        <w:rPr>
          <w:lang w:eastAsia="en-AU"/>
        </w:rPr>
        <w:t xml:space="preserve"> </w:t>
      </w:r>
      <w:r w:rsidRPr="003033EA">
        <w:rPr>
          <w:lang w:eastAsia="en-AU"/>
        </w:rPr>
        <w:t>would create a</w:t>
      </w:r>
      <w:r w:rsidR="00D8644D">
        <w:rPr>
          <w:lang w:eastAsia="en-AU"/>
        </w:rPr>
        <w:t xml:space="preserve"> </w:t>
      </w:r>
      <w:r w:rsidRPr="003033EA">
        <w:rPr>
          <w:lang w:eastAsia="en-AU"/>
        </w:rPr>
        <w:t>Schedule</w:t>
      </w:r>
      <w:r w:rsidR="00D8644D">
        <w:rPr>
          <w:lang w:eastAsia="en-AU"/>
        </w:rPr>
        <w:t xml:space="preserve"> </w:t>
      </w:r>
      <w:r w:rsidRPr="003033EA">
        <w:rPr>
          <w:lang w:eastAsia="en-AU"/>
        </w:rPr>
        <w:t>6 entry for</w:t>
      </w:r>
      <w:r w:rsidR="00D8644D">
        <w:rPr>
          <w:lang w:eastAsia="en-AU"/>
        </w:rPr>
        <w:t xml:space="preserve"> </w:t>
      </w:r>
      <w:r w:rsidRPr="003033EA">
        <w:rPr>
          <w:lang w:eastAsia="en-AU"/>
        </w:rPr>
        <w:t>dermal cosmetic preparations</w:t>
      </w:r>
      <w:r w:rsidR="00D8644D">
        <w:rPr>
          <w:lang w:eastAsia="en-AU"/>
        </w:rPr>
        <w:t xml:space="preserve"> </w:t>
      </w:r>
      <w:r w:rsidRPr="003033EA">
        <w:rPr>
          <w:lang w:eastAsia="en-AU"/>
        </w:rPr>
        <w:t>containing</w:t>
      </w:r>
      <w:r w:rsidR="00D8644D">
        <w:rPr>
          <w:lang w:eastAsia="en-AU"/>
        </w:rPr>
        <w:t xml:space="preserve"> </w:t>
      </w:r>
      <w:r w:rsidRPr="003033EA">
        <w:rPr>
          <w:lang w:eastAsia="en-AU"/>
        </w:rPr>
        <w:t>more than</w:t>
      </w:r>
      <w:r w:rsidR="00D8644D">
        <w:rPr>
          <w:lang w:eastAsia="en-AU"/>
        </w:rPr>
        <w:t xml:space="preserve"> </w:t>
      </w:r>
      <w:r w:rsidRPr="003033EA">
        <w:rPr>
          <w:lang w:eastAsia="en-AU"/>
        </w:rPr>
        <w:t>5% salicylic acid.</w:t>
      </w:r>
      <w:r w:rsidR="00D8644D">
        <w:rPr>
          <w:lang w:eastAsia="en-AU"/>
        </w:rPr>
        <w:t xml:space="preserve"> </w:t>
      </w:r>
      <w:r w:rsidRPr="003033EA">
        <w:rPr>
          <w:lang w:eastAsia="en-AU"/>
        </w:rPr>
        <w:t>Such</w:t>
      </w:r>
      <w:r w:rsidR="00D8644D">
        <w:rPr>
          <w:lang w:eastAsia="en-AU"/>
        </w:rPr>
        <w:t xml:space="preserve"> </w:t>
      </w:r>
      <w:r w:rsidRPr="003033EA">
        <w:rPr>
          <w:lang w:eastAsia="en-AU"/>
        </w:rPr>
        <w:t>Schedule 6 preparations</w:t>
      </w:r>
      <w:r w:rsidR="00D8644D">
        <w:rPr>
          <w:lang w:eastAsia="en-AU"/>
        </w:rPr>
        <w:t xml:space="preserve"> </w:t>
      </w:r>
      <w:r w:rsidRPr="003033EA">
        <w:rPr>
          <w:lang w:eastAsia="en-AU"/>
        </w:rPr>
        <w:t>will also require</w:t>
      </w:r>
      <w:r w:rsidR="00D8644D">
        <w:rPr>
          <w:lang w:eastAsia="en-AU"/>
        </w:rPr>
        <w:t xml:space="preserve"> </w:t>
      </w:r>
      <w:r w:rsidRPr="003033EA">
        <w:rPr>
          <w:lang w:eastAsia="en-AU"/>
        </w:rPr>
        <w:t>first aid instructions</w:t>
      </w:r>
      <w:r w:rsidR="00D8644D">
        <w:rPr>
          <w:lang w:eastAsia="en-AU"/>
        </w:rPr>
        <w:t xml:space="preserve"> </w:t>
      </w:r>
      <w:r w:rsidRPr="003033EA">
        <w:rPr>
          <w:lang w:eastAsia="en-AU"/>
        </w:rPr>
        <w:t>(Appendix F),</w:t>
      </w:r>
      <w:r w:rsidR="00D8644D">
        <w:rPr>
          <w:lang w:eastAsia="en-AU"/>
        </w:rPr>
        <w:t xml:space="preserve"> </w:t>
      </w:r>
      <w:r w:rsidRPr="003033EA">
        <w:rPr>
          <w:lang w:eastAsia="en-AU"/>
        </w:rPr>
        <w:t>and warning statements and general safety directions</w:t>
      </w:r>
      <w:r w:rsidR="00D8644D">
        <w:rPr>
          <w:lang w:eastAsia="en-AU"/>
        </w:rPr>
        <w:t xml:space="preserve"> </w:t>
      </w:r>
      <w:r w:rsidRPr="003033EA">
        <w:rPr>
          <w:lang w:eastAsia="en-AU"/>
        </w:rPr>
        <w:t>(Appendix E)</w:t>
      </w:r>
      <w:r w:rsidR="00D8644D">
        <w:rPr>
          <w:lang w:eastAsia="en-AU"/>
        </w:rPr>
        <w:t xml:space="preserve"> </w:t>
      </w:r>
      <w:r w:rsidRPr="003033EA">
        <w:rPr>
          <w:lang w:eastAsia="en-AU"/>
        </w:rPr>
        <w:t>pertaining to</w:t>
      </w:r>
      <w:r w:rsidR="00D8644D">
        <w:rPr>
          <w:lang w:eastAsia="en-AU"/>
        </w:rPr>
        <w:t xml:space="preserve"> </w:t>
      </w:r>
      <w:r w:rsidRPr="003033EA">
        <w:rPr>
          <w:lang w:eastAsia="en-AU"/>
        </w:rPr>
        <w:t>the risk</w:t>
      </w:r>
      <w:r w:rsidR="00D8644D">
        <w:rPr>
          <w:lang w:eastAsia="en-AU"/>
        </w:rPr>
        <w:t xml:space="preserve"> </w:t>
      </w:r>
      <w:r w:rsidR="00B43510">
        <w:rPr>
          <w:lang w:eastAsia="en-AU"/>
        </w:rPr>
        <w:t xml:space="preserve">of </w:t>
      </w:r>
      <w:r w:rsidRPr="003033EA">
        <w:rPr>
          <w:lang w:eastAsia="en-AU"/>
        </w:rPr>
        <w:t>eye exposure.</w:t>
      </w:r>
      <w:r w:rsidR="00D8644D">
        <w:rPr>
          <w:lang w:eastAsia="en-AU"/>
        </w:rPr>
        <w:t xml:space="preserve"> </w:t>
      </w:r>
      <w:r w:rsidRPr="003033EA">
        <w:rPr>
          <w:lang w:eastAsia="en-AU"/>
        </w:rPr>
        <w:t>The proposed amendments are as follows:</w:t>
      </w:r>
      <w:r w:rsidR="00E2375E">
        <w:rPr>
          <w:rStyle w:val="FootnoteReference"/>
          <w:lang w:eastAsia="en-AU"/>
        </w:rPr>
        <w:footnoteReference w:id="11"/>
      </w:r>
    </w:p>
    <w:p w14:paraId="0A648F33" w14:textId="5FB8B85E" w:rsidR="003033EA" w:rsidRPr="003033EA" w:rsidRDefault="003033EA" w:rsidP="00025432">
      <w:pPr>
        <w:spacing w:before="120" w:line="240" w:lineRule="auto"/>
        <w:ind w:firstLine="555"/>
        <w:rPr>
          <w:b/>
          <w:bCs/>
          <w:lang w:eastAsia="en-AU"/>
        </w:rPr>
      </w:pPr>
      <w:r w:rsidRPr="003033EA">
        <w:rPr>
          <w:b/>
          <w:bCs/>
          <w:lang w:eastAsia="en-AU"/>
        </w:rPr>
        <w:t>Schedule 3 – Amend Entry </w:t>
      </w:r>
    </w:p>
    <w:p w14:paraId="4ED657D1" w14:textId="4D9ECA03" w:rsidR="003033EA" w:rsidRPr="003033EA" w:rsidRDefault="003033EA" w:rsidP="00025432">
      <w:pPr>
        <w:spacing w:before="120" w:line="240" w:lineRule="auto"/>
        <w:ind w:left="720"/>
        <w:textAlignment w:val="baseline"/>
        <w:rPr>
          <w:rFonts w:ascii="Segoe UI" w:eastAsia="Times New Roman" w:hAnsi="Segoe UI" w:cs="Segoe UI"/>
          <w:sz w:val="18"/>
          <w:szCs w:val="18"/>
          <w:lang w:eastAsia="en-AU"/>
        </w:rPr>
      </w:pPr>
      <w:r w:rsidRPr="003033EA">
        <w:rPr>
          <w:rFonts w:eastAsia="Times New Roman" w:cs="Arial"/>
          <w:lang w:eastAsia="en-AU"/>
        </w:rPr>
        <w:t>SALICYLIC ACID in preparations for dermal</w:t>
      </w:r>
      <w:r w:rsidR="00C74728">
        <w:rPr>
          <w:rFonts w:eastAsia="Times New Roman" w:cs="Arial"/>
          <w:lang w:eastAsia="en-AU"/>
        </w:rPr>
        <w:t xml:space="preserve"> </w:t>
      </w:r>
      <w:r w:rsidRPr="003033EA">
        <w:rPr>
          <w:rFonts w:eastAsia="Times New Roman" w:cs="Arial"/>
          <w:color w:val="00B050"/>
          <w:lang w:eastAsia="en-AU"/>
        </w:rPr>
        <w:t>therapeutic</w:t>
      </w:r>
      <w:r w:rsidR="00C74728">
        <w:rPr>
          <w:rFonts w:eastAsia="Times New Roman" w:cs="Arial"/>
          <w:color w:val="00B050"/>
          <w:lang w:eastAsia="en-AU"/>
        </w:rPr>
        <w:t xml:space="preserve"> </w:t>
      </w:r>
      <w:r w:rsidRPr="003033EA">
        <w:rPr>
          <w:rFonts w:eastAsia="Times New Roman" w:cs="Arial"/>
          <w:lang w:eastAsia="en-AU"/>
        </w:rPr>
        <w:t>use</w:t>
      </w:r>
      <w:r w:rsidR="00B43510">
        <w:rPr>
          <w:rFonts w:eastAsia="Times New Roman" w:cs="Arial"/>
          <w:lang w:eastAsia="en-AU"/>
        </w:rPr>
        <w:t xml:space="preserve"> </w:t>
      </w:r>
      <w:r w:rsidRPr="003033EA">
        <w:rPr>
          <w:rFonts w:eastAsia="Times New Roman" w:cs="Arial"/>
          <w:b/>
          <w:bCs/>
          <w:lang w:eastAsia="en-AU"/>
        </w:rPr>
        <w:t>except</w:t>
      </w:r>
      <w:r w:rsidR="00B43510">
        <w:rPr>
          <w:rFonts w:eastAsia="Times New Roman" w:cs="Arial"/>
          <w:lang w:eastAsia="en-AU"/>
        </w:rPr>
        <w:t xml:space="preserve"> </w:t>
      </w:r>
      <w:r w:rsidRPr="003033EA">
        <w:rPr>
          <w:rFonts w:eastAsia="Times New Roman" w:cs="Arial"/>
          <w:lang w:eastAsia="en-AU"/>
        </w:rPr>
        <w:t>in</w:t>
      </w:r>
      <w:r>
        <w:rPr>
          <w:rFonts w:eastAsia="Times New Roman" w:cs="Arial"/>
          <w:lang w:eastAsia="en-AU"/>
        </w:rPr>
        <w:t xml:space="preserve"> </w:t>
      </w:r>
      <w:r w:rsidRPr="003033EA">
        <w:rPr>
          <w:rFonts w:eastAsia="Times New Roman" w:cs="Arial"/>
          <w:lang w:eastAsia="en-AU"/>
        </w:rPr>
        <w:t>preparations</w:t>
      </w:r>
      <w:r w:rsidR="00B43510">
        <w:rPr>
          <w:rFonts w:eastAsia="Times New Roman" w:cs="Arial"/>
          <w:lang w:eastAsia="en-AU"/>
        </w:rPr>
        <w:t xml:space="preserve"> </w:t>
      </w:r>
      <w:r w:rsidRPr="003033EA">
        <w:rPr>
          <w:rFonts w:eastAsia="Times New Roman" w:cs="Arial"/>
          <w:lang w:eastAsia="en-AU"/>
        </w:rPr>
        <w:t>containing</w:t>
      </w:r>
      <w:r w:rsidR="00B43510">
        <w:rPr>
          <w:rFonts w:eastAsia="Times New Roman" w:cs="Arial"/>
          <w:lang w:eastAsia="en-AU"/>
        </w:rPr>
        <w:t xml:space="preserve"> </w:t>
      </w:r>
      <w:r w:rsidRPr="003033EA">
        <w:rPr>
          <w:rFonts w:eastAsia="Times New Roman" w:cs="Arial"/>
          <w:lang w:eastAsia="en-AU"/>
        </w:rPr>
        <w:t>40% or less of salicylic acid.</w:t>
      </w:r>
    </w:p>
    <w:p w14:paraId="25C618E0" w14:textId="77777777" w:rsidR="00E2375E" w:rsidRDefault="00E2375E">
      <w:pPr>
        <w:rPr>
          <w:b/>
          <w:bCs/>
          <w:lang w:eastAsia="en-AU"/>
        </w:rPr>
      </w:pPr>
      <w:r>
        <w:rPr>
          <w:b/>
          <w:bCs/>
          <w:lang w:eastAsia="en-AU"/>
        </w:rPr>
        <w:br w:type="page"/>
      </w:r>
    </w:p>
    <w:p w14:paraId="0FF3C0EC" w14:textId="6FE4560D" w:rsidR="003033EA" w:rsidRPr="003033EA" w:rsidRDefault="003033EA" w:rsidP="00025432">
      <w:pPr>
        <w:spacing w:before="120" w:line="240" w:lineRule="auto"/>
        <w:ind w:firstLine="555"/>
        <w:rPr>
          <w:b/>
          <w:bCs/>
          <w:lang w:eastAsia="en-AU"/>
        </w:rPr>
      </w:pPr>
      <w:r w:rsidRPr="003033EA">
        <w:rPr>
          <w:b/>
          <w:bCs/>
          <w:lang w:eastAsia="en-AU"/>
        </w:rPr>
        <w:lastRenderedPageBreak/>
        <w:t>Schedule 6 – New Entry </w:t>
      </w:r>
    </w:p>
    <w:p w14:paraId="781F3338" w14:textId="33207BE6" w:rsidR="00025432" w:rsidRPr="00025432" w:rsidRDefault="003033EA" w:rsidP="00025432">
      <w:pPr>
        <w:spacing w:before="120" w:line="240" w:lineRule="auto"/>
        <w:ind w:left="720"/>
        <w:textAlignment w:val="baseline"/>
        <w:rPr>
          <w:rFonts w:ascii="Segoe UI" w:eastAsia="Times New Roman" w:hAnsi="Segoe UI" w:cs="Segoe UI"/>
          <w:sz w:val="18"/>
          <w:szCs w:val="18"/>
          <w:lang w:eastAsia="en-AU"/>
        </w:rPr>
      </w:pPr>
      <w:r w:rsidRPr="003033EA">
        <w:rPr>
          <w:rFonts w:eastAsia="Times New Roman" w:cs="Arial"/>
          <w:color w:val="00B050"/>
          <w:lang w:eastAsia="en-AU"/>
        </w:rPr>
        <w:t>SALICYLIC ACID</w:t>
      </w:r>
      <w:r w:rsidR="00D8644D">
        <w:rPr>
          <w:rFonts w:eastAsia="Times New Roman" w:cs="Arial"/>
          <w:color w:val="00B050"/>
          <w:lang w:eastAsia="en-AU"/>
        </w:rPr>
        <w:t xml:space="preserve"> </w:t>
      </w:r>
      <w:r w:rsidRPr="003033EA">
        <w:rPr>
          <w:rFonts w:eastAsia="Times New Roman" w:cs="Arial"/>
          <w:color w:val="00B050"/>
          <w:lang w:eastAsia="en-AU"/>
        </w:rPr>
        <w:t>in preparations for dermal cosmetic use</w:t>
      </w:r>
      <w:r w:rsidR="00C74728">
        <w:rPr>
          <w:rFonts w:eastAsia="Times New Roman" w:cs="Arial"/>
          <w:color w:val="00B050"/>
          <w:lang w:eastAsia="en-AU"/>
        </w:rPr>
        <w:t xml:space="preserve"> </w:t>
      </w:r>
      <w:r w:rsidRPr="003033EA">
        <w:rPr>
          <w:rFonts w:eastAsia="Times New Roman" w:cs="Arial"/>
          <w:b/>
          <w:bCs/>
          <w:color w:val="00B050"/>
          <w:lang w:eastAsia="en-AU"/>
        </w:rPr>
        <w:t>except</w:t>
      </w:r>
      <w:r w:rsidR="00C74728">
        <w:rPr>
          <w:rFonts w:eastAsia="Times New Roman" w:cs="Arial"/>
          <w:color w:val="00B050"/>
          <w:lang w:eastAsia="en-AU"/>
        </w:rPr>
        <w:t xml:space="preserve"> </w:t>
      </w:r>
      <w:r w:rsidRPr="003033EA">
        <w:rPr>
          <w:rFonts w:eastAsia="Times New Roman" w:cs="Arial"/>
          <w:color w:val="00B050"/>
          <w:lang w:eastAsia="en-AU"/>
        </w:rPr>
        <w:t>in preparations</w:t>
      </w:r>
      <w:r w:rsidR="00B43510">
        <w:rPr>
          <w:rFonts w:eastAsia="Times New Roman" w:cs="Arial"/>
          <w:color w:val="00B050"/>
          <w:lang w:eastAsia="en-AU"/>
        </w:rPr>
        <w:t xml:space="preserve"> </w:t>
      </w:r>
      <w:r w:rsidRPr="003033EA">
        <w:rPr>
          <w:rFonts w:eastAsia="Times New Roman" w:cs="Arial"/>
          <w:color w:val="00B050"/>
          <w:lang w:eastAsia="en-AU"/>
        </w:rPr>
        <w:t>containing</w:t>
      </w:r>
      <w:r w:rsidR="00B43510">
        <w:rPr>
          <w:rFonts w:eastAsia="Times New Roman" w:cs="Arial"/>
          <w:color w:val="00B050"/>
          <w:lang w:eastAsia="en-AU"/>
        </w:rPr>
        <w:t xml:space="preserve"> </w:t>
      </w:r>
      <w:r w:rsidRPr="003033EA">
        <w:rPr>
          <w:rFonts w:eastAsia="Times New Roman" w:cs="Arial"/>
          <w:color w:val="00B050"/>
          <w:lang w:eastAsia="en-AU"/>
        </w:rPr>
        <w:t>5% or less of salicylic acid.</w:t>
      </w:r>
    </w:p>
    <w:p w14:paraId="5CC20D4B" w14:textId="00F6FF44" w:rsidR="003033EA" w:rsidRPr="003033EA" w:rsidRDefault="003033EA" w:rsidP="003033EA">
      <w:pPr>
        <w:ind w:firstLine="555"/>
        <w:rPr>
          <w:b/>
          <w:bCs/>
          <w:lang w:eastAsia="en-AU"/>
        </w:rPr>
      </w:pPr>
      <w:r w:rsidRPr="003033EA">
        <w:rPr>
          <w:b/>
          <w:bCs/>
          <w:lang w:eastAsia="en-AU"/>
        </w:rPr>
        <w:t>Appendix E, clause 3 – First aid instructions for poisons</w:t>
      </w:r>
      <w:r w:rsidR="00D8644D">
        <w:rPr>
          <w:b/>
          <w:bCs/>
          <w:lang w:eastAsia="en-AU"/>
        </w:rPr>
        <w:t xml:space="preserve"> </w:t>
      </w:r>
      <w:r w:rsidRPr="003033EA">
        <w:rPr>
          <w:b/>
          <w:bCs/>
          <w:lang w:eastAsia="en-AU"/>
        </w:rPr>
        <w:t>– New Entry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2955"/>
        <w:gridCol w:w="5280"/>
      </w:tblGrid>
      <w:tr w:rsidR="003033EA" w:rsidRPr="003033EA" w14:paraId="3FA22557" w14:textId="77777777" w:rsidTr="001D766B">
        <w:trPr>
          <w:trHeight w:val="630"/>
        </w:trPr>
        <w:tc>
          <w:tcPr>
            <w:tcW w:w="780"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13" w:type="dxa"/>
              <w:left w:w="113" w:type="dxa"/>
              <w:bottom w:w="113" w:type="dxa"/>
              <w:right w:w="113" w:type="dxa"/>
            </w:tcMar>
            <w:vAlign w:val="center"/>
            <w:hideMark/>
          </w:tcPr>
          <w:p w14:paraId="1B84CD9D" w14:textId="4AED34D4"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Item</w:t>
            </w:r>
          </w:p>
        </w:tc>
        <w:tc>
          <w:tcPr>
            <w:tcW w:w="2955"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13" w:type="dxa"/>
              <w:left w:w="113" w:type="dxa"/>
              <w:bottom w:w="113" w:type="dxa"/>
              <w:right w:w="113" w:type="dxa"/>
            </w:tcMar>
            <w:vAlign w:val="center"/>
            <w:hideMark/>
          </w:tcPr>
          <w:p w14:paraId="50D0D1EE" w14:textId="0910743F"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Poison</w:t>
            </w:r>
          </w:p>
        </w:tc>
        <w:tc>
          <w:tcPr>
            <w:tcW w:w="5280"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13" w:type="dxa"/>
              <w:left w:w="113" w:type="dxa"/>
              <w:bottom w:w="113" w:type="dxa"/>
              <w:right w:w="113" w:type="dxa"/>
            </w:tcMar>
            <w:vAlign w:val="center"/>
            <w:hideMark/>
          </w:tcPr>
          <w:p w14:paraId="761285C1" w14:textId="57485673"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Statement code (and statement)</w:t>
            </w:r>
          </w:p>
        </w:tc>
      </w:tr>
      <w:tr w:rsidR="003033EA" w:rsidRPr="003033EA" w14:paraId="7F530EF3" w14:textId="77777777" w:rsidTr="00C74728">
        <w:trPr>
          <w:trHeight w:val="270"/>
        </w:trPr>
        <w:tc>
          <w:tcPr>
            <w:tcW w:w="780" w:type="dxa"/>
            <w:vMerge w:val="restar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4A7F478E" w14:textId="61F4156A"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308</w:t>
            </w:r>
          </w:p>
        </w:tc>
        <w:tc>
          <w:tcPr>
            <w:tcW w:w="2955" w:type="dxa"/>
            <w:vMerge w:val="restar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0FE90155" w14:textId="36B1E6E8"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SALICYLIC ACID and its salts in preparations for dermal cosmetic use</w:t>
            </w:r>
            <w:r w:rsidR="00C74728">
              <w:rPr>
                <w:rFonts w:eastAsia="Times New Roman" w:cs="Arial"/>
                <w:color w:val="00B050"/>
                <w:lang w:eastAsia="en-AU"/>
              </w:rPr>
              <w:t xml:space="preserve"> </w:t>
            </w:r>
            <w:r w:rsidRPr="003033EA">
              <w:rPr>
                <w:rFonts w:eastAsia="Times New Roman" w:cs="Arial"/>
                <w:color w:val="00B050"/>
                <w:lang w:eastAsia="en-AU"/>
              </w:rPr>
              <w:t>containing</w:t>
            </w:r>
            <w:r w:rsidR="00C74728">
              <w:rPr>
                <w:rFonts w:eastAsia="Times New Roman" w:cs="Arial"/>
                <w:color w:val="00B050"/>
                <w:lang w:eastAsia="en-AU"/>
              </w:rPr>
              <w:t xml:space="preserve"> </w:t>
            </w:r>
            <w:r w:rsidRPr="003033EA">
              <w:rPr>
                <w:rFonts w:eastAsia="Times New Roman" w:cs="Arial"/>
                <w:color w:val="00B050"/>
                <w:lang w:eastAsia="en-AU"/>
              </w:rPr>
              <w:t>more than 5% salicylic acid.</w:t>
            </w:r>
          </w:p>
        </w:tc>
        <w:tc>
          <w:tcPr>
            <w:tcW w:w="5280" w:type="dxa"/>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78E4DF2F" w14:textId="634A76A6"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A – For advice, contact a Poisons Information Centre (e.g. phone Australia 13 11 26; New Zealand 0800 764 766) or a doctor (at once).</w:t>
            </w:r>
          </w:p>
        </w:tc>
      </w:tr>
      <w:tr w:rsidR="003033EA" w:rsidRPr="003033EA" w14:paraId="3C2F83E0" w14:textId="77777777" w:rsidTr="00C74728">
        <w:trPr>
          <w:trHeight w:val="405"/>
        </w:trPr>
        <w:tc>
          <w:tcPr>
            <w:tcW w:w="0" w:type="auto"/>
            <w:vMerge/>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30716A4D" w14:textId="77777777" w:rsidR="003033EA" w:rsidRPr="003033EA" w:rsidRDefault="003033EA" w:rsidP="00E2375E">
            <w:pPr>
              <w:spacing w:before="120" w:line="240" w:lineRule="auto"/>
              <w:rPr>
                <w:rFonts w:ascii="Times New Roman" w:eastAsia="Times New Roman" w:hAnsi="Times New Roman" w:cs="Times New Roman"/>
                <w:sz w:val="24"/>
                <w:szCs w:val="24"/>
                <w:lang w:eastAsia="en-AU"/>
              </w:rPr>
            </w:pPr>
          </w:p>
        </w:tc>
        <w:tc>
          <w:tcPr>
            <w:tcW w:w="0" w:type="auto"/>
            <w:vMerge/>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0A07E6B7" w14:textId="77777777" w:rsidR="003033EA" w:rsidRPr="003033EA" w:rsidRDefault="003033EA" w:rsidP="00E2375E">
            <w:pPr>
              <w:spacing w:before="120" w:line="240" w:lineRule="auto"/>
              <w:rPr>
                <w:rFonts w:ascii="Times New Roman" w:eastAsia="Times New Roman" w:hAnsi="Times New Roman" w:cs="Times New Roman"/>
                <w:sz w:val="24"/>
                <w:szCs w:val="24"/>
                <w:lang w:eastAsia="en-AU"/>
              </w:rPr>
            </w:pPr>
          </w:p>
        </w:tc>
        <w:tc>
          <w:tcPr>
            <w:tcW w:w="5280" w:type="dxa"/>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6C2AACAE" w14:textId="5F76236E"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E2 – If in eyes, hold eyelids apart and flush the eye continuously with running water. Continue flushing until advised</w:t>
            </w:r>
            <w:r w:rsidR="00C74728">
              <w:rPr>
                <w:rFonts w:eastAsia="Times New Roman" w:cs="Arial"/>
                <w:color w:val="00B050"/>
                <w:lang w:eastAsia="en-AU"/>
              </w:rPr>
              <w:t xml:space="preserve"> </w:t>
            </w:r>
            <w:proofErr w:type="gramStart"/>
            <w:r w:rsidRPr="003033EA">
              <w:rPr>
                <w:rFonts w:eastAsia="Times New Roman" w:cs="Arial"/>
                <w:color w:val="00B050"/>
                <w:lang w:eastAsia="en-AU"/>
              </w:rPr>
              <w:t>to stop</w:t>
            </w:r>
            <w:proofErr w:type="gramEnd"/>
            <w:r w:rsidR="00C74728">
              <w:rPr>
                <w:rFonts w:eastAsia="Times New Roman" w:cs="Arial"/>
                <w:color w:val="00B050"/>
                <w:lang w:eastAsia="en-AU"/>
              </w:rPr>
              <w:t xml:space="preserve"> </w:t>
            </w:r>
            <w:r w:rsidRPr="003033EA">
              <w:rPr>
                <w:rFonts w:eastAsia="Times New Roman" w:cs="Arial"/>
                <w:color w:val="00B050"/>
                <w:lang w:eastAsia="en-AU"/>
              </w:rPr>
              <w:t>by a Poisons Information Centre (e.g. phone Australia 13 11 26; New Zealand 0800 764 766) or a doctor, or for at least 15 minutes.</w:t>
            </w:r>
          </w:p>
        </w:tc>
      </w:tr>
      <w:tr w:rsidR="003033EA" w:rsidRPr="003033EA" w14:paraId="7EA6CBB0" w14:textId="77777777" w:rsidTr="00C74728">
        <w:trPr>
          <w:trHeight w:val="390"/>
        </w:trPr>
        <w:tc>
          <w:tcPr>
            <w:tcW w:w="0" w:type="auto"/>
            <w:vMerge/>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05E2FB2D" w14:textId="77777777" w:rsidR="003033EA" w:rsidRPr="003033EA" w:rsidRDefault="003033EA" w:rsidP="00E2375E">
            <w:pPr>
              <w:spacing w:before="120" w:line="240" w:lineRule="auto"/>
              <w:rPr>
                <w:rFonts w:ascii="Times New Roman" w:eastAsia="Times New Roman" w:hAnsi="Times New Roman" w:cs="Times New Roman"/>
                <w:sz w:val="24"/>
                <w:szCs w:val="24"/>
                <w:lang w:eastAsia="en-AU"/>
              </w:rPr>
            </w:pPr>
          </w:p>
        </w:tc>
        <w:tc>
          <w:tcPr>
            <w:tcW w:w="0" w:type="auto"/>
            <w:vMerge/>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6FCA95CE" w14:textId="77777777" w:rsidR="003033EA" w:rsidRPr="003033EA" w:rsidRDefault="003033EA" w:rsidP="00E2375E">
            <w:pPr>
              <w:spacing w:before="120" w:line="240" w:lineRule="auto"/>
              <w:rPr>
                <w:rFonts w:ascii="Times New Roman" w:eastAsia="Times New Roman" w:hAnsi="Times New Roman" w:cs="Times New Roman"/>
                <w:sz w:val="24"/>
                <w:szCs w:val="24"/>
                <w:lang w:eastAsia="en-AU"/>
              </w:rPr>
            </w:pPr>
          </w:p>
        </w:tc>
        <w:tc>
          <w:tcPr>
            <w:tcW w:w="5280" w:type="dxa"/>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49E20356" w14:textId="0D6CED49"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G3 – If swallowed, do NOT induce vomiting.</w:t>
            </w:r>
          </w:p>
        </w:tc>
      </w:tr>
    </w:tbl>
    <w:p w14:paraId="7E0BF0AE" w14:textId="77777777" w:rsidR="001D766B" w:rsidRDefault="001D766B" w:rsidP="001D766B">
      <w:pPr>
        <w:spacing w:after="0" w:line="240" w:lineRule="auto"/>
        <w:ind w:left="720"/>
        <w:textAlignment w:val="baseline"/>
        <w:rPr>
          <w:rFonts w:eastAsia="Times New Roman" w:cs="Arial"/>
          <w:bdr w:val="none" w:sz="0" w:space="0" w:color="auto" w:frame="1"/>
          <w:shd w:val="clear" w:color="auto" w:fill="606060"/>
          <w:lang w:eastAsia="en-AU"/>
        </w:rPr>
      </w:pPr>
    </w:p>
    <w:p w14:paraId="2C8C0566" w14:textId="0316290D" w:rsidR="001D766B" w:rsidRPr="001D766B" w:rsidRDefault="003033EA" w:rsidP="001D766B">
      <w:pPr>
        <w:ind w:firstLine="555"/>
        <w:rPr>
          <w:rFonts w:eastAsia="Times New Roman" w:cs="Arial"/>
          <w:b/>
          <w:bCs/>
          <w:lang w:eastAsia="en-AU"/>
        </w:rPr>
      </w:pPr>
      <w:r w:rsidRPr="003033EA">
        <w:rPr>
          <w:rFonts w:eastAsia="Times New Roman" w:cs="Arial"/>
          <w:b/>
          <w:bCs/>
          <w:lang w:eastAsia="en-AU"/>
        </w:rPr>
        <w:t>Appendix F, clause 4 – Warning statements and safety directions – New Entry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
        <w:gridCol w:w="2790"/>
        <w:gridCol w:w="2520"/>
        <w:gridCol w:w="3030"/>
      </w:tblGrid>
      <w:tr w:rsidR="003033EA" w:rsidRPr="003033EA" w14:paraId="48C95672" w14:textId="77777777" w:rsidTr="001D766B">
        <w:trPr>
          <w:trHeight w:val="285"/>
        </w:trPr>
        <w:tc>
          <w:tcPr>
            <w:tcW w:w="675"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tcMar>
              <w:top w:w="113" w:type="dxa"/>
              <w:left w:w="113" w:type="dxa"/>
              <w:bottom w:w="113" w:type="dxa"/>
              <w:right w:w="113" w:type="dxa"/>
            </w:tcMar>
            <w:vAlign w:val="center"/>
            <w:hideMark/>
          </w:tcPr>
          <w:p w14:paraId="7D11710A" w14:textId="77777777"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Item </w:t>
            </w:r>
          </w:p>
        </w:tc>
        <w:tc>
          <w:tcPr>
            <w:tcW w:w="2790"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tcMar>
              <w:top w:w="113" w:type="dxa"/>
              <w:left w:w="113" w:type="dxa"/>
              <w:bottom w:w="113" w:type="dxa"/>
              <w:right w:w="113" w:type="dxa"/>
            </w:tcMar>
            <w:vAlign w:val="center"/>
            <w:hideMark/>
          </w:tcPr>
          <w:p w14:paraId="212A814C" w14:textId="77777777"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Poison </w:t>
            </w:r>
          </w:p>
        </w:tc>
        <w:tc>
          <w:tcPr>
            <w:tcW w:w="2520"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tcMar>
              <w:top w:w="113" w:type="dxa"/>
              <w:left w:w="113" w:type="dxa"/>
              <w:bottom w:w="113" w:type="dxa"/>
              <w:right w:w="113" w:type="dxa"/>
            </w:tcMar>
            <w:vAlign w:val="center"/>
            <w:hideMark/>
          </w:tcPr>
          <w:p w14:paraId="76AF1367" w14:textId="77777777"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Warning statement item number and statement  </w:t>
            </w:r>
          </w:p>
        </w:tc>
        <w:tc>
          <w:tcPr>
            <w:tcW w:w="3030" w:type="dxa"/>
            <w:tcBorders>
              <w:top w:val="single" w:sz="6" w:space="0" w:color="auto"/>
              <w:left w:val="single" w:sz="6" w:space="0" w:color="auto"/>
              <w:bottom w:val="single" w:sz="6" w:space="0" w:color="auto"/>
              <w:right w:val="single" w:sz="6" w:space="0" w:color="auto"/>
            </w:tcBorders>
            <w:shd w:val="clear" w:color="auto" w:fill="B4C6E7" w:themeFill="accent1" w:themeFillTint="66"/>
            <w:noWrap/>
            <w:tcMar>
              <w:top w:w="113" w:type="dxa"/>
              <w:left w:w="113" w:type="dxa"/>
              <w:bottom w:w="113" w:type="dxa"/>
              <w:right w:w="113" w:type="dxa"/>
            </w:tcMar>
            <w:vAlign w:val="center"/>
            <w:hideMark/>
          </w:tcPr>
          <w:p w14:paraId="35884B9B" w14:textId="77777777"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Safety direction item number and statement  </w:t>
            </w:r>
          </w:p>
        </w:tc>
      </w:tr>
      <w:tr w:rsidR="003033EA" w:rsidRPr="003033EA" w14:paraId="00A65DF6" w14:textId="77777777" w:rsidTr="00C74728">
        <w:trPr>
          <w:trHeight w:val="1366"/>
        </w:trPr>
        <w:tc>
          <w:tcPr>
            <w:tcW w:w="675" w:type="dxa"/>
            <w:tcBorders>
              <w:top w:val="single" w:sz="6" w:space="0" w:color="auto"/>
              <w:left w:val="single" w:sz="6" w:space="0" w:color="auto"/>
              <w:bottom w:val="single" w:sz="6" w:space="0" w:color="auto"/>
              <w:right w:val="single" w:sz="6" w:space="0" w:color="auto"/>
            </w:tcBorders>
            <w:noWrap/>
            <w:tcMar>
              <w:top w:w="113" w:type="dxa"/>
              <w:left w:w="113" w:type="dxa"/>
              <w:bottom w:w="113" w:type="dxa"/>
              <w:right w:w="113" w:type="dxa"/>
            </w:tcMar>
            <w:hideMark/>
          </w:tcPr>
          <w:p w14:paraId="6F0624C9" w14:textId="18941E1F"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308</w:t>
            </w:r>
          </w:p>
        </w:tc>
        <w:tc>
          <w:tcPr>
            <w:tcW w:w="2790" w:type="dxa"/>
            <w:tcBorders>
              <w:top w:val="single" w:sz="6" w:space="0" w:color="auto"/>
              <w:left w:val="single" w:sz="6" w:space="0" w:color="auto"/>
              <w:bottom w:val="single" w:sz="6" w:space="0" w:color="auto"/>
              <w:right w:val="single" w:sz="6" w:space="0" w:color="auto"/>
            </w:tcBorders>
            <w:noWrap/>
            <w:tcMar>
              <w:top w:w="113" w:type="dxa"/>
              <w:left w:w="113" w:type="dxa"/>
              <w:bottom w:w="113" w:type="dxa"/>
              <w:right w:w="113" w:type="dxa"/>
            </w:tcMar>
            <w:hideMark/>
          </w:tcPr>
          <w:p w14:paraId="59BE16E6" w14:textId="03E7BF59"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SALICYLIC ACID and its salts in preparations for dermal cosmetic use containing more than 5% salicylic acid.</w:t>
            </w:r>
          </w:p>
        </w:tc>
        <w:tc>
          <w:tcPr>
            <w:tcW w:w="2520" w:type="dxa"/>
            <w:tcBorders>
              <w:top w:val="single" w:sz="6" w:space="0" w:color="auto"/>
              <w:left w:val="single" w:sz="6" w:space="0" w:color="auto"/>
              <w:bottom w:val="single" w:sz="6" w:space="0" w:color="auto"/>
              <w:right w:val="single" w:sz="6" w:space="0" w:color="auto"/>
            </w:tcBorders>
            <w:noWrap/>
            <w:tcMar>
              <w:top w:w="113" w:type="dxa"/>
              <w:left w:w="113" w:type="dxa"/>
              <w:bottom w:w="113" w:type="dxa"/>
              <w:right w:w="113" w:type="dxa"/>
            </w:tcMar>
            <w:hideMark/>
          </w:tcPr>
          <w:p w14:paraId="6C815456" w14:textId="6CA462EA"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79 – will irritate eyes</w:t>
            </w:r>
          </w:p>
        </w:tc>
        <w:tc>
          <w:tcPr>
            <w:tcW w:w="3030" w:type="dxa"/>
            <w:tcBorders>
              <w:top w:val="single" w:sz="6" w:space="0" w:color="auto"/>
              <w:left w:val="single" w:sz="6" w:space="0" w:color="auto"/>
              <w:bottom w:val="single" w:sz="6" w:space="0" w:color="auto"/>
              <w:right w:val="single" w:sz="6" w:space="0" w:color="auto"/>
            </w:tcBorders>
            <w:noWrap/>
            <w:tcMar>
              <w:top w:w="113" w:type="dxa"/>
              <w:left w:w="113" w:type="dxa"/>
              <w:bottom w:w="113" w:type="dxa"/>
              <w:right w:w="113" w:type="dxa"/>
            </w:tcMar>
            <w:hideMark/>
          </w:tcPr>
          <w:p w14:paraId="227BC0F6" w14:textId="1648E90B"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1 –</w:t>
            </w:r>
            <w:r w:rsidR="000A0C08">
              <w:rPr>
                <w:rFonts w:eastAsia="Times New Roman" w:cs="Arial"/>
                <w:color w:val="00B050"/>
                <w:lang w:eastAsia="en-AU"/>
              </w:rPr>
              <w:t xml:space="preserve"> </w:t>
            </w:r>
            <w:r w:rsidRPr="003033EA">
              <w:rPr>
                <w:rFonts w:eastAsia="Times New Roman" w:cs="Arial"/>
                <w:color w:val="00B050"/>
                <w:lang w:eastAsia="en-AU"/>
              </w:rPr>
              <w:t>Avoid contact with eyes</w:t>
            </w:r>
          </w:p>
        </w:tc>
      </w:tr>
    </w:tbl>
    <w:p w14:paraId="096F4983" w14:textId="1A48E228" w:rsidR="003033EA" w:rsidRPr="003033EA" w:rsidRDefault="003033EA" w:rsidP="003033EA">
      <w:pPr>
        <w:spacing w:after="0" w:line="240" w:lineRule="auto"/>
        <w:textAlignment w:val="baseline"/>
        <w:rPr>
          <w:rFonts w:ascii="Segoe UI" w:eastAsia="Times New Roman" w:hAnsi="Segoe UI" w:cs="Segoe UI"/>
          <w:sz w:val="18"/>
          <w:szCs w:val="18"/>
          <w:lang w:eastAsia="en-AU"/>
        </w:rPr>
      </w:pPr>
    </w:p>
    <w:p w14:paraId="0D63E157" w14:textId="7457B3B2" w:rsidR="003033EA" w:rsidRPr="003033EA" w:rsidRDefault="003033EA" w:rsidP="00E2375E">
      <w:pPr>
        <w:spacing w:before="120" w:line="240" w:lineRule="auto"/>
        <w:textAlignment w:val="baseline"/>
        <w:rPr>
          <w:rFonts w:ascii="Segoe UI" w:eastAsia="Times New Roman" w:hAnsi="Segoe UI" w:cs="Segoe UI"/>
          <w:sz w:val="18"/>
          <w:szCs w:val="18"/>
          <w:lang w:eastAsia="en-AU"/>
        </w:rPr>
      </w:pPr>
      <w:r w:rsidRPr="003033EA">
        <w:rPr>
          <w:rFonts w:eastAsia="Times New Roman" w:cs="Arial"/>
          <w:i/>
          <w:iCs/>
          <w:u w:val="single"/>
          <w:lang w:eastAsia="en-AU"/>
        </w:rPr>
        <w:t>Option 2:</w:t>
      </w:r>
      <w:r w:rsidR="00D8644D">
        <w:rPr>
          <w:rFonts w:eastAsia="Times New Roman" w:cs="Arial"/>
          <w:i/>
          <w:iCs/>
          <w:u w:val="single"/>
          <w:lang w:eastAsia="en-AU"/>
        </w:rPr>
        <w:t xml:space="preserve"> </w:t>
      </w:r>
      <w:r w:rsidRPr="003033EA">
        <w:rPr>
          <w:rFonts w:eastAsia="Times New Roman" w:cs="Arial"/>
          <w:i/>
          <w:iCs/>
          <w:u w:val="single"/>
          <w:lang w:eastAsia="en-AU"/>
        </w:rPr>
        <w:t>Amending the existing</w:t>
      </w:r>
      <w:r w:rsidR="00D8644D">
        <w:rPr>
          <w:rFonts w:eastAsia="Times New Roman" w:cs="Arial"/>
          <w:i/>
          <w:iCs/>
          <w:u w:val="single"/>
          <w:lang w:eastAsia="en-AU"/>
        </w:rPr>
        <w:t xml:space="preserve"> </w:t>
      </w:r>
      <w:r w:rsidRPr="003033EA">
        <w:rPr>
          <w:rFonts w:eastAsia="Times New Roman" w:cs="Arial"/>
          <w:i/>
          <w:iCs/>
          <w:u w:val="single"/>
          <w:lang w:eastAsia="en-AU"/>
        </w:rPr>
        <w:t>Schedule 3</w:t>
      </w:r>
      <w:r w:rsidR="00D8644D">
        <w:rPr>
          <w:rFonts w:eastAsia="Times New Roman" w:cs="Arial"/>
          <w:i/>
          <w:iCs/>
          <w:u w:val="single"/>
          <w:lang w:eastAsia="en-AU"/>
        </w:rPr>
        <w:t xml:space="preserve"> </w:t>
      </w:r>
      <w:r w:rsidRPr="003033EA">
        <w:rPr>
          <w:rFonts w:eastAsia="Times New Roman" w:cs="Arial"/>
          <w:i/>
          <w:iCs/>
          <w:u w:val="single"/>
          <w:lang w:eastAsia="en-AU"/>
        </w:rPr>
        <w:t>entry</w:t>
      </w:r>
      <w:r w:rsidR="00D8644D">
        <w:rPr>
          <w:rFonts w:eastAsia="Times New Roman" w:cs="Arial"/>
          <w:i/>
          <w:iCs/>
          <w:u w:val="single"/>
          <w:lang w:eastAsia="en-AU"/>
        </w:rPr>
        <w:t xml:space="preserve"> </w:t>
      </w:r>
      <w:r w:rsidRPr="003033EA">
        <w:rPr>
          <w:rFonts w:eastAsia="Times New Roman" w:cs="Arial"/>
          <w:i/>
          <w:iCs/>
          <w:u w:val="single"/>
          <w:lang w:eastAsia="en-AU"/>
        </w:rPr>
        <w:t>to require</w:t>
      </w:r>
      <w:r w:rsidR="00D8644D">
        <w:rPr>
          <w:rFonts w:eastAsia="Times New Roman" w:cs="Arial"/>
          <w:i/>
          <w:iCs/>
          <w:u w:val="single"/>
          <w:lang w:eastAsia="en-AU"/>
        </w:rPr>
        <w:t xml:space="preserve"> </w:t>
      </w:r>
      <w:r w:rsidRPr="003033EA">
        <w:rPr>
          <w:rFonts w:eastAsia="Times New Roman" w:cs="Arial"/>
          <w:i/>
          <w:iCs/>
          <w:u w:val="single"/>
          <w:lang w:eastAsia="en-AU"/>
        </w:rPr>
        <w:t>additional</w:t>
      </w:r>
      <w:r w:rsidR="00D8644D">
        <w:rPr>
          <w:rFonts w:eastAsia="Times New Roman" w:cs="Arial"/>
          <w:i/>
          <w:iCs/>
          <w:u w:val="single"/>
          <w:lang w:eastAsia="en-AU"/>
        </w:rPr>
        <w:t xml:space="preserve"> </w:t>
      </w:r>
      <w:r w:rsidRPr="003033EA">
        <w:rPr>
          <w:rFonts w:eastAsia="Times New Roman" w:cs="Arial"/>
          <w:i/>
          <w:iCs/>
          <w:u w:val="single"/>
          <w:lang w:eastAsia="en-AU"/>
        </w:rPr>
        <w:t>warnings for exemption</w:t>
      </w:r>
    </w:p>
    <w:p w14:paraId="3CAD9172" w14:textId="7BF5325A" w:rsidR="00FE5271" w:rsidRPr="008509BD" w:rsidRDefault="00FE5271" w:rsidP="00E2375E">
      <w:pPr>
        <w:spacing w:before="120" w:line="240" w:lineRule="auto"/>
        <w:rPr>
          <w:rFonts w:eastAsia="Arial" w:cs="Arial"/>
        </w:rPr>
      </w:pPr>
      <w:r w:rsidRPr="00CF63F4">
        <w:rPr>
          <w:rFonts w:eastAsia="Arial" w:cs="Arial"/>
        </w:rPr>
        <w:t xml:space="preserve">This option intends to reduce </w:t>
      </w:r>
      <w:r>
        <w:rPr>
          <w:rFonts w:eastAsia="Arial" w:cs="Arial"/>
        </w:rPr>
        <w:t xml:space="preserve">the </w:t>
      </w:r>
      <w:r w:rsidRPr="00CF63F4">
        <w:rPr>
          <w:rFonts w:eastAsia="Arial" w:cs="Arial"/>
        </w:rPr>
        <w:t xml:space="preserve">risks associated with eye exposure by requiring warning labels on dermal </w:t>
      </w:r>
      <w:r>
        <w:rPr>
          <w:rFonts w:eastAsia="Arial" w:cs="Arial"/>
        </w:rPr>
        <w:t xml:space="preserve">cosmetic </w:t>
      </w:r>
      <w:r w:rsidRPr="00CF63F4">
        <w:rPr>
          <w:rFonts w:eastAsia="Arial" w:cs="Arial"/>
        </w:rPr>
        <w:t xml:space="preserve">preparations containing less than 5% salicylic acid </w:t>
      </w:r>
      <w:r>
        <w:rPr>
          <w:rFonts w:eastAsia="Arial" w:cs="Arial"/>
        </w:rPr>
        <w:t>to</w:t>
      </w:r>
      <w:r w:rsidRPr="00CF63F4">
        <w:rPr>
          <w:rFonts w:eastAsia="Arial" w:cs="Arial"/>
        </w:rPr>
        <w:t xml:space="preserve"> be exempt. </w:t>
      </w:r>
      <w:r>
        <w:rPr>
          <w:rFonts w:eastAsia="Arial" w:cs="Arial"/>
        </w:rPr>
        <w:t>Dermal cosmetics</w:t>
      </w:r>
      <w:r w:rsidRPr="00CF63F4">
        <w:rPr>
          <w:rFonts w:eastAsia="Arial" w:cs="Arial"/>
        </w:rPr>
        <w:t xml:space="preserve"> containing greater than 5% </w:t>
      </w:r>
      <w:r>
        <w:rPr>
          <w:rFonts w:eastAsia="Arial" w:cs="Arial"/>
        </w:rPr>
        <w:t xml:space="preserve">salicylic acid </w:t>
      </w:r>
      <w:r w:rsidRPr="00CF63F4">
        <w:rPr>
          <w:rFonts w:eastAsia="Arial" w:cs="Arial"/>
        </w:rPr>
        <w:t xml:space="preserve">would be classified as </w:t>
      </w:r>
      <w:r>
        <w:rPr>
          <w:rFonts w:eastAsia="Arial" w:cs="Arial"/>
        </w:rPr>
        <w:t>Schedule 3</w:t>
      </w:r>
      <w:r w:rsidRPr="00CF63F4">
        <w:rPr>
          <w:rFonts w:eastAsia="Arial" w:cs="Arial"/>
        </w:rPr>
        <w:t xml:space="preserve"> </w:t>
      </w:r>
      <w:r>
        <w:rPr>
          <w:rFonts w:eastAsia="Arial" w:cs="Arial"/>
        </w:rPr>
        <w:t>preparation</w:t>
      </w:r>
      <w:r w:rsidR="001D766B">
        <w:rPr>
          <w:rFonts w:eastAsia="Arial" w:cs="Arial"/>
        </w:rPr>
        <w:t>s</w:t>
      </w:r>
      <w:r>
        <w:rPr>
          <w:rFonts w:eastAsia="Arial" w:cs="Arial"/>
        </w:rPr>
        <w:t xml:space="preserve">. All Schedule 3 preparations will also require </w:t>
      </w:r>
      <w:r w:rsidRPr="00CF63F4">
        <w:rPr>
          <w:rFonts w:eastAsia="Arial" w:cs="Arial"/>
        </w:rPr>
        <w:t xml:space="preserve">first aid instructions (Appendix F), and warning statements and general safety directions (Appendix E) pertaining to </w:t>
      </w:r>
      <w:r>
        <w:rPr>
          <w:rFonts w:eastAsia="Arial" w:cs="Arial"/>
        </w:rPr>
        <w:t xml:space="preserve">the risk </w:t>
      </w:r>
      <w:r w:rsidRPr="00CF63F4">
        <w:rPr>
          <w:rFonts w:eastAsia="Arial" w:cs="Arial"/>
        </w:rPr>
        <w:t>eye exposure</w:t>
      </w:r>
      <w:r>
        <w:rPr>
          <w:rFonts w:eastAsia="Arial" w:cs="Arial"/>
        </w:rPr>
        <w:t xml:space="preserve"> as in Option 1.</w:t>
      </w:r>
    </w:p>
    <w:p w14:paraId="634FACC3" w14:textId="1FB074B5" w:rsidR="003033EA" w:rsidRPr="003033EA" w:rsidRDefault="003033EA" w:rsidP="00E2375E">
      <w:pPr>
        <w:spacing w:before="120" w:line="240" w:lineRule="auto"/>
        <w:ind w:left="720" w:hanging="435"/>
        <w:textAlignment w:val="baseline"/>
        <w:rPr>
          <w:rFonts w:ascii="Segoe UI" w:eastAsia="Times New Roman" w:hAnsi="Segoe UI" w:cs="Segoe UI"/>
          <w:sz w:val="18"/>
          <w:szCs w:val="18"/>
          <w:lang w:eastAsia="en-AU"/>
        </w:rPr>
      </w:pPr>
      <w:r w:rsidRPr="003033EA">
        <w:rPr>
          <w:rFonts w:eastAsia="Times New Roman" w:cs="Arial"/>
          <w:b/>
          <w:bCs/>
          <w:lang w:eastAsia="en-AU"/>
        </w:rPr>
        <w:t>Schedule 3 – Amend Entry </w:t>
      </w:r>
    </w:p>
    <w:p w14:paraId="02A3A7C9" w14:textId="33C8B95E" w:rsidR="003033EA" w:rsidRPr="003033EA" w:rsidRDefault="003033EA" w:rsidP="00E2375E">
      <w:pPr>
        <w:spacing w:before="120" w:line="240" w:lineRule="auto"/>
        <w:ind w:left="1440" w:hanging="870"/>
        <w:textAlignment w:val="baseline"/>
        <w:rPr>
          <w:rFonts w:ascii="Segoe UI" w:eastAsia="Times New Roman" w:hAnsi="Segoe UI" w:cs="Segoe UI"/>
          <w:sz w:val="18"/>
          <w:szCs w:val="18"/>
          <w:lang w:eastAsia="en-AU"/>
        </w:rPr>
      </w:pPr>
      <w:r w:rsidRPr="003033EA">
        <w:rPr>
          <w:rFonts w:eastAsia="Times New Roman" w:cs="Arial"/>
          <w:lang w:eastAsia="en-AU"/>
        </w:rPr>
        <w:t>SALICYLIC ACID in preparations for dermal use</w:t>
      </w:r>
      <w:r w:rsidR="00D8644D">
        <w:rPr>
          <w:rFonts w:eastAsia="Times New Roman" w:cs="Arial"/>
          <w:lang w:eastAsia="en-AU"/>
        </w:rPr>
        <w:t xml:space="preserve"> </w:t>
      </w:r>
      <w:r w:rsidRPr="003033EA">
        <w:rPr>
          <w:rFonts w:eastAsia="Times New Roman" w:cs="Arial"/>
          <w:b/>
          <w:bCs/>
          <w:lang w:eastAsia="en-AU"/>
        </w:rPr>
        <w:t>except</w:t>
      </w:r>
      <w:r w:rsidRPr="003033EA">
        <w:rPr>
          <w:rFonts w:eastAsia="Times New Roman" w:cs="Arial"/>
          <w:lang w:eastAsia="en-AU"/>
        </w:rPr>
        <w:t>:</w:t>
      </w:r>
    </w:p>
    <w:p w14:paraId="61D8C2D3" w14:textId="36213A7B" w:rsidR="003033EA" w:rsidRPr="003033EA" w:rsidRDefault="003033EA" w:rsidP="00E2375E">
      <w:pPr>
        <w:pStyle w:val="ListParagraph"/>
        <w:numPr>
          <w:ilvl w:val="0"/>
          <w:numId w:val="27"/>
        </w:numPr>
        <w:spacing w:before="120" w:after="120"/>
        <w:contextualSpacing w:val="0"/>
        <w:rPr>
          <w:sz w:val="22"/>
          <w:szCs w:val="22"/>
          <w:lang w:eastAsia="en-AU"/>
        </w:rPr>
      </w:pPr>
      <w:r w:rsidRPr="003033EA">
        <w:rPr>
          <w:lang w:eastAsia="en-AU"/>
        </w:rPr>
        <w:t>in preparations</w:t>
      </w:r>
      <w:r w:rsidR="00D8644D">
        <w:rPr>
          <w:lang w:eastAsia="en-AU"/>
        </w:rPr>
        <w:t xml:space="preserve"> </w:t>
      </w:r>
      <w:r w:rsidRPr="003033EA">
        <w:rPr>
          <w:lang w:eastAsia="en-AU"/>
        </w:rPr>
        <w:t>containing</w:t>
      </w:r>
      <w:r w:rsidR="00D8644D">
        <w:rPr>
          <w:lang w:eastAsia="en-AU"/>
        </w:rPr>
        <w:t xml:space="preserve"> </w:t>
      </w:r>
      <w:r w:rsidRPr="003033EA">
        <w:rPr>
          <w:lang w:eastAsia="en-AU"/>
        </w:rPr>
        <w:t>40% or less of salicylic acid</w:t>
      </w:r>
      <w:r w:rsidR="00D8644D">
        <w:rPr>
          <w:lang w:eastAsia="en-AU"/>
        </w:rPr>
        <w:t xml:space="preserve"> </w:t>
      </w:r>
      <w:r w:rsidRPr="003033EA">
        <w:rPr>
          <w:color w:val="00B050"/>
          <w:lang w:eastAsia="en-AU"/>
        </w:rPr>
        <w:t>for dermal therapeutic use; or</w:t>
      </w:r>
    </w:p>
    <w:p w14:paraId="508C9ADD" w14:textId="4B752A85" w:rsidR="003033EA" w:rsidRPr="003033EA" w:rsidRDefault="003033EA" w:rsidP="00E2375E">
      <w:pPr>
        <w:pStyle w:val="ListParagraph"/>
        <w:numPr>
          <w:ilvl w:val="0"/>
          <w:numId w:val="27"/>
        </w:numPr>
        <w:spacing w:before="120" w:after="120"/>
        <w:contextualSpacing w:val="0"/>
        <w:rPr>
          <w:sz w:val="22"/>
          <w:szCs w:val="22"/>
          <w:lang w:eastAsia="en-AU"/>
        </w:rPr>
      </w:pPr>
      <w:r w:rsidRPr="003033EA">
        <w:rPr>
          <w:rFonts w:eastAsia="Times New Roman" w:cs="Arial"/>
          <w:color w:val="00B050"/>
          <w:lang w:eastAsia="en-AU"/>
        </w:rPr>
        <w:t>in preparations</w:t>
      </w:r>
      <w:r w:rsidR="00D8644D">
        <w:rPr>
          <w:rFonts w:eastAsia="Times New Roman" w:cs="Arial"/>
          <w:color w:val="00B050"/>
          <w:lang w:eastAsia="en-AU"/>
        </w:rPr>
        <w:t xml:space="preserve"> </w:t>
      </w:r>
      <w:r w:rsidRPr="003033EA">
        <w:rPr>
          <w:rFonts w:eastAsia="Times New Roman" w:cs="Arial"/>
          <w:color w:val="00B050"/>
          <w:lang w:eastAsia="en-AU"/>
        </w:rPr>
        <w:t>containing</w:t>
      </w:r>
      <w:r w:rsidR="00D8644D">
        <w:rPr>
          <w:rFonts w:eastAsia="Times New Roman" w:cs="Arial"/>
          <w:color w:val="00B050"/>
          <w:lang w:eastAsia="en-AU"/>
        </w:rPr>
        <w:t xml:space="preserve"> </w:t>
      </w:r>
      <w:r w:rsidRPr="003033EA">
        <w:rPr>
          <w:rFonts w:eastAsia="Times New Roman" w:cs="Arial"/>
          <w:color w:val="00B050"/>
          <w:lang w:eastAsia="en-AU"/>
        </w:rPr>
        <w:t>5% or less of salicylic acid for dermal cosmetic use when labelled with “will irritate eyes” and “avoid contact with eyes”.</w:t>
      </w:r>
    </w:p>
    <w:p w14:paraId="1BC8EF6A" w14:textId="77777777" w:rsidR="00025432" w:rsidRDefault="00025432">
      <w:pPr>
        <w:rPr>
          <w:rFonts w:eastAsia="Times New Roman" w:cs="Arial"/>
          <w:b/>
          <w:bCs/>
          <w:lang w:eastAsia="en-AU"/>
        </w:rPr>
      </w:pPr>
      <w:r>
        <w:rPr>
          <w:rFonts w:eastAsia="Times New Roman" w:cs="Arial"/>
          <w:b/>
          <w:bCs/>
          <w:lang w:eastAsia="en-AU"/>
        </w:rPr>
        <w:br w:type="page"/>
      </w:r>
    </w:p>
    <w:p w14:paraId="3D1DFFEE" w14:textId="45CE70C4" w:rsidR="003033EA" w:rsidRPr="003033EA" w:rsidRDefault="003033EA" w:rsidP="00E2375E">
      <w:pPr>
        <w:spacing w:before="120" w:line="240" w:lineRule="auto"/>
        <w:ind w:left="345"/>
        <w:textAlignment w:val="baseline"/>
        <w:rPr>
          <w:rFonts w:ascii="Segoe UI" w:eastAsia="Times New Roman" w:hAnsi="Segoe UI" w:cs="Segoe UI"/>
          <w:sz w:val="18"/>
          <w:szCs w:val="18"/>
          <w:lang w:eastAsia="en-AU"/>
        </w:rPr>
      </w:pPr>
      <w:r w:rsidRPr="003033EA">
        <w:rPr>
          <w:rFonts w:eastAsia="Times New Roman" w:cs="Arial"/>
          <w:b/>
          <w:bCs/>
          <w:lang w:eastAsia="en-AU"/>
        </w:rPr>
        <w:lastRenderedPageBreak/>
        <w:t>Appendix E, clause 3 – First aid instructions for poisons – New Entry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2955"/>
        <w:gridCol w:w="5280"/>
      </w:tblGrid>
      <w:tr w:rsidR="003033EA" w:rsidRPr="003033EA" w14:paraId="6BC82333" w14:textId="77777777" w:rsidTr="001D766B">
        <w:trPr>
          <w:trHeight w:val="656"/>
        </w:trPr>
        <w:tc>
          <w:tcPr>
            <w:tcW w:w="780"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13" w:type="dxa"/>
              <w:left w:w="113" w:type="dxa"/>
              <w:bottom w:w="113" w:type="dxa"/>
              <w:right w:w="113" w:type="dxa"/>
            </w:tcMar>
            <w:vAlign w:val="center"/>
            <w:hideMark/>
          </w:tcPr>
          <w:p w14:paraId="42F019AA" w14:textId="6A48107B"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Item</w:t>
            </w:r>
          </w:p>
        </w:tc>
        <w:tc>
          <w:tcPr>
            <w:tcW w:w="2955"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13" w:type="dxa"/>
              <w:left w:w="113" w:type="dxa"/>
              <w:bottom w:w="113" w:type="dxa"/>
              <w:right w:w="113" w:type="dxa"/>
            </w:tcMar>
            <w:vAlign w:val="center"/>
            <w:hideMark/>
          </w:tcPr>
          <w:p w14:paraId="10155E2F" w14:textId="65B19FB0"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Poison</w:t>
            </w:r>
          </w:p>
        </w:tc>
        <w:tc>
          <w:tcPr>
            <w:tcW w:w="5280"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13" w:type="dxa"/>
              <w:left w:w="113" w:type="dxa"/>
              <w:bottom w:w="113" w:type="dxa"/>
              <w:right w:w="113" w:type="dxa"/>
            </w:tcMar>
            <w:vAlign w:val="center"/>
            <w:hideMark/>
          </w:tcPr>
          <w:p w14:paraId="1ECAF93C" w14:textId="0628C8F2"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Statement code (and statement)</w:t>
            </w:r>
          </w:p>
        </w:tc>
      </w:tr>
      <w:tr w:rsidR="003033EA" w:rsidRPr="003033EA" w14:paraId="0068838F" w14:textId="77777777" w:rsidTr="00C74728">
        <w:trPr>
          <w:trHeight w:val="270"/>
        </w:trPr>
        <w:tc>
          <w:tcPr>
            <w:tcW w:w="780" w:type="dxa"/>
            <w:vMerge w:val="restar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77FB4267" w14:textId="77777777"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308 </w:t>
            </w:r>
          </w:p>
        </w:tc>
        <w:tc>
          <w:tcPr>
            <w:tcW w:w="2955" w:type="dxa"/>
            <w:vMerge w:val="restar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7D2F5264" w14:textId="522AADC6"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SALICYLIC ACID and its salts in preparations for dermal cosmetic use</w:t>
            </w:r>
            <w:r w:rsidR="00D8644D">
              <w:rPr>
                <w:rFonts w:eastAsia="Times New Roman" w:cs="Arial"/>
                <w:color w:val="00B050"/>
                <w:lang w:eastAsia="en-AU"/>
              </w:rPr>
              <w:t xml:space="preserve"> </w:t>
            </w:r>
            <w:r w:rsidRPr="003033EA">
              <w:rPr>
                <w:rFonts w:eastAsia="Times New Roman" w:cs="Arial"/>
                <w:color w:val="00B050"/>
                <w:lang w:eastAsia="en-AU"/>
              </w:rPr>
              <w:t>containing</w:t>
            </w:r>
            <w:r w:rsidR="00D8644D">
              <w:rPr>
                <w:rFonts w:eastAsia="Times New Roman" w:cs="Arial"/>
                <w:color w:val="00B050"/>
                <w:lang w:eastAsia="en-AU"/>
              </w:rPr>
              <w:t xml:space="preserve"> </w:t>
            </w:r>
            <w:r w:rsidRPr="003033EA">
              <w:rPr>
                <w:rFonts w:eastAsia="Times New Roman" w:cs="Arial"/>
                <w:color w:val="00B050"/>
                <w:lang w:eastAsia="en-AU"/>
              </w:rPr>
              <w:t>more than 5% salicylic acid.</w:t>
            </w:r>
          </w:p>
        </w:tc>
        <w:tc>
          <w:tcPr>
            <w:tcW w:w="5280" w:type="dxa"/>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1B78B29A" w14:textId="22F5950E"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A – For advice, contact a Poisons Information Centre (e.g. phone Australia 13 11 26; New Zealand 0800 764 766) or a doctor (at once).</w:t>
            </w:r>
          </w:p>
        </w:tc>
      </w:tr>
      <w:tr w:rsidR="003033EA" w:rsidRPr="003033EA" w14:paraId="44EEDA56" w14:textId="77777777" w:rsidTr="00C74728">
        <w:trPr>
          <w:trHeight w:val="405"/>
        </w:trPr>
        <w:tc>
          <w:tcPr>
            <w:tcW w:w="0" w:type="auto"/>
            <w:vMerge/>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448BAE9C" w14:textId="77777777" w:rsidR="003033EA" w:rsidRPr="003033EA" w:rsidRDefault="003033EA" w:rsidP="00E2375E">
            <w:pPr>
              <w:spacing w:before="120" w:line="240" w:lineRule="auto"/>
              <w:rPr>
                <w:rFonts w:ascii="Times New Roman" w:eastAsia="Times New Roman" w:hAnsi="Times New Roman" w:cs="Times New Roman"/>
                <w:sz w:val="24"/>
                <w:szCs w:val="24"/>
                <w:lang w:eastAsia="en-AU"/>
              </w:rPr>
            </w:pPr>
          </w:p>
        </w:tc>
        <w:tc>
          <w:tcPr>
            <w:tcW w:w="0" w:type="auto"/>
            <w:vMerge/>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3DB67037" w14:textId="77777777" w:rsidR="003033EA" w:rsidRPr="003033EA" w:rsidRDefault="003033EA" w:rsidP="00E2375E">
            <w:pPr>
              <w:spacing w:before="120" w:line="240" w:lineRule="auto"/>
              <w:rPr>
                <w:rFonts w:ascii="Times New Roman" w:eastAsia="Times New Roman" w:hAnsi="Times New Roman" w:cs="Times New Roman"/>
                <w:sz w:val="24"/>
                <w:szCs w:val="24"/>
                <w:lang w:eastAsia="en-AU"/>
              </w:rPr>
            </w:pPr>
          </w:p>
        </w:tc>
        <w:tc>
          <w:tcPr>
            <w:tcW w:w="5280" w:type="dxa"/>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1AFBB22B" w14:textId="746357FB"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E2 – If in eyes, hold eyelids apart and flush the eye continuously with running water. Continue flushing until advised</w:t>
            </w:r>
            <w:r w:rsidR="00025432">
              <w:rPr>
                <w:rFonts w:eastAsia="Times New Roman" w:cs="Arial"/>
                <w:color w:val="00B050"/>
                <w:lang w:eastAsia="en-AU"/>
              </w:rPr>
              <w:t xml:space="preserve"> </w:t>
            </w:r>
            <w:proofErr w:type="gramStart"/>
            <w:r w:rsidRPr="003033EA">
              <w:rPr>
                <w:rFonts w:eastAsia="Times New Roman" w:cs="Arial"/>
                <w:color w:val="00B050"/>
                <w:lang w:eastAsia="en-AU"/>
              </w:rPr>
              <w:t>to stop</w:t>
            </w:r>
            <w:proofErr w:type="gramEnd"/>
            <w:r w:rsidR="00025432">
              <w:rPr>
                <w:rFonts w:eastAsia="Times New Roman" w:cs="Arial"/>
                <w:color w:val="00B050"/>
                <w:lang w:eastAsia="en-AU"/>
              </w:rPr>
              <w:t xml:space="preserve"> </w:t>
            </w:r>
            <w:r w:rsidRPr="003033EA">
              <w:rPr>
                <w:rFonts w:eastAsia="Times New Roman" w:cs="Arial"/>
                <w:color w:val="00B050"/>
                <w:lang w:eastAsia="en-AU"/>
              </w:rPr>
              <w:t>by a Poisons Information Centre (e.g. phone Australia 13 11 26; New Zealand 0800 764 766) or a doctor, or for at least 15 minutes.</w:t>
            </w:r>
          </w:p>
        </w:tc>
      </w:tr>
      <w:tr w:rsidR="003033EA" w:rsidRPr="003033EA" w14:paraId="267CA276" w14:textId="77777777" w:rsidTr="00C74728">
        <w:trPr>
          <w:trHeight w:val="390"/>
        </w:trPr>
        <w:tc>
          <w:tcPr>
            <w:tcW w:w="0" w:type="auto"/>
            <w:vMerge/>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1A3AF05C" w14:textId="77777777" w:rsidR="003033EA" w:rsidRPr="003033EA" w:rsidRDefault="003033EA" w:rsidP="00E2375E">
            <w:pPr>
              <w:spacing w:before="120" w:line="240" w:lineRule="auto"/>
              <w:rPr>
                <w:rFonts w:ascii="Times New Roman" w:eastAsia="Times New Roman" w:hAnsi="Times New Roman" w:cs="Times New Roman"/>
                <w:sz w:val="24"/>
                <w:szCs w:val="24"/>
                <w:lang w:eastAsia="en-AU"/>
              </w:rPr>
            </w:pPr>
          </w:p>
        </w:tc>
        <w:tc>
          <w:tcPr>
            <w:tcW w:w="0" w:type="auto"/>
            <w:vMerge/>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6223A81A" w14:textId="77777777" w:rsidR="003033EA" w:rsidRPr="003033EA" w:rsidRDefault="003033EA" w:rsidP="00E2375E">
            <w:pPr>
              <w:spacing w:before="120" w:line="240" w:lineRule="auto"/>
              <w:rPr>
                <w:rFonts w:ascii="Times New Roman" w:eastAsia="Times New Roman" w:hAnsi="Times New Roman" w:cs="Times New Roman"/>
                <w:sz w:val="24"/>
                <w:szCs w:val="24"/>
                <w:lang w:eastAsia="en-AU"/>
              </w:rPr>
            </w:pPr>
          </w:p>
        </w:tc>
        <w:tc>
          <w:tcPr>
            <w:tcW w:w="5280" w:type="dxa"/>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0CF4CD82" w14:textId="0ECF8848"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G3 – If swallowed, do NOT induce vomiting.</w:t>
            </w:r>
          </w:p>
        </w:tc>
      </w:tr>
    </w:tbl>
    <w:p w14:paraId="118F28DC" w14:textId="22E569B5" w:rsidR="003033EA" w:rsidRPr="003033EA" w:rsidRDefault="003033EA" w:rsidP="00E2375E">
      <w:pPr>
        <w:spacing w:before="120" w:line="240" w:lineRule="auto"/>
        <w:ind w:left="346"/>
        <w:textAlignment w:val="baseline"/>
        <w:rPr>
          <w:rFonts w:ascii="Segoe UI" w:eastAsia="Times New Roman" w:hAnsi="Segoe UI" w:cs="Segoe UI"/>
          <w:sz w:val="18"/>
          <w:szCs w:val="18"/>
          <w:lang w:eastAsia="en-AU"/>
        </w:rPr>
      </w:pPr>
      <w:r w:rsidRPr="003033EA">
        <w:rPr>
          <w:rFonts w:eastAsia="Times New Roman" w:cs="Arial"/>
          <w:b/>
          <w:bCs/>
          <w:lang w:eastAsia="en-AU"/>
        </w:rPr>
        <w:t>Appendix F, clause 4 – Warning statements and safety directions – New Entry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2790"/>
        <w:gridCol w:w="2520"/>
        <w:gridCol w:w="3030"/>
      </w:tblGrid>
      <w:tr w:rsidR="003033EA" w:rsidRPr="003033EA" w14:paraId="21A132A2" w14:textId="77777777" w:rsidTr="001D766B">
        <w:trPr>
          <w:trHeight w:val="285"/>
        </w:trPr>
        <w:tc>
          <w:tcPr>
            <w:tcW w:w="675"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13" w:type="dxa"/>
              <w:left w:w="113" w:type="dxa"/>
              <w:bottom w:w="113" w:type="dxa"/>
              <w:right w:w="113" w:type="dxa"/>
            </w:tcMar>
            <w:vAlign w:val="center"/>
            <w:hideMark/>
          </w:tcPr>
          <w:p w14:paraId="3C1F33EC" w14:textId="722EBD80"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Item</w:t>
            </w:r>
          </w:p>
        </w:tc>
        <w:tc>
          <w:tcPr>
            <w:tcW w:w="2790"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13" w:type="dxa"/>
              <w:left w:w="113" w:type="dxa"/>
              <w:bottom w:w="113" w:type="dxa"/>
              <w:right w:w="113" w:type="dxa"/>
            </w:tcMar>
            <w:vAlign w:val="center"/>
            <w:hideMark/>
          </w:tcPr>
          <w:p w14:paraId="1417C0D3" w14:textId="2FBF9409"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Poison</w:t>
            </w:r>
          </w:p>
        </w:tc>
        <w:tc>
          <w:tcPr>
            <w:tcW w:w="2520"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13" w:type="dxa"/>
              <w:left w:w="113" w:type="dxa"/>
              <w:bottom w:w="113" w:type="dxa"/>
              <w:right w:w="113" w:type="dxa"/>
            </w:tcMar>
            <w:vAlign w:val="center"/>
            <w:hideMark/>
          </w:tcPr>
          <w:p w14:paraId="6E4D1B31" w14:textId="5DEAC84D"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Warning statement item number and statement</w:t>
            </w:r>
          </w:p>
        </w:tc>
        <w:tc>
          <w:tcPr>
            <w:tcW w:w="3030"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13" w:type="dxa"/>
              <w:left w:w="113" w:type="dxa"/>
              <w:bottom w:w="113" w:type="dxa"/>
              <w:right w:w="113" w:type="dxa"/>
            </w:tcMar>
            <w:vAlign w:val="center"/>
            <w:hideMark/>
          </w:tcPr>
          <w:p w14:paraId="1F191E04" w14:textId="5DDE2F0B" w:rsidR="003033EA" w:rsidRPr="001D766B" w:rsidRDefault="003033EA" w:rsidP="001D766B">
            <w:pPr>
              <w:keepNext/>
              <w:spacing w:before="80" w:after="40" w:line="264" w:lineRule="auto"/>
              <w:rPr>
                <w:rFonts w:eastAsia="Cambria" w:cs="Times New Roman"/>
                <w:b/>
                <w:color w:val="263287"/>
              </w:rPr>
            </w:pPr>
            <w:r w:rsidRPr="001D766B">
              <w:rPr>
                <w:rFonts w:eastAsia="Cambria" w:cs="Times New Roman"/>
                <w:b/>
                <w:color w:val="263287"/>
              </w:rPr>
              <w:t>Safety direction item number and statement</w:t>
            </w:r>
          </w:p>
        </w:tc>
      </w:tr>
      <w:tr w:rsidR="003033EA" w:rsidRPr="003033EA" w14:paraId="1F4577F3" w14:textId="77777777" w:rsidTr="00C74728">
        <w:trPr>
          <w:trHeight w:val="1054"/>
        </w:trPr>
        <w:tc>
          <w:tcPr>
            <w:tcW w:w="675" w:type="dxa"/>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402026A7" w14:textId="64817F21"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308</w:t>
            </w:r>
          </w:p>
        </w:tc>
        <w:tc>
          <w:tcPr>
            <w:tcW w:w="2790" w:type="dxa"/>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2C77982E" w14:textId="6B643B9F"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SALICYLIC ACID and its salts in preparations for dermal cosmetic use</w:t>
            </w:r>
            <w:r w:rsidR="00D8644D">
              <w:rPr>
                <w:rFonts w:eastAsia="Times New Roman" w:cs="Arial"/>
                <w:color w:val="00B050"/>
                <w:lang w:eastAsia="en-AU"/>
              </w:rPr>
              <w:t xml:space="preserve"> </w:t>
            </w:r>
            <w:r w:rsidRPr="003033EA">
              <w:rPr>
                <w:rFonts w:eastAsia="Times New Roman" w:cs="Arial"/>
                <w:color w:val="00B050"/>
                <w:lang w:eastAsia="en-AU"/>
              </w:rPr>
              <w:t>containing</w:t>
            </w:r>
            <w:r w:rsidR="00D8644D">
              <w:rPr>
                <w:rFonts w:eastAsia="Times New Roman" w:cs="Arial"/>
                <w:color w:val="00B050"/>
                <w:lang w:eastAsia="en-AU"/>
              </w:rPr>
              <w:t xml:space="preserve"> </w:t>
            </w:r>
            <w:r w:rsidRPr="003033EA">
              <w:rPr>
                <w:rFonts w:eastAsia="Times New Roman" w:cs="Arial"/>
                <w:color w:val="00B050"/>
                <w:lang w:eastAsia="en-AU"/>
              </w:rPr>
              <w:t>more than 5% salicylic acid.</w:t>
            </w:r>
          </w:p>
        </w:tc>
        <w:tc>
          <w:tcPr>
            <w:tcW w:w="2520" w:type="dxa"/>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0315E971" w14:textId="05544EA0"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79 – will irritate eyes</w:t>
            </w:r>
          </w:p>
        </w:tc>
        <w:tc>
          <w:tcPr>
            <w:tcW w:w="3030" w:type="dxa"/>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14:paraId="4B29D7B8" w14:textId="16007A1B" w:rsidR="003033EA" w:rsidRPr="003033EA" w:rsidRDefault="003033EA" w:rsidP="00E2375E">
            <w:pPr>
              <w:spacing w:before="120" w:line="240" w:lineRule="auto"/>
              <w:textAlignment w:val="baseline"/>
              <w:rPr>
                <w:rFonts w:ascii="Times New Roman" w:eastAsia="Times New Roman" w:hAnsi="Times New Roman" w:cs="Times New Roman"/>
                <w:sz w:val="24"/>
                <w:szCs w:val="24"/>
                <w:lang w:eastAsia="en-AU"/>
              </w:rPr>
            </w:pPr>
            <w:r w:rsidRPr="003033EA">
              <w:rPr>
                <w:rFonts w:eastAsia="Times New Roman" w:cs="Arial"/>
                <w:color w:val="00B050"/>
                <w:lang w:eastAsia="en-AU"/>
              </w:rPr>
              <w:t>1 –</w:t>
            </w:r>
            <w:r w:rsidR="000A0C08">
              <w:rPr>
                <w:rFonts w:eastAsia="Times New Roman" w:cs="Arial"/>
                <w:color w:val="00B050"/>
                <w:lang w:eastAsia="en-AU"/>
              </w:rPr>
              <w:t xml:space="preserve"> </w:t>
            </w:r>
            <w:r w:rsidRPr="003033EA">
              <w:rPr>
                <w:rFonts w:eastAsia="Times New Roman" w:cs="Arial"/>
                <w:color w:val="00B050"/>
                <w:lang w:eastAsia="en-AU"/>
              </w:rPr>
              <w:t>Avoid contact with eye</w:t>
            </w:r>
          </w:p>
        </w:tc>
      </w:tr>
    </w:tbl>
    <w:p w14:paraId="700D2952" w14:textId="2B7A838E" w:rsidR="000302C6" w:rsidRDefault="000302C6" w:rsidP="000302C6">
      <w:pPr>
        <w:pStyle w:val="Heading4"/>
        <w:rPr>
          <w:rFonts w:ascii="Segoe UI" w:hAnsi="Segoe UI" w:cs="Segoe UI"/>
          <w:sz w:val="18"/>
          <w:szCs w:val="18"/>
        </w:rPr>
      </w:pPr>
      <w:bookmarkStart w:id="89" w:name="_Toc230951740"/>
      <w:r>
        <w:rPr>
          <w:rStyle w:val="normaltextrun"/>
          <w:rFonts w:cs="Arial"/>
          <w:szCs w:val="28"/>
        </w:rPr>
        <w:t>Background</w:t>
      </w:r>
      <w:bookmarkEnd w:id="89"/>
    </w:p>
    <w:p w14:paraId="43F73476" w14:textId="25545C6B" w:rsidR="000302C6" w:rsidRPr="00B43510" w:rsidRDefault="000302C6" w:rsidP="00E2375E">
      <w:pPr>
        <w:spacing w:before="120" w:line="240" w:lineRule="auto"/>
        <w:rPr>
          <w:rFonts w:ascii="Segoe UI" w:hAnsi="Segoe UI" w:cs="Segoe UI"/>
          <w:caps/>
          <w:sz w:val="18"/>
          <w:szCs w:val="18"/>
        </w:rPr>
      </w:pPr>
      <w:r>
        <w:rPr>
          <w:rStyle w:val="normaltextrun"/>
          <w:rFonts w:cs="Arial"/>
        </w:rPr>
        <w:t>Salicylic acid is used in</w:t>
      </w:r>
      <w:r w:rsidR="00025432">
        <w:rPr>
          <w:rStyle w:val="normaltextrun"/>
          <w:rFonts w:cs="Arial"/>
        </w:rPr>
        <w:t xml:space="preserve"> </w:t>
      </w:r>
      <w:r>
        <w:rPr>
          <w:rStyle w:val="normaltextrun"/>
          <w:rFonts w:cs="Arial"/>
        </w:rPr>
        <w:t>therapeutic products an</w:t>
      </w:r>
      <w:r w:rsidR="00025432">
        <w:rPr>
          <w:rStyle w:val="normaltextrun"/>
          <w:rFonts w:cs="Arial"/>
        </w:rPr>
        <w:t xml:space="preserve">d </w:t>
      </w:r>
      <w:r>
        <w:rPr>
          <w:rStyle w:val="normaltextrun"/>
          <w:rFonts w:cs="Arial"/>
        </w:rPr>
        <w:t>a variety of cosmetic products including</w:t>
      </w:r>
      <w:r w:rsidR="00025432">
        <w:rPr>
          <w:rStyle w:val="normaltextrun"/>
          <w:rFonts w:cs="Arial"/>
        </w:rPr>
        <w:t xml:space="preserve"> </w:t>
      </w:r>
      <w:r>
        <w:rPr>
          <w:rStyle w:val="normaltextrun"/>
          <w:rFonts w:cs="Arial"/>
        </w:rPr>
        <w:t xml:space="preserve">chemical peels for use </w:t>
      </w:r>
      <w:r w:rsidR="007D6429">
        <w:rPr>
          <w:rStyle w:val="normaltextrun"/>
          <w:rFonts w:cs="Arial"/>
        </w:rPr>
        <w:t xml:space="preserve">by consumers </w:t>
      </w:r>
      <w:r>
        <w:rPr>
          <w:rStyle w:val="normaltextrun"/>
          <w:rFonts w:cs="Arial"/>
        </w:rPr>
        <w:t>at home.</w:t>
      </w:r>
    </w:p>
    <w:p w14:paraId="7DA46E80" w14:textId="7184C55B" w:rsidR="000302C6" w:rsidRDefault="000302C6" w:rsidP="00E2375E">
      <w:pPr>
        <w:spacing w:before="120" w:line="240" w:lineRule="auto"/>
        <w:rPr>
          <w:rFonts w:ascii="Segoe UI" w:hAnsi="Segoe UI" w:cs="Segoe UI"/>
          <w:sz w:val="18"/>
          <w:szCs w:val="18"/>
        </w:rPr>
      </w:pPr>
      <w:r>
        <w:rPr>
          <w:rStyle w:val="normaltextrun"/>
          <w:rFonts w:cs="Arial"/>
        </w:rPr>
        <w:t>Therapeutic uses of salicylic acid are mostly</w:t>
      </w:r>
      <w:r w:rsidR="007D6429">
        <w:rPr>
          <w:rStyle w:val="normaltextrun"/>
          <w:rFonts w:cs="Arial"/>
        </w:rPr>
        <w:t xml:space="preserve"> for</w:t>
      </w:r>
      <w:r>
        <w:rPr>
          <w:rStyle w:val="normaltextrun"/>
          <w:rFonts w:cs="Arial"/>
        </w:rPr>
        <w:t xml:space="preserve"> dermal applications to treat skin age spots and blemishes, solar keratosis, psoriasis, warts, corns and calluses, and fungal skin infections. It is also used as a topical gel in relieving mouth ulcer pain.</w:t>
      </w:r>
    </w:p>
    <w:p w14:paraId="28302A53" w14:textId="46A104EF" w:rsidR="000302C6" w:rsidRDefault="000302C6" w:rsidP="00E2375E">
      <w:pPr>
        <w:spacing w:before="120" w:line="240" w:lineRule="auto"/>
        <w:rPr>
          <w:rFonts w:ascii="Segoe UI" w:hAnsi="Segoe UI" w:cs="Segoe UI"/>
          <w:sz w:val="18"/>
          <w:szCs w:val="18"/>
        </w:rPr>
      </w:pPr>
      <w:r>
        <w:rPr>
          <w:rStyle w:val="normaltextrun"/>
          <w:rFonts w:cs="Arial"/>
        </w:rPr>
        <w:t>The AICIS</w:t>
      </w:r>
      <w:r w:rsidR="00025432">
        <w:rPr>
          <w:rStyle w:val="normaltextrun"/>
          <w:rFonts w:cs="Arial"/>
        </w:rPr>
        <w:t xml:space="preserve"> </w:t>
      </w:r>
      <w:r>
        <w:rPr>
          <w:rStyle w:val="normaltextrun"/>
          <w:rFonts w:cs="Arial"/>
        </w:rPr>
        <w:t>Evaluation Statement</w:t>
      </w:r>
      <w:r w:rsidR="00025432">
        <w:rPr>
          <w:rStyle w:val="normaltextrun"/>
          <w:rFonts w:cs="Arial"/>
        </w:rPr>
        <w:t xml:space="preserve"> </w:t>
      </w:r>
      <w:r w:rsidR="00515E1D">
        <w:rPr>
          <w:rStyle w:val="normaltextrun"/>
          <w:rFonts w:cs="Arial"/>
        </w:rPr>
        <w:t>reported</w:t>
      </w:r>
      <w:r w:rsidR="00025432">
        <w:rPr>
          <w:rStyle w:val="normaltextrun"/>
          <w:rFonts w:cs="Arial"/>
        </w:rPr>
        <w:t xml:space="preserve"> </w:t>
      </w:r>
      <w:r>
        <w:rPr>
          <w:rStyle w:val="normaltextrun"/>
          <w:rFonts w:cs="Arial"/>
        </w:rPr>
        <w:t>that, based on international use information,</w:t>
      </w:r>
      <w:r w:rsidR="00025432">
        <w:rPr>
          <w:rStyle w:val="normaltextrun"/>
          <w:rFonts w:cs="Arial"/>
        </w:rPr>
        <w:t xml:space="preserve"> </w:t>
      </w:r>
      <w:r>
        <w:rPr>
          <w:rStyle w:val="normaltextrun"/>
          <w:rFonts w:cs="Arial"/>
        </w:rPr>
        <w:t>salicylic acid and its salts</w:t>
      </w:r>
      <w:r w:rsidR="00025432">
        <w:rPr>
          <w:rStyle w:val="normaltextrun"/>
          <w:rFonts w:cs="Arial"/>
        </w:rPr>
        <w:t xml:space="preserve"> </w:t>
      </w:r>
      <w:r>
        <w:rPr>
          <w:rStyle w:val="normaltextrun"/>
          <w:rFonts w:cs="Arial"/>
        </w:rPr>
        <w:t>have a variety of functions and industrial applications in consumer products ranging from personal care products to</w:t>
      </w:r>
      <w:r w:rsidR="00D8644D">
        <w:rPr>
          <w:rStyle w:val="normaltextrun"/>
          <w:rFonts w:cs="Arial"/>
        </w:rPr>
        <w:t xml:space="preserve"> </w:t>
      </w:r>
      <w:r>
        <w:rPr>
          <w:rStyle w:val="normaltextrun"/>
          <w:rFonts w:cs="Arial"/>
        </w:rPr>
        <w:t>household cleaning and washing products, as well as a variety of commercial and site limited uses.</w:t>
      </w:r>
    </w:p>
    <w:p w14:paraId="5AD47583" w14:textId="018263B6" w:rsidR="000302C6" w:rsidRDefault="000302C6" w:rsidP="000302C6">
      <w:pPr>
        <w:pStyle w:val="Heading4"/>
        <w:rPr>
          <w:rFonts w:ascii="Segoe UI" w:hAnsi="Segoe UI" w:cs="Segoe UI"/>
          <w:sz w:val="18"/>
          <w:szCs w:val="18"/>
        </w:rPr>
      </w:pPr>
      <w:bookmarkStart w:id="90" w:name="_Toc230951741"/>
      <w:r>
        <w:rPr>
          <w:rStyle w:val="normaltextrun"/>
          <w:rFonts w:cs="Arial"/>
          <w:szCs w:val="28"/>
        </w:rPr>
        <w:t>Summary of reasons for the proposal</w:t>
      </w:r>
      <w:bookmarkEnd w:id="90"/>
    </w:p>
    <w:p w14:paraId="23AD07BF" w14:textId="2B10DCB6" w:rsidR="000302C6" w:rsidRDefault="000302C6" w:rsidP="00E2375E">
      <w:pPr>
        <w:spacing w:before="120" w:line="240" w:lineRule="auto"/>
        <w:rPr>
          <w:rFonts w:ascii="Segoe UI" w:hAnsi="Segoe UI" w:cs="Segoe UI"/>
          <w:sz w:val="18"/>
          <w:szCs w:val="18"/>
        </w:rPr>
      </w:pPr>
      <w:r>
        <w:rPr>
          <w:rStyle w:val="normaltextrun"/>
          <w:rFonts w:cs="Arial"/>
        </w:rPr>
        <w:t>Salicylic</w:t>
      </w:r>
      <w:r w:rsidR="00025432">
        <w:rPr>
          <w:rStyle w:val="normaltextrun"/>
          <w:rFonts w:cs="Arial"/>
        </w:rPr>
        <w:t xml:space="preserve"> </w:t>
      </w:r>
      <w:r>
        <w:rPr>
          <w:rStyle w:val="normaltextrun"/>
          <w:rFonts w:cs="Arial"/>
        </w:rPr>
        <w:t>acid</w:t>
      </w:r>
      <w:r w:rsidR="00025432">
        <w:rPr>
          <w:rStyle w:val="normaltextrun"/>
          <w:rFonts w:cs="Arial"/>
        </w:rPr>
        <w:t xml:space="preserve"> </w:t>
      </w:r>
      <w:r>
        <w:rPr>
          <w:rStyle w:val="normaltextrun"/>
          <w:rFonts w:cs="Arial"/>
        </w:rPr>
        <w:t>and its salts were evaluated by AICIS. The</w:t>
      </w:r>
      <w:r w:rsidR="00025432">
        <w:rPr>
          <w:rStyle w:val="normaltextrun"/>
          <w:rFonts w:cs="Arial"/>
        </w:rPr>
        <w:t xml:space="preserve"> </w:t>
      </w:r>
      <w:r>
        <w:rPr>
          <w:rStyle w:val="normaltextrun"/>
          <w:rFonts w:cs="Arial"/>
        </w:rPr>
        <w:t>Evaluation</w:t>
      </w:r>
      <w:r w:rsidR="00025432">
        <w:rPr>
          <w:rStyle w:val="normaltextrun"/>
          <w:rFonts w:cs="Arial"/>
        </w:rPr>
        <w:t xml:space="preserve"> </w:t>
      </w:r>
      <w:r>
        <w:rPr>
          <w:rStyle w:val="normaltextrun"/>
          <w:rFonts w:cs="Arial"/>
        </w:rPr>
        <w:t>Statement</w:t>
      </w:r>
      <w:r w:rsidR="00025432">
        <w:rPr>
          <w:rStyle w:val="normaltextrun"/>
          <w:rFonts w:cs="Arial"/>
        </w:rPr>
        <w:t xml:space="preserve"> </w:t>
      </w:r>
      <w:r>
        <w:rPr>
          <w:rStyle w:val="normaltextrun"/>
          <w:rFonts w:cs="Arial"/>
        </w:rPr>
        <w:t>identified</w:t>
      </w:r>
      <w:r w:rsidR="00025432">
        <w:rPr>
          <w:rStyle w:val="normaltextrun"/>
          <w:rFonts w:cs="Arial"/>
        </w:rPr>
        <w:t xml:space="preserve"> </w:t>
      </w:r>
      <w:r>
        <w:rPr>
          <w:rStyle w:val="normaltextrun"/>
          <w:rFonts w:cs="Arial"/>
        </w:rPr>
        <w:t>irreversible eye damage as a primary health risk</w:t>
      </w:r>
      <w:r w:rsidR="00025432">
        <w:rPr>
          <w:rStyle w:val="normaltextrun"/>
          <w:rFonts w:cs="Arial"/>
        </w:rPr>
        <w:t xml:space="preserve"> </w:t>
      </w:r>
      <w:r>
        <w:rPr>
          <w:rStyle w:val="normaltextrun"/>
          <w:rFonts w:cs="Arial"/>
        </w:rPr>
        <w:t>associated with high concentrations of salicylic acid.</w:t>
      </w:r>
      <w:r w:rsidR="00025432">
        <w:rPr>
          <w:rStyle w:val="normaltextrun"/>
          <w:rFonts w:cs="Arial"/>
        </w:rPr>
        <w:t xml:space="preserve"> </w:t>
      </w:r>
      <w:r>
        <w:rPr>
          <w:rStyle w:val="normaltextrun"/>
          <w:rFonts w:cs="Arial"/>
        </w:rPr>
        <w:t>Cosmetic chemical peels pose the greatest risk as they</w:t>
      </w:r>
      <w:r w:rsidR="00025432">
        <w:rPr>
          <w:rStyle w:val="normaltextrun"/>
          <w:rFonts w:cs="Arial"/>
        </w:rPr>
        <w:t xml:space="preserve"> </w:t>
      </w:r>
      <w:r>
        <w:rPr>
          <w:rStyle w:val="normaltextrun"/>
          <w:rFonts w:cs="Arial"/>
        </w:rPr>
        <w:t>contain</w:t>
      </w:r>
      <w:r w:rsidR="00025432">
        <w:rPr>
          <w:rStyle w:val="normaltextrun"/>
          <w:rFonts w:cs="Arial"/>
        </w:rPr>
        <w:t xml:space="preserve"> </w:t>
      </w:r>
      <w:r>
        <w:rPr>
          <w:rStyle w:val="normaltextrun"/>
          <w:rFonts w:cs="Arial"/>
        </w:rPr>
        <w:t>up to 30% salicylic acid</w:t>
      </w:r>
      <w:r w:rsidR="00025432">
        <w:rPr>
          <w:rStyle w:val="normaltextrun"/>
          <w:rFonts w:cs="Arial"/>
        </w:rPr>
        <w:t xml:space="preserve"> </w:t>
      </w:r>
      <w:r>
        <w:rPr>
          <w:rStyle w:val="normaltextrun"/>
          <w:rFonts w:cs="Arial"/>
        </w:rPr>
        <w:t>but</w:t>
      </w:r>
      <w:r w:rsidR="00025432">
        <w:rPr>
          <w:rStyle w:val="normaltextrun"/>
          <w:rFonts w:cs="Arial"/>
        </w:rPr>
        <w:t xml:space="preserve"> </w:t>
      </w:r>
      <w:r>
        <w:rPr>
          <w:rStyle w:val="normaltextrun"/>
          <w:rFonts w:cs="Arial"/>
        </w:rPr>
        <w:t>are currently unscheduled.</w:t>
      </w:r>
      <w:r w:rsidR="00025432">
        <w:rPr>
          <w:rStyle w:val="normaltextrun"/>
          <w:rFonts w:cs="Arial"/>
        </w:rPr>
        <w:t xml:space="preserve"> </w:t>
      </w:r>
      <w:r>
        <w:rPr>
          <w:rStyle w:val="normaltextrun"/>
          <w:rFonts w:cs="Arial"/>
        </w:rPr>
        <w:t>Other cosmetic applications</w:t>
      </w:r>
      <w:r w:rsidR="00025432">
        <w:rPr>
          <w:rStyle w:val="normaltextrun"/>
          <w:rFonts w:cs="Arial"/>
        </w:rPr>
        <w:t xml:space="preserve"> </w:t>
      </w:r>
      <w:r>
        <w:rPr>
          <w:rStyle w:val="normaltextrun"/>
          <w:rFonts w:cs="Arial"/>
        </w:rPr>
        <w:t>containing</w:t>
      </w:r>
      <w:r w:rsidR="00025432">
        <w:rPr>
          <w:rStyle w:val="normaltextrun"/>
          <w:rFonts w:cs="Arial"/>
        </w:rPr>
        <w:t xml:space="preserve"> </w:t>
      </w:r>
      <w:r>
        <w:rPr>
          <w:rStyle w:val="normaltextrun"/>
          <w:rFonts w:cs="Arial"/>
        </w:rPr>
        <w:t>up to 5% salicylic acid, such as rinse-off cosmetics,</w:t>
      </w:r>
      <w:r w:rsidR="00025432">
        <w:rPr>
          <w:rStyle w:val="normaltextrun"/>
          <w:rFonts w:cs="Arial"/>
        </w:rPr>
        <w:t xml:space="preserve"> </w:t>
      </w:r>
      <w:r>
        <w:rPr>
          <w:rStyle w:val="normaltextrun"/>
          <w:rFonts w:cs="Arial"/>
        </w:rPr>
        <w:t>also</w:t>
      </w:r>
      <w:r w:rsidR="00025432">
        <w:rPr>
          <w:rStyle w:val="normaltextrun"/>
          <w:rFonts w:cs="Arial"/>
        </w:rPr>
        <w:t xml:space="preserve"> </w:t>
      </w:r>
      <w:r>
        <w:rPr>
          <w:rStyle w:val="normaltextrun"/>
          <w:rFonts w:cs="Arial"/>
        </w:rPr>
        <w:t>pose slight risk of eye irritation.</w:t>
      </w:r>
      <w:r w:rsidR="00025432">
        <w:rPr>
          <w:rStyle w:val="normaltextrun"/>
          <w:rFonts w:cs="Arial"/>
        </w:rPr>
        <w:t xml:space="preserve"> </w:t>
      </w:r>
      <w:r>
        <w:rPr>
          <w:rStyle w:val="normaltextrun"/>
          <w:rFonts w:cs="Arial"/>
        </w:rPr>
        <w:t>The</w:t>
      </w:r>
      <w:r w:rsidR="00025432">
        <w:rPr>
          <w:rStyle w:val="normaltextrun"/>
          <w:rFonts w:cs="Arial"/>
        </w:rPr>
        <w:t xml:space="preserve"> </w:t>
      </w:r>
      <w:r>
        <w:rPr>
          <w:rStyle w:val="normaltextrun"/>
          <w:rFonts w:cs="Arial"/>
        </w:rPr>
        <w:t>Evaluation Statement</w:t>
      </w:r>
      <w:r w:rsidR="00025432">
        <w:rPr>
          <w:rStyle w:val="normaltextrun"/>
          <w:rFonts w:cs="Arial"/>
        </w:rPr>
        <w:t xml:space="preserve"> </w:t>
      </w:r>
      <w:r>
        <w:rPr>
          <w:rStyle w:val="normaltextrun"/>
          <w:rFonts w:cs="Arial"/>
        </w:rPr>
        <w:t>recommended the scheduling</w:t>
      </w:r>
      <w:r w:rsidR="00025432">
        <w:rPr>
          <w:rStyle w:val="normaltextrun"/>
          <w:rFonts w:cs="Arial"/>
        </w:rPr>
        <w:t xml:space="preserve"> </w:t>
      </w:r>
      <w:r>
        <w:rPr>
          <w:rStyle w:val="normaltextrun"/>
          <w:rFonts w:cs="Arial"/>
        </w:rPr>
        <w:t>of salicylic acid</w:t>
      </w:r>
      <w:r w:rsidR="00025432">
        <w:rPr>
          <w:rStyle w:val="normaltextrun"/>
          <w:rFonts w:cs="Arial"/>
        </w:rPr>
        <w:t xml:space="preserve"> </w:t>
      </w:r>
      <w:r>
        <w:rPr>
          <w:rStyle w:val="normaltextrun"/>
          <w:rFonts w:cs="Arial"/>
        </w:rPr>
        <w:t>be</w:t>
      </w:r>
      <w:r w:rsidR="00025432">
        <w:rPr>
          <w:rStyle w:val="normaltextrun"/>
          <w:rFonts w:cs="Arial"/>
        </w:rPr>
        <w:t xml:space="preserve"> </w:t>
      </w:r>
      <w:r w:rsidR="00515E1D">
        <w:rPr>
          <w:rStyle w:val="normaltextrun"/>
          <w:rFonts w:cs="Arial"/>
        </w:rPr>
        <w:t>amended</w:t>
      </w:r>
      <w:r>
        <w:rPr>
          <w:rStyle w:val="normaltextrun"/>
          <w:rFonts w:cs="Arial"/>
        </w:rPr>
        <w:t>, including</w:t>
      </w:r>
      <w:r w:rsidR="00025432">
        <w:rPr>
          <w:rStyle w:val="normaltextrun"/>
          <w:rFonts w:cs="Arial"/>
        </w:rPr>
        <w:t xml:space="preserve"> </w:t>
      </w:r>
      <w:r>
        <w:rPr>
          <w:rStyle w:val="normaltextrun"/>
          <w:rFonts w:cs="Arial"/>
        </w:rPr>
        <w:t>introduction of</w:t>
      </w:r>
      <w:r w:rsidR="00025432">
        <w:rPr>
          <w:rStyle w:val="normaltextrun"/>
          <w:rFonts w:cs="Arial"/>
        </w:rPr>
        <w:t xml:space="preserve"> </w:t>
      </w:r>
      <w:r>
        <w:rPr>
          <w:rStyle w:val="normaltextrun"/>
          <w:rFonts w:cs="Arial"/>
        </w:rPr>
        <w:t>requirements for first aid instructions and safety directions</w:t>
      </w:r>
      <w:r w:rsidR="00025432">
        <w:rPr>
          <w:rStyle w:val="normaltextrun"/>
          <w:rFonts w:cs="Arial"/>
        </w:rPr>
        <w:t xml:space="preserve"> </w:t>
      </w:r>
      <w:r>
        <w:rPr>
          <w:rStyle w:val="normaltextrun"/>
          <w:rFonts w:cs="Arial"/>
        </w:rPr>
        <w:t>pertaining to</w:t>
      </w:r>
      <w:r w:rsidR="00025432">
        <w:rPr>
          <w:rStyle w:val="normaltextrun"/>
          <w:rFonts w:cs="Arial"/>
        </w:rPr>
        <w:t xml:space="preserve"> </w:t>
      </w:r>
      <w:r>
        <w:rPr>
          <w:rStyle w:val="normaltextrun"/>
          <w:rFonts w:cs="Arial"/>
        </w:rPr>
        <w:t>eye exposure</w:t>
      </w:r>
      <w:r w:rsidR="00025432">
        <w:rPr>
          <w:rStyle w:val="normaltextrun"/>
          <w:rFonts w:cs="Arial"/>
        </w:rPr>
        <w:t xml:space="preserve"> </w:t>
      </w:r>
      <w:r>
        <w:rPr>
          <w:rStyle w:val="normaltextrun"/>
          <w:rFonts w:cs="Arial"/>
        </w:rPr>
        <w:t>for</w:t>
      </w:r>
      <w:r w:rsidR="00025432">
        <w:rPr>
          <w:rStyle w:val="normaltextrun"/>
          <w:rFonts w:cs="Arial"/>
        </w:rPr>
        <w:t xml:space="preserve"> </w:t>
      </w:r>
      <w:r>
        <w:rPr>
          <w:rStyle w:val="normaltextrun"/>
          <w:rFonts w:cs="Arial"/>
        </w:rPr>
        <w:t>salicylic acid preparations.</w:t>
      </w:r>
    </w:p>
    <w:p w14:paraId="400EE61B" w14:textId="194A761A" w:rsidR="000302C6" w:rsidRDefault="000302C6" w:rsidP="00E2375E">
      <w:pPr>
        <w:spacing w:before="120" w:line="240" w:lineRule="auto"/>
        <w:rPr>
          <w:rFonts w:ascii="Segoe UI" w:hAnsi="Segoe UI" w:cs="Segoe UI"/>
          <w:sz w:val="18"/>
          <w:szCs w:val="18"/>
        </w:rPr>
      </w:pPr>
      <w:r>
        <w:rPr>
          <w:rStyle w:val="normaltextrun"/>
          <w:rFonts w:cs="Arial"/>
        </w:rPr>
        <w:t>The</w:t>
      </w:r>
      <w:r w:rsidR="00025432">
        <w:rPr>
          <w:rStyle w:val="normaltextrun"/>
          <w:rFonts w:cs="Arial"/>
        </w:rPr>
        <w:t xml:space="preserve"> </w:t>
      </w:r>
      <w:r>
        <w:rPr>
          <w:rStyle w:val="normaltextrun"/>
          <w:rFonts w:cs="Arial"/>
        </w:rPr>
        <w:t>Evaluation Statement</w:t>
      </w:r>
      <w:r w:rsidR="00025432">
        <w:rPr>
          <w:rStyle w:val="normaltextrun"/>
          <w:rFonts w:cs="Arial"/>
        </w:rPr>
        <w:t xml:space="preserve"> </w:t>
      </w:r>
      <w:r>
        <w:rPr>
          <w:rStyle w:val="normaltextrun"/>
          <w:rFonts w:cs="Arial"/>
        </w:rPr>
        <w:t>did not</w:t>
      </w:r>
      <w:r w:rsidR="00025432">
        <w:rPr>
          <w:rStyle w:val="normaltextrun"/>
          <w:rFonts w:cs="Arial"/>
        </w:rPr>
        <w:t xml:space="preserve"> </w:t>
      </w:r>
      <w:r>
        <w:rPr>
          <w:rStyle w:val="normaltextrun"/>
          <w:rFonts w:cs="Arial"/>
        </w:rPr>
        <w:t>recommend a specific schedule or</w:t>
      </w:r>
      <w:r w:rsidR="00025432">
        <w:rPr>
          <w:rStyle w:val="normaltextrun"/>
          <w:rFonts w:cs="Arial"/>
        </w:rPr>
        <w:t xml:space="preserve"> </w:t>
      </w:r>
      <w:r>
        <w:rPr>
          <w:rStyle w:val="normaltextrun"/>
          <w:rFonts w:cs="Arial"/>
        </w:rPr>
        <w:t>a concentration for salicylic acid in dermal cosmetic preparations</w:t>
      </w:r>
      <w:r w:rsidR="00515E1D">
        <w:rPr>
          <w:rStyle w:val="normaltextrun"/>
          <w:rFonts w:cs="Arial"/>
        </w:rPr>
        <w:t xml:space="preserve"> with an acceptable margin of safety</w:t>
      </w:r>
      <w:r>
        <w:rPr>
          <w:rStyle w:val="normaltextrun"/>
          <w:rFonts w:cs="Arial"/>
        </w:rPr>
        <w:t>. However, it</w:t>
      </w:r>
      <w:r w:rsidR="00025432">
        <w:rPr>
          <w:rStyle w:val="normaltextrun"/>
          <w:rFonts w:cs="Arial"/>
        </w:rPr>
        <w:t xml:space="preserve"> </w:t>
      </w:r>
      <w:r>
        <w:rPr>
          <w:rStyle w:val="normaltextrun"/>
          <w:rFonts w:cs="Arial"/>
        </w:rPr>
        <w:t>identified</w:t>
      </w:r>
      <w:r w:rsidR="00025432">
        <w:rPr>
          <w:rStyle w:val="normaltextrun"/>
          <w:rFonts w:cs="Arial"/>
        </w:rPr>
        <w:t xml:space="preserve"> </w:t>
      </w:r>
      <w:r>
        <w:rPr>
          <w:rStyle w:val="normaltextrun"/>
          <w:rFonts w:cs="Arial"/>
        </w:rPr>
        <w:t>glycolic acid as posing similar</w:t>
      </w:r>
      <w:r w:rsidR="00025432">
        <w:rPr>
          <w:rStyle w:val="normaltextrun"/>
          <w:rFonts w:cs="Arial"/>
        </w:rPr>
        <w:t xml:space="preserve"> </w:t>
      </w:r>
      <w:r>
        <w:rPr>
          <w:rStyle w:val="normaltextrun"/>
          <w:rFonts w:cs="Arial"/>
        </w:rPr>
        <w:t>toxicity risk</w:t>
      </w:r>
      <w:r w:rsidR="005D0B44">
        <w:rPr>
          <w:rStyle w:val="normaltextrun"/>
          <w:rFonts w:cs="Arial"/>
        </w:rPr>
        <w:t>s</w:t>
      </w:r>
      <w:r>
        <w:rPr>
          <w:rStyle w:val="normaltextrun"/>
          <w:rFonts w:cs="Arial"/>
        </w:rPr>
        <w:t xml:space="preserve"> an</w:t>
      </w:r>
      <w:r w:rsidR="00025432">
        <w:rPr>
          <w:rStyle w:val="normaltextrun"/>
          <w:rFonts w:cs="Arial"/>
        </w:rPr>
        <w:t>d usage</w:t>
      </w:r>
      <w:r>
        <w:rPr>
          <w:rStyle w:val="normaltextrun"/>
          <w:rFonts w:cs="Arial"/>
        </w:rPr>
        <w:t xml:space="preserve"> in cosmetic formulations as salicylic acid. Glycolic</w:t>
      </w:r>
      <w:r w:rsidR="00025432">
        <w:rPr>
          <w:rStyle w:val="normaltextrun"/>
          <w:rFonts w:cs="Arial"/>
        </w:rPr>
        <w:t xml:space="preserve"> </w:t>
      </w:r>
      <w:r>
        <w:rPr>
          <w:rStyle w:val="normaltextrun"/>
          <w:rFonts w:cs="Arial"/>
        </w:rPr>
        <w:t>acid is currently captured under Schedule 6 for</w:t>
      </w:r>
      <w:r w:rsidR="00025432">
        <w:rPr>
          <w:rStyle w:val="normaltextrun"/>
          <w:rFonts w:cs="Arial"/>
        </w:rPr>
        <w:t xml:space="preserve"> </w:t>
      </w:r>
      <w:r>
        <w:rPr>
          <w:rStyle w:val="normaltextrun"/>
          <w:rFonts w:cs="Arial"/>
        </w:rPr>
        <w:t>concentrations</w:t>
      </w:r>
      <w:r w:rsidR="00025432">
        <w:rPr>
          <w:rStyle w:val="normaltextrun"/>
          <w:rFonts w:cs="Arial"/>
        </w:rPr>
        <w:t xml:space="preserve"> </w:t>
      </w:r>
      <w:r>
        <w:rPr>
          <w:rStyle w:val="normaltextrun"/>
          <w:rFonts w:cs="Arial"/>
        </w:rPr>
        <w:t>greater than</w:t>
      </w:r>
      <w:r w:rsidR="00025432">
        <w:rPr>
          <w:rStyle w:val="normaltextrun"/>
          <w:rFonts w:cs="Arial"/>
        </w:rPr>
        <w:t xml:space="preserve"> </w:t>
      </w:r>
      <w:r>
        <w:rPr>
          <w:rStyle w:val="normaltextrun"/>
          <w:rFonts w:cs="Arial"/>
        </w:rPr>
        <w:t>5%</w:t>
      </w:r>
      <w:r w:rsidR="00025432">
        <w:rPr>
          <w:rStyle w:val="normaltextrun"/>
          <w:rFonts w:cs="Arial"/>
        </w:rPr>
        <w:t xml:space="preserve"> </w:t>
      </w:r>
      <w:r>
        <w:rPr>
          <w:rStyle w:val="normaltextrun"/>
          <w:rFonts w:cs="Arial"/>
        </w:rPr>
        <w:t>glycolic</w:t>
      </w:r>
      <w:r w:rsidR="00025432">
        <w:rPr>
          <w:rStyle w:val="normaltextrun"/>
          <w:rFonts w:cs="Arial"/>
        </w:rPr>
        <w:t xml:space="preserve"> </w:t>
      </w:r>
      <w:r>
        <w:rPr>
          <w:rStyle w:val="normaltextrun"/>
          <w:rFonts w:cs="Arial"/>
        </w:rPr>
        <w:t xml:space="preserve">acid </w:t>
      </w:r>
      <w:r>
        <w:rPr>
          <w:rStyle w:val="normaltextrun"/>
          <w:rFonts w:cs="Arial"/>
        </w:rPr>
        <w:lastRenderedPageBreak/>
        <w:t>(or 20% if</w:t>
      </w:r>
      <w:r w:rsidR="00025432">
        <w:rPr>
          <w:rStyle w:val="normaltextrun"/>
          <w:rFonts w:cs="Arial"/>
        </w:rPr>
        <w:t xml:space="preserve"> </w:t>
      </w:r>
      <w:r>
        <w:rPr>
          <w:rStyle w:val="normaltextrun"/>
          <w:rFonts w:cs="Arial"/>
        </w:rPr>
        <w:t>pH is</w:t>
      </w:r>
      <w:r w:rsidR="00025432">
        <w:rPr>
          <w:rStyle w:val="normaltextrun"/>
          <w:rFonts w:cs="Arial"/>
        </w:rPr>
        <w:t xml:space="preserve"> </w:t>
      </w:r>
      <w:r>
        <w:rPr>
          <w:rStyle w:val="normaltextrun"/>
          <w:rFonts w:cs="Arial"/>
        </w:rPr>
        <w:t>3.5</w:t>
      </w:r>
      <w:r w:rsidR="00025432">
        <w:rPr>
          <w:rStyle w:val="normaltextrun"/>
          <w:rFonts w:cs="Arial"/>
        </w:rPr>
        <w:t xml:space="preserve"> </w:t>
      </w:r>
      <w:r>
        <w:rPr>
          <w:rStyle w:val="normaltextrun"/>
          <w:rFonts w:cs="Arial"/>
        </w:rPr>
        <w:t>or greater) and</w:t>
      </w:r>
      <w:r w:rsidR="00025432">
        <w:rPr>
          <w:rStyle w:val="normaltextrun"/>
          <w:rFonts w:cs="Arial"/>
        </w:rPr>
        <w:t xml:space="preserve"> </w:t>
      </w:r>
      <w:r>
        <w:rPr>
          <w:rStyle w:val="normaltextrun"/>
          <w:rFonts w:cs="Arial"/>
        </w:rPr>
        <w:t>require first aid instructions, warning statements, and safety directions</w:t>
      </w:r>
      <w:r w:rsidR="00025432">
        <w:rPr>
          <w:rStyle w:val="normaltextrun"/>
          <w:rFonts w:cs="Arial"/>
        </w:rPr>
        <w:t xml:space="preserve"> </w:t>
      </w:r>
      <w:r>
        <w:rPr>
          <w:rStyle w:val="normaltextrun"/>
          <w:rFonts w:cs="Arial"/>
        </w:rPr>
        <w:t>to address risk</w:t>
      </w:r>
      <w:r w:rsidR="00025432">
        <w:rPr>
          <w:rStyle w:val="normaltextrun"/>
          <w:rFonts w:cs="Arial"/>
        </w:rPr>
        <w:t xml:space="preserve"> </w:t>
      </w:r>
      <w:r>
        <w:rPr>
          <w:rStyle w:val="normaltextrun"/>
          <w:rFonts w:cs="Arial"/>
        </w:rPr>
        <w:t>of</w:t>
      </w:r>
      <w:r w:rsidR="00025432">
        <w:rPr>
          <w:rStyle w:val="normaltextrun"/>
          <w:rFonts w:cs="Arial"/>
        </w:rPr>
        <w:t xml:space="preserve"> </w:t>
      </w:r>
      <w:r>
        <w:rPr>
          <w:rStyle w:val="normaltextrun"/>
          <w:rFonts w:cs="Arial"/>
        </w:rPr>
        <w:t>eye</w:t>
      </w:r>
      <w:r w:rsidR="00025432">
        <w:rPr>
          <w:rStyle w:val="normaltextrun"/>
          <w:rFonts w:cs="Arial"/>
        </w:rPr>
        <w:t xml:space="preserve"> </w:t>
      </w:r>
      <w:r>
        <w:rPr>
          <w:rStyle w:val="normaltextrun"/>
          <w:rFonts w:cs="Arial"/>
        </w:rPr>
        <w:t>damage.</w:t>
      </w:r>
    </w:p>
    <w:p w14:paraId="169E6ABC" w14:textId="60296F71" w:rsidR="000302C6" w:rsidRDefault="000302C6" w:rsidP="000302C6">
      <w:pPr>
        <w:pStyle w:val="Heading4"/>
        <w:rPr>
          <w:rFonts w:ascii="Segoe UI" w:hAnsi="Segoe UI" w:cs="Segoe UI"/>
          <w:sz w:val="18"/>
          <w:szCs w:val="18"/>
        </w:rPr>
      </w:pPr>
      <w:bookmarkStart w:id="91" w:name="_Toc230951742"/>
      <w:r>
        <w:rPr>
          <w:rStyle w:val="normaltextrun"/>
          <w:rFonts w:cs="Arial"/>
          <w:szCs w:val="28"/>
        </w:rPr>
        <w:t>Key</w:t>
      </w:r>
      <w:r w:rsidR="00025432">
        <w:rPr>
          <w:rStyle w:val="normaltextrun"/>
          <w:rFonts w:cs="Arial"/>
          <w:szCs w:val="28"/>
        </w:rPr>
        <w:t xml:space="preserve"> </w:t>
      </w:r>
      <w:r>
        <w:rPr>
          <w:rStyle w:val="normaltextrun"/>
          <w:rFonts w:cs="Arial"/>
          <w:szCs w:val="28"/>
        </w:rPr>
        <w:t>and</w:t>
      </w:r>
      <w:r w:rsidR="00025432">
        <w:rPr>
          <w:rStyle w:val="normaltextrun"/>
          <w:rFonts w:cs="Arial"/>
          <w:szCs w:val="28"/>
        </w:rPr>
        <w:t xml:space="preserve"> </w:t>
      </w:r>
      <w:r>
        <w:rPr>
          <w:rStyle w:val="normaltextrun"/>
          <w:rFonts w:cs="Arial"/>
          <w:szCs w:val="28"/>
        </w:rPr>
        <w:t>expected uses</w:t>
      </w:r>
      <w:bookmarkEnd w:id="91"/>
    </w:p>
    <w:p w14:paraId="5671685E" w14:textId="624DC692" w:rsidR="000302C6" w:rsidRDefault="000302C6" w:rsidP="00025432">
      <w:pPr>
        <w:spacing w:before="120" w:line="240" w:lineRule="auto"/>
        <w:rPr>
          <w:rFonts w:ascii="Segoe UI" w:hAnsi="Segoe UI" w:cs="Segoe UI"/>
          <w:sz w:val="18"/>
          <w:szCs w:val="18"/>
        </w:rPr>
      </w:pPr>
      <w:r>
        <w:rPr>
          <w:rStyle w:val="normaltextrun"/>
          <w:rFonts w:cs="Arial"/>
        </w:rPr>
        <w:t>Salicylic acid and its salts are used in cosmetic products as denaturant, hair and skin conditioning agent, exfoliant, preservative or biocide. They are present in a wide range of leave-on (up to 3%) and rinse-off cosmetic products (up to 5%, except peels which are up to 30%). Salicylic acid is also used in dermal therapeutic preparations for a variety of skin conditions, as well as veterinary applications as a topical antimicrobial, antipruritic and keratolytic.</w:t>
      </w:r>
    </w:p>
    <w:p w14:paraId="57BDAF38" w14:textId="2231476C" w:rsidR="000302C6" w:rsidRDefault="000302C6" w:rsidP="00025432">
      <w:pPr>
        <w:spacing w:before="120" w:line="240" w:lineRule="auto"/>
        <w:rPr>
          <w:rFonts w:ascii="Segoe UI" w:hAnsi="Segoe UI" w:cs="Segoe UI"/>
          <w:sz w:val="18"/>
          <w:szCs w:val="18"/>
        </w:rPr>
      </w:pPr>
      <w:r>
        <w:rPr>
          <w:rStyle w:val="normaltextrun"/>
          <w:rFonts w:cs="Arial"/>
        </w:rPr>
        <w:t>No specific Australian use, import or manufacturing information has been</w:t>
      </w:r>
      <w:r w:rsidR="00025432">
        <w:rPr>
          <w:rStyle w:val="normaltextrun"/>
          <w:rFonts w:cs="Arial"/>
        </w:rPr>
        <w:t xml:space="preserve"> </w:t>
      </w:r>
      <w:r>
        <w:rPr>
          <w:rStyle w:val="normaltextrun"/>
          <w:rFonts w:cs="Arial"/>
        </w:rPr>
        <w:t>identified</w:t>
      </w:r>
      <w:r w:rsidR="00025432">
        <w:rPr>
          <w:rStyle w:val="normaltextrun"/>
          <w:rFonts w:cs="Arial"/>
        </w:rPr>
        <w:t xml:space="preserve"> </w:t>
      </w:r>
      <w:r>
        <w:rPr>
          <w:rStyle w:val="normaltextrun"/>
          <w:rFonts w:cs="Arial"/>
        </w:rPr>
        <w:t>for the salts. The AICIS evaluation</w:t>
      </w:r>
      <w:r w:rsidR="00025432">
        <w:rPr>
          <w:rStyle w:val="normaltextrun"/>
          <w:rFonts w:cs="Arial"/>
        </w:rPr>
        <w:t xml:space="preserve"> </w:t>
      </w:r>
      <w:r>
        <w:rPr>
          <w:rStyle w:val="normaltextrun"/>
          <w:rFonts w:cs="Arial"/>
        </w:rPr>
        <w:t>identified</w:t>
      </w:r>
      <w:r w:rsidR="00025432">
        <w:rPr>
          <w:rStyle w:val="normaltextrun"/>
          <w:rFonts w:cs="Arial"/>
        </w:rPr>
        <w:t xml:space="preserve"> </w:t>
      </w:r>
      <w:r>
        <w:rPr>
          <w:rStyle w:val="normaltextrun"/>
          <w:rFonts w:cs="Arial"/>
        </w:rPr>
        <w:t>a variety of functions and applications based on international data</w:t>
      </w:r>
      <w:r w:rsidR="00B43510">
        <w:rPr>
          <w:rStyle w:val="normaltextrun"/>
          <w:rFonts w:cs="Arial"/>
        </w:rPr>
        <w:t xml:space="preserve"> </w:t>
      </w:r>
      <w:r>
        <w:rPr>
          <w:rStyle w:val="normaltextrun"/>
          <w:rFonts w:cs="Arial"/>
        </w:rPr>
        <w:t>including:</w:t>
      </w:r>
    </w:p>
    <w:p w14:paraId="3791203B" w14:textId="3F847AAC" w:rsidR="000302C6" w:rsidRPr="00515E1D" w:rsidRDefault="000302C6" w:rsidP="00025432">
      <w:pPr>
        <w:pStyle w:val="ListBullet2"/>
        <w:spacing w:after="120" w:line="240" w:lineRule="auto"/>
        <w:ind w:left="714" w:hanging="357"/>
        <w:rPr>
          <w:color w:val="auto"/>
          <w:sz w:val="22"/>
          <w:szCs w:val="22"/>
        </w:rPr>
      </w:pPr>
      <w:r w:rsidRPr="00515E1D">
        <w:rPr>
          <w:rStyle w:val="normaltextrun"/>
          <w:rFonts w:cs="Arial"/>
          <w:color w:val="auto"/>
        </w:rPr>
        <w:t>adhesive and sealant products</w:t>
      </w:r>
    </w:p>
    <w:p w14:paraId="558E48CE" w14:textId="66BACE8A" w:rsidR="000302C6" w:rsidRPr="00515E1D" w:rsidRDefault="000302C6" w:rsidP="00025432">
      <w:pPr>
        <w:pStyle w:val="ListBullet2"/>
        <w:spacing w:after="120" w:line="240" w:lineRule="auto"/>
        <w:ind w:left="714" w:hanging="357"/>
        <w:rPr>
          <w:color w:val="auto"/>
          <w:sz w:val="22"/>
          <w:szCs w:val="22"/>
        </w:rPr>
      </w:pPr>
      <w:r w:rsidRPr="00515E1D">
        <w:rPr>
          <w:rStyle w:val="normaltextrun"/>
          <w:rFonts w:cs="Arial"/>
          <w:color w:val="auto"/>
        </w:rPr>
        <w:t>arts, crafts and hobby products</w:t>
      </w:r>
    </w:p>
    <w:p w14:paraId="4E8BEAB7" w14:textId="36933AF7" w:rsidR="000302C6" w:rsidRPr="00515E1D" w:rsidRDefault="000302C6" w:rsidP="00025432">
      <w:pPr>
        <w:pStyle w:val="ListBullet2"/>
        <w:spacing w:after="120" w:line="240" w:lineRule="auto"/>
        <w:ind w:left="714" w:hanging="357"/>
        <w:rPr>
          <w:color w:val="auto"/>
          <w:sz w:val="22"/>
          <w:szCs w:val="22"/>
        </w:rPr>
      </w:pPr>
      <w:r w:rsidRPr="00515E1D">
        <w:rPr>
          <w:rStyle w:val="normaltextrun"/>
          <w:rFonts w:cs="Arial"/>
          <w:color w:val="auto"/>
        </w:rPr>
        <w:t>personal care products</w:t>
      </w:r>
    </w:p>
    <w:p w14:paraId="68B84D30" w14:textId="31F1C2CF" w:rsidR="000302C6" w:rsidRPr="00515E1D" w:rsidRDefault="000302C6" w:rsidP="00025432">
      <w:pPr>
        <w:pStyle w:val="ListBullet2"/>
        <w:spacing w:after="120" w:line="240" w:lineRule="auto"/>
        <w:ind w:left="714" w:hanging="357"/>
        <w:rPr>
          <w:color w:val="auto"/>
          <w:sz w:val="22"/>
          <w:szCs w:val="22"/>
        </w:rPr>
      </w:pPr>
      <w:r w:rsidRPr="00515E1D">
        <w:rPr>
          <w:rStyle w:val="normaltextrun"/>
          <w:rFonts w:cs="Arial"/>
          <w:color w:val="auto"/>
        </w:rPr>
        <w:t>paint and coating products</w:t>
      </w:r>
    </w:p>
    <w:p w14:paraId="01761B0F" w14:textId="6F0C7BD4" w:rsidR="000302C6" w:rsidRPr="00515E1D" w:rsidRDefault="000302C6" w:rsidP="00025432">
      <w:pPr>
        <w:pStyle w:val="ListBullet2"/>
        <w:spacing w:after="120" w:line="240" w:lineRule="auto"/>
        <w:ind w:left="714" w:hanging="357"/>
        <w:rPr>
          <w:color w:val="auto"/>
          <w:sz w:val="22"/>
          <w:szCs w:val="22"/>
        </w:rPr>
      </w:pPr>
      <w:r w:rsidRPr="00515E1D">
        <w:rPr>
          <w:rStyle w:val="normaltextrun"/>
          <w:rFonts w:cs="Arial"/>
          <w:color w:val="auto"/>
        </w:rPr>
        <w:t>plastic and polymer products</w:t>
      </w:r>
    </w:p>
    <w:p w14:paraId="2AF8C227" w14:textId="4819295F" w:rsidR="000302C6" w:rsidRPr="00515E1D" w:rsidRDefault="000302C6" w:rsidP="00025432">
      <w:pPr>
        <w:pStyle w:val="ListBullet2"/>
        <w:spacing w:after="120" w:line="240" w:lineRule="auto"/>
        <w:ind w:left="714" w:hanging="357"/>
        <w:rPr>
          <w:color w:val="auto"/>
          <w:sz w:val="22"/>
          <w:szCs w:val="22"/>
        </w:rPr>
      </w:pPr>
      <w:r w:rsidRPr="00515E1D">
        <w:rPr>
          <w:rStyle w:val="normaltextrun"/>
          <w:rFonts w:cs="Arial"/>
          <w:color w:val="auto"/>
        </w:rPr>
        <w:t>construction products</w:t>
      </w:r>
    </w:p>
    <w:p w14:paraId="243D1262" w14:textId="72108387" w:rsidR="000302C6" w:rsidRPr="00515E1D" w:rsidRDefault="000302C6" w:rsidP="00025432">
      <w:pPr>
        <w:pStyle w:val="ListBullet2"/>
        <w:spacing w:after="120" w:line="240" w:lineRule="auto"/>
        <w:ind w:left="714" w:hanging="357"/>
        <w:rPr>
          <w:color w:val="auto"/>
          <w:sz w:val="22"/>
          <w:szCs w:val="22"/>
        </w:rPr>
      </w:pPr>
      <w:r w:rsidRPr="00515E1D">
        <w:rPr>
          <w:rStyle w:val="normaltextrun"/>
          <w:rFonts w:cs="Arial"/>
          <w:color w:val="auto"/>
        </w:rPr>
        <w:t>fabric, textile and leather products</w:t>
      </w:r>
    </w:p>
    <w:p w14:paraId="55F71221" w14:textId="5F5C864B" w:rsidR="000302C6" w:rsidRPr="00515E1D" w:rsidRDefault="000302C6" w:rsidP="00025432">
      <w:pPr>
        <w:pStyle w:val="ListBullet2"/>
        <w:spacing w:after="120" w:line="240" w:lineRule="auto"/>
        <w:ind w:left="714" w:hanging="357"/>
        <w:rPr>
          <w:color w:val="auto"/>
          <w:sz w:val="22"/>
          <w:szCs w:val="22"/>
        </w:rPr>
      </w:pPr>
      <w:r w:rsidRPr="00515E1D">
        <w:rPr>
          <w:rStyle w:val="normaltextrun"/>
          <w:rFonts w:cs="Arial"/>
          <w:color w:val="auto"/>
        </w:rPr>
        <w:t>automotive care products</w:t>
      </w:r>
    </w:p>
    <w:p w14:paraId="027F59FD" w14:textId="30EA165A" w:rsidR="000302C6" w:rsidRPr="00515E1D" w:rsidRDefault="000302C6" w:rsidP="00025432">
      <w:pPr>
        <w:pStyle w:val="ListBullet2"/>
        <w:spacing w:after="120" w:line="240" w:lineRule="auto"/>
        <w:ind w:left="714" w:hanging="357"/>
        <w:rPr>
          <w:color w:val="auto"/>
          <w:sz w:val="22"/>
          <w:szCs w:val="22"/>
        </w:rPr>
      </w:pPr>
      <w:r w:rsidRPr="00515E1D">
        <w:rPr>
          <w:rStyle w:val="normaltextrun"/>
          <w:rFonts w:cs="Arial"/>
          <w:color w:val="auto"/>
        </w:rPr>
        <w:t>cleaning and furniture care products</w:t>
      </w:r>
    </w:p>
    <w:p w14:paraId="6AAC008C" w14:textId="372C5544" w:rsidR="000302C6" w:rsidRPr="00515E1D" w:rsidRDefault="000302C6" w:rsidP="00025432">
      <w:pPr>
        <w:pStyle w:val="ListBullet2"/>
        <w:spacing w:after="120" w:line="240" w:lineRule="auto"/>
        <w:ind w:left="714" w:hanging="357"/>
        <w:rPr>
          <w:color w:val="auto"/>
          <w:sz w:val="22"/>
          <w:szCs w:val="22"/>
        </w:rPr>
      </w:pPr>
      <w:r w:rsidRPr="00515E1D">
        <w:rPr>
          <w:rStyle w:val="normaltextrun"/>
          <w:rFonts w:cs="Arial"/>
          <w:color w:val="auto"/>
        </w:rPr>
        <w:t>laundry and dishwashing products</w:t>
      </w:r>
    </w:p>
    <w:p w14:paraId="639DD932" w14:textId="51E2EF54" w:rsidR="000302C6" w:rsidRPr="00515E1D" w:rsidRDefault="000302C6" w:rsidP="00025432">
      <w:pPr>
        <w:pStyle w:val="ListBullet2"/>
        <w:spacing w:after="120" w:line="240" w:lineRule="auto"/>
        <w:ind w:left="714" w:hanging="357"/>
        <w:rPr>
          <w:color w:val="auto"/>
          <w:sz w:val="22"/>
          <w:szCs w:val="22"/>
        </w:rPr>
      </w:pPr>
      <w:r w:rsidRPr="00515E1D">
        <w:rPr>
          <w:rStyle w:val="normaltextrun"/>
          <w:rFonts w:cs="Arial"/>
          <w:color w:val="auto"/>
        </w:rPr>
        <w:t>water treatment products</w:t>
      </w:r>
    </w:p>
    <w:p w14:paraId="39A237F1" w14:textId="0A0443A8" w:rsidR="000302C6" w:rsidRPr="00515E1D" w:rsidRDefault="000302C6" w:rsidP="00025432">
      <w:pPr>
        <w:pStyle w:val="ListBullet2"/>
        <w:spacing w:after="120" w:line="240" w:lineRule="auto"/>
        <w:ind w:left="714" w:hanging="357"/>
        <w:rPr>
          <w:rStyle w:val="normaltextrun"/>
          <w:color w:val="auto"/>
          <w:sz w:val="22"/>
          <w:szCs w:val="22"/>
        </w:rPr>
      </w:pPr>
      <w:r w:rsidRPr="00515E1D">
        <w:rPr>
          <w:rStyle w:val="normaltextrun"/>
          <w:rFonts w:cs="Arial"/>
          <w:color w:val="auto"/>
        </w:rPr>
        <w:t>intermediate in chemical manufacturing.</w:t>
      </w:r>
    </w:p>
    <w:p w14:paraId="0A7A2A48" w14:textId="77777777" w:rsidR="000302C6" w:rsidRPr="000302C6" w:rsidRDefault="000302C6" w:rsidP="000302C6">
      <w:pPr>
        <w:keepNext/>
        <w:keepLines/>
        <w:spacing w:before="120" w:line="240" w:lineRule="atLeast"/>
        <w:outlineLvl w:val="3"/>
        <w:rPr>
          <w:rFonts w:eastAsia="Cambria" w:cs="Times New Roman"/>
          <w:bCs/>
          <w:color w:val="001871"/>
          <w:sz w:val="28"/>
          <w:szCs w:val="26"/>
        </w:rPr>
      </w:pPr>
      <w:bookmarkStart w:id="92" w:name="_Toc165905900"/>
      <w:r w:rsidRPr="000302C6">
        <w:rPr>
          <w:rFonts w:eastAsia="Cambria" w:cs="Times New Roman"/>
          <w:bCs/>
          <w:color w:val="001871"/>
          <w:sz w:val="28"/>
          <w:szCs w:val="26"/>
        </w:rPr>
        <w:t>Australian regulations</w:t>
      </w:r>
      <w:bookmarkEnd w:id="92"/>
    </w:p>
    <w:p w14:paraId="0BB4B8F8" w14:textId="77777777" w:rsidR="000302C6" w:rsidRPr="000302C6" w:rsidRDefault="000302C6" w:rsidP="00E2375E">
      <w:pPr>
        <w:numPr>
          <w:ilvl w:val="0"/>
          <w:numId w:val="40"/>
        </w:numPr>
        <w:spacing w:before="120" w:line="240" w:lineRule="auto"/>
        <w:ind w:left="357" w:hanging="357"/>
        <w:rPr>
          <w:rFonts w:eastAsia="Cambria" w:cs="Times New Roman"/>
        </w:rPr>
      </w:pPr>
      <w:r w:rsidRPr="000302C6">
        <w:rPr>
          <w:rFonts w:eastAsia="Cambria" w:cs="Times New Roman"/>
        </w:rPr>
        <w:t xml:space="preserve">According to the </w:t>
      </w:r>
      <w:hyperlink r:id="rId72">
        <w:r w:rsidRPr="000302C6">
          <w:rPr>
            <w:rFonts w:eastAsia="Cambria" w:cs="Times New Roman"/>
            <w:color w:val="0000FF"/>
            <w:u w:val="single"/>
          </w:rPr>
          <w:t>TGA Ingredient Database</w:t>
        </w:r>
      </w:hyperlink>
      <w:r w:rsidRPr="000302C6">
        <w:rPr>
          <w:rFonts w:eastAsia="Cambria" w:cs="Times New Roman"/>
        </w:rPr>
        <w:t>, salicylic acid is available for use as an active ingredient in: Biologicals, Export Only, Listed Medicines, Over the Counter, Prescription Medicines.</w:t>
      </w:r>
    </w:p>
    <w:p w14:paraId="2F28A709" w14:textId="77777777" w:rsidR="000302C6" w:rsidRPr="000302C6" w:rsidRDefault="000302C6" w:rsidP="00E2375E">
      <w:pPr>
        <w:numPr>
          <w:ilvl w:val="0"/>
          <w:numId w:val="40"/>
        </w:numPr>
        <w:spacing w:before="120" w:line="240" w:lineRule="auto"/>
        <w:ind w:left="357" w:hanging="357"/>
        <w:rPr>
          <w:rFonts w:eastAsia="Cambria" w:cs="Times New Roman"/>
        </w:rPr>
      </w:pPr>
      <w:r w:rsidRPr="000302C6">
        <w:rPr>
          <w:rFonts w:eastAsia="Cambria" w:cs="Times New Roman"/>
        </w:rPr>
        <w:t xml:space="preserve">As of 21 May 2026, there were 37 medicines currently active on the </w:t>
      </w:r>
      <w:hyperlink r:id="rId73">
        <w:r w:rsidRPr="000302C6">
          <w:rPr>
            <w:rFonts w:eastAsia="Cambria" w:cs="Times New Roman"/>
            <w:color w:val="0000FF"/>
            <w:u w:val="single"/>
          </w:rPr>
          <w:t>Australian Register of Therapeutic Goods (ARTG)</w:t>
        </w:r>
      </w:hyperlink>
      <w:r w:rsidRPr="000302C6">
        <w:rPr>
          <w:rFonts w:eastAsia="Cambria" w:cs="Times New Roman"/>
        </w:rPr>
        <w:t xml:space="preserve"> that contain salicylic acid as an active or excipient ingredient. These include 1 prescription and 31 non-prescription medicines, with 5 listed as export-only medicines. Salicylic acid is an active ingredient in 26 registered products as shown below.</w:t>
      </w:r>
    </w:p>
    <w:tbl>
      <w:tblPr>
        <w:tblStyle w:val="TableTGAblue1"/>
        <w:tblW w:w="0" w:type="auto"/>
        <w:tblLook w:val="04A0" w:firstRow="1" w:lastRow="0" w:firstColumn="1" w:lastColumn="0" w:noHBand="0" w:noVBand="1"/>
      </w:tblPr>
      <w:tblGrid>
        <w:gridCol w:w="4830"/>
        <w:gridCol w:w="1815"/>
        <w:gridCol w:w="2287"/>
      </w:tblGrid>
      <w:tr w:rsidR="000302C6" w:rsidRPr="000302C6" w14:paraId="26FB134F" w14:textId="77777777" w:rsidTr="001D76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8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4C6E7" w:themeFill="accent1" w:themeFillTint="66"/>
            <w:tcMar>
              <w:top w:w="113" w:type="dxa"/>
              <w:bottom w:w="113" w:type="dxa"/>
            </w:tcMar>
          </w:tcPr>
          <w:p w14:paraId="459CCCCD" w14:textId="77777777" w:rsidR="000302C6" w:rsidRPr="001D766B" w:rsidRDefault="000302C6" w:rsidP="001D766B">
            <w:pPr>
              <w:spacing w:before="80" w:after="40" w:line="264" w:lineRule="auto"/>
              <w:rPr>
                <w:bCs/>
                <w:color w:val="263287"/>
                <w:sz w:val="20"/>
                <w:szCs w:val="20"/>
              </w:rPr>
            </w:pPr>
            <w:r w:rsidRPr="001D766B">
              <w:rPr>
                <w:bCs/>
                <w:color w:val="263287"/>
                <w:sz w:val="20"/>
                <w:szCs w:val="20"/>
              </w:rPr>
              <w:t>Indications</w:t>
            </w:r>
          </w:p>
        </w:tc>
        <w:tc>
          <w:tcPr>
            <w:tcW w:w="18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4C6E7" w:themeFill="accent1" w:themeFillTint="66"/>
            <w:tcMar>
              <w:top w:w="113" w:type="dxa"/>
              <w:bottom w:w="113" w:type="dxa"/>
            </w:tcMar>
          </w:tcPr>
          <w:p w14:paraId="2B69A7B8" w14:textId="77777777" w:rsidR="000302C6" w:rsidRPr="001D766B" w:rsidRDefault="000302C6" w:rsidP="001D766B">
            <w:pPr>
              <w:spacing w:before="80" w:after="40" w:line="264" w:lineRule="auto"/>
              <w:cnfStyle w:val="100000000000" w:firstRow="1" w:lastRow="0" w:firstColumn="0" w:lastColumn="0" w:oddVBand="0" w:evenVBand="0" w:oddHBand="0" w:evenHBand="0" w:firstRowFirstColumn="0" w:firstRowLastColumn="0" w:lastRowFirstColumn="0" w:lastRowLastColumn="0"/>
              <w:rPr>
                <w:bCs/>
                <w:color w:val="263287"/>
                <w:sz w:val="20"/>
                <w:szCs w:val="20"/>
              </w:rPr>
            </w:pPr>
            <w:r w:rsidRPr="001D766B">
              <w:rPr>
                <w:bCs/>
                <w:color w:val="263287"/>
                <w:sz w:val="20"/>
                <w:szCs w:val="20"/>
              </w:rPr>
              <w:t>Concentration</w:t>
            </w:r>
          </w:p>
        </w:tc>
        <w:tc>
          <w:tcPr>
            <w:tcW w:w="228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4C6E7" w:themeFill="accent1" w:themeFillTint="66"/>
            <w:tcMar>
              <w:top w:w="113" w:type="dxa"/>
              <w:bottom w:w="113" w:type="dxa"/>
            </w:tcMar>
          </w:tcPr>
          <w:p w14:paraId="0F54101E" w14:textId="77777777" w:rsidR="000302C6" w:rsidRPr="001D766B" w:rsidRDefault="000302C6" w:rsidP="001D766B">
            <w:pPr>
              <w:spacing w:before="80" w:after="40" w:line="264" w:lineRule="auto"/>
              <w:cnfStyle w:val="100000000000" w:firstRow="1" w:lastRow="0" w:firstColumn="0" w:lastColumn="0" w:oddVBand="0" w:evenVBand="0" w:oddHBand="0" w:evenHBand="0" w:firstRowFirstColumn="0" w:firstRowLastColumn="0" w:lastRowFirstColumn="0" w:lastRowLastColumn="0"/>
              <w:rPr>
                <w:bCs/>
                <w:color w:val="263287"/>
                <w:sz w:val="20"/>
                <w:szCs w:val="20"/>
              </w:rPr>
            </w:pPr>
            <w:r w:rsidRPr="001D766B">
              <w:rPr>
                <w:bCs/>
                <w:color w:val="263287"/>
                <w:sz w:val="20"/>
                <w:szCs w:val="20"/>
              </w:rPr>
              <w:t>Number of products</w:t>
            </w:r>
          </w:p>
        </w:tc>
      </w:tr>
      <w:tr w:rsidR="000302C6" w:rsidRPr="000302C6" w14:paraId="47340077" w14:textId="77777777" w:rsidTr="00025432">
        <w:trPr>
          <w:trHeight w:val="255"/>
        </w:trPr>
        <w:tc>
          <w:tcPr>
            <w:cnfStyle w:val="001000000000" w:firstRow="0" w:lastRow="0" w:firstColumn="1" w:lastColumn="0" w:oddVBand="0" w:evenVBand="0" w:oddHBand="0" w:evenHBand="0" w:firstRowFirstColumn="0" w:firstRowLastColumn="0" w:lastRowFirstColumn="0" w:lastRowLastColumn="0"/>
            <w:tcW w:w="4830" w:type="dxa"/>
            <w:tcMar>
              <w:top w:w="113" w:type="dxa"/>
              <w:bottom w:w="113" w:type="dxa"/>
            </w:tcMar>
          </w:tcPr>
          <w:p w14:paraId="09209153" w14:textId="77777777" w:rsidR="000302C6" w:rsidRPr="000302C6" w:rsidRDefault="000302C6" w:rsidP="00025432">
            <w:pPr>
              <w:rPr>
                <w:sz w:val="20"/>
                <w:szCs w:val="20"/>
              </w:rPr>
            </w:pPr>
            <w:r w:rsidRPr="000302C6">
              <w:rPr>
                <w:sz w:val="20"/>
                <w:szCs w:val="20"/>
              </w:rPr>
              <w:t>Cosmetic for skin age spots, freckles, blemishes)</w:t>
            </w:r>
          </w:p>
        </w:tc>
        <w:tc>
          <w:tcPr>
            <w:tcW w:w="1815" w:type="dxa"/>
            <w:tcMar>
              <w:top w:w="113" w:type="dxa"/>
              <w:bottom w:w="113" w:type="dxa"/>
            </w:tcMar>
          </w:tcPr>
          <w:p w14:paraId="4173C58A"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1.50%</w:t>
            </w:r>
          </w:p>
        </w:tc>
        <w:tc>
          <w:tcPr>
            <w:tcW w:w="2287" w:type="dxa"/>
            <w:tcMar>
              <w:top w:w="113" w:type="dxa"/>
              <w:bottom w:w="113" w:type="dxa"/>
            </w:tcMar>
          </w:tcPr>
          <w:p w14:paraId="116E154E"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4</w:t>
            </w:r>
          </w:p>
        </w:tc>
      </w:tr>
      <w:tr w:rsidR="000302C6" w:rsidRPr="000302C6" w14:paraId="314B211C" w14:textId="77777777" w:rsidTr="00025432">
        <w:trPr>
          <w:trHeight w:val="255"/>
        </w:trPr>
        <w:tc>
          <w:tcPr>
            <w:cnfStyle w:val="001000000000" w:firstRow="0" w:lastRow="0" w:firstColumn="1" w:lastColumn="0" w:oddVBand="0" w:evenVBand="0" w:oddHBand="0" w:evenHBand="0" w:firstRowFirstColumn="0" w:firstRowLastColumn="0" w:lastRowFirstColumn="0" w:lastRowLastColumn="0"/>
            <w:tcW w:w="4830" w:type="dxa"/>
            <w:tcMar>
              <w:top w:w="113" w:type="dxa"/>
              <w:bottom w:w="113" w:type="dxa"/>
            </w:tcMar>
          </w:tcPr>
          <w:p w14:paraId="3102B8BD" w14:textId="77777777" w:rsidR="000302C6" w:rsidRPr="000302C6" w:rsidRDefault="000302C6" w:rsidP="00025432">
            <w:pPr>
              <w:rPr>
                <w:sz w:val="20"/>
                <w:szCs w:val="20"/>
              </w:rPr>
            </w:pPr>
            <w:r w:rsidRPr="000302C6">
              <w:rPr>
                <w:sz w:val="20"/>
                <w:szCs w:val="20"/>
              </w:rPr>
              <w:t>Solar keratosis</w:t>
            </w:r>
          </w:p>
        </w:tc>
        <w:tc>
          <w:tcPr>
            <w:tcW w:w="1815" w:type="dxa"/>
            <w:tcMar>
              <w:top w:w="113" w:type="dxa"/>
              <w:bottom w:w="113" w:type="dxa"/>
            </w:tcMar>
          </w:tcPr>
          <w:p w14:paraId="5075E687"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5</w:t>
            </w:r>
            <w:r w:rsidRPr="000302C6">
              <w:rPr>
                <w:rFonts w:cs="Arial"/>
              </w:rPr>
              <w:t>–</w:t>
            </w:r>
            <w:r w:rsidRPr="000302C6">
              <w:rPr>
                <w:sz w:val="20"/>
                <w:szCs w:val="20"/>
              </w:rPr>
              <w:t>10%</w:t>
            </w:r>
          </w:p>
        </w:tc>
        <w:tc>
          <w:tcPr>
            <w:tcW w:w="2287" w:type="dxa"/>
            <w:tcMar>
              <w:top w:w="113" w:type="dxa"/>
              <w:bottom w:w="113" w:type="dxa"/>
            </w:tcMar>
          </w:tcPr>
          <w:p w14:paraId="5619A7E7"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2</w:t>
            </w:r>
          </w:p>
        </w:tc>
      </w:tr>
      <w:tr w:rsidR="000302C6" w:rsidRPr="000302C6" w14:paraId="71153AF6" w14:textId="77777777" w:rsidTr="00025432">
        <w:trPr>
          <w:trHeight w:val="255"/>
        </w:trPr>
        <w:tc>
          <w:tcPr>
            <w:cnfStyle w:val="001000000000" w:firstRow="0" w:lastRow="0" w:firstColumn="1" w:lastColumn="0" w:oddVBand="0" w:evenVBand="0" w:oddHBand="0" w:evenHBand="0" w:firstRowFirstColumn="0" w:firstRowLastColumn="0" w:lastRowFirstColumn="0" w:lastRowLastColumn="0"/>
            <w:tcW w:w="4830" w:type="dxa"/>
            <w:tcMar>
              <w:top w:w="113" w:type="dxa"/>
              <w:bottom w:w="113" w:type="dxa"/>
            </w:tcMar>
          </w:tcPr>
          <w:p w14:paraId="2A4200FF" w14:textId="77777777" w:rsidR="000302C6" w:rsidRPr="000302C6" w:rsidRDefault="000302C6" w:rsidP="00025432">
            <w:pPr>
              <w:rPr>
                <w:sz w:val="20"/>
                <w:szCs w:val="20"/>
              </w:rPr>
            </w:pPr>
            <w:r w:rsidRPr="000302C6">
              <w:rPr>
                <w:sz w:val="20"/>
                <w:szCs w:val="20"/>
              </w:rPr>
              <w:t>Dry skin, itchy/flaking scalp, psoriasis</w:t>
            </w:r>
          </w:p>
        </w:tc>
        <w:tc>
          <w:tcPr>
            <w:tcW w:w="1815" w:type="dxa"/>
            <w:tcMar>
              <w:top w:w="113" w:type="dxa"/>
              <w:bottom w:w="113" w:type="dxa"/>
            </w:tcMar>
          </w:tcPr>
          <w:p w14:paraId="412CF79A"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1.6</w:t>
            </w:r>
            <w:r w:rsidRPr="000302C6">
              <w:rPr>
                <w:rFonts w:cs="Arial"/>
              </w:rPr>
              <w:t>–</w:t>
            </w:r>
            <w:r w:rsidRPr="000302C6">
              <w:rPr>
                <w:sz w:val="20"/>
                <w:szCs w:val="20"/>
              </w:rPr>
              <w:t>3%</w:t>
            </w:r>
          </w:p>
        </w:tc>
        <w:tc>
          <w:tcPr>
            <w:tcW w:w="2287" w:type="dxa"/>
            <w:tcMar>
              <w:top w:w="113" w:type="dxa"/>
              <w:bottom w:w="113" w:type="dxa"/>
            </w:tcMar>
          </w:tcPr>
          <w:p w14:paraId="752394ED"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8</w:t>
            </w:r>
          </w:p>
        </w:tc>
      </w:tr>
      <w:tr w:rsidR="000302C6" w:rsidRPr="000302C6" w14:paraId="40A84AF9" w14:textId="77777777" w:rsidTr="00025432">
        <w:trPr>
          <w:trHeight w:val="255"/>
        </w:trPr>
        <w:tc>
          <w:tcPr>
            <w:cnfStyle w:val="001000000000" w:firstRow="0" w:lastRow="0" w:firstColumn="1" w:lastColumn="0" w:oddVBand="0" w:evenVBand="0" w:oddHBand="0" w:evenHBand="0" w:firstRowFirstColumn="0" w:firstRowLastColumn="0" w:lastRowFirstColumn="0" w:lastRowLastColumn="0"/>
            <w:tcW w:w="4830" w:type="dxa"/>
            <w:tcMar>
              <w:top w:w="113" w:type="dxa"/>
              <w:bottom w:w="113" w:type="dxa"/>
            </w:tcMar>
          </w:tcPr>
          <w:p w14:paraId="5683DABD" w14:textId="77777777" w:rsidR="000302C6" w:rsidRPr="000302C6" w:rsidRDefault="000302C6" w:rsidP="00025432">
            <w:pPr>
              <w:rPr>
                <w:sz w:val="20"/>
                <w:szCs w:val="20"/>
              </w:rPr>
            </w:pPr>
            <w:r w:rsidRPr="000302C6">
              <w:rPr>
                <w:sz w:val="20"/>
                <w:szCs w:val="20"/>
              </w:rPr>
              <w:t>Loosen crust and cradle cap</w:t>
            </w:r>
          </w:p>
        </w:tc>
        <w:tc>
          <w:tcPr>
            <w:tcW w:w="1815" w:type="dxa"/>
            <w:tcMar>
              <w:top w:w="113" w:type="dxa"/>
              <w:bottom w:w="113" w:type="dxa"/>
            </w:tcMar>
          </w:tcPr>
          <w:p w14:paraId="1B6B69BE"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6%</w:t>
            </w:r>
          </w:p>
        </w:tc>
        <w:tc>
          <w:tcPr>
            <w:tcW w:w="2287" w:type="dxa"/>
            <w:tcMar>
              <w:top w:w="113" w:type="dxa"/>
              <w:bottom w:w="113" w:type="dxa"/>
            </w:tcMar>
          </w:tcPr>
          <w:p w14:paraId="02C452C7"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1</w:t>
            </w:r>
          </w:p>
        </w:tc>
      </w:tr>
      <w:tr w:rsidR="000302C6" w:rsidRPr="000302C6" w14:paraId="0B30D65A" w14:textId="77777777" w:rsidTr="00025432">
        <w:trPr>
          <w:trHeight w:val="255"/>
        </w:trPr>
        <w:tc>
          <w:tcPr>
            <w:cnfStyle w:val="001000000000" w:firstRow="0" w:lastRow="0" w:firstColumn="1" w:lastColumn="0" w:oddVBand="0" w:evenVBand="0" w:oddHBand="0" w:evenHBand="0" w:firstRowFirstColumn="0" w:firstRowLastColumn="0" w:lastRowFirstColumn="0" w:lastRowLastColumn="0"/>
            <w:tcW w:w="4830" w:type="dxa"/>
            <w:tcMar>
              <w:top w:w="113" w:type="dxa"/>
              <w:bottom w:w="113" w:type="dxa"/>
            </w:tcMar>
          </w:tcPr>
          <w:p w14:paraId="13511285" w14:textId="77777777" w:rsidR="000302C6" w:rsidRPr="000302C6" w:rsidRDefault="000302C6" w:rsidP="00025432">
            <w:pPr>
              <w:rPr>
                <w:sz w:val="20"/>
                <w:szCs w:val="20"/>
              </w:rPr>
            </w:pPr>
            <w:r w:rsidRPr="000302C6">
              <w:rPr>
                <w:sz w:val="20"/>
                <w:szCs w:val="20"/>
              </w:rPr>
              <w:t>Warts, corns, or calluses</w:t>
            </w:r>
          </w:p>
        </w:tc>
        <w:tc>
          <w:tcPr>
            <w:tcW w:w="1815" w:type="dxa"/>
            <w:tcMar>
              <w:top w:w="113" w:type="dxa"/>
              <w:bottom w:w="113" w:type="dxa"/>
            </w:tcMar>
          </w:tcPr>
          <w:p w14:paraId="28403D8D"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16.7</w:t>
            </w:r>
            <w:r w:rsidRPr="000302C6">
              <w:rPr>
                <w:rFonts w:cs="Arial"/>
              </w:rPr>
              <w:t>–</w:t>
            </w:r>
            <w:r w:rsidRPr="000302C6">
              <w:rPr>
                <w:sz w:val="20"/>
                <w:szCs w:val="20"/>
              </w:rPr>
              <w:t>40%</w:t>
            </w:r>
          </w:p>
        </w:tc>
        <w:tc>
          <w:tcPr>
            <w:tcW w:w="2287" w:type="dxa"/>
            <w:tcMar>
              <w:top w:w="113" w:type="dxa"/>
              <w:bottom w:w="113" w:type="dxa"/>
            </w:tcMar>
          </w:tcPr>
          <w:p w14:paraId="43861DC5"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8</w:t>
            </w:r>
          </w:p>
        </w:tc>
      </w:tr>
      <w:tr w:rsidR="000302C6" w:rsidRPr="000302C6" w14:paraId="345923AD" w14:textId="77777777" w:rsidTr="00025432">
        <w:trPr>
          <w:trHeight w:val="255"/>
        </w:trPr>
        <w:tc>
          <w:tcPr>
            <w:cnfStyle w:val="001000000000" w:firstRow="0" w:lastRow="0" w:firstColumn="1" w:lastColumn="0" w:oddVBand="0" w:evenVBand="0" w:oddHBand="0" w:evenHBand="0" w:firstRowFirstColumn="0" w:firstRowLastColumn="0" w:lastRowFirstColumn="0" w:lastRowLastColumn="0"/>
            <w:tcW w:w="4830" w:type="dxa"/>
            <w:tcMar>
              <w:top w:w="113" w:type="dxa"/>
              <w:bottom w:w="113" w:type="dxa"/>
            </w:tcMar>
          </w:tcPr>
          <w:p w14:paraId="6B9BEE9E" w14:textId="77777777" w:rsidR="000302C6" w:rsidRPr="000302C6" w:rsidRDefault="000302C6" w:rsidP="00025432">
            <w:pPr>
              <w:rPr>
                <w:sz w:val="20"/>
                <w:szCs w:val="20"/>
              </w:rPr>
            </w:pPr>
            <w:r w:rsidRPr="000302C6">
              <w:rPr>
                <w:sz w:val="20"/>
                <w:szCs w:val="20"/>
              </w:rPr>
              <w:t>Fungal skin infections</w:t>
            </w:r>
          </w:p>
        </w:tc>
        <w:tc>
          <w:tcPr>
            <w:tcW w:w="1815" w:type="dxa"/>
            <w:tcMar>
              <w:top w:w="113" w:type="dxa"/>
              <w:bottom w:w="113" w:type="dxa"/>
            </w:tcMar>
          </w:tcPr>
          <w:p w14:paraId="581E1EE1"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3%</w:t>
            </w:r>
          </w:p>
        </w:tc>
        <w:tc>
          <w:tcPr>
            <w:tcW w:w="2287" w:type="dxa"/>
            <w:tcMar>
              <w:top w:w="113" w:type="dxa"/>
              <w:bottom w:w="113" w:type="dxa"/>
            </w:tcMar>
          </w:tcPr>
          <w:p w14:paraId="169384C4"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1</w:t>
            </w:r>
          </w:p>
        </w:tc>
      </w:tr>
      <w:tr w:rsidR="000302C6" w:rsidRPr="000302C6" w14:paraId="3098588E" w14:textId="77777777" w:rsidTr="00025432">
        <w:trPr>
          <w:trHeight w:val="255"/>
        </w:trPr>
        <w:tc>
          <w:tcPr>
            <w:cnfStyle w:val="001000000000" w:firstRow="0" w:lastRow="0" w:firstColumn="1" w:lastColumn="0" w:oddVBand="0" w:evenVBand="0" w:oddHBand="0" w:evenHBand="0" w:firstRowFirstColumn="0" w:firstRowLastColumn="0" w:lastRowFirstColumn="0" w:lastRowLastColumn="0"/>
            <w:tcW w:w="4830" w:type="dxa"/>
            <w:tcMar>
              <w:top w:w="113" w:type="dxa"/>
              <w:bottom w:w="113" w:type="dxa"/>
            </w:tcMar>
          </w:tcPr>
          <w:p w14:paraId="5ABA80D5" w14:textId="77777777" w:rsidR="000302C6" w:rsidRPr="000302C6" w:rsidRDefault="000302C6" w:rsidP="00025432">
            <w:pPr>
              <w:rPr>
                <w:sz w:val="20"/>
                <w:szCs w:val="20"/>
              </w:rPr>
            </w:pPr>
            <w:r w:rsidRPr="000302C6">
              <w:rPr>
                <w:sz w:val="20"/>
                <w:szCs w:val="20"/>
              </w:rPr>
              <w:t>Mouth ulcer temporary pain relief</w:t>
            </w:r>
          </w:p>
        </w:tc>
        <w:tc>
          <w:tcPr>
            <w:tcW w:w="1815" w:type="dxa"/>
            <w:tcMar>
              <w:top w:w="113" w:type="dxa"/>
              <w:bottom w:w="113" w:type="dxa"/>
            </w:tcMar>
          </w:tcPr>
          <w:p w14:paraId="3FED552E"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1.5</w:t>
            </w:r>
            <w:r w:rsidRPr="000302C6">
              <w:rPr>
                <w:rFonts w:cs="Arial"/>
              </w:rPr>
              <w:t>–</w:t>
            </w:r>
            <w:r w:rsidRPr="000302C6">
              <w:rPr>
                <w:sz w:val="20"/>
                <w:szCs w:val="20"/>
              </w:rPr>
              <w:t>2%</w:t>
            </w:r>
          </w:p>
        </w:tc>
        <w:tc>
          <w:tcPr>
            <w:tcW w:w="2287" w:type="dxa"/>
            <w:tcMar>
              <w:top w:w="113" w:type="dxa"/>
              <w:bottom w:w="113" w:type="dxa"/>
            </w:tcMar>
          </w:tcPr>
          <w:p w14:paraId="0EE98B79" w14:textId="77777777" w:rsidR="000302C6" w:rsidRPr="000302C6" w:rsidRDefault="000302C6" w:rsidP="00025432">
            <w:pPr>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2</w:t>
            </w:r>
          </w:p>
        </w:tc>
      </w:tr>
    </w:tbl>
    <w:p w14:paraId="4EB68B03" w14:textId="77777777" w:rsidR="000302C6" w:rsidRPr="000302C6" w:rsidRDefault="000302C6" w:rsidP="00E2375E">
      <w:pPr>
        <w:numPr>
          <w:ilvl w:val="0"/>
          <w:numId w:val="40"/>
        </w:numPr>
        <w:spacing w:before="120" w:line="240" w:lineRule="auto"/>
        <w:ind w:left="357" w:hanging="357"/>
        <w:rPr>
          <w:rFonts w:eastAsia="Cambria" w:cs="Times New Roman"/>
        </w:rPr>
      </w:pPr>
      <w:r w:rsidRPr="000302C6">
        <w:rPr>
          <w:rFonts w:eastAsia="Cambria" w:cs="Times New Roman"/>
        </w:rPr>
        <w:lastRenderedPageBreak/>
        <w:t xml:space="preserve">Salicylic acid is included in the </w:t>
      </w:r>
      <w:hyperlink r:id="rId74" w:history="1">
        <w:r w:rsidRPr="000302C6">
          <w:rPr>
            <w:rFonts w:eastAsia="Cambria" w:cs="Times New Roman"/>
            <w:color w:val="0000FF"/>
            <w:u w:val="single"/>
          </w:rPr>
          <w:t>Therapeutic Goods (Permissible Ingredients) Determination</w:t>
        </w:r>
      </w:hyperlink>
      <w:r w:rsidRPr="000302C6">
        <w:rPr>
          <w:rFonts w:eastAsia="Cambria" w:cs="Times New Roman"/>
        </w:rPr>
        <w:t xml:space="preserve"> No.1 of 2026 and is permitted for use as an excipient or for homeopathic preparations for use in topical medicines for dermal application. The concentration in the medicine must be no more than 40%.</w:t>
      </w:r>
    </w:p>
    <w:p w14:paraId="4BFFD4EB" w14:textId="77777777" w:rsidR="000302C6" w:rsidRPr="000302C6" w:rsidRDefault="000302C6" w:rsidP="00E2375E">
      <w:pPr>
        <w:numPr>
          <w:ilvl w:val="0"/>
          <w:numId w:val="40"/>
        </w:numPr>
        <w:spacing w:before="120" w:line="240" w:lineRule="auto"/>
        <w:ind w:left="357" w:hanging="357"/>
        <w:rPr>
          <w:rFonts w:eastAsia="Cambria" w:cs="Times New Roman"/>
        </w:rPr>
      </w:pPr>
      <w:r w:rsidRPr="000302C6">
        <w:rPr>
          <w:rFonts w:eastAsia="Cambria" w:cs="Times New Roman"/>
        </w:rPr>
        <w:t xml:space="preserve">The </w:t>
      </w:r>
      <w:hyperlink r:id="rId75">
        <w:r w:rsidRPr="000302C6">
          <w:rPr>
            <w:rFonts w:eastAsia="Cambria" w:cs="Times New Roman"/>
            <w:color w:val="0000FF"/>
            <w:u w:val="single"/>
          </w:rPr>
          <w:t>TGA prescribing medicines in pregnancy database</w:t>
        </w:r>
      </w:hyperlink>
      <w:r w:rsidRPr="000302C6">
        <w:rPr>
          <w:rFonts w:eastAsia="Cambria" w:cs="Times New Roman"/>
        </w:rPr>
        <w:t xml:space="preserve"> does not include salicylic acid. Sodium salicylate is captured under the entry for salicylic acid and is classified as follows:</w:t>
      </w:r>
    </w:p>
    <w:tbl>
      <w:tblPr>
        <w:tblStyle w:val="TableTGAblue2023"/>
        <w:tblW w:w="9067" w:type="dxa"/>
        <w:tblLayout w:type="fixed"/>
        <w:tblLook w:val="04A0" w:firstRow="1" w:lastRow="0" w:firstColumn="1" w:lastColumn="0" w:noHBand="0" w:noVBand="1"/>
      </w:tblPr>
      <w:tblGrid>
        <w:gridCol w:w="1980"/>
        <w:gridCol w:w="1701"/>
        <w:gridCol w:w="1795"/>
        <w:gridCol w:w="1795"/>
        <w:gridCol w:w="1796"/>
      </w:tblGrid>
      <w:tr w:rsidR="000302C6" w:rsidRPr="000302C6" w14:paraId="39E244F8" w14:textId="77777777" w:rsidTr="001D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B4C6E7" w:themeFill="accent1" w:themeFillTint="66"/>
          </w:tcPr>
          <w:p w14:paraId="30982B9D" w14:textId="77777777" w:rsidR="000302C6" w:rsidRPr="001D766B" w:rsidRDefault="000302C6" w:rsidP="001D766B">
            <w:pPr>
              <w:ind w:left="0"/>
              <w:rPr>
                <w:bCs/>
              </w:rPr>
            </w:pPr>
            <w:r w:rsidRPr="001D766B">
              <w:rPr>
                <w:bCs/>
              </w:rPr>
              <w:t>Drug name</w:t>
            </w:r>
          </w:p>
        </w:tc>
        <w:tc>
          <w:tcPr>
            <w:tcW w:w="1701" w:type="dxa"/>
            <w:shd w:val="clear" w:color="auto" w:fill="B4C6E7" w:themeFill="accent1" w:themeFillTint="66"/>
          </w:tcPr>
          <w:p w14:paraId="58CE039F" w14:textId="77777777" w:rsidR="000302C6" w:rsidRPr="001D766B" w:rsidRDefault="000302C6" w:rsidP="001D766B">
            <w:pPr>
              <w:ind w:left="0"/>
              <w:cnfStyle w:val="100000000000" w:firstRow="1" w:lastRow="0" w:firstColumn="0" w:lastColumn="0" w:oddVBand="0" w:evenVBand="0" w:oddHBand="0" w:evenHBand="0" w:firstRowFirstColumn="0" w:firstRowLastColumn="0" w:lastRowFirstColumn="0" w:lastRowLastColumn="0"/>
              <w:rPr>
                <w:bCs/>
              </w:rPr>
            </w:pPr>
            <w:r w:rsidRPr="001D766B">
              <w:rPr>
                <w:bCs/>
              </w:rPr>
              <w:t>Category</w:t>
            </w:r>
          </w:p>
        </w:tc>
        <w:tc>
          <w:tcPr>
            <w:tcW w:w="1795" w:type="dxa"/>
            <w:shd w:val="clear" w:color="auto" w:fill="B4C6E7" w:themeFill="accent1" w:themeFillTint="66"/>
          </w:tcPr>
          <w:p w14:paraId="726DBF94" w14:textId="77777777" w:rsidR="000302C6" w:rsidRPr="001D766B" w:rsidRDefault="000302C6" w:rsidP="001D766B">
            <w:pPr>
              <w:ind w:left="0"/>
              <w:cnfStyle w:val="100000000000" w:firstRow="1" w:lastRow="0" w:firstColumn="0" w:lastColumn="0" w:oddVBand="0" w:evenVBand="0" w:oddHBand="0" w:evenHBand="0" w:firstRowFirstColumn="0" w:firstRowLastColumn="0" w:lastRowFirstColumn="0" w:lastRowLastColumn="0"/>
              <w:rPr>
                <w:bCs/>
              </w:rPr>
            </w:pPr>
            <w:r w:rsidRPr="001D766B">
              <w:rPr>
                <w:bCs/>
              </w:rPr>
              <w:t>Classification Level 1</w:t>
            </w:r>
          </w:p>
        </w:tc>
        <w:tc>
          <w:tcPr>
            <w:tcW w:w="1795" w:type="dxa"/>
            <w:shd w:val="clear" w:color="auto" w:fill="B4C6E7" w:themeFill="accent1" w:themeFillTint="66"/>
          </w:tcPr>
          <w:p w14:paraId="775B8247" w14:textId="77777777" w:rsidR="000302C6" w:rsidRPr="001D766B" w:rsidRDefault="000302C6" w:rsidP="001D766B">
            <w:pPr>
              <w:ind w:left="0"/>
              <w:cnfStyle w:val="100000000000" w:firstRow="1" w:lastRow="0" w:firstColumn="0" w:lastColumn="0" w:oddVBand="0" w:evenVBand="0" w:oddHBand="0" w:evenHBand="0" w:firstRowFirstColumn="0" w:firstRowLastColumn="0" w:lastRowFirstColumn="0" w:lastRowLastColumn="0"/>
              <w:rPr>
                <w:bCs/>
              </w:rPr>
            </w:pPr>
            <w:r w:rsidRPr="001D766B">
              <w:rPr>
                <w:bCs/>
              </w:rPr>
              <w:t>Classification Level 2</w:t>
            </w:r>
          </w:p>
        </w:tc>
        <w:tc>
          <w:tcPr>
            <w:tcW w:w="1796" w:type="dxa"/>
            <w:shd w:val="clear" w:color="auto" w:fill="B4C6E7" w:themeFill="accent1" w:themeFillTint="66"/>
          </w:tcPr>
          <w:p w14:paraId="0CA1E531" w14:textId="77777777" w:rsidR="000302C6" w:rsidRPr="001D766B" w:rsidRDefault="000302C6" w:rsidP="001D766B">
            <w:pPr>
              <w:ind w:left="0"/>
              <w:cnfStyle w:val="100000000000" w:firstRow="1" w:lastRow="0" w:firstColumn="0" w:lastColumn="0" w:oddVBand="0" w:evenVBand="0" w:oddHBand="0" w:evenHBand="0" w:firstRowFirstColumn="0" w:firstRowLastColumn="0" w:lastRowFirstColumn="0" w:lastRowLastColumn="0"/>
              <w:rPr>
                <w:bCs/>
              </w:rPr>
            </w:pPr>
            <w:r w:rsidRPr="001D766B">
              <w:rPr>
                <w:bCs/>
              </w:rPr>
              <w:t>Classification Level 3</w:t>
            </w:r>
          </w:p>
        </w:tc>
      </w:tr>
      <w:tr w:rsidR="000302C6" w:rsidRPr="000302C6" w14:paraId="4E2EAD18" w14:textId="77777777" w:rsidTr="0062661B">
        <w:tc>
          <w:tcPr>
            <w:cnfStyle w:val="001000000000" w:firstRow="0" w:lastRow="0" w:firstColumn="1" w:lastColumn="0" w:oddVBand="0" w:evenVBand="0" w:oddHBand="0" w:evenHBand="0" w:firstRowFirstColumn="0" w:firstRowLastColumn="0" w:lastRowFirstColumn="0" w:lastRowLastColumn="0"/>
            <w:tcW w:w="1980" w:type="dxa"/>
          </w:tcPr>
          <w:p w14:paraId="387CB277" w14:textId="77777777" w:rsidR="000302C6" w:rsidRPr="000302C6" w:rsidRDefault="000302C6" w:rsidP="00E2375E">
            <w:pPr>
              <w:spacing w:before="120" w:after="120" w:line="240" w:lineRule="auto"/>
              <w:rPr>
                <w:sz w:val="20"/>
                <w:szCs w:val="20"/>
              </w:rPr>
            </w:pPr>
            <w:r w:rsidRPr="000302C6">
              <w:rPr>
                <w:sz w:val="20"/>
                <w:szCs w:val="20"/>
              </w:rPr>
              <w:t>Sodium salicylate</w:t>
            </w:r>
          </w:p>
        </w:tc>
        <w:tc>
          <w:tcPr>
            <w:tcW w:w="1701" w:type="dxa"/>
          </w:tcPr>
          <w:p w14:paraId="22D746F0" w14:textId="77777777" w:rsidR="000302C6" w:rsidRPr="000302C6" w:rsidRDefault="000302C6" w:rsidP="00E2375E">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C</w:t>
            </w:r>
          </w:p>
        </w:tc>
        <w:tc>
          <w:tcPr>
            <w:tcW w:w="1795" w:type="dxa"/>
          </w:tcPr>
          <w:p w14:paraId="37C93882" w14:textId="77777777" w:rsidR="000302C6" w:rsidRPr="000302C6" w:rsidRDefault="000302C6" w:rsidP="00E2375E">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Musculoskeletal System</w:t>
            </w:r>
          </w:p>
        </w:tc>
        <w:tc>
          <w:tcPr>
            <w:tcW w:w="1795" w:type="dxa"/>
          </w:tcPr>
          <w:p w14:paraId="3D89AC77" w14:textId="77777777" w:rsidR="000302C6" w:rsidRPr="000302C6" w:rsidRDefault="000302C6" w:rsidP="00E2375E">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Non-steroidal anti-inflammatory drugs (NSAIDS)</w:t>
            </w:r>
          </w:p>
        </w:tc>
        <w:tc>
          <w:tcPr>
            <w:tcW w:w="1796" w:type="dxa"/>
          </w:tcPr>
          <w:p w14:paraId="65AA37E1" w14:textId="77777777" w:rsidR="000302C6" w:rsidRPr="000302C6" w:rsidRDefault="000302C6" w:rsidP="00E2375E">
            <w:pPr>
              <w:spacing w:before="120" w:after="12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302C6">
              <w:rPr>
                <w:sz w:val="20"/>
                <w:szCs w:val="20"/>
              </w:rPr>
              <w:t>–</w:t>
            </w:r>
          </w:p>
        </w:tc>
      </w:tr>
      <w:tr w:rsidR="000302C6" w:rsidRPr="000302C6" w14:paraId="20459292" w14:textId="77777777" w:rsidTr="0062661B">
        <w:tc>
          <w:tcPr>
            <w:cnfStyle w:val="001000000000" w:firstRow="0" w:lastRow="0" w:firstColumn="1" w:lastColumn="0" w:oddVBand="0" w:evenVBand="0" w:oddHBand="0" w:evenHBand="0" w:firstRowFirstColumn="0" w:firstRowLastColumn="0" w:lastRowFirstColumn="0" w:lastRowLastColumn="0"/>
            <w:tcW w:w="9067" w:type="dxa"/>
            <w:gridSpan w:val="5"/>
          </w:tcPr>
          <w:p w14:paraId="4FF5B5A0" w14:textId="178FBBD0" w:rsidR="000302C6" w:rsidRPr="00E2375E" w:rsidRDefault="000302C6" w:rsidP="00E2375E">
            <w:pPr>
              <w:spacing w:before="120" w:after="120" w:line="240" w:lineRule="auto"/>
              <w:rPr>
                <w:szCs w:val="18"/>
              </w:rPr>
            </w:pPr>
            <w:r w:rsidRPr="000302C6">
              <w:rPr>
                <w:szCs w:val="18"/>
              </w:rPr>
              <w:t>Category C – Drugs which, owing to their pharmacological effects, have caused or may be suspected of causing, harmful effects on the human foetus or neonate without causing malformations. These effects may be reversible. Accompanying texts should be consulted for further details.</w:t>
            </w:r>
          </w:p>
        </w:tc>
      </w:tr>
    </w:tbl>
    <w:p w14:paraId="28149D8B" w14:textId="77777777" w:rsidR="000302C6" w:rsidRPr="000302C6" w:rsidRDefault="000302C6" w:rsidP="00E2375E">
      <w:pPr>
        <w:numPr>
          <w:ilvl w:val="0"/>
          <w:numId w:val="40"/>
        </w:numPr>
        <w:spacing w:before="120" w:line="240" w:lineRule="auto"/>
        <w:ind w:left="360"/>
        <w:rPr>
          <w:rFonts w:eastAsia="Cambria" w:cs="Times New Roman"/>
        </w:rPr>
      </w:pPr>
      <w:r w:rsidRPr="000302C6">
        <w:rPr>
          <w:rFonts w:eastAsia="Cambria" w:cs="Times New Roman"/>
        </w:rPr>
        <w:t>The safety statement for all non-steroidal anti-inflammatory (NSAIDs) agents in the pregnancy database applies to sodium salicylate, and reads:</w:t>
      </w:r>
    </w:p>
    <w:p w14:paraId="39ECA14F" w14:textId="77777777" w:rsidR="000302C6" w:rsidRPr="000302C6" w:rsidRDefault="000302C6" w:rsidP="00E2375E">
      <w:pPr>
        <w:spacing w:before="120" w:line="240" w:lineRule="auto"/>
        <w:ind w:left="720"/>
        <w:rPr>
          <w:rFonts w:eastAsia="Cambria" w:cs="Times New Roman"/>
        </w:rPr>
      </w:pPr>
      <w:r w:rsidRPr="000302C6">
        <w:rPr>
          <w:rFonts w:eastAsia="Cambria" w:cs="Times New Roman"/>
        </w:rPr>
        <w:t xml:space="preserve">Non-steroidal anti-inflammatory (NSAIDs) agents inhibit prostaglandin synthesis which may adversely affect pregnancy. Refer to the relevant texts in the Product Information of individual NSAID products for information regarding the suitability for use in pregnancy. Epidemiological studies suggest an increased risk of spontaneous abortion after use of prostaglandin synthesis inhibitors in early pregnancy. When given during the latter part of pregnancy, may cause closure of the </w:t>
      </w:r>
      <w:proofErr w:type="spellStart"/>
      <w:r w:rsidRPr="000302C6">
        <w:rPr>
          <w:rFonts w:eastAsia="Cambria" w:cs="Times New Roman"/>
        </w:rPr>
        <w:t>fetal</w:t>
      </w:r>
      <w:proofErr w:type="spellEnd"/>
      <w:r w:rsidRPr="000302C6">
        <w:rPr>
          <w:rFonts w:eastAsia="Cambria" w:cs="Times New Roman"/>
        </w:rPr>
        <w:t xml:space="preserve"> ductus arteriosus, oligohydramnios, </w:t>
      </w:r>
      <w:proofErr w:type="spellStart"/>
      <w:r w:rsidRPr="000302C6">
        <w:rPr>
          <w:rFonts w:eastAsia="Cambria" w:cs="Times New Roman"/>
        </w:rPr>
        <w:t>fetal</w:t>
      </w:r>
      <w:proofErr w:type="spellEnd"/>
      <w:r w:rsidRPr="000302C6">
        <w:rPr>
          <w:rFonts w:eastAsia="Cambria" w:cs="Times New Roman"/>
        </w:rPr>
        <w:t xml:space="preserve"> renal impairment, inhibition of platelet aggregation, and delay labour and birth. Continuous treatment with NSAIDs during the last trimester of pregnancy should only be given on sound indications. During the last few days before expected birth, agents with an inhibitory effect on prostaglandin synthesis should be avoided.</w:t>
      </w:r>
    </w:p>
    <w:p w14:paraId="45F515F0" w14:textId="77777777" w:rsidR="000302C6" w:rsidRPr="000302C6" w:rsidRDefault="000302C6" w:rsidP="00E2375E">
      <w:pPr>
        <w:numPr>
          <w:ilvl w:val="0"/>
          <w:numId w:val="41"/>
        </w:numPr>
        <w:spacing w:before="120" w:line="240" w:lineRule="auto"/>
        <w:rPr>
          <w:rFonts w:eastAsia="Cambria" w:cs="Times New Roman"/>
        </w:rPr>
      </w:pPr>
      <w:r w:rsidRPr="000302C6">
        <w:rPr>
          <w:rFonts w:eastAsia="Cambria" w:cs="Times New Roman"/>
        </w:rPr>
        <w:t xml:space="preserve">There are no warning statements pertaining to salicylic acid or its salts in the </w:t>
      </w:r>
      <w:hyperlink r:id="rId76" w:history="1">
        <w:r w:rsidRPr="000302C6">
          <w:rPr>
            <w:rFonts w:eastAsia="Cambria" w:cs="Times New Roman"/>
            <w:color w:val="0000FF"/>
            <w:u w:val="single"/>
          </w:rPr>
          <w:t>Therapeutic Goods (Medicines Advisory Statements) Specification 2021</w:t>
        </w:r>
      </w:hyperlink>
      <w:r w:rsidRPr="000302C6">
        <w:rPr>
          <w:rFonts w:eastAsia="Cambria" w:cs="Times New Roman"/>
        </w:rPr>
        <w:t>.</w:t>
      </w:r>
    </w:p>
    <w:p w14:paraId="6657618A" w14:textId="36AD5A14" w:rsidR="000302C6" w:rsidRPr="00515E1D" w:rsidRDefault="000302C6" w:rsidP="00BF317E">
      <w:pPr>
        <w:pStyle w:val="ListBullet"/>
        <w:numPr>
          <w:ilvl w:val="0"/>
          <w:numId w:val="40"/>
        </w:numPr>
        <w:ind w:left="360"/>
      </w:pPr>
      <w:r w:rsidRPr="00515E1D">
        <w:t>Between 21 May 2016</w:t>
      </w:r>
      <w:r w:rsidRPr="00515E1D">
        <w:rPr>
          <w:rFonts w:cs="Arial"/>
        </w:rPr>
        <w:t xml:space="preserve"> and 21 May </w:t>
      </w:r>
      <w:r w:rsidRPr="00515E1D">
        <w:t xml:space="preserve">2026, there were 346 reports of adverse events for products containing salicylic acid as an active ingredient on the </w:t>
      </w:r>
      <w:hyperlink r:id="rId77" w:history="1">
        <w:r w:rsidRPr="00515E1D">
          <w:rPr>
            <w:color w:val="0000FF"/>
            <w:u w:val="single"/>
          </w:rPr>
          <w:t>Database of Adverse Event Notifications (DAEN)</w:t>
        </w:r>
      </w:hyperlink>
      <w:r w:rsidRPr="00515E1D">
        <w:t>. Salicylic acid was the single suspected medicine in 107 reports</w:t>
      </w:r>
      <w:r w:rsidR="00515E1D" w:rsidRPr="00515E1D">
        <w:t xml:space="preserve">. </w:t>
      </w:r>
      <w:r w:rsidR="00515E1D" w:rsidRPr="00C417B6">
        <w:t xml:space="preserve">There were </w:t>
      </w:r>
      <w:r w:rsidR="00515E1D">
        <w:t>29</w:t>
      </w:r>
      <w:r w:rsidR="00515E1D" w:rsidRPr="00C417B6">
        <w:t xml:space="preserve"> reports of deaths associated with </w:t>
      </w:r>
      <w:r w:rsidR="00515E1D">
        <w:t>these reports of adverse events.</w:t>
      </w:r>
    </w:p>
    <w:p w14:paraId="4145E4AB" w14:textId="77777777" w:rsidR="000302C6" w:rsidRPr="000302C6" w:rsidRDefault="000302C6" w:rsidP="00E2375E">
      <w:pPr>
        <w:numPr>
          <w:ilvl w:val="0"/>
          <w:numId w:val="40"/>
        </w:numPr>
        <w:spacing w:before="120" w:line="240" w:lineRule="auto"/>
        <w:ind w:left="360"/>
        <w:rPr>
          <w:rFonts w:eastAsia="Cambria" w:cs="Times New Roman"/>
        </w:rPr>
      </w:pPr>
      <w:r w:rsidRPr="000302C6">
        <w:rPr>
          <w:rFonts w:eastAsia="Cambria" w:cs="Times New Roman"/>
        </w:rPr>
        <w:t xml:space="preserve">As of 21 May 2026, there were 11 products containing salicylic acid as an active ingredient/constituent or scheduled substance listed on the </w:t>
      </w:r>
      <w:hyperlink r:id="rId78" w:history="1">
        <w:r w:rsidRPr="000302C6">
          <w:rPr>
            <w:rFonts w:eastAsia="Cambria" w:cs="Times New Roman"/>
            <w:color w:val="0000FF"/>
            <w:u w:val="single"/>
          </w:rPr>
          <w:t>Public Chemical Registration Information System Search (</w:t>
        </w:r>
        <w:proofErr w:type="spellStart"/>
        <w:r w:rsidRPr="000302C6">
          <w:rPr>
            <w:rFonts w:eastAsia="Cambria" w:cs="Times New Roman"/>
            <w:color w:val="0000FF"/>
            <w:u w:val="single"/>
          </w:rPr>
          <w:t>PubCRIS</w:t>
        </w:r>
        <w:proofErr w:type="spellEnd"/>
        <w:r w:rsidRPr="000302C6">
          <w:rPr>
            <w:rFonts w:eastAsia="Cambria" w:cs="Times New Roman"/>
            <w:color w:val="0000FF"/>
            <w:u w:val="single"/>
          </w:rPr>
          <w:t>)</w:t>
        </w:r>
      </w:hyperlink>
      <w:r w:rsidRPr="000302C6">
        <w:rPr>
          <w:rFonts w:eastAsia="Cambria" w:cs="Times New Roman"/>
        </w:rPr>
        <w:t>.</w:t>
      </w:r>
    </w:p>
    <w:p w14:paraId="31623F6D" w14:textId="60574240" w:rsidR="000302C6" w:rsidRPr="000302C6" w:rsidRDefault="000302C6" w:rsidP="00E2375E">
      <w:pPr>
        <w:numPr>
          <w:ilvl w:val="0"/>
          <w:numId w:val="40"/>
        </w:numPr>
        <w:spacing w:before="120" w:line="240" w:lineRule="auto"/>
        <w:ind w:left="360" w:hanging="357"/>
        <w:rPr>
          <w:rFonts w:eastAsia="Cambria" w:cs="Times New Roman"/>
        </w:rPr>
      </w:pPr>
      <w:r w:rsidRPr="000302C6">
        <w:rPr>
          <w:rFonts w:eastAsia="Cambria" w:cs="Times New Roman"/>
        </w:rPr>
        <w:t xml:space="preserve">In 2009-2019 the following adverse experiences were recorded for salicylic acid in the </w:t>
      </w:r>
      <w:hyperlink r:id="rId79">
        <w:r w:rsidRPr="000302C6">
          <w:rPr>
            <w:rFonts w:eastAsia="Cambria" w:cs="Times New Roman"/>
            <w:color w:val="0000FF"/>
            <w:u w:val="single"/>
          </w:rPr>
          <w:t>APVMA Adverse Experience Reporting Program</w:t>
        </w:r>
      </w:hyperlink>
      <w:r w:rsidRPr="000302C6">
        <w:rPr>
          <w:rFonts w:eastAsia="Cambria" w:cs="Times New Roman"/>
        </w:rPr>
        <w:t xml:space="preserve"> database (AERP):</w:t>
      </w:r>
    </w:p>
    <w:p w14:paraId="21280121" w14:textId="4ECB17A7" w:rsidR="000302C6" w:rsidRPr="00515E1D" w:rsidRDefault="000302C6" w:rsidP="00E2375E">
      <w:pPr>
        <w:pStyle w:val="ListBullet2"/>
        <w:spacing w:after="120" w:line="240" w:lineRule="auto"/>
        <w:rPr>
          <w:color w:val="auto"/>
        </w:rPr>
      </w:pPr>
      <w:r w:rsidRPr="00515E1D">
        <w:rPr>
          <w:color w:val="auto"/>
        </w:rPr>
        <w:t>1 report of deafness classified as related to animal health (2015).</w:t>
      </w:r>
    </w:p>
    <w:p w14:paraId="16C0223D" w14:textId="2DF30D73" w:rsidR="000302C6" w:rsidRPr="00515E1D" w:rsidRDefault="000302C6" w:rsidP="00E2375E">
      <w:pPr>
        <w:pStyle w:val="ListBullet2"/>
        <w:spacing w:after="120" w:line="240" w:lineRule="auto"/>
        <w:rPr>
          <w:color w:val="auto"/>
        </w:rPr>
      </w:pPr>
      <w:r w:rsidRPr="00515E1D">
        <w:rPr>
          <w:color w:val="auto"/>
        </w:rPr>
        <w:t>1 report of pain, swelling and ulceration classified as related to animal health (2014).</w:t>
      </w:r>
    </w:p>
    <w:p w14:paraId="63EE2A11" w14:textId="225AFA87" w:rsidR="000302C6" w:rsidRPr="000302C6" w:rsidRDefault="000302C6" w:rsidP="00E2375E">
      <w:pPr>
        <w:numPr>
          <w:ilvl w:val="0"/>
          <w:numId w:val="40"/>
        </w:numPr>
        <w:spacing w:before="120" w:line="240" w:lineRule="auto"/>
        <w:ind w:left="360"/>
        <w:rPr>
          <w:rFonts w:eastAsia="Cambria" w:cs="Times New Roman"/>
        </w:rPr>
      </w:pPr>
      <w:r w:rsidRPr="000302C6">
        <w:rPr>
          <w:rFonts w:eastAsia="Cambria" w:cs="Times New Roman"/>
        </w:rPr>
        <w:t xml:space="preserve">Salicylic acid and its salts are included on the </w:t>
      </w:r>
      <w:hyperlink r:id="rId80" w:history="1">
        <w:r w:rsidRPr="000302C6">
          <w:rPr>
            <w:rFonts w:eastAsia="Cambria" w:cs="Times New Roman"/>
            <w:color w:val="0000FF"/>
            <w:u w:val="single"/>
          </w:rPr>
          <w:t>Australian Inventory of Industrial Chemicals</w:t>
        </w:r>
      </w:hyperlink>
      <w:r w:rsidRPr="000302C6">
        <w:rPr>
          <w:rFonts w:eastAsia="Cambria" w:cs="Times New Roman"/>
        </w:rPr>
        <w:t>.</w:t>
      </w:r>
    </w:p>
    <w:p w14:paraId="42D0B8F3" w14:textId="77777777" w:rsidR="000302C6" w:rsidRPr="000302C6" w:rsidRDefault="000302C6" w:rsidP="000302C6">
      <w:pPr>
        <w:keepNext/>
        <w:keepLines/>
        <w:spacing w:before="120" w:line="240" w:lineRule="atLeast"/>
        <w:outlineLvl w:val="3"/>
        <w:rPr>
          <w:rFonts w:eastAsia="Cambria" w:cs="Times New Roman"/>
          <w:bCs/>
          <w:color w:val="001871"/>
          <w:sz w:val="28"/>
          <w:szCs w:val="26"/>
        </w:rPr>
      </w:pPr>
      <w:bookmarkStart w:id="93" w:name="_Toc165905901"/>
      <w:r w:rsidRPr="000302C6">
        <w:rPr>
          <w:rFonts w:eastAsia="Cambria" w:cs="Times New Roman"/>
          <w:bCs/>
          <w:color w:val="001871"/>
          <w:sz w:val="28"/>
          <w:szCs w:val="26"/>
        </w:rPr>
        <w:t>International regulations</w:t>
      </w:r>
      <w:bookmarkEnd w:id="93"/>
    </w:p>
    <w:p w14:paraId="5C5415E5" w14:textId="77777777" w:rsidR="000302C6" w:rsidRPr="000302C6" w:rsidRDefault="000302C6" w:rsidP="00E2375E">
      <w:pPr>
        <w:numPr>
          <w:ilvl w:val="0"/>
          <w:numId w:val="40"/>
        </w:numPr>
        <w:spacing w:before="120" w:line="240" w:lineRule="auto"/>
        <w:ind w:left="360"/>
        <w:rPr>
          <w:rFonts w:eastAsia="Cambria" w:cs="Times New Roman"/>
        </w:rPr>
      </w:pPr>
      <w:r w:rsidRPr="000302C6">
        <w:rPr>
          <w:rFonts w:eastAsia="Cambria" w:cs="Times New Roman"/>
        </w:rPr>
        <w:t xml:space="preserve">No prescription medicines listed on the </w:t>
      </w:r>
      <w:r w:rsidRPr="000302C6">
        <w:rPr>
          <w:rFonts w:eastAsia="Cambria" w:cs="Times New Roman"/>
        </w:rPr>
        <w:fldChar w:fldCharType="begin"/>
      </w:r>
      <w:r w:rsidRPr="000302C6">
        <w:rPr>
          <w:rFonts w:eastAsia="Cambria" w:cs="Times New Roman"/>
        </w:rPr>
        <w:instrText xml:space="preserve"> HYPERLINK "https://www.accessdata.fda.gov/scripts/cder/daf/" </w:instrText>
      </w:r>
      <w:r w:rsidRPr="000302C6">
        <w:rPr>
          <w:rFonts w:eastAsia="Cambria" w:cs="Times New Roman"/>
        </w:rPr>
      </w:r>
      <w:r w:rsidRPr="000302C6">
        <w:rPr>
          <w:rFonts w:eastAsia="Cambria" w:cs="Times New Roman"/>
        </w:rPr>
        <w:fldChar w:fldCharType="separate"/>
      </w:r>
      <w:r w:rsidRPr="000302C6">
        <w:rPr>
          <w:rFonts w:eastAsia="Cambria" w:cs="Times New Roman"/>
          <w:color w:val="0000FF"/>
          <w:u w:val="single"/>
        </w:rPr>
        <w:t>United States Food and Drug Administration Approved Drug Products Database (</w:t>
      </w:r>
      <w:proofErr w:type="spellStart"/>
      <w:r w:rsidRPr="000302C6">
        <w:rPr>
          <w:rFonts w:eastAsia="Cambria" w:cs="Times New Roman"/>
          <w:color w:val="0000FF"/>
          <w:u w:val="single"/>
        </w:rPr>
        <w:t>Drugs@FDA</w:t>
      </w:r>
      <w:proofErr w:type="spellEnd"/>
      <w:r w:rsidRPr="000302C6">
        <w:rPr>
          <w:rFonts w:eastAsia="Cambria" w:cs="Times New Roman"/>
          <w:color w:val="0000FF"/>
          <w:u w:val="single"/>
        </w:rPr>
        <w:t xml:space="preserve">) </w:t>
      </w:r>
      <w:r w:rsidRPr="000302C6">
        <w:rPr>
          <w:rFonts w:eastAsia="Cambria" w:cs="Times New Roman"/>
        </w:rPr>
        <w:t>contain salicylic acid as an active ingredient.</w:t>
      </w:r>
    </w:p>
    <w:p w14:paraId="20D8E74E" w14:textId="77777777" w:rsidR="000302C6" w:rsidRPr="000302C6" w:rsidRDefault="000302C6" w:rsidP="00E2375E">
      <w:pPr>
        <w:numPr>
          <w:ilvl w:val="0"/>
          <w:numId w:val="4"/>
        </w:numPr>
        <w:spacing w:before="120" w:line="240" w:lineRule="auto"/>
        <w:rPr>
          <w:rFonts w:eastAsia="Cambria" w:cs="Times New Roman"/>
        </w:rPr>
      </w:pPr>
      <w:r w:rsidRPr="000302C6">
        <w:rPr>
          <w:rFonts w:eastAsia="Cambria" w:cs="Times New Roman"/>
        </w:rPr>
        <w:fldChar w:fldCharType="end"/>
      </w:r>
      <w:r w:rsidRPr="000302C6">
        <w:rPr>
          <w:rFonts w:eastAsia="Cambria" w:cs="Times New Roman"/>
        </w:rPr>
        <w:t xml:space="preserve">Salicylic acid is pending registration as an antimicrobial pesticide according to the </w:t>
      </w:r>
      <w:hyperlink r:id="rId81" w:history="1">
        <w:r w:rsidRPr="000302C6">
          <w:rPr>
            <w:rFonts w:eastAsia="Cambria" w:cs="Times New Roman"/>
            <w:color w:val="0000FF"/>
            <w:u w:val="single"/>
          </w:rPr>
          <w:t>United States Environmental Protection Agency’s (US EPA) Office of Pesticides Programs</w:t>
        </w:r>
      </w:hyperlink>
      <w:r w:rsidRPr="000302C6">
        <w:rPr>
          <w:rFonts w:eastAsia="Cambria" w:cs="Times New Roman"/>
        </w:rPr>
        <w:t>.</w:t>
      </w:r>
    </w:p>
    <w:p w14:paraId="3C2E7181" w14:textId="77777777" w:rsidR="000302C6" w:rsidRPr="000302C6" w:rsidRDefault="000302C6" w:rsidP="00E2375E">
      <w:pPr>
        <w:numPr>
          <w:ilvl w:val="0"/>
          <w:numId w:val="4"/>
        </w:numPr>
        <w:spacing w:before="120" w:line="240" w:lineRule="auto"/>
        <w:ind w:hanging="357"/>
        <w:rPr>
          <w:rFonts w:eastAsia="Cambria" w:cs="Times New Roman"/>
        </w:rPr>
      </w:pPr>
      <w:r w:rsidRPr="000302C6">
        <w:rPr>
          <w:rFonts w:eastAsia="Cambria" w:cs="Times New Roman"/>
        </w:rPr>
        <w:t xml:space="preserve">The </w:t>
      </w:r>
      <w:hyperlink r:id="rId82" w:history="1">
        <w:r w:rsidRPr="000302C6">
          <w:rPr>
            <w:rFonts w:eastAsia="Cambria" w:cs="Times New Roman"/>
            <w:color w:val="0000FF"/>
            <w:u w:val="single"/>
          </w:rPr>
          <w:t>European Commission database for information on cosmetic substances and ingredients database</w:t>
        </w:r>
      </w:hyperlink>
      <w:r w:rsidRPr="000302C6">
        <w:rPr>
          <w:rFonts w:eastAsia="Cambria" w:cs="Times New Roman"/>
        </w:rPr>
        <w:t xml:space="preserve"> includes salicylic acid and its salts (calcium salicylate, magnesium salicylate, </w:t>
      </w:r>
      <w:proofErr w:type="spellStart"/>
      <w:r w:rsidRPr="000302C6">
        <w:rPr>
          <w:rFonts w:eastAsia="Cambria" w:cs="Times New Roman"/>
        </w:rPr>
        <w:t>mea</w:t>
      </w:r>
      <w:proofErr w:type="spellEnd"/>
      <w:r w:rsidRPr="000302C6">
        <w:rPr>
          <w:rFonts w:eastAsia="Cambria" w:cs="Times New Roman"/>
        </w:rPr>
        <w:t>- salicylate, sodium salicylate, potassium salicylate, tea- salicylate) with a maximum concentration in ready to use preparations of 0.5%. They also require the following warnings:</w:t>
      </w:r>
    </w:p>
    <w:p w14:paraId="5CC5375B" w14:textId="77777777" w:rsidR="000302C6" w:rsidRPr="00515E1D" w:rsidRDefault="000302C6" w:rsidP="00E2375E">
      <w:pPr>
        <w:pStyle w:val="ListBullet2"/>
        <w:spacing w:after="120" w:line="240" w:lineRule="auto"/>
        <w:rPr>
          <w:color w:val="auto"/>
        </w:rPr>
      </w:pPr>
      <w:r w:rsidRPr="00515E1D">
        <w:rPr>
          <w:color w:val="auto"/>
        </w:rPr>
        <w:lastRenderedPageBreak/>
        <w:t>Salicylic acid: Not to be used in products for children under 3 years of age. Not to be used in oral products. Not to be used in applications that may lead to exposure of the end-user’s lungs by inhalation.</w:t>
      </w:r>
    </w:p>
    <w:p w14:paraId="14E98191" w14:textId="77777777" w:rsidR="000302C6" w:rsidRPr="00515E1D" w:rsidRDefault="000302C6" w:rsidP="00E2375E">
      <w:pPr>
        <w:pStyle w:val="ListBullet2"/>
        <w:spacing w:after="120" w:line="240" w:lineRule="auto"/>
        <w:rPr>
          <w:color w:val="auto"/>
        </w:rPr>
      </w:pPr>
      <w:r w:rsidRPr="00515E1D">
        <w:rPr>
          <w:color w:val="auto"/>
        </w:rPr>
        <w:t>Salicylic acid salts: Not to be used in products for children under 3 years of age, except for shampoos.</w:t>
      </w:r>
    </w:p>
    <w:p w14:paraId="5D1C538B" w14:textId="77777777" w:rsidR="000302C6" w:rsidRPr="000302C6" w:rsidRDefault="000302C6" w:rsidP="00E2375E">
      <w:pPr>
        <w:numPr>
          <w:ilvl w:val="0"/>
          <w:numId w:val="40"/>
        </w:numPr>
        <w:spacing w:before="120" w:line="240" w:lineRule="auto"/>
        <w:ind w:left="360" w:hanging="357"/>
        <w:rPr>
          <w:rFonts w:eastAsia="Cambria" w:cs="Times New Roman"/>
        </w:rPr>
      </w:pPr>
      <w:r w:rsidRPr="000302C6">
        <w:rPr>
          <w:rFonts w:eastAsia="Cambria" w:cs="Times New Roman"/>
        </w:rPr>
        <w:t xml:space="preserve">Sodium salicylate is included on the </w:t>
      </w:r>
      <w:hyperlink r:id="rId83" w:history="1">
        <w:r w:rsidRPr="000302C6">
          <w:rPr>
            <w:rFonts w:eastAsia="Cambria" w:cs="Times New Roman"/>
            <w:color w:val="0000FF"/>
            <w:u w:val="single"/>
          </w:rPr>
          <w:t>European Commission</w:t>
        </w:r>
      </w:hyperlink>
      <w:r w:rsidRPr="000302C6">
        <w:rPr>
          <w:rFonts w:eastAsia="Cambria" w:cs="Times New Roman"/>
        </w:rPr>
        <w:t xml:space="preserve"> Register of medicinal products as a “Nationally authorised - Veterinary use” medicine including in a 100% powder for oral solution. There are no authorised human uses for salicylic acid.</w:t>
      </w:r>
    </w:p>
    <w:p w14:paraId="22BDDA5C" w14:textId="53ECDE76" w:rsidR="000302C6" w:rsidRPr="000302C6" w:rsidRDefault="000302C6" w:rsidP="00E2375E">
      <w:pPr>
        <w:numPr>
          <w:ilvl w:val="0"/>
          <w:numId w:val="40"/>
        </w:numPr>
        <w:spacing w:before="120" w:line="240" w:lineRule="auto"/>
        <w:ind w:left="360" w:hanging="357"/>
        <w:rPr>
          <w:rFonts w:eastAsia="Cambria" w:cs="Times New Roman"/>
        </w:rPr>
      </w:pPr>
      <w:r w:rsidRPr="000302C6">
        <w:rPr>
          <w:rFonts w:eastAsia="Cambria" w:cs="Times New Roman"/>
        </w:rPr>
        <w:t xml:space="preserve">The </w:t>
      </w:r>
      <w:hyperlink r:id="rId84">
        <w:r w:rsidRPr="000302C6">
          <w:rPr>
            <w:rFonts w:eastAsia="Cambria" w:cs="Times New Roman"/>
            <w:color w:val="0000FF"/>
            <w:u w:val="single"/>
          </w:rPr>
          <w:t>European Chemicals Agency (ECHA)</w:t>
        </w:r>
      </w:hyperlink>
      <w:r w:rsidRPr="000302C6">
        <w:rPr>
          <w:rFonts w:eastAsia="Cambria" w:cs="Times New Roman"/>
        </w:rPr>
        <w:t xml:space="preserve"> lists salicylic acid as a hazardous substance and is restricted in cosmetic as outlined above. It is included in the Protection of Pregnant and Breastfeeding Workers Directive, Annex I+II with a classification, labelling, and packaging (CLP) requirement of ‘</w:t>
      </w:r>
      <w:proofErr w:type="spellStart"/>
      <w:r w:rsidRPr="000302C6">
        <w:rPr>
          <w:rFonts w:eastAsia="Cambria" w:cs="Times New Roman"/>
        </w:rPr>
        <w:t>Repr</w:t>
      </w:r>
      <w:proofErr w:type="spellEnd"/>
      <w:r w:rsidRPr="000302C6">
        <w:rPr>
          <w:rFonts w:eastAsia="Cambria" w:cs="Times New Roman"/>
        </w:rPr>
        <w:t>. 2’ and in the Safety and Health of Workers at Work Directive as a hazardous substance with CLP classifications ‘</w:t>
      </w:r>
      <w:proofErr w:type="spellStart"/>
      <w:r w:rsidRPr="000302C6">
        <w:rPr>
          <w:rFonts w:eastAsia="Cambria" w:cs="Times New Roman"/>
        </w:rPr>
        <w:t>Repr</w:t>
      </w:r>
      <w:proofErr w:type="spellEnd"/>
      <w:r w:rsidRPr="000302C6">
        <w:rPr>
          <w:rFonts w:eastAsia="Cambria" w:cs="Times New Roman"/>
        </w:rPr>
        <w:t>. 2; Acute Tox. 4; Eye Dam. 1.’</w:t>
      </w:r>
    </w:p>
    <w:p w14:paraId="686EAD3F" w14:textId="77777777" w:rsidR="000302C6" w:rsidRPr="000302C6" w:rsidRDefault="000302C6" w:rsidP="00E2375E">
      <w:pPr>
        <w:numPr>
          <w:ilvl w:val="0"/>
          <w:numId w:val="4"/>
        </w:numPr>
        <w:spacing w:before="120" w:line="240" w:lineRule="auto"/>
        <w:ind w:hanging="357"/>
        <w:rPr>
          <w:rFonts w:eastAsia="Cambria" w:cs="Times New Roman"/>
        </w:rPr>
      </w:pPr>
      <w:hyperlink r:id="rId85" w:history="1">
        <w:r w:rsidRPr="000302C6">
          <w:rPr>
            <w:rFonts w:eastAsia="Cambria" w:cs="Times New Roman"/>
            <w:color w:val="0000FF"/>
            <w:u w:val="single"/>
          </w:rPr>
          <w:t>New Zealand Medicines and Medical Devices Safety Authority (</w:t>
        </w:r>
        <w:proofErr w:type="spellStart"/>
        <w:r w:rsidRPr="000302C6">
          <w:rPr>
            <w:rFonts w:eastAsia="Cambria" w:cs="Times New Roman"/>
            <w:color w:val="0000FF"/>
            <w:u w:val="single"/>
          </w:rPr>
          <w:t>MedSafe</w:t>
        </w:r>
        <w:proofErr w:type="spellEnd"/>
      </w:hyperlink>
      <w:r w:rsidRPr="000302C6">
        <w:rPr>
          <w:rFonts w:eastAsia="Cambria" w:cs="Times New Roman"/>
        </w:rPr>
        <w:t>) restrictions on salicylic acid align with the current Poisons Standard: ‘restricted’ (equivalent to Pharmacist only) medicine when containing greater than 40% salicylic acid and otherwise available for general sale.</w:t>
      </w:r>
    </w:p>
    <w:p w14:paraId="78F94212" w14:textId="77777777" w:rsidR="000302C6" w:rsidRPr="000302C6" w:rsidRDefault="000302C6" w:rsidP="00E2375E">
      <w:pPr>
        <w:numPr>
          <w:ilvl w:val="0"/>
          <w:numId w:val="4"/>
        </w:numPr>
        <w:spacing w:before="120" w:line="240" w:lineRule="auto"/>
        <w:ind w:hanging="357"/>
        <w:rPr>
          <w:rFonts w:eastAsia="Cambria" w:cs="Times New Roman"/>
        </w:rPr>
      </w:pPr>
      <w:r w:rsidRPr="000302C6">
        <w:rPr>
          <w:rFonts w:eastAsia="Cambria" w:cs="Times New Roman"/>
        </w:rPr>
        <w:t xml:space="preserve">Salicylic acid does not have an individual approval but may be used under an appropriate group standard according to the </w:t>
      </w:r>
      <w:hyperlink r:id="rId86" w:history="1">
        <w:r w:rsidRPr="000302C6">
          <w:rPr>
            <w:rFonts w:eastAsia="Cambria" w:cs="Times New Roman"/>
            <w:color w:val="0000FF"/>
            <w:u w:val="single"/>
          </w:rPr>
          <w:t>New Zealand Inventory of Chemicals (</w:t>
        </w:r>
        <w:proofErr w:type="spellStart"/>
        <w:r w:rsidRPr="000302C6">
          <w:rPr>
            <w:rFonts w:eastAsia="Cambria" w:cs="Times New Roman"/>
            <w:color w:val="0000FF"/>
            <w:u w:val="single"/>
          </w:rPr>
          <w:t>NZIoC</w:t>
        </w:r>
        <w:proofErr w:type="spellEnd"/>
        <w:r w:rsidRPr="000302C6">
          <w:rPr>
            <w:rFonts w:eastAsia="Cambria" w:cs="Times New Roman"/>
            <w:color w:val="0000FF"/>
            <w:u w:val="single"/>
          </w:rPr>
          <w:t>)</w:t>
        </w:r>
      </w:hyperlink>
      <w:r w:rsidRPr="000302C6">
        <w:rPr>
          <w:rFonts w:eastAsia="Cambria" w:cs="Times New Roman"/>
        </w:rPr>
        <w:t>.</w:t>
      </w:r>
    </w:p>
    <w:p w14:paraId="0D6893DE" w14:textId="77777777" w:rsidR="000302C6" w:rsidRPr="000302C6" w:rsidRDefault="000302C6" w:rsidP="00E2375E">
      <w:pPr>
        <w:numPr>
          <w:ilvl w:val="0"/>
          <w:numId w:val="4"/>
        </w:numPr>
        <w:spacing w:before="120" w:line="240" w:lineRule="auto"/>
        <w:ind w:hanging="357"/>
        <w:rPr>
          <w:rFonts w:eastAsia="Cambria" w:cs="Times New Roman"/>
        </w:rPr>
      </w:pPr>
      <w:r w:rsidRPr="000302C6">
        <w:rPr>
          <w:rFonts w:eastAsia="Cambria" w:cs="Times New Roman"/>
        </w:rPr>
        <w:t xml:space="preserve">There are 16 approved products containing salicylic acid listed on the </w:t>
      </w:r>
      <w:hyperlink r:id="rId87" w:history="1">
        <w:r w:rsidRPr="000302C6">
          <w:rPr>
            <w:rFonts w:eastAsia="Cambria" w:cs="Times New Roman"/>
            <w:color w:val="0000FF"/>
            <w:u w:val="single"/>
          </w:rPr>
          <w:t>Canadian (Health Canada) Drug Product Database</w:t>
        </w:r>
      </w:hyperlink>
      <w:r w:rsidRPr="000302C6">
        <w:rPr>
          <w:rFonts w:eastAsia="Cambria" w:cs="Times New Roman"/>
        </w:rPr>
        <w:t>. All represent non-prescription drugs. Fifteen products are listed for human use, with 1 listed for veterinary use.</w:t>
      </w:r>
    </w:p>
    <w:p w14:paraId="4E067170" w14:textId="6366290D" w:rsidR="00FE5271" w:rsidRPr="00FE5271" w:rsidRDefault="000302C6" w:rsidP="00E2375E">
      <w:pPr>
        <w:numPr>
          <w:ilvl w:val="0"/>
          <w:numId w:val="4"/>
        </w:numPr>
        <w:spacing w:before="120" w:line="240" w:lineRule="auto"/>
        <w:ind w:hanging="357"/>
        <w:rPr>
          <w:rFonts w:eastAsia="Cambria" w:cs="Times New Roman"/>
        </w:rPr>
      </w:pPr>
      <w:r w:rsidRPr="000302C6">
        <w:rPr>
          <w:rFonts w:eastAsia="Cambria" w:cs="Times New Roman"/>
        </w:rPr>
        <w:t xml:space="preserve">Salicylic acid and its salts are not approved for use in pesticides according to the </w:t>
      </w:r>
      <w:hyperlink r:id="rId88" w:history="1">
        <w:r w:rsidRPr="000302C6">
          <w:rPr>
            <w:rFonts w:eastAsia="Cambria" w:cs="Times New Roman"/>
            <w:color w:val="0000FF"/>
            <w:u w:val="single"/>
          </w:rPr>
          <w:t>Canada’s Pest Management Regulation Agency</w:t>
        </w:r>
      </w:hyperlink>
      <w:r w:rsidRPr="000302C6">
        <w:rPr>
          <w:rFonts w:eastAsia="Cambria" w:cs="Times New Roman"/>
        </w:rPr>
        <w:t>.</w:t>
      </w:r>
      <w:r w:rsidR="00FE5271" w:rsidRPr="00FE5271">
        <w:rPr>
          <w:rFonts w:eastAsia="Cambria" w:cs="Times New Roman"/>
        </w:rPr>
        <w:br w:type="page"/>
      </w:r>
    </w:p>
    <w:p w14:paraId="6179A719" w14:textId="0DD72FD6" w:rsidR="00685E72" w:rsidRPr="00C417B6" w:rsidRDefault="00685E72" w:rsidP="00E74709">
      <w:pPr>
        <w:pStyle w:val="Heading2"/>
      </w:pPr>
      <w:bookmarkStart w:id="94" w:name="_Toc230951743"/>
      <w:r w:rsidRPr="00C417B6">
        <w:lastRenderedPageBreak/>
        <w:t>How to respond</w:t>
      </w:r>
      <w:bookmarkEnd w:id="80"/>
      <w:bookmarkEnd w:id="94"/>
    </w:p>
    <w:p w14:paraId="130C614C" w14:textId="19BC718B" w:rsidR="00685E72" w:rsidRPr="00C417B6" w:rsidRDefault="00685E72" w:rsidP="00C417B6">
      <w:r w:rsidRPr="00C417B6">
        <w:t xml:space="preserve">Submissions must be provided by the closing date of </w:t>
      </w:r>
      <w:r w:rsidR="004F6D2D" w:rsidRPr="00D659AA">
        <w:t>30 June 2026</w:t>
      </w:r>
      <w:r w:rsidRPr="00D659AA">
        <w:t xml:space="preserve"> </w:t>
      </w:r>
      <w:r w:rsidRPr="00C417B6">
        <w:t>through our </w:t>
      </w:r>
      <w:hyperlink r:id="rId89" w:history="1">
        <w:r w:rsidRPr="00BB7EF9">
          <w:rPr>
            <w:rStyle w:val="Hyperlink"/>
          </w:rPr>
          <w:t>consultation hub</w:t>
        </w:r>
      </w:hyperlink>
      <w:r w:rsidRPr="00C417B6">
        <w:t>. Any submission about any of the proposals to amend the Poisons Standard will be considered at the next meeting of the </w:t>
      </w:r>
      <w:hyperlink r:id="rId90" w:history="1">
        <w:r w:rsidRPr="00C417B6">
          <w:rPr>
            <w:rStyle w:val="Hyperlink"/>
          </w:rPr>
          <w:t>Advisory Committee on Medicines Scheduling (ACMS)</w:t>
        </w:r>
      </w:hyperlink>
      <w:r w:rsidRPr="00C417B6">
        <w:t>, meeting of the </w:t>
      </w:r>
      <w:hyperlink r:id="rId91" w:history="1">
        <w:r w:rsidRPr="00C417B6">
          <w:rPr>
            <w:rStyle w:val="Hyperlink"/>
          </w:rPr>
          <w:t>Advisory Committee on Chemicals Scheduling (ACCS)</w:t>
        </w:r>
      </w:hyperlink>
      <w:r w:rsidRPr="00C417B6">
        <w:t>, or a joint meeting of these two committees.</w:t>
      </w:r>
    </w:p>
    <w:p w14:paraId="5CFD53B6" w14:textId="77777777" w:rsidR="00685E72" w:rsidRPr="00C417B6" w:rsidRDefault="00685E72" w:rsidP="00E74709">
      <w:pPr>
        <w:pStyle w:val="Heading2"/>
      </w:pPr>
      <w:bookmarkStart w:id="95" w:name="_Toc122614250"/>
      <w:bookmarkStart w:id="96" w:name="_Toc230951744"/>
      <w:r w:rsidRPr="00C417B6">
        <w:t>What will happen</w:t>
      </w:r>
      <w:bookmarkEnd w:id="95"/>
      <w:bookmarkEnd w:id="96"/>
    </w:p>
    <w:p w14:paraId="7D81424F" w14:textId="77777777" w:rsidR="00685E72" w:rsidRPr="00C417B6" w:rsidRDefault="00685E72" w:rsidP="00C417B6">
      <w:r w:rsidRPr="00C417B6">
        <w:t xml:space="preserve">All public submissions will be published on the TGA website at </w:t>
      </w:r>
      <w:hyperlink r:id="rId92" w:history="1">
        <w:r w:rsidRPr="00C417B6">
          <w:rPr>
            <w:rStyle w:val="Hyperlink"/>
          </w:rPr>
          <w:t>Public submissions on scheduling matters</w:t>
        </w:r>
      </w:hyperlink>
      <w:r w:rsidRPr="00C417B6">
        <w:t xml:space="preserve">, unless marked confidential or indicated otherwise in the submission coversheet (see </w:t>
      </w:r>
      <w:hyperlink r:id="rId93" w:history="1">
        <w:r w:rsidRPr="00C417B6">
          <w:rPr>
            <w:rStyle w:val="Hyperlink"/>
          </w:rPr>
          <w:t>Privacy</w:t>
        </w:r>
        <w:r w:rsidR="00B90A0A" w:rsidRPr="00C417B6">
          <w:rPr>
            <w:rStyle w:val="Hyperlink"/>
          </w:rPr>
          <w:t> </w:t>
        </w:r>
        <w:r w:rsidRPr="00C417B6">
          <w:rPr>
            <w:rStyle w:val="Hyperlink"/>
          </w:rPr>
          <w:t>information</w:t>
        </w:r>
      </w:hyperlink>
      <w:r w:rsidRPr="00C417B6">
        <w:t>).</w:t>
      </w:r>
    </w:p>
    <w:p w14:paraId="118B06A4" w14:textId="77777777" w:rsidR="00F02AEC" w:rsidRDefault="00685E72" w:rsidP="00C417B6">
      <w:r w:rsidRPr="00C417B6">
        <w:t xml:space="preserve">Following consideration of public submissions received before the closing date and advice from the expert advisory committee/s, decisions on the proposed amendments will be published as interim decisions on the TGA website: </w:t>
      </w:r>
      <w:hyperlink r:id="rId94" w:history="1">
        <w:r w:rsidRPr="00C417B6">
          <w:rPr>
            <w:rStyle w:val="Hyperlink"/>
          </w:rPr>
          <w:t>Scheduling delegate's interim decisions &amp; invitations for further comment</w:t>
        </w:r>
      </w:hyperlink>
      <w:r w:rsidRPr="00C417B6">
        <w:t xml:space="preserve"> on </w:t>
      </w:r>
      <w:r w:rsidR="004F6D2D" w:rsidRPr="00D659AA">
        <w:t>30 June 2026</w:t>
      </w:r>
      <w:r w:rsidRPr="00C417B6">
        <w:t>.</w:t>
      </w:r>
    </w:p>
    <w:p w14:paraId="05AA740D" w14:textId="77777777" w:rsidR="00515E1D" w:rsidRDefault="00515E1D" w:rsidP="00C417B6"/>
    <w:p w14:paraId="5C91046F" w14:textId="77777777" w:rsidR="005A73B6" w:rsidRPr="00C417B6" w:rsidRDefault="005A73B6" w:rsidP="00C417B6">
      <w:pPr>
        <w:sectPr w:rsidR="005A73B6" w:rsidRPr="00C417B6" w:rsidSect="00D878B1">
          <w:headerReference w:type="default" r:id="rId95"/>
          <w:footerReference w:type="default" r:id="rId96"/>
          <w:pgSz w:w="11906" w:h="16838" w:code="9"/>
          <w:pgMar w:top="1134" w:right="1418" w:bottom="1361" w:left="1418" w:header="573" w:footer="567" w:gutter="0"/>
          <w:cols w:space="708"/>
          <w:docGrid w:linePitch="360"/>
        </w:sectPr>
      </w:pPr>
    </w:p>
    <w:tbl>
      <w:tblPr>
        <w:tblW w:w="8931" w:type="dxa"/>
        <w:tblInd w:w="-5" w:type="dxa"/>
        <w:tblLayout w:type="fixed"/>
        <w:tblCellMar>
          <w:left w:w="0" w:type="dxa"/>
          <w:right w:w="0" w:type="dxa"/>
        </w:tblCellMar>
        <w:tblLook w:val="04A0" w:firstRow="1" w:lastRow="0" w:firstColumn="1" w:lastColumn="0" w:noHBand="0" w:noVBand="1"/>
      </w:tblPr>
      <w:tblGrid>
        <w:gridCol w:w="8931"/>
      </w:tblGrid>
      <w:tr w:rsidR="00F02AEC" w:rsidRPr="00C417B6" w14:paraId="749699D0" w14:textId="77777777" w:rsidTr="00420A26">
        <w:trPr>
          <w:trHeight w:hRule="exact" w:val="565"/>
        </w:trPr>
        <w:tc>
          <w:tcPr>
            <w:tcW w:w="8931" w:type="dxa"/>
          </w:tcPr>
          <w:p w14:paraId="56757F04" w14:textId="77777777" w:rsidR="00F02AEC" w:rsidRPr="00C417B6" w:rsidRDefault="00F02AEC" w:rsidP="00E74709">
            <w:pPr>
              <w:pStyle w:val="TGASignoff"/>
            </w:pPr>
            <w:r w:rsidRPr="00C417B6">
              <w:lastRenderedPageBreak/>
              <w:t>Therapeutic Goods Administration</w:t>
            </w:r>
          </w:p>
        </w:tc>
      </w:tr>
      <w:tr w:rsidR="00F02AEC" w:rsidRPr="00C417B6" w14:paraId="026B232A" w14:textId="77777777" w:rsidTr="00420A26">
        <w:trPr>
          <w:trHeight w:val="807"/>
        </w:trPr>
        <w:tc>
          <w:tcPr>
            <w:tcW w:w="8931" w:type="dxa"/>
            <w:tcMar>
              <w:top w:w="28" w:type="dxa"/>
            </w:tcMar>
          </w:tcPr>
          <w:p w14:paraId="5097A6D7" w14:textId="77777777" w:rsidR="00F02AEC" w:rsidRPr="00C417B6" w:rsidRDefault="00F02AEC" w:rsidP="00E74709">
            <w:pPr>
              <w:pStyle w:val="Address"/>
              <w:jc w:val="center"/>
            </w:pPr>
            <w:r w:rsidRPr="00C417B6">
              <w:t>PO Box 100 Woden ACT 2606 Australia</w:t>
            </w:r>
          </w:p>
          <w:p w14:paraId="64E85DB2" w14:textId="77777777" w:rsidR="00F02AEC" w:rsidRPr="00C417B6" w:rsidRDefault="00F02AEC" w:rsidP="00E74709">
            <w:pPr>
              <w:pStyle w:val="Address"/>
              <w:jc w:val="center"/>
            </w:pPr>
            <w:r w:rsidRPr="00C417B6">
              <w:t xml:space="preserve">Email: </w:t>
            </w:r>
            <w:hyperlink r:id="rId97" w:history="1">
              <w:r w:rsidRPr="00C417B6">
                <w:rPr>
                  <w:rStyle w:val="Hyperlink"/>
                </w:rPr>
                <w:t>info@tga.gov.au</w:t>
              </w:r>
            </w:hyperlink>
            <w:r w:rsidRPr="00C417B6">
              <w:t xml:space="preserve">  Phone: 1800 020 653  Fax: 02 6203 1605</w:t>
            </w:r>
          </w:p>
          <w:p w14:paraId="415F5C77" w14:textId="77777777" w:rsidR="00F02AEC" w:rsidRPr="00C417B6" w:rsidRDefault="00F02AEC" w:rsidP="00E74709">
            <w:pPr>
              <w:pStyle w:val="Address"/>
              <w:jc w:val="center"/>
            </w:pPr>
            <w:hyperlink r:id="rId98" w:history="1">
              <w:r w:rsidRPr="00C417B6">
                <w:rPr>
                  <w:rStyle w:val="Hyperlink"/>
                </w:rPr>
                <w:t>https://www.tga.gov.au</w:t>
              </w:r>
            </w:hyperlink>
          </w:p>
        </w:tc>
      </w:tr>
      <w:bookmarkEnd w:id="0"/>
    </w:tbl>
    <w:p w14:paraId="1B72BFDB" w14:textId="77777777" w:rsidR="009506FA" w:rsidRPr="00C417B6" w:rsidRDefault="009506FA" w:rsidP="00D659AA"/>
    <w:sectPr w:rsidR="009506FA" w:rsidRPr="00C417B6" w:rsidSect="005A73B6">
      <w:headerReference w:type="default" r:id="rId99"/>
      <w:footerReference w:type="default" r:id="rId100"/>
      <w:headerReference w:type="first" r:id="rId101"/>
      <w:footerReference w:type="first" r:id="rId102"/>
      <w:pgSz w:w="11906" w:h="16838" w:code="9"/>
      <w:pgMar w:top="13571" w:right="1701" w:bottom="567" w:left="1701" w:header="1020" w:footer="7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D2AE" w14:textId="77777777" w:rsidR="006F3ED0" w:rsidRDefault="006F3ED0" w:rsidP="00F02AEC">
      <w:pPr>
        <w:spacing w:after="0" w:line="240" w:lineRule="auto"/>
      </w:pPr>
      <w:r>
        <w:separator/>
      </w:r>
    </w:p>
  </w:endnote>
  <w:endnote w:type="continuationSeparator" w:id="0">
    <w:p w14:paraId="3C39605C" w14:textId="77777777" w:rsidR="006F3ED0" w:rsidRDefault="006F3ED0" w:rsidP="00F02AEC">
      <w:pPr>
        <w:spacing w:after="0" w:line="240" w:lineRule="auto"/>
      </w:pPr>
      <w:r>
        <w:continuationSeparator/>
      </w:r>
    </w:p>
  </w:endnote>
  <w:endnote w:id="1">
    <w:p w14:paraId="5435B40A" w14:textId="26B81836" w:rsidR="00F92891" w:rsidRDefault="00F92891" w:rsidP="00515E1D">
      <w:pPr>
        <w:pStyle w:val="EndnoteText"/>
        <w:tabs>
          <w:tab w:val="left" w:pos="1096"/>
        </w:tab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odoni MT Black">
    <w:panose1 w:val="02070A030806060202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ADFF" w14:textId="77777777" w:rsidR="00FD0841" w:rsidRDefault="00FD0841">
    <w:pPr>
      <w:pStyle w:val="Footer"/>
    </w:pPr>
    <w:r>
      <w:rPr>
        <w:noProof/>
      </w:rPr>
      <mc:AlternateContent>
        <mc:Choice Requires="wps">
          <w:drawing>
            <wp:anchor distT="0" distB="0" distL="0" distR="0" simplePos="0" relativeHeight="251658244" behindDoc="0" locked="0" layoutInCell="1" allowOverlap="1" wp14:anchorId="105EE639" wp14:editId="5828947D">
              <wp:simplePos x="635" y="635"/>
              <wp:positionH relativeFrom="page">
                <wp:align>center</wp:align>
              </wp:positionH>
              <wp:positionV relativeFrom="page">
                <wp:align>bottom</wp:align>
              </wp:positionV>
              <wp:extent cx="622300" cy="391160"/>
              <wp:effectExtent l="0" t="0" r="6350" b="0"/>
              <wp:wrapNone/>
              <wp:docPr id="5469184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DEFDF59"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5EE639" id="_x0000_t202" coordsize="21600,21600" o:spt="202" path="m,l,21600r21600,l21600,xe">
              <v:stroke joinstyle="miter"/>
              <v:path gradientshapeok="t" o:connecttype="rect"/>
            </v:shapetype>
            <v:shape id="Text Box 7" o:spid="_x0000_s1029"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2DEFDF59"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540805BF" w14:textId="77777777" w:rsidTr="00D878B1">
      <w:trPr>
        <w:trHeight w:val="423"/>
      </w:trPr>
      <w:tc>
        <w:tcPr>
          <w:tcW w:w="4360" w:type="dxa"/>
          <w:tcBorders>
            <w:top w:val="single" w:sz="4" w:space="0" w:color="auto"/>
          </w:tcBorders>
        </w:tcPr>
        <w:p w14:paraId="001A5F96" w14:textId="77777777" w:rsidR="00F02AEC" w:rsidRDefault="00FD0841" w:rsidP="00D878B1">
          <w:pPr>
            <w:pStyle w:val="Footer"/>
          </w:pPr>
          <w:r>
            <w:rPr>
              <w:noProof/>
            </w:rPr>
            <mc:AlternateContent>
              <mc:Choice Requires="wps">
                <w:drawing>
                  <wp:anchor distT="0" distB="0" distL="0" distR="0" simplePos="0" relativeHeight="251658245" behindDoc="0" locked="0" layoutInCell="1" allowOverlap="1" wp14:anchorId="7F7E5471" wp14:editId="597FDB15">
                    <wp:simplePos x="635" y="635"/>
                    <wp:positionH relativeFrom="page">
                      <wp:align>center</wp:align>
                    </wp:positionH>
                    <wp:positionV relativeFrom="page">
                      <wp:align>bottom</wp:align>
                    </wp:positionV>
                    <wp:extent cx="622300" cy="391160"/>
                    <wp:effectExtent l="0" t="0" r="6350" b="0"/>
                    <wp:wrapNone/>
                    <wp:docPr id="187550350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CEFDBDA"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7E5471" id="_x0000_t202" coordsize="21600,21600" o:spt="202" path="m,l,21600r21600,l21600,xe">
                    <v:stroke joinstyle="miter"/>
                    <v:path gradientshapeok="t" o:connecttype="rect"/>
                  </v:shapetype>
                  <v:shape id="Text Box 8" o:spid="_x0000_s1030"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5CEFDBDA"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v:textbox>
                    <w10:wrap anchorx="page" anchory="page"/>
                  </v:shape>
                </w:pict>
              </mc:Fallback>
            </mc:AlternateContent>
          </w:r>
        </w:p>
        <w:p w14:paraId="0ED1B338" w14:textId="77777777" w:rsidR="00F02AEC" w:rsidRPr="00257138" w:rsidRDefault="00F02AEC" w:rsidP="00D878B1">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1DD527E4" w14:textId="77777777" w:rsidR="00F02AEC" w:rsidRDefault="00F02AEC" w:rsidP="00D878B1">
              <w:pPr>
                <w:pStyle w:val="Footer"/>
                <w:jc w:val="right"/>
              </w:pPr>
            </w:p>
            <w:p w14:paraId="15680EAF" w14:textId="77777777" w:rsidR="00F02AEC" w:rsidRPr="00257138" w:rsidRDefault="00F02AEC" w:rsidP="00D878B1">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F02AEC" w:rsidRPr="00257138" w14:paraId="5329BA27" w14:textId="77777777" w:rsidTr="00D878B1">
      <w:trPr>
        <w:trHeight w:val="263"/>
      </w:trPr>
      <w:tc>
        <w:tcPr>
          <w:tcW w:w="4360" w:type="dxa"/>
        </w:tcPr>
        <w:p w14:paraId="52D156BD" w14:textId="77777777" w:rsidR="00F02AEC" w:rsidRPr="00257138" w:rsidRDefault="00F02AEC" w:rsidP="00D878B1">
          <w:pPr>
            <w:pStyle w:val="Footer"/>
          </w:pPr>
          <w:r w:rsidRPr="00257138">
            <w:t xml:space="preserve">V1.0 </w:t>
          </w:r>
          <w:r>
            <w:t>Month</w:t>
          </w:r>
          <w:r w:rsidRPr="00257138">
            <w:t xml:space="preserve"> 201</w:t>
          </w:r>
          <w:r>
            <w:t>2</w:t>
          </w:r>
        </w:p>
      </w:tc>
      <w:tc>
        <w:tcPr>
          <w:tcW w:w="4360" w:type="dxa"/>
        </w:tcPr>
        <w:p w14:paraId="43F96F25" w14:textId="77777777" w:rsidR="00F02AEC" w:rsidRPr="00257138" w:rsidRDefault="00F02AEC" w:rsidP="00D878B1">
          <w:pPr>
            <w:pStyle w:val="Footer"/>
            <w:jc w:val="right"/>
          </w:pPr>
        </w:p>
      </w:tc>
    </w:tr>
  </w:tbl>
  <w:p w14:paraId="02D75099" w14:textId="77777777" w:rsidR="00F02AEC" w:rsidRPr="00826007" w:rsidRDefault="00F02AEC" w:rsidP="00D878B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94A5" w14:textId="75D1A8E5" w:rsidR="00F02AEC" w:rsidRDefault="00F02AEC" w:rsidP="00D878B1">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520CD5" w14:paraId="639A70D5" w14:textId="77777777" w:rsidTr="005A73B6">
      <w:trPr>
        <w:trHeight w:val="423"/>
      </w:trPr>
      <w:tc>
        <w:tcPr>
          <w:tcW w:w="7338" w:type="dxa"/>
        </w:tcPr>
        <w:p w14:paraId="6AE41A3A" w14:textId="4EE2D71D" w:rsidR="00F02AEC" w:rsidRPr="00F41EC8" w:rsidRDefault="00F41EC8" w:rsidP="00F41EC8">
          <w:pPr>
            <w:pStyle w:val="Footer"/>
          </w:pPr>
          <w:r w:rsidRPr="00F41EC8">
            <w:t xml:space="preserve">Consultation: Proposed amendments to the Poisons Standard – ACMS </w:t>
          </w:r>
          <w:r w:rsidR="00A24BF1">
            <w:t>#50</w:t>
          </w:r>
          <w:r w:rsidRPr="00F41EC8">
            <w:t xml:space="preserve"> and Joint ACMS-ACCS </w:t>
          </w:r>
          <w:r w:rsidR="00A24BF1">
            <w:t>#</w:t>
          </w:r>
          <w:r w:rsidR="00681B99">
            <w:t>44</w:t>
          </w:r>
          <w:r w:rsidRPr="00F41EC8">
            <w:t xml:space="preserve"> meetings, </w:t>
          </w:r>
          <w:r w:rsidR="00681B99">
            <w:t xml:space="preserve">July </w:t>
          </w:r>
          <w:r w:rsidR="003E1AE4">
            <w:t>2026</w:t>
          </w:r>
        </w:p>
      </w:tc>
      <w:tc>
        <w:tcPr>
          <w:tcW w:w="1734" w:type="dxa"/>
        </w:tcPr>
        <w:sdt>
          <w:sdtPr>
            <w:id w:val="11571659"/>
            <w:docPartObj>
              <w:docPartGallery w:val="Page Numbers (Top of Page)"/>
              <w:docPartUnique/>
            </w:docPartObj>
          </w:sdtPr>
          <w:sdtContent>
            <w:p w14:paraId="4BCF1D0E" w14:textId="77777777" w:rsidR="00F02AEC" w:rsidRPr="003575C3" w:rsidRDefault="00F02AEC" w:rsidP="00455705">
              <w:pPr>
                <w:pStyle w:val="Footer"/>
              </w:pPr>
              <w:r w:rsidRPr="003575C3">
                <w:t xml:space="preserve">Page </w:t>
              </w:r>
              <w:r w:rsidRPr="003575C3">
                <w:fldChar w:fldCharType="begin"/>
              </w:r>
              <w:r w:rsidRPr="003575C3">
                <w:instrText xml:space="preserve"> PAGE </w:instrText>
              </w:r>
              <w:r w:rsidRPr="003575C3">
                <w:fldChar w:fldCharType="separate"/>
              </w:r>
              <w:r w:rsidRPr="003575C3">
                <w:t>6</w:t>
              </w:r>
              <w:r w:rsidRPr="003575C3">
                <w:fldChar w:fldCharType="end"/>
              </w:r>
              <w:r w:rsidRPr="003575C3">
                <w:t xml:space="preserve"> of </w:t>
              </w:r>
              <w:r>
                <w:fldChar w:fldCharType="begin"/>
              </w:r>
              <w:r>
                <w:instrText>NUMPAGES</w:instrText>
              </w:r>
              <w:r>
                <w:fldChar w:fldCharType="separate"/>
              </w:r>
              <w:r w:rsidRPr="003575C3">
                <w:t>7</w:t>
              </w:r>
              <w:r>
                <w:fldChar w:fldCharType="end"/>
              </w:r>
            </w:p>
          </w:sdtContent>
        </w:sdt>
      </w:tc>
    </w:tr>
  </w:tbl>
  <w:p w14:paraId="36E797E9" w14:textId="2AB0CB69" w:rsidR="00F02AEC" w:rsidRPr="00B90A0A" w:rsidRDefault="00F02AEC" w:rsidP="00930BCB">
    <w:pPr>
      <w:pStyle w:val="Footer"/>
      <w:tabs>
        <w:tab w:val="left" w:pos="7620"/>
        <w:tab w:val="right" w:pos="8504"/>
      </w:tabs>
      <w:rPr>
        <w:rFonts w:asciiTheme="minorHAnsi" w:hAnsiTheme="minorHAnsi" w:cstheme="minorHAnsi"/>
        <w:sz w:val="18"/>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BDE0" w14:textId="58C0E873" w:rsidR="00930BCB" w:rsidRPr="00930BCB" w:rsidRDefault="00930BCB" w:rsidP="00930B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0D44" w14:textId="39324C44" w:rsidR="009506FA" w:rsidRPr="00D659AA" w:rsidRDefault="009506FA" w:rsidP="00D65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4E27" w14:textId="77777777" w:rsidR="006F3ED0" w:rsidRDefault="006F3ED0" w:rsidP="00F02AEC">
      <w:pPr>
        <w:spacing w:after="0" w:line="240" w:lineRule="auto"/>
      </w:pPr>
      <w:r>
        <w:separator/>
      </w:r>
    </w:p>
  </w:footnote>
  <w:footnote w:type="continuationSeparator" w:id="0">
    <w:p w14:paraId="6EAD19FF" w14:textId="77777777" w:rsidR="006F3ED0" w:rsidRDefault="006F3ED0" w:rsidP="00F02AEC">
      <w:pPr>
        <w:spacing w:after="0" w:line="240" w:lineRule="auto"/>
      </w:pPr>
      <w:r>
        <w:continuationSeparator/>
      </w:r>
    </w:p>
  </w:footnote>
  <w:footnote w:id="1">
    <w:p w14:paraId="79FFA62D" w14:textId="77777777" w:rsidR="00685E72" w:rsidRPr="008007EB" w:rsidRDefault="00685E72" w:rsidP="00E002A5">
      <w:pPr>
        <w:pStyle w:val="FootnoteText"/>
        <w:spacing w:before="120" w:after="120" w:line="240" w:lineRule="auto"/>
      </w:pPr>
      <w:r w:rsidRPr="008007EB">
        <w:rPr>
          <w:rStyle w:val="FootnoteReference"/>
          <w:rFonts w:asciiTheme="majorHAnsi" w:hAnsiTheme="majorHAnsi" w:cstheme="majorHAnsi"/>
          <w:sz w:val="17"/>
          <w:szCs w:val="17"/>
        </w:rPr>
        <w:footnoteRef/>
      </w:r>
      <w:r w:rsidRPr="008007EB">
        <w:t xml:space="preserve"> Proposed additions are shown in green underlined font, proposed deletions are shown in red strikethrough font, and text without this formatting represents the current text in the Poisons Standard.</w:t>
      </w:r>
    </w:p>
  </w:footnote>
  <w:footnote w:id="2">
    <w:p w14:paraId="2C063F1F" w14:textId="00196C91" w:rsidR="005408A4" w:rsidRDefault="005408A4" w:rsidP="00E002A5">
      <w:pPr>
        <w:pStyle w:val="FootnoteText"/>
        <w:spacing w:before="120" w:after="120" w:line="240" w:lineRule="auto"/>
      </w:pPr>
      <w:r>
        <w:rPr>
          <w:rStyle w:val="FootnoteReference"/>
        </w:rPr>
        <w:footnoteRef/>
      </w:r>
      <w:r>
        <w:t xml:space="preserve"> </w:t>
      </w:r>
      <w:hyperlink r:id="rId1" w:history="1">
        <w:r w:rsidRPr="008C7AB9">
          <w:rPr>
            <w:rStyle w:val="Hyperlink"/>
          </w:rPr>
          <w:t>https://www.aihw.gov.au/reports/chronic-respiratory-conditions/allergic-rhinitis-hay-fever</w:t>
        </w:r>
      </w:hyperlink>
    </w:p>
  </w:footnote>
  <w:footnote w:id="3">
    <w:p w14:paraId="07B65B1B" w14:textId="66EB23DF" w:rsidR="00ED15C9" w:rsidRDefault="00ED15C9" w:rsidP="00E002A5">
      <w:pPr>
        <w:pStyle w:val="FootnoteText"/>
        <w:spacing w:before="120" w:after="120" w:line="240" w:lineRule="auto"/>
      </w:pPr>
      <w:r>
        <w:rPr>
          <w:rStyle w:val="FootnoteReference"/>
        </w:rPr>
        <w:footnoteRef/>
      </w:r>
      <w:r>
        <w:t xml:space="preserve"> </w:t>
      </w:r>
      <w:proofErr w:type="spellStart"/>
      <w:r w:rsidR="008D3DB4">
        <w:t>DrugBank</w:t>
      </w:r>
      <w:proofErr w:type="spellEnd"/>
      <w:r w:rsidR="008D3DB4">
        <w:t xml:space="preserve"> (2</w:t>
      </w:r>
      <w:r w:rsidR="000B1AE4">
        <w:t xml:space="preserve">026): </w:t>
      </w:r>
      <w:r w:rsidR="008D3DB4">
        <w:t>Loratadine</w:t>
      </w:r>
      <w:r w:rsidR="000B1AE4">
        <w:t xml:space="preserve">. Available </w:t>
      </w:r>
      <w:r w:rsidR="00E3604F">
        <w:t>at:</w:t>
      </w:r>
      <w:r w:rsidR="008D3DB4">
        <w:t xml:space="preserve"> </w:t>
      </w:r>
      <w:hyperlink r:id="rId2" w:history="1">
        <w:r w:rsidR="008D3DB4" w:rsidRPr="009353C3">
          <w:rPr>
            <w:rStyle w:val="Hyperlink"/>
          </w:rPr>
          <w:t>https://go.drugbank.com/drugs/DB00455</w:t>
        </w:r>
      </w:hyperlink>
      <w:r>
        <w:t xml:space="preserve"> </w:t>
      </w:r>
      <w:r w:rsidR="00E3604F">
        <w:t>[Accessed 14 May 2026]</w:t>
      </w:r>
    </w:p>
  </w:footnote>
  <w:footnote w:id="4">
    <w:p w14:paraId="6519A525" w14:textId="7826B5CD" w:rsidR="00C431EC" w:rsidRDefault="00C431EC" w:rsidP="00E002A5">
      <w:pPr>
        <w:pStyle w:val="FootnoteText"/>
        <w:spacing w:before="120" w:after="120" w:line="240" w:lineRule="auto"/>
      </w:pPr>
      <w:r>
        <w:rPr>
          <w:rStyle w:val="FootnoteReference"/>
        </w:rPr>
        <w:footnoteRef/>
      </w:r>
      <w:r>
        <w:t xml:space="preserve"> </w:t>
      </w:r>
      <w:hyperlink r:id="rId3" w:history="1">
        <w:r w:rsidR="0094423A">
          <w:rPr>
            <w:rStyle w:val="Hyperlink"/>
          </w:rPr>
          <w:t>Final decisions &amp; reasons for decisions by delegates of the Secretary to the Department of Health, 29 June 2017</w:t>
        </w:r>
      </w:hyperlink>
    </w:p>
  </w:footnote>
  <w:footnote w:id="5">
    <w:p w14:paraId="49708F76" w14:textId="77777777" w:rsidR="00066D04" w:rsidRPr="008007EB" w:rsidRDefault="00066D04" w:rsidP="00E002A5">
      <w:pPr>
        <w:pStyle w:val="FootnoteText"/>
        <w:spacing w:before="120" w:after="120" w:line="240" w:lineRule="auto"/>
      </w:pPr>
      <w:r w:rsidRPr="008007EB">
        <w:rPr>
          <w:rStyle w:val="FootnoteReference"/>
          <w:rFonts w:asciiTheme="majorHAnsi" w:hAnsiTheme="majorHAnsi" w:cstheme="majorHAnsi"/>
          <w:sz w:val="17"/>
          <w:szCs w:val="17"/>
        </w:rPr>
        <w:footnoteRef/>
      </w:r>
      <w:r w:rsidRPr="008007EB">
        <w:t xml:space="preserve"> Proposed additions are shown in green underlined font, proposed deletions are shown in red strikethrough font, and text without this formatting represents the current text in the Poisons Standard.</w:t>
      </w:r>
    </w:p>
  </w:footnote>
  <w:footnote w:id="6">
    <w:p w14:paraId="7E3C82BF" w14:textId="77777777" w:rsidR="00066D04" w:rsidRDefault="00066D04" w:rsidP="00E002A5">
      <w:pPr>
        <w:pStyle w:val="FootnoteText"/>
        <w:spacing w:before="120" w:after="120" w:line="240" w:lineRule="auto"/>
      </w:pPr>
      <w:r>
        <w:rPr>
          <w:rStyle w:val="FootnoteReference"/>
        </w:rPr>
        <w:footnoteRef/>
      </w:r>
      <w:r>
        <w:t xml:space="preserve"> Australian Institute of Health and Welfare data on a</w:t>
      </w:r>
      <w:r w:rsidRPr="009F086F">
        <w:t>llergic rhinitis (hay fever)</w:t>
      </w:r>
      <w:r>
        <w:t xml:space="preserve">. </w:t>
      </w:r>
      <w:hyperlink r:id="rId4" w:history="1">
        <w:r>
          <w:rPr>
            <w:rStyle w:val="Hyperlink"/>
          </w:rPr>
          <w:t>www.aihw.gov.au/reports/chronic-respiratory-conditions/allergic-rhinitis-hay-fever</w:t>
        </w:r>
      </w:hyperlink>
      <w:r>
        <w:t>; accessed on 25 May 2026.</w:t>
      </w:r>
    </w:p>
  </w:footnote>
  <w:footnote w:id="7">
    <w:p w14:paraId="7270D444" w14:textId="77777777" w:rsidR="00066D04" w:rsidRDefault="00066D04" w:rsidP="00E002A5">
      <w:pPr>
        <w:pStyle w:val="FootnoteText"/>
        <w:spacing w:before="120" w:after="120" w:line="240" w:lineRule="auto"/>
      </w:pPr>
      <w:r>
        <w:rPr>
          <w:rStyle w:val="FootnoteReference"/>
        </w:rPr>
        <w:footnoteRef/>
      </w:r>
      <w:r>
        <w:t xml:space="preserve"> </w:t>
      </w:r>
      <w:hyperlink r:id="rId5" w:history="1">
        <w:r w:rsidRPr="00EC7AD4">
          <w:rPr>
            <w:rStyle w:val="Hyperlink"/>
          </w:rPr>
          <w:t>Notice of final decision to amend (or not amend) the current Poisons Standard - ACMS #40, ACCS #34, Joint ACMS-ACCS #32</w:t>
        </w:r>
      </w:hyperlink>
      <w:r>
        <w:t>, 3 May 2023 (updated 16 June 2023).</w:t>
      </w:r>
    </w:p>
  </w:footnote>
  <w:footnote w:id="8">
    <w:p w14:paraId="3500FF6E" w14:textId="54E09C02" w:rsidR="00E002A5" w:rsidRDefault="00E002A5" w:rsidP="00E002A5">
      <w:pPr>
        <w:pStyle w:val="FootnoteText"/>
        <w:spacing w:before="120" w:after="120" w:line="240" w:lineRule="auto"/>
      </w:pPr>
      <w:r>
        <w:rPr>
          <w:rStyle w:val="FootnoteReference"/>
        </w:rPr>
        <w:footnoteRef/>
      </w:r>
      <w:r>
        <w:t xml:space="preserve"> </w:t>
      </w:r>
      <w:r w:rsidRPr="008007EB">
        <w:t>Proposed additions are shown in green underlined font, proposed deletions are shown in red strikethrough font, and text without this formatting represents the current text in the Poisons Standard.</w:t>
      </w:r>
    </w:p>
  </w:footnote>
  <w:footnote w:id="9">
    <w:p w14:paraId="46B2545B" w14:textId="22F7F827" w:rsidR="005E4F95" w:rsidRPr="0024320C" w:rsidRDefault="005E4F95" w:rsidP="00E2375E">
      <w:pPr>
        <w:pStyle w:val="FootnoteText"/>
        <w:spacing w:before="120" w:after="120" w:line="240" w:lineRule="auto"/>
      </w:pPr>
      <w:r>
        <w:rPr>
          <w:rStyle w:val="FootnoteReference"/>
        </w:rPr>
        <w:footnoteRef/>
      </w:r>
      <w:r>
        <w:t xml:space="preserve"> </w:t>
      </w:r>
      <w:r w:rsidRPr="0024320C">
        <w:t>Therapeutic Goods Administration</w:t>
      </w:r>
      <w:r w:rsidR="00D81CAF">
        <w:t xml:space="preserve"> (2011).</w:t>
      </w:r>
      <w:r w:rsidRPr="0024320C">
        <w:t xml:space="preserve"> </w:t>
      </w:r>
      <w:r w:rsidRPr="00987677">
        <w:t>Scheduling delegate’s final decisions – March 2011</w:t>
      </w:r>
      <w:r w:rsidRPr="0024320C">
        <w:t xml:space="preserve">, </w:t>
      </w:r>
      <w:r w:rsidR="00987677">
        <w:t>a</w:t>
      </w:r>
      <w:r>
        <w:t xml:space="preserve">vailable at </w:t>
      </w:r>
      <w:hyperlink r:id="rId6" w:history="1">
        <w:r w:rsidR="00987677">
          <w:rPr>
            <w:rStyle w:val="Hyperlink"/>
          </w:rPr>
          <w:t>web.archive.org.au/awa/20211005061524mp_///www.tga.gov.au/scheduling-decision-final/scheduling-delegates-final-decisions-march-2011</w:t>
        </w:r>
      </w:hyperlink>
      <w:r w:rsidR="00D81CAF">
        <w:t>; accessed 25 May 2026</w:t>
      </w:r>
      <w:r w:rsidRPr="0024320C">
        <w:t>.</w:t>
      </w:r>
    </w:p>
    <w:p w14:paraId="425AF642" w14:textId="77777777" w:rsidR="005E4F95" w:rsidRDefault="005E4F95" w:rsidP="005E4F95">
      <w:pPr>
        <w:pStyle w:val="FootnoteText"/>
      </w:pPr>
    </w:p>
  </w:footnote>
  <w:footnote w:id="10">
    <w:p w14:paraId="5B9EF512" w14:textId="77777777" w:rsidR="00F92891" w:rsidRPr="00AF309A" w:rsidRDefault="00F92891" w:rsidP="00F92891">
      <w:pPr>
        <w:pStyle w:val="FootnoteText"/>
      </w:pPr>
      <w:r>
        <w:rPr>
          <w:rStyle w:val="FootnoteReference"/>
        </w:rPr>
        <w:footnoteRef/>
      </w:r>
      <w:r>
        <w:t xml:space="preserve"> </w:t>
      </w:r>
      <w:r w:rsidRPr="00AF309A">
        <w:t xml:space="preserve">Medicines and Healthcare products Regulatory Agency (MHRA). (2014). </w:t>
      </w:r>
      <w:r w:rsidRPr="00AF309A">
        <w:rPr>
          <w:i/>
          <w:iCs/>
        </w:rPr>
        <w:t>Pseudoephedrine and ephedrine: nasal decongestants</w:t>
      </w:r>
      <w:r w:rsidRPr="00AF309A">
        <w:t>.</w:t>
      </w:r>
      <w:r>
        <w:t xml:space="preserve"> Available at </w:t>
      </w:r>
      <w:hyperlink r:id="rId7" w:history="1">
        <w:r w:rsidRPr="00AF309A">
          <w:rPr>
            <w:rStyle w:val="Hyperlink"/>
          </w:rPr>
          <w:t>https://www.gov.uk/drug-safety-update/pseudoephedrine-and-ephedrine-nasal-decongestants</w:t>
        </w:r>
      </w:hyperlink>
    </w:p>
    <w:p w14:paraId="7C2C8D4D" w14:textId="77777777" w:rsidR="00F92891" w:rsidRDefault="00F92891" w:rsidP="00F92891">
      <w:pPr>
        <w:pStyle w:val="FootnoteText"/>
      </w:pPr>
    </w:p>
  </w:footnote>
  <w:footnote w:id="11">
    <w:p w14:paraId="0F1A91B8" w14:textId="1B10D5BC" w:rsidR="00E2375E" w:rsidRDefault="00E2375E" w:rsidP="00E2375E">
      <w:pPr>
        <w:pStyle w:val="FootnoteText"/>
        <w:spacing w:before="120" w:after="120" w:line="240" w:lineRule="auto"/>
      </w:pPr>
      <w:r>
        <w:rPr>
          <w:rStyle w:val="FootnoteReference"/>
        </w:rPr>
        <w:footnoteRef/>
      </w:r>
      <w:r>
        <w:t xml:space="preserve"> </w:t>
      </w:r>
      <w:r w:rsidRPr="008007EB">
        <w:t>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5A6C" w14:textId="77777777" w:rsidR="00FD0841" w:rsidRDefault="00FD0841">
    <w:pPr>
      <w:pStyle w:val="Header"/>
    </w:pPr>
    <w:r>
      <w:rPr>
        <w:noProof/>
      </w:rPr>
      <mc:AlternateContent>
        <mc:Choice Requires="wps">
          <w:drawing>
            <wp:anchor distT="0" distB="0" distL="0" distR="0" simplePos="0" relativeHeight="251658241" behindDoc="0" locked="0" layoutInCell="1" allowOverlap="1" wp14:anchorId="434A75CE" wp14:editId="790A69AB">
              <wp:simplePos x="635" y="635"/>
              <wp:positionH relativeFrom="page">
                <wp:align>center</wp:align>
              </wp:positionH>
              <wp:positionV relativeFrom="page">
                <wp:align>top</wp:align>
              </wp:positionV>
              <wp:extent cx="622300" cy="391160"/>
              <wp:effectExtent l="0" t="0" r="6350" b="8890"/>
              <wp:wrapNone/>
              <wp:docPr id="2262734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4B1BEA6"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A75CE" id="_x0000_t202" coordsize="21600,21600" o:spt="202" path="m,l,21600r21600,l21600,xe">
              <v:stroke joinstyle="miter"/>
              <v:path gradientshapeok="t" o:connecttype="rect"/>
            </v:shapetype>
            <v:shape id="Text Box 2" o:spid="_x0000_s1027" type="#_x0000_t202" alt="OFFICIAL" style="position:absolute;left:0;text-align:left;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04B1BEA6"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A1DA" w14:textId="77777777" w:rsidR="00F02AEC" w:rsidRPr="00CB0550" w:rsidRDefault="00FD0841" w:rsidP="00CB0550">
    <w:pPr>
      <w:pStyle w:val="Header"/>
      <w:jc w:val="left"/>
    </w:pPr>
    <w:r>
      <w:rPr>
        <w:noProof/>
      </w:rPr>
      <mc:AlternateContent>
        <mc:Choice Requires="wps">
          <w:drawing>
            <wp:anchor distT="0" distB="0" distL="0" distR="0" simplePos="0" relativeHeight="251658242" behindDoc="0" locked="0" layoutInCell="1" allowOverlap="1" wp14:anchorId="5AC40B50" wp14:editId="63724F45">
              <wp:simplePos x="635" y="635"/>
              <wp:positionH relativeFrom="page">
                <wp:align>center</wp:align>
              </wp:positionH>
              <wp:positionV relativeFrom="page">
                <wp:align>top</wp:align>
              </wp:positionV>
              <wp:extent cx="622300" cy="391160"/>
              <wp:effectExtent l="0" t="0" r="6350" b="8890"/>
              <wp:wrapNone/>
              <wp:docPr id="6958876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69F9D85"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40B50" id="_x0000_t202" coordsize="21600,21600" o:spt="202" path="m,l,21600r21600,l21600,xe">
              <v:stroke joinstyle="miter"/>
              <v:path gradientshapeok="t" o:connecttype="rect"/>
            </v:shapetype>
            <v:shape id="Text Box 3" o:spid="_x0000_s1028"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369F9D85" w14:textId="77777777" w:rsidR="00FD0841" w:rsidRPr="00FD0841" w:rsidRDefault="00FD0841" w:rsidP="00FD0841">
                    <w:pPr>
                      <w:spacing w:after="0"/>
                      <w:rPr>
                        <w:rFonts w:ascii="Aptos" w:eastAsia="Aptos" w:hAnsi="Aptos" w:cs="Aptos"/>
                        <w:noProof/>
                        <w:color w:val="FF0000"/>
                        <w:sz w:val="24"/>
                        <w:szCs w:val="24"/>
                      </w:rPr>
                    </w:pPr>
                    <w:r w:rsidRPr="00FD0841">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613DD8B5" w14:textId="77777777" w:rsidTr="00D878B1">
      <w:trPr>
        <w:trHeight w:hRule="exact" w:val="8845"/>
      </w:trPr>
      <w:tc>
        <w:tcPr>
          <w:tcW w:w="11964" w:type="dxa"/>
          <w:vAlign w:val="center"/>
        </w:tcPr>
        <w:p w14:paraId="23C1EA14" w14:textId="1005E9D8" w:rsidR="00F02AEC" w:rsidRPr="002B29B2" w:rsidRDefault="00F02AEC" w:rsidP="00D878B1">
          <w:pPr>
            <w:ind w:left="-57"/>
            <w:rPr>
              <w:noProof/>
            </w:rPr>
          </w:pPr>
        </w:p>
      </w:tc>
    </w:tr>
  </w:tbl>
  <w:p w14:paraId="1CAF709F" w14:textId="690BF5DE" w:rsidR="00F02AEC" w:rsidRDefault="00130C64" w:rsidP="00D878B1">
    <w:pPr>
      <w:rPr>
        <w:noProof/>
      </w:rPr>
    </w:pPr>
    <w:r>
      <w:rPr>
        <w:noProof/>
        <w:lang w:eastAsia="en-AU"/>
      </w:rPr>
      <w:drawing>
        <wp:anchor distT="0" distB="0" distL="114300" distR="114300" simplePos="0" relativeHeight="251658247" behindDoc="0" locked="0" layoutInCell="1" allowOverlap="1" wp14:anchorId="01C3D5C7" wp14:editId="50ECDC94">
          <wp:simplePos x="0" y="0"/>
          <wp:positionH relativeFrom="column">
            <wp:posOffset>0</wp:posOffset>
          </wp:positionH>
          <wp:positionV relativeFrom="paragraph">
            <wp:posOffset>885825</wp:posOffset>
          </wp:positionV>
          <wp:extent cx="2676525" cy="554355"/>
          <wp:effectExtent l="0" t="0" r="9525" b="0"/>
          <wp:wrapTopAndBottom/>
          <wp:docPr id="5491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5543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8240" behindDoc="0" locked="0" layoutInCell="0" allowOverlap="1" wp14:anchorId="2FCFED33" wp14:editId="56CB902C">
          <wp:simplePos x="0" y="0"/>
          <wp:positionH relativeFrom="page">
            <wp:align>left</wp:align>
          </wp:positionH>
          <wp:positionV relativeFrom="page">
            <wp:posOffset>3239495</wp:posOffset>
          </wp:positionV>
          <wp:extent cx="7663815" cy="4323091"/>
          <wp:effectExtent l="0" t="0" r="0" b="1270"/>
          <wp:wrapNone/>
          <wp:docPr id="869442484" name="Picture 869442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4400" w14:textId="75E708A3" w:rsidR="00F02AEC" w:rsidRPr="00D659AA" w:rsidRDefault="00F02AEC" w:rsidP="00D659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2DA" w14:textId="77777777" w:rsidR="00D659AA" w:rsidRPr="00D659AA" w:rsidRDefault="00D659AA" w:rsidP="00D659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7138" w14:textId="36910E86" w:rsidR="009506FA" w:rsidRPr="00CF08AE" w:rsidRDefault="009506FA" w:rsidP="00CF0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D4431"/>
    <w:multiLevelType w:val="hybridMultilevel"/>
    <w:tmpl w:val="00702898"/>
    <w:lvl w:ilvl="0" w:tplc="BCE064F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FA4B87"/>
    <w:multiLevelType w:val="hybridMultilevel"/>
    <w:tmpl w:val="1138E914"/>
    <w:lvl w:ilvl="0" w:tplc="26F26CDC">
      <w:start w:val="1"/>
      <w:numFmt w:val="lowerRoman"/>
      <w:pStyle w:val="ListParagraph"/>
      <w:lvlText w:val="(%1)"/>
      <w:lvlJc w:val="left"/>
      <w:pPr>
        <w:ind w:left="1440" w:hanging="360"/>
      </w:pPr>
      <w:rPr>
        <w:rFonts w:ascii="Arial" w:eastAsia="Cambria" w:hAnsi="Arial" w:cs="Times New Roman"/>
        <w:color w:val="00B05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EB6175C"/>
    <w:multiLevelType w:val="multilevel"/>
    <w:tmpl w:val="AF62B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07801EC"/>
    <w:multiLevelType w:val="multilevel"/>
    <w:tmpl w:val="D9B80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63F187C"/>
    <w:multiLevelType w:val="hybridMultilevel"/>
    <w:tmpl w:val="FB64CB28"/>
    <w:lvl w:ilvl="0" w:tplc="669A989C">
      <w:start w:val="4"/>
      <w:numFmt w:val="bullet"/>
      <w:pStyle w:val="ListBullet3"/>
      <w:lvlText w:val="▪"/>
      <w:lvlJc w:val="left"/>
      <w:pPr>
        <w:ind w:left="1571" w:hanging="360"/>
      </w:pPr>
      <w:rPr>
        <w:rFonts w:ascii="Arial" w:eastAsia="Cambria" w:hAnsi="Aria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BDCE1BCC"/>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1EEF612A"/>
    <w:multiLevelType w:val="multilevel"/>
    <w:tmpl w:val="901CF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578290E"/>
    <w:multiLevelType w:val="multilevel"/>
    <w:tmpl w:val="CEBA63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89C1D79"/>
    <w:multiLevelType w:val="multilevel"/>
    <w:tmpl w:val="DFC06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35EC5112"/>
    <w:multiLevelType w:val="hybridMultilevel"/>
    <w:tmpl w:val="AFFCED10"/>
    <w:lvl w:ilvl="0" w:tplc="31BEAFA4">
      <w:start w:val="1"/>
      <w:numFmt w:val="bullet"/>
      <w:lvlText w:val=""/>
      <w:lvlJc w:val="left"/>
      <w:pPr>
        <w:ind w:left="720" w:hanging="360"/>
      </w:pPr>
      <w:rPr>
        <w:rFonts w:ascii="Symbol" w:hAnsi="Symbol"/>
      </w:rPr>
    </w:lvl>
    <w:lvl w:ilvl="1" w:tplc="A97A16FC">
      <w:start w:val="1"/>
      <w:numFmt w:val="bullet"/>
      <w:lvlText w:val=""/>
      <w:lvlJc w:val="left"/>
      <w:pPr>
        <w:ind w:left="720" w:hanging="360"/>
      </w:pPr>
      <w:rPr>
        <w:rFonts w:ascii="Symbol" w:hAnsi="Symbol"/>
      </w:rPr>
    </w:lvl>
    <w:lvl w:ilvl="2" w:tplc="2160D792">
      <w:start w:val="1"/>
      <w:numFmt w:val="bullet"/>
      <w:lvlText w:val=""/>
      <w:lvlJc w:val="left"/>
      <w:pPr>
        <w:ind w:left="720" w:hanging="360"/>
      </w:pPr>
      <w:rPr>
        <w:rFonts w:ascii="Symbol" w:hAnsi="Symbol"/>
      </w:rPr>
    </w:lvl>
    <w:lvl w:ilvl="3" w:tplc="7CA66D96">
      <w:start w:val="1"/>
      <w:numFmt w:val="bullet"/>
      <w:lvlText w:val=""/>
      <w:lvlJc w:val="left"/>
      <w:pPr>
        <w:ind w:left="720" w:hanging="360"/>
      </w:pPr>
      <w:rPr>
        <w:rFonts w:ascii="Symbol" w:hAnsi="Symbol"/>
      </w:rPr>
    </w:lvl>
    <w:lvl w:ilvl="4" w:tplc="A7F0373A">
      <w:start w:val="1"/>
      <w:numFmt w:val="bullet"/>
      <w:lvlText w:val=""/>
      <w:lvlJc w:val="left"/>
      <w:pPr>
        <w:ind w:left="720" w:hanging="360"/>
      </w:pPr>
      <w:rPr>
        <w:rFonts w:ascii="Symbol" w:hAnsi="Symbol"/>
      </w:rPr>
    </w:lvl>
    <w:lvl w:ilvl="5" w:tplc="2D903FF0">
      <w:start w:val="1"/>
      <w:numFmt w:val="bullet"/>
      <w:lvlText w:val=""/>
      <w:lvlJc w:val="left"/>
      <w:pPr>
        <w:ind w:left="720" w:hanging="360"/>
      </w:pPr>
      <w:rPr>
        <w:rFonts w:ascii="Symbol" w:hAnsi="Symbol"/>
      </w:rPr>
    </w:lvl>
    <w:lvl w:ilvl="6" w:tplc="35FC6CF8">
      <w:start w:val="1"/>
      <w:numFmt w:val="bullet"/>
      <w:lvlText w:val=""/>
      <w:lvlJc w:val="left"/>
      <w:pPr>
        <w:ind w:left="720" w:hanging="360"/>
      </w:pPr>
      <w:rPr>
        <w:rFonts w:ascii="Symbol" w:hAnsi="Symbol"/>
      </w:rPr>
    </w:lvl>
    <w:lvl w:ilvl="7" w:tplc="D03C3B4A">
      <w:start w:val="1"/>
      <w:numFmt w:val="bullet"/>
      <w:lvlText w:val=""/>
      <w:lvlJc w:val="left"/>
      <w:pPr>
        <w:ind w:left="720" w:hanging="360"/>
      </w:pPr>
      <w:rPr>
        <w:rFonts w:ascii="Symbol" w:hAnsi="Symbol"/>
      </w:rPr>
    </w:lvl>
    <w:lvl w:ilvl="8" w:tplc="04A8EF7E">
      <w:start w:val="1"/>
      <w:numFmt w:val="bullet"/>
      <w:lvlText w:val=""/>
      <w:lvlJc w:val="left"/>
      <w:pPr>
        <w:ind w:left="720" w:hanging="360"/>
      </w:pPr>
      <w:rPr>
        <w:rFonts w:ascii="Symbol" w:hAnsi="Symbol"/>
      </w:rPr>
    </w:lvl>
  </w:abstractNum>
  <w:abstractNum w:abstractNumId="14" w15:restartNumberingAfterBreak="0">
    <w:nsid w:val="37FD32C8"/>
    <w:multiLevelType w:val="multilevel"/>
    <w:tmpl w:val="A9EA1E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B142D7F"/>
    <w:multiLevelType w:val="multilevel"/>
    <w:tmpl w:val="2F60C5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E8B2308"/>
    <w:multiLevelType w:val="multilevel"/>
    <w:tmpl w:val="21A080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5678F2"/>
    <w:multiLevelType w:val="multilevel"/>
    <w:tmpl w:val="736442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4C75922"/>
    <w:multiLevelType w:val="multilevel"/>
    <w:tmpl w:val="8072F6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71E1A7A"/>
    <w:multiLevelType w:val="multilevel"/>
    <w:tmpl w:val="F7C28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058BE8"/>
    <w:multiLevelType w:val="hybridMultilevel"/>
    <w:tmpl w:val="FFFFFFFF"/>
    <w:lvl w:ilvl="0" w:tplc="FE88364A">
      <w:start w:val="1"/>
      <w:numFmt w:val="bullet"/>
      <w:lvlText w:val="•"/>
      <w:lvlJc w:val="left"/>
      <w:pPr>
        <w:ind w:left="360" w:hanging="360"/>
      </w:pPr>
      <w:rPr>
        <w:rFonts w:ascii="Cambria" w:hAnsi="Cambria" w:hint="default"/>
      </w:rPr>
    </w:lvl>
    <w:lvl w:ilvl="1" w:tplc="1C2AFD98">
      <w:start w:val="1"/>
      <w:numFmt w:val="bullet"/>
      <w:lvlText w:val="–"/>
      <w:lvlJc w:val="left"/>
      <w:pPr>
        <w:ind w:left="720" w:hanging="360"/>
      </w:pPr>
      <w:rPr>
        <w:rFonts w:ascii="Cambria" w:hAnsi="Cambria" w:hint="default"/>
      </w:rPr>
    </w:lvl>
    <w:lvl w:ilvl="2" w:tplc="79681D7E">
      <w:start w:val="1"/>
      <w:numFmt w:val="bullet"/>
      <w:lvlText w:val=""/>
      <w:lvlJc w:val="left"/>
      <w:pPr>
        <w:ind w:left="2160" w:hanging="360"/>
      </w:pPr>
      <w:rPr>
        <w:rFonts w:ascii="Wingdings" w:hAnsi="Wingdings" w:hint="default"/>
      </w:rPr>
    </w:lvl>
    <w:lvl w:ilvl="3" w:tplc="B172D53C">
      <w:start w:val="1"/>
      <w:numFmt w:val="bullet"/>
      <w:lvlText w:val=""/>
      <w:lvlJc w:val="left"/>
      <w:pPr>
        <w:ind w:left="2880" w:hanging="360"/>
      </w:pPr>
      <w:rPr>
        <w:rFonts w:ascii="Symbol" w:hAnsi="Symbol" w:hint="default"/>
      </w:rPr>
    </w:lvl>
    <w:lvl w:ilvl="4" w:tplc="0AB8A688">
      <w:start w:val="1"/>
      <w:numFmt w:val="bullet"/>
      <w:lvlText w:val="o"/>
      <w:lvlJc w:val="left"/>
      <w:pPr>
        <w:ind w:left="3600" w:hanging="360"/>
      </w:pPr>
      <w:rPr>
        <w:rFonts w:ascii="Courier New" w:hAnsi="Courier New" w:hint="default"/>
      </w:rPr>
    </w:lvl>
    <w:lvl w:ilvl="5" w:tplc="51D4B594">
      <w:start w:val="1"/>
      <w:numFmt w:val="bullet"/>
      <w:lvlText w:val=""/>
      <w:lvlJc w:val="left"/>
      <w:pPr>
        <w:ind w:left="4320" w:hanging="360"/>
      </w:pPr>
      <w:rPr>
        <w:rFonts w:ascii="Wingdings" w:hAnsi="Wingdings" w:hint="default"/>
      </w:rPr>
    </w:lvl>
    <w:lvl w:ilvl="6" w:tplc="9D52F506">
      <w:start w:val="1"/>
      <w:numFmt w:val="bullet"/>
      <w:lvlText w:val=""/>
      <w:lvlJc w:val="left"/>
      <w:pPr>
        <w:ind w:left="5040" w:hanging="360"/>
      </w:pPr>
      <w:rPr>
        <w:rFonts w:ascii="Symbol" w:hAnsi="Symbol" w:hint="default"/>
      </w:rPr>
    </w:lvl>
    <w:lvl w:ilvl="7" w:tplc="763C40BE">
      <w:start w:val="1"/>
      <w:numFmt w:val="bullet"/>
      <w:lvlText w:val="o"/>
      <w:lvlJc w:val="left"/>
      <w:pPr>
        <w:ind w:left="5760" w:hanging="360"/>
      </w:pPr>
      <w:rPr>
        <w:rFonts w:ascii="Courier New" w:hAnsi="Courier New" w:hint="default"/>
      </w:rPr>
    </w:lvl>
    <w:lvl w:ilvl="8" w:tplc="15A25204">
      <w:start w:val="1"/>
      <w:numFmt w:val="bullet"/>
      <w:lvlText w:val=""/>
      <w:lvlJc w:val="left"/>
      <w:pPr>
        <w:ind w:left="6480" w:hanging="360"/>
      </w:pPr>
      <w:rPr>
        <w:rFonts w:ascii="Wingdings" w:hAnsi="Wingdings" w:hint="default"/>
      </w:rPr>
    </w:lvl>
  </w:abstractNum>
  <w:abstractNum w:abstractNumId="23" w15:restartNumberingAfterBreak="0">
    <w:nsid w:val="671B4C2B"/>
    <w:multiLevelType w:val="multilevel"/>
    <w:tmpl w:val="C7102C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BE86E70"/>
    <w:multiLevelType w:val="multilevel"/>
    <w:tmpl w:val="3320C1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F880941"/>
    <w:multiLevelType w:val="multilevel"/>
    <w:tmpl w:val="8A9E35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55809C0"/>
    <w:multiLevelType w:val="hybridMultilevel"/>
    <w:tmpl w:val="45BED65A"/>
    <w:lvl w:ilvl="0" w:tplc="D96EE160">
      <w:start w:val="1"/>
      <w:numFmt w:val="bullet"/>
      <w:pStyle w:val="List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1E76E8"/>
    <w:multiLevelType w:val="multilevel"/>
    <w:tmpl w:val="0A00E3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6651442">
    <w:abstractNumId w:val="4"/>
  </w:num>
  <w:num w:numId="2" w16cid:durableId="429472673">
    <w:abstractNumId w:val="12"/>
  </w:num>
  <w:num w:numId="3" w16cid:durableId="1326128148">
    <w:abstractNumId w:val="8"/>
  </w:num>
  <w:num w:numId="4" w16cid:durableId="332490756">
    <w:abstractNumId w:val="7"/>
  </w:num>
  <w:num w:numId="5" w16cid:durableId="942761491">
    <w:abstractNumId w:val="0"/>
  </w:num>
  <w:num w:numId="6" w16cid:durableId="417361770">
    <w:abstractNumId w:val="6"/>
  </w:num>
  <w:num w:numId="7" w16cid:durableId="587933413">
    <w:abstractNumId w:val="7"/>
  </w:num>
  <w:num w:numId="8" w16cid:durableId="1693071593">
    <w:abstractNumId w:val="21"/>
  </w:num>
  <w:num w:numId="9" w16cid:durableId="1862011606">
    <w:abstractNumId w:val="4"/>
  </w:num>
  <w:num w:numId="10" w16cid:durableId="976179523">
    <w:abstractNumId w:val="17"/>
  </w:num>
  <w:num w:numId="11" w16cid:durableId="644550325">
    <w:abstractNumId w:val="26"/>
  </w:num>
  <w:num w:numId="12" w16cid:durableId="394939847">
    <w:abstractNumId w:val="1"/>
  </w:num>
  <w:num w:numId="13" w16cid:durableId="43067018">
    <w:abstractNumId w:val="22"/>
  </w:num>
  <w:num w:numId="14" w16cid:durableId="270750147">
    <w:abstractNumId w:val="1"/>
  </w:num>
  <w:num w:numId="15" w16cid:durableId="2072269425">
    <w:abstractNumId w:val="1"/>
  </w:num>
  <w:num w:numId="16" w16cid:durableId="1233812604">
    <w:abstractNumId w:val="1"/>
  </w:num>
  <w:num w:numId="17" w16cid:durableId="209612001">
    <w:abstractNumId w:val="1"/>
  </w:num>
  <w:num w:numId="18" w16cid:durableId="1573856520">
    <w:abstractNumId w:val="7"/>
  </w:num>
  <w:num w:numId="19" w16cid:durableId="1127773455">
    <w:abstractNumId w:val="7"/>
  </w:num>
  <w:num w:numId="20" w16cid:durableId="1650671858">
    <w:abstractNumId w:val="7"/>
  </w:num>
  <w:num w:numId="21" w16cid:durableId="1933859316">
    <w:abstractNumId w:val="7"/>
  </w:num>
  <w:num w:numId="22" w16cid:durableId="1799755869">
    <w:abstractNumId w:val="7"/>
  </w:num>
  <w:num w:numId="23" w16cid:durableId="1258249728">
    <w:abstractNumId w:val="7"/>
  </w:num>
  <w:num w:numId="24" w16cid:durableId="1741051668">
    <w:abstractNumId w:val="25"/>
  </w:num>
  <w:num w:numId="25" w16cid:durableId="1210915061">
    <w:abstractNumId w:val="24"/>
  </w:num>
  <w:num w:numId="26" w16cid:durableId="1917015612">
    <w:abstractNumId w:val="2"/>
  </w:num>
  <w:num w:numId="27" w16cid:durableId="326717109">
    <w:abstractNumId w:val="2"/>
    <w:lvlOverride w:ilvl="0">
      <w:startOverride w:val="1"/>
    </w:lvlOverride>
  </w:num>
  <w:num w:numId="28" w16cid:durableId="469250177">
    <w:abstractNumId w:val="16"/>
  </w:num>
  <w:num w:numId="29" w16cid:durableId="1731027891">
    <w:abstractNumId w:val="27"/>
  </w:num>
  <w:num w:numId="30" w16cid:durableId="330183100">
    <w:abstractNumId w:val="3"/>
  </w:num>
  <w:num w:numId="31" w16cid:durableId="1748066004">
    <w:abstractNumId w:val="11"/>
  </w:num>
  <w:num w:numId="32" w16cid:durableId="291134086">
    <w:abstractNumId w:val="14"/>
  </w:num>
  <w:num w:numId="33" w16cid:durableId="843664684">
    <w:abstractNumId w:val="5"/>
  </w:num>
  <w:num w:numId="34" w16cid:durableId="1310671832">
    <w:abstractNumId w:val="20"/>
  </w:num>
  <w:num w:numId="35" w16cid:durableId="215630796">
    <w:abstractNumId w:val="23"/>
  </w:num>
  <w:num w:numId="36" w16cid:durableId="2031832063">
    <w:abstractNumId w:val="15"/>
  </w:num>
  <w:num w:numId="37" w16cid:durableId="1897232106">
    <w:abstractNumId w:val="19"/>
  </w:num>
  <w:num w:numId="38" w16cid:durableId="103769982">
    <w:abstractNumId w:val="18"/>
  </w:num>
  <w:num w:numId="39" w16cid:durableId="831718380">
    <w:abstractNumId w:val="9"/>
  </w:num>
  <w:num w:numId="40" w16cid:durableId="776102209">
    <w:abstractNumId w:val="13"/>
  </w:num>
  <w:num w:numId="41" w16cid:durableId="94793419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19"/>
    <w:rsid w:val="00000D79"/>
    <w:rsid w:val="00000E5C"/>
    <w:rsid w:val="000023ED"/>
    <w:rsid w:val="0000518F"/>
    <w:rsid w:val="00011BD7"/>
    <w:rsid w:val="0001624A"/>
    <w:rsid w:val="00017F32"/>
    <w:rsid w:val="0002269B"/>
    <w:rsid w:val="00025091"/>
    <w:rsid w:val="00025432"/>
    <w:rsid w:val="000257D2"/>
    <w:rsid w:val="00025CAC"/>
    <w:rsid w:val="000302C6"/>
    <w:rsid w:val="00031065"/>
    <w:rsid w:val="00031912"/>
    <w:rsid w:val="00037294"/>
    <w:rsid w:val="00040DA6"/>
    <w:rsid w:val="0004117C"/>
    <w:rsid w:val="00046611"/>
    <w:rsid w:val="00046AFC"/>
    <w:rsid w:val="00047DD3"/>
    <w:rsid w:val="00053BF5"/>
    <w:rsid w:val="00053D4C"/>
    <w:rsid w:val="00053E2F"/>
    <w:rsid w:val="000541F2"/>
    <w:rsid w:val="00054C42"/>
    <w:rsid w:val="00055660"/>
    <w:rsid w:val="00055793"/>
    <w:rsid w:val="0006068C"/>
    <w:rsid w:val="00060776"/>
    <w:rsid w:val="000613E4"/>
    <w:rsid w:val="000621E7"/>
    <w:rsid w:val="00063B9D"/>
    <w:rsid w:val="00065499"/>
    <w:rsid w:val="0006590A"/>
    <w:rsid w:val="00066D04"/>
    <w:rsid w:val="00067866"/>
    <w:rsid w:val="000702E0"/>
    <w:rsid w:val="00070613"/>
    <w:rsid w:val="000735F4"/>
    <w:rsid w:val="00073F85"/>
    <w:rsid w:val="0007460C"/>
    <w:rsid w:val="000775D6"/>
    <w:rsid w:val="00077A41"/>
    <w:rsid w:val="00080617"/>
    <w:rsid w:val="00081CDD"/>
    <w:rsid w:val="0008232B"/>
    <w:rsid w:val="00083668"/>
    <w:rsid w:val="000866FD"/>
    <w:rsid w:val="00087472"/>
    <w:rsid w:val="000910EE"/>
    <w:rsid w:val="00092964"/>
    <w:rsid w:val="000947AC"/>
    <w:rsid w:val="00094B81"/>
    <w:rsid w:val="00095713"/>
    <w:rsid w:val="00097246"/>
    <w:rsid w:val="000A0C08"/>
    <w:rsid w:val="000A10B1"/>
    <w:rsid w:val="000A33F9"/>
    <w:rsid w:val="000A401C"/>
    <w:rsid w:val="000A57CF"/>
    <w:rsid w:val="000B1AE4"/>
    <w:rsid w:val="000B20AB"/>
    <w:rsid w:val="000B2E7B"/>
    <w:rsid w:val="000B5BA0"/>
    <w:rsid w:val="000C4F1E"/>
    <w:rsid w:val="000C61FB"/>
    <w:rsid w:val="000D017E"/>
    <w:rsid w:val="000D0219"/>
    <w:rsid w:val="000D5C7C"/>
    <w:rsid w:val="000D6BB2"/>
    <w:rsid w:val="000D7B4D"/>
    <w:rsid w:val="000E19C7"/>
    <w:rsid w:val="000E1D95"/>
    <w:rsid w:val="000E2302"/>
    <w:rsid w:val="000E2A61"/>
    <w:rsid w:val="000E4F19"/>
    <w:rsid w:val="000E74BE"/>
    <w:rsid w:val="000F0FA6"/>
    <w:rsid w:val="000F15B3"/>
    <w:rsid w:val="000F234D"/>
    <w:rsid w:val="000F71A9"/>
    <w:rsid w:val="00102A14"/>
    <w:rsid w:val="00103BB4"/>
    <w:rsid w:val="0010488E"/>
    <w:rsid w:val="001102B1"/>
    <w:rsid w:val="0011111A"/>
    <w:rsid w:val="00112DFF"/>
    <w:rsid w:val="00112FEC"/>
    <w:rsid w:val="00114145"/>
    <w:rsid w:val="001162D8"/>
    <w:rsid w:val="0012109A"/>
    <w:rsid w:val="00121204"/>
    <w:rsid w:val="0012275E"/>
    <w:rsid w:val="001243F0"/>
    <w:rsid w:val="0012473C"/>
    <w:rsid w:val="00125B2E"/>
    <w:rsid w:val="00125D40"/>
    <w:rsid w:val="00127EEA"/>
    <w:rsid w:val="001304AC"/>
    <w:rsid w:val="00130C64"/>
    <w:rsid w:val="001313AA"/>
    <w:rsid w:val="00132B24"/>
    <w:rsid w:val="00133B3E"/>
    <w:rsid w:val="00133EDC"/>
    <w:rsid w:val="001343AB"/>
    <w:rsid w:val="00134B74"/>
    <w:rsid w:val="00134F14"/>
    <w:rsid w:val="00136F26"/>
    <w:rsid w:val="00137246"/>
    <w:rsid w:val="00141D03"/>
    <w:rsid w:val="0014472C"/>
    <w:rsid w:val="00147C72"/>
    <w:rsid w:val="00151CA8"/>
    <w:rsid w:val="00152A41"/>
    <w:rsid w:val="00153047"/>
    <w:rsid w:val="00153478"/>
    <w:rsid w:val="00155489"/>
    <w:rsid w:val="00155B2A"/>
    <w:rsid w:val="00156688"/>
    <w:rsid w:val="001575A9"/>
    <w:rsid w:val="00160331"/>
    <w:rsid w:val="00162C3F"/>
    <w:rsid w:val="001666C2"/>
    <w:rsid w:val="00166F3D"/>
    <w:rsid w:val="00171038"/>
    <w:rsid w:val="00171F17"/>
    <w:rsid w:val="001726FE"/>
    <w:rsid w:val="00173015"/>
    <w:rsid w:val="001734A8"/>
    <w:rsid w:val="00173BE5"/>
    <w:rsid w:val="00174863"/>
    <w:rsid w:val="00175CD8"/>
    <w:rsid w:val="00175FDB"/>
    <w:rsid w:val="00176811"/>
    <w:rsid w:val="001776A5"/>
    <w:rsid w:val="001818C9"/>
    <w:rsid w:val="001823E7"/>
    <w:rsid w:val="0018472E"/>
    <w:rsid w:val="00187237"/>
    <w:rsid w:val="00190AF2"/>
    <w:rsid w:val="001918AE"/>
    <w:rsid w:val="00191D2A"/>
    <w:rsid w:val="00191F61"/>
    <w:rsid w:val="00192573"/>
    <w:rsid w:val="0019285D"/>
    <w:rsid w:val="00194949"/>
    <w:rsid w:val="001965F4"/>
    <w:rsid w:val="00196A4D"/>
    <w:rsid w:val="00197BD9"/>
    <w:rsid w:val="00197E75"/>
    <w:rsid w:val="001A336F"/>
    <w:rsid w:val="001B05ED"/>
    <w:rsid w:val="001B26AB"/>
    <w:rsid w:val="001B34A2"/>
    <w:rsid w:val="001B45B6"/>
    <w:rsid w:val="001B51C1"/>
    <w:rsid w:val="001B5FAD"/>
    <w:rsid w:val="001B750C"/>
    <w:rsid w:val="001C19AB"/>
    <w:rsid w:val="001C27C4"/>
    <w:rsid w:val="001C4507"/>
    <w:rsid w:val="001C6A4E"/>
    <w:rsid w:val="001C7094"/>
    <w:rsid w:val="001D766B"/>
    <w:rsid w:val="001E1139"/>
    <w:rsid w:val="001E1200"/>
    <w:rsid w:val="001E1C47"/>
    <w:rsid w:val="001F15C9"/>
    <w:rsid w:val="001F2F4B"/>
    <w:rsid w:val="001F380B"/>
    <w:rsid w:val="001F4D7D"/>
    <w:rsid w:val="001F5CBA"/>
    <w:rsid w:val="001F68F0"/>
    <w:rsid w:val="002008BE"/>
    <w:rsid w:val="00201FEB"/>
    <w:rsid w:val="00202754"/>
    <w:rsid w:val="0020366F"/>
    <w:rsid w:val="002037E5"/>
    <w:rsid w:val="00204C43"/>
    <w:rsid w:val="00204EA9"/>
    <w:rsid w:val="00210A74"/>
    <w:rsid w:val="00211157"/>
    <w:rsid w:val="00213577"/>
    <w:rsid w:val="0021440A"/>
    <w:rsid w:val="00214A8B"/>
    <w:rsid w:val="00231704"/>
    <w:rsid w:val="002327B4"/>
    <w:rsid w:val="002333D7"/>
    <w:rsid w:val="00235FEB"/>
    <w:rsid w:val="0023630E"/>
    <w:rsid w:val="002403AE"/>
    <w:rsid w:val="002417BB"/>
    <w:rsid w:val="00241A4D"/>
    <w:rsid w:val="00242F80"/>
    <w:rsid w:val="00243735"/>
    <w:rsid w:val="0024400F"/>
    <w:rsid w:val="00244D58"/>
    <w:rsid w:val="00244E5D"/>
    <w:rsid w:val="00245584"/>
    <w:rsid w:val="00245658"/>
    <w:rsid w:val="0024675E"/>
    <w:rsid w:val="0025328D"/>
    <w:rsid w:val="00253455"/>
    <w:rsid w:val="00257090"/>
    <w:rsid w:val="002576C8"/>
    <w:rsid w:val="002601B4"/>
    <w:rsid w:val="00260500"/>
    <w:rsid w:val="00262074"/>
    <w:rsid w:val="00262A4D"/>
    <w:rsid w:val="002642DD"/>
    <w:rsid w:val="00264634"/>
    <w:rsid w:val="0026634A"/>
    <w:rsid w:val="00266D06"/>
    <w:rsid w:val="0026727C"/>
    <w:rsid w:val="0027026C"/>
    <w:rsid w:val="002704DF"/>
    <w:rsid w:val="00270E79"/>
    <w:rsid w:val="0027134F"/>
    <w:rsid w:val="002713C9"/>
    <w:rsid w:val="00271712"/>
    <w:rsid w:val="00272D6F"/>
    <w:rsid w:val="0027477F"/>
    <w:rsid w:val="00274900"/>
    <w:rsid w:val="002755A3"/>
    <w:rsid w:val="00275F9C"/>
    <w:rsid w:val="00276C5F"/>
    <w:rsid w:val="00277158"/>
    <w:rsid w:val="00282980"/>
    <w:rsid w:val="00284111"/>
    <w:rsid w:val="0028435E"/>
    <w:rsid w:val="00284A6D"/>
    <w:rsid w:val="00285212"/>
    <w:rsid w:val="00286A1D"/>
    <w:rsid w:val="0028755E"/>
    <w:rsid w:val="00287ABB"/>
    <w:rsid w:val="0029121B"/>
    <w:rsid w:val="00297765"/>
    <w:rsid w:val="002A2D68"/>
    <w:rsid w:val="002A4903"/>
    <w:rsid w:val="002A4F3C"/>
    <w:rsid w:val="002A61DD"/>
    <w:rsid w:val="002A70F3"/>
    <w:rsid w:val="002A74CA"/>
    <w:rsid w:val="002B1879"/>
    <w:rsid w:val="002B1D3B"/>
    <w:rsid w:val="002B1F9A"/>
    <w:rsid w:val="002B72CA"/>
    <w:rsid w:val="002B7D7D"/>
    <w:rsid w:val="002C1C4B"/>
    <w:rsid w:val="002C5216"/>
    <w:rsid w:val="002D0BA4"/>
    <w:rsid w:val="002D4374"/>
    <w:rsid w:val="002D4E4A"/>
    <w:rsid w:val="002D66D1"/>
    <w:rsid w:val="002E06BD"/>
    <w:rsid w:val="002E07A6"/>
    <w:rsid w:val="002E25FA"/>
    <w:rsid w:val="002E32FD"/>
    <w:rsid w:val="002E7667"/>
    <w:rsid w:val="002F38EB"/>
    <w:rsid w:val="002F3992"/>
    <w:rsid w:val="002F3ADC"/>
    <w:rsid w:val="002F3B96"/>
    <w:rsid w:val="002F56B3"/>
    <w:rsid w:val="002F7E68"/>
    <w:rsid w:val="003001EA"/>
    <w:rsid w:val="003008D8"/>
    <w:rsid w:val="003033EA"/>
    <w:rsid w:val="003035BC"/>
    <w:rsid w:val="003041CC"/>
    <w:rsid w:val="00304D12"/>
    <w:rsid w:val="00304D86"/>
    <w:rsid w:val="00305A84"/>
    <w:rsid w:val="00306640"/>
    <w:rsid w:val="00306810"/>
    <w:rsid w:val="003068A1"/>
    <w:rsid w:val="00306EBF"/>
    <w:rsid w:val="00307EB1"/>
    <w:rsid w:val="00310D52"/>
    <w:rsid w:val="003126C7"/>
    <w:rsid w:val="00315791"/>
    <w:rsid w:val="003169E9"/>
    <w:rsid w:val="00320D9B"/>
    <w:rsid w:val="003221D1"/>
    <w:rsid w:val="00322C29"/>
    <w:rsid w:val="00326A3B"/>
    <w:rsid w:val="003316C8"/>
    <w:rsid w:val="00334F0F"/>
    <w:rsid w:val="003362BF"/>
    <w:rsid w:val="00347453"/>
    <w:rsid w:val="003532CA"/>
    <w:rsid w:val="0035444D"/>
    <w:rsid w:val="00354F41"/>
    <w:rsid w:val="00355645"/>
    <w:rsid w:val="003557FC"/>
    <w:rsid w:val="003575C3"/>
    <w:rsid w:val="00357EED"/>
    <w:rsid w:val="00360DD6"/>
    <w:rsid w:val="00362301"/>
    <w:rsid w:val="00362D3A"/>
    <w:rsid w:val="00362D61"/>
    <w:rsid w:val="003631CE"/>
    <w:rsid w:val="00364662"/>
    <w:rsid w:val="00367C46"/>
    <w:rsid w:val="003808A7"/>
    <w:rsid w:val="003821E9"/>
    <w:rsid w:val="0038396B"/>
    <w:rsid w:val="00384837"/>
    <w:rsid w:val="00385196"/>
    <w:rsid w:val="0038533C"/>
    <w:rsid w:val="00387435"/>
    <w:rsid w:val="0039205F"/>
    <w:rsid w:val="003947F3"/>
    <w:rsid w:val="00394BE3"/>
    <w:rsid w:val="00394EA6"/>
    <w:rsid w:val="00395107"/>
    <w:rsid w:val="003959CD"/>
    <w:rsid w:val="00397237"/>
    <w:rsid w:val="003A0089"/>
    <w:rsid w:val="003A0A51"/>
    <w:rsid w:val="003A0FF8"/>
    <w:rsid w:val="003A39E3"/>
    <w:rsid w:val="003A469F"/>
    <w:rsid w:val="003A52B4"/>
    <w:rsid w:val="003B2067"/>
    <w:rsid w:val="003B6A16"/>
    <w:rsid w:val="003C01A4"/>
    <w:rsid w:val="003C01C9"/>
    <w:rsid w:val="003C312E"/>
    <w:rsid w:val="003C560F"/>
    <w:rsid w:val="003C5CC4"/>
    <w:rsid w:val="003C5F9F"/>
    <w:rsid w:val="003C6353"/>
    <w:rsid w:val="003C6F67"/>
    <w:rsid w:val="003D1653"/>
    <w:rsid w:val="003D19C1"/>
    <w:rsid w:val="003D24EE"/>
    <w:rsid w:val="003D48E4"/>
    <w:rsid w:val="003D51C5"/>
    <w:rsid w:val="003D54EC"/>
    <w:rsid w:val="003D5DAB"/>
    <w:rsid w:val="003D6525"/>
    <w:rsid w:val="003E0A4E"/>
    <w:rsid w:val="003E1140"/>
    <w:rsid w:val="003E1771"/>
    <w:rsid w:val="003E1AE4"/>
    <w:rsid w:val="003E2D27"/>
    <w:rsid w:val="003E47B5"/>
    <w:rsid w:val="003E5288"/>
    <w:rsid w:val="003E60DB"/>
    <w:rsid w:val="003E6D54"/>
    <w:rsid w:val="003F0F74"/>
    <w:rsid w:val="003F3320"/>
    <w:rsid w:val="003F4706"/>
    <w:rsid w:val="003F52A2"/>
    <w:rsid w:val="0040177C"/>
    <w:rsid w:val="00406A73"/>
    <w:rsid w:val="00406A7B"/>
    <w:rsid w:val="00411A50"/>
    <w:rsid w:val="0041235B"/>
    <w:rsid w:val="004145D5"/>
    <w:rsid w:val="0041536E"/>
    <w:rsid w:val="004164B8"/>
    <w:rsid w:val="00420A26"/>
    <w:rsid w:val="0042203B"/>
    <w:rsid w:val="00424625"/>
    <w:rsid w:val="004246B8"/>
    <w:rsid w:val="00426F49"/>
    <w:rsid w:val="00430A2C"/>
    <w:rsid w:val="00430F94"/>
    <w:rsid w:val="00432A5D"/>
    <w:rsid w:val="00433B96"/>
    <w:rsid w:val="00436A10"/>
    <w:rsid w:val="00437502"/>
    <w:rsid w:val="00437785"/>
    <w:rsid w:val="00442DAF"/>
    <w:rsid w:val="00443677"/>
    <w:rsid w:val="00444F6E"/>
    <w:rsid w:val="00451762"/>
    <w:rsid w:val="00455705"/>
    <w:rsid w:val="00455FCE"/>
    <w:rsid w:val="00456AAE"/>
    <w:rsid w:val="00460D42"/>
    <w:rsid w:val="00462357"/>
    <w:rsid w:val="004647AA"/>
    <w:rsid w:val="00465476"/>
    <w:rsid w:val="00465659"/>
    <w:rsid w:val="00465A34"/>
    <w:rsid w:val="004660E8"/>
    <w:rsid w:val="00467E6D"/>
    <w:rsid w:val="00472C0A"/>
    <w:rsid w:val="004731A8"/>
    <w:rsid w:val="00475326"/>
    <w:rsid w:val="004766C5"/>
    <w:rsid w:val="00477ACC"/>
    <w:rsid w:val="004831B0"/>
    <w:rsid w:val="004860F4"/>
    <w:rsid w:val="0048640F"/>
    <w:rsid w:val="004909C3"/>
    <w:rsid w:val="00491560"/>
    <w:rsid w:val="00497432"/>
    <w:rsid w:val="004A007B"/>
    <w:rsid w:val="004A0770"/>
    <w:rsid w:val="004A36DA"/>
    <w:rsid w:val="004B0184"/>
    <w:rsid w:val="004B4C3E"/>
    <w:rsid w:val="004C09F6"/>
    <w:rsid w:val="004C0F3E"/>
    <w:rsid w:val="004C1A38"/>
    <w:rsid w:val="004C47D6"/>
    <w:rsid w:val="004D4CD7"/>
    <w:rsid w:val="004D562D"/>
    <w:rsid w:val="004D6220"/>
    <w:rsid w:val="004E4AFC"/>
    <w:rsid w:val="004E799D"/>
    <w:rsid w:val="004E7E63"/>
    <w:rsid w:val="004F0120"/>
    <w:rsid w:val="004F2219"/>
    <w:rsid w:val="004F289B"/>
    <w:rsid w:val="004F3524"/>
    <w:rsid w:val="004F3570"/>
    <w:rsid w:val="004F681F"/>
    <w:rsid w:val="004F6D2D"/>
    <w:rsid w:val="004F7521"/>
    <w:rsid w:val="005015F4"/>
    <w:rsid w:val="00504084"/>
    <w:rsid w:val="005078BC"/>
    <w:rsid w:val="00510F7C"/>
    <w:rsid w:val="00514DE8"/>
    <w:rsid w:val="00514FEE"/>
    <w:rsid w:val="00515E1D"/>
    <w:rsid w:val="00516D67"/>
    <w:rsid w:val="00516F38"/>
    <w:rsid w:val="005209B9"/>
    <w:rsid w:val="00520CD5"/>
    <w:rsid w:val="0052674F"/>
    <w:rsid w:val="00530052"/>
    <w:rsid w:val="00530B25"/>
    <w:rsid w:val="00534E27"/>
    <w:rsid w:val="00536595"/>
    <w:rsid w:val="005408A4"/>
    <w:rsid w:val="00541BFE"/>
    <w:rsid w:val="0054327B"/>
    <w:rsid w:val="0054352A"/>
    <w:rsid w:val="00544ABB"/>
    <w:rsid w:val="005470E9"/>
    <w:rsid w:val="005471C6"/>
    <w:rsid w:val="0054748B"/>
    <w:rsid w:val="00550066"/>
    <w:rsid w:val="005505C0"/>
    <w:rsid w:val="00550B73"/>
    <w:rsid w:val="005572EF"/>
    <w:rsid w:val="005574F1"/>
    <w:rsid w:val="0056583D"/>
    <w:rsid w:val="0056715D"/>
    <w:rsid w:val="005671F3"/>
    <w:rsid w:val="005674A9"/>
    <w:rsid w:val="00571C01"/>
    <w:rsid w:val="00571ECC"/>
    <w:rsid w:val="0057557A"/>
    <w:rsid w:val="00575E22"/>
    <w:rsid w:val="00577EFA"/>
    <w:rsid w:val="00582DD6"/>
    <w:rsid w:val="005835DD"/>
    <w:rsid w:val="00584747"/>
    <w:rsid w:val="0058575E"/>
    <w:rsid w:val="00586C1D"/>
    <w:rsid w:val="005872A9"/>
    <w:rsid w:val="00595385"/>
    <w:rsid w:val="00597CDF"/>
    <w:rsid w:val="005A279C"/>
    <w:rsid w:val="005A2B5F"/>
    <w:rsid w:val="005A35D8"/>
    <w:rsid w:val="005A3A02"/>
    <w:rsid w:val="005A480D"/>
    <w:rsid w:val="005A6785"/>
    <w:rsid w:val="005A6DA8"/>
    <w:rsid w:val="005A73B6"/>
    <w:rsid w:val="005B06C2"/>
    <w:rsid w:val="005B4EF7"/>
    <w:rsid w:val="005B53A8"/>
    <w:rsid w:val="005B58B4"/>
    <w:rsid w:val="005B73B7"/>
    <w:rsid w:val="005C2312"/>
    <w:rsid w:val="005C450C"/>
    <w:rsid w:val="005C4B35"/>
    <w:rsid w:val="005C626E"/>
    <w:rsid w:val="005C727A"/>
    <w:rsid w:val="005C7D0D"/>
    <w:rsid w:val="005D0B44"/>
    <w:rsid w:val="005D0C11"/>
    <w:rsid w:val="005D6BBA"/>
    <w:rsid w:val="005E1D8E"/>
    <w:rsid w:val="005E3CA0"/>
    <w:rsid w:val="005E4346"/>
    <w:rsid w:val="005E4F95"/>
    <w:rsid w:val="005E6235"/>
    <w:rsid w:val="005E7842"/>
    <w:rsid w:val="005F0812"/>
    <w:rsid w:val="005F1BC8"/>
    <w:rsid w:val="005F3A93"/>
    <w:rsid w:val="005F40A4"/>
    <w:rsid w:val="005F635C"/>
    <w:rsid w:val="005F7070"/>
    <w:rsid w:val="005F7A58"/>
    <w:rsid w:val="00603D1A"/>
    <w:rsid w:val="0060415C"/>
    <w:rsid w:val="00605C4E"/>
    <w:rsid w:val="006079EB"/>
    <w:rsid w:val="006107BF"/>
    <w:rsid w:val="00610A15"/>
    <w:rsid w:val="00611C19"/>
    <w:rsid w:val="00615DDB"/>
    <w:rsid w:val="00615FF3"/>
    <w:rsid w:val="0062087F"/>
    <w:rsid w:val="00621648"/>
    <w:rsid w:val="00621EBC"/>
    <w:rsid w:val="00626FF3"/>
    <w:rsid w:val="006331F8"/>
    <w:rsid w:val="00636A11"/>
    <w:rsid w:val="00637832"/>
    <w:rsid w:val="006401F3"/>
    <w:rsid w:val="00641867"/>
    <w:rsid w:val="00645A23"/>
    <w:rsid w:val="0065156D"/>
    <w:rsid w:val="0065283E"/>
    <w:rsid w:val="006529F9"/>
    <w:rsid w:val="0065437C"/>
    <w:rsid w:val="006569B3"/>
    <w:rsid w:val="00657697"/>
    <w:rsid w:val="006603FC"/>
    <w:rsid w:val="0066096B"/>
    <w:rsid w:val="006610D5"/>
    <w:rsid w:val="00661F5D"/>
    <w:rsid w:val="00666155"/>
    <w:rsid w:val="006669A6"/>
    <w:rsid w:val="00666C03"/>
    <w:rsid w:val="006715FA"/>
    <w:rsid w:val="00673886"/>
    <w:rsid w:val="00675323"/>
    <w:rsid w:val="006756EE"/>
    <w:rsid w:val="006767BD"/>
    <w:rsid w:val="00677DA2"/>
    <w:rsid w:val="006800DE"/>
    <w:rsid w:val="00681B99"/>
    <w:rsid w:val="00681BF6"/>
    <w:rsid w:val="00681C76"/>
    <w:rsid w:val="006820FB"/>
    <w:rsid w:val="00682F0A"/>
    <w:rsid w:val="00683693"/>
    <w:rsid w:val="00685E72"/>
    <w:rsid w:val="0068641B"/>
    <w:rsid w:val="006869D6"/>
    <w:rsid w:val="006872B1"/>
    <w:rsid w:val="006943A7"/>
    <w:rsid w:val="00695E36"/>
    <w:rsid w:val="00697053"/>
    <w:rsid w:val="006A0EA7"/>
    <w:rsid w:val="006A140A"/>
    <w:rsid w:val="006A1815"/>
    <w:rsid w:val="006A1F0B"/>
    <w:rsid w:val="006A2549"/>
    <w:rsid w:val="006A2F79"/>
    <w:rsid w:val="006A56B5"/>
    <w:rsid w:val="006A5C6B"/>
    <w:rsid w:val="006A601D"/>
    <w:rsid w:val="006B03DD"/>
    <w:rsid w:val="006B0FCA"/>
    <w:rsid w:val="006B3145"/>
    <w:rsid w:val="006B42A8"/>
    <w:rsid w:val="006B4A31"/>
    <w:rsid w:val="006B4AD0"/>
    <w:rsid w:val="006B5BDB"/>
    <w:rsid w:val="006B6119"/>
    <w:rsid w:val="006B6A84"/>
    <w:rsid w:val="006C691F"/>
    <w:rsid w:val="006C7B4A"/>
    <w:rsid w:val="006D047D"/>
    <w:rsid w:val="006D179C"/>
    <w:rsid w:val="006D3224"/>
    <w:rsid w:val="006E0A8E"/>
    <w:rsid w:val="006E1B30"/>
    <w:rsid w:val="006E32D6"/>
    <w:rsid w:val="006E4FA6"/>
    <w:rsid w:val="006E53D6"/>
    <w:rsid w:val="006E6826"/>
    <w:rsid w:val="006E6C62"/>
    <w:rsid w:val="006F047C"/>
    <w:rsid w:val="006F0A6A"/>
    <w:rsid w:val="006F12DF"/>
    <w:rsid w:val="006F1E68"/>
    <w:rsid w:val="006F350B"/>
    <w:rsid w:val="006F3ED0"/>
    <w:rsid w:val="006F5666"/>
    <w:rsid w:val="007014DE"/>
    <w:rsid w:val="007017A2"/>
    <w:rsid w:val="0070219F"/>
    <w:rsid w:val="00702B03"/>
    <w:rsid w:val="00703F20"/>
    <w:rsid w:val="00712067"/>
    <w:rsid w:val="00712331"/>
    <w:rsid w:val="0071236E"/>
    <w:rsid w:val="007125E7"/>
    <w:rsid w:val="00713E40"/>
    <w:rsid w:val="007143AC"/>
    <w:rsid w:val="0071689D"/>
    <w:rsid w:val="0072434C"/>
    <w:rsid w:val="00725414"/>
    <w:rsid w:val="00725584"/>
    <w:rsid w:val="00726085"/>
    <w:rsid w:val="00726BD7"/>
    <w:rsid w:val="0072730F"/>
    <w:rsid w:val="0073194F"/>
    <w:rsid w:val="00732A05"/>
    <w:rsid w:val="007337AE"/>
    <w:rsid w:val="0073660D"/>
    <w:rsid w:val="007419C4"/>
    <w:rsid w:val="0074226A"/>
    <w:rsid w:val="00742D92"/>
    <w:rsid w:val="00743F4F"/>
    <w:rsid w:val="007452CB"/>
    <w:rsid w:val="00746426"/>
    <w:rsid w:val="00746990"/>
    <w:rsid w:val="007517C7"/>
    <w:rsid w:val="00752B0E"/>
    <w:rsid w:val="00752F13"/>
    <w:rsid w:val="00753BB9"/>
    <w:rsid w:val="00754CEC"/>
    <w:rsid w:val="007550DA"/>
    <w:rsid w:val="007576D9"/>
    <w:rsid w:val="00760CDA"/>
    <w:rsid w:val="0076248A"/>
    <w:rsid w:val="00764438"/>
    <w:rsid w:val="0076477D"/>
    <w:rsid w:val="007654EA"/>
    <w:rsid w:val="007671D4"/>
    <w:rsid w:val="007703A3"/>
    <w:rsid w:val="00774BBF"/>
    <w:rsid w:val="00775EB7"/>
    <w:rsid w:val="007769B2"/>
    <w:rsid w:val="00783316"/>
    <w:rsid w:val="00790369"/>
    <w:rsid w:val="00790539"/>
    <w:rsid w:val="00794E48"/>
    <w:rsid w:val="007A0A29"/>
    <w:rsid w:val="007A1E31"/>
    <w:rsid w:val="007A4875"/>
    <w:rsid w:val="007A689E"/>
    <w:rsid w:val="007A7B85"/>
    <w:rsid w:val="007A7E4E"/>
    <w:rsid w:val="007B0979"/>
    <w:rsid w:val="007B258D"/>
    <w:rsid w:val="007B5A41"/>
    <w:rsid w:val="007B5D0A"/>
    <w:rsid w:val="007B7987"/>
    <w:rsid w:val="007C14E2"/>
    <w:rsid w:val="007C28AB"/>
    <w:rsid w:val="007C6FF6"/>
    <w:rsid w:val="007C7DF8"/>
    <w:rsid w:val="007D2329"/>
    <w:rsid w:val="007D6429"/>
    <w:rsid w:val="007D69B3"/>
    <w:rsid w:val="007D7CC6"/>
    <w:rsid w:val="007E0D22"/>
    <w:rsid w:val="007E1364"/>
    <w:rsid w:val="007E5DC7"/>
    <w:rsid w:val="007F09D3"/>
    <w:rsid w:val="007F0A77"/>
    <w:rsid w:val="007F2728"/>
    <w:rsid w:val="007F7273"/>
    <w:rsid w:val="008007EB"/>
    <w:rsid w:val="00800B04"/>
    <w:rsid w:val="0080152C"/>
    <w:rsid w:val="00805BF4"/>
    <w:rsid w:val="00806427"/>
    <w:rsid w:val="00806BA6"/>
    <w:rsid w:val="008075AB"/>
    <w:rsid w:val="00807A6B"/>
    <w:rsid w:val="008104D1"/>
    <w:rsid w:val="008104F3"/>
    <w:rsid w:val="00811C86"/>
    <w:rsid w:val="00812356"/>
    <w:rsid w:val="00814949"/>
    <w:rsid w:val="00817EC5"/>
    <w:rsid w:val="00820D1F"/>
    <w:rsid w:val="00822147"/>
    <w:rsid w:val="008239CF"/>
    <w:rsid w:val="00827319"/>
    <w:rsid w:val="00827715"/>
    <w:rsid w:val="008301B5"/>
    <w:rsid w:val="00831898"/>
    <w:rsid w:val="008318AD"/>
    <w:rsid w:val="008326BE"/>
    <w:rsid w:val="008329DB"/>
    <w:rsid w:val="0083364C"/>
    <w:rsid w:val="00833941"/>
    <w:rsid w:val="00834B84"/>
    <w:rsid w:val="008366C6"/>
    <w:rsid w:val="00840FB6"/>
    <w:rsid w:val="008474E8"/>
    <w:rsid w:val="008476DE"/>
    <w:rsid w:val="00847F19"/>
    <w:rsid w:val="008520D2"/>
    <w:rsid w:val="00855DD6"/>
    <w:rsid w:val="008563B0"/>
    <w:rsid w:val="00856589"/>
    <w:rsid w:val="0085785E"/>
    <w:rsid w:val="00862C25"/>
    <w:rsid w:val="008634AB"/>
    <w:rsid w:val="008638FA"/>
    <w:rsid w:val="00864E9E"/>
    <w:rsid w:val="008729C0"/>
    <w:rsid w:val="008733C2"/>
    <w:rsid w:val="00873B10"/>
    <w:rsid w:val="00875989"/>
    <w:rsid w:val="008777F6"/>
    <w:rsid w:val="00880A0E"/>
    <w:rsid w:val="00880D30"/>
    <w:rsid w:val="00880E44"/>
    <w:rsid w:val="008818A7"/>
    <w:rsid w:val="00881D66"/>
    <w:rsid w:val="0088292E"/>
    <w:rsid w:val="00883230"/>
    <w:rsid w:val="00883C8B"/>
    <w:rsid w:val="008848E7"/>
    <w:rsid w:val="00884EE5"/>
    <w:rsid w:val="008857BF"/>
    <w:rsid w:val="00886AC5"/>
    <w:rsid w:val="008873EA"/>
    <w:rsid w:val="00887FA5"/>
    <w:rsid w:val="00890146"/>
    <w:rsid w:val="00891216"/>
    <w:rsid w:val="00891885"/>
    <w:rsid w:val="008944CC"/>
    <w:rsid w:val="00896324"/>
    <w:rsid w:val="00896794"/>
    <w:rsid w:val="008A2131"/>
    <w:rsid w:val="008A7EEB"/>
    <w:rsid w:val="008B1A3C"/>
    <w:rsid w:val="008B3AFC"/>
    <w:rsid w:val="008B6DF8"/>
    <w:rsid w:val="008B6FA8"/>
    <w:rsid w:val="008B7F43"/>
    <w:rsid w:val="008C10A0"/>
    <w:rsid w:val="008C1187"/>
    <w:rsid w:val="008C4184"/>
    <w:rsid w:val="008C46BC"/>
    <w:rsid w:val="008D07F5"/>
    <w:rsid w:val="008D0DF2"/>
    <w:rsid w:val="008D186C"/>
    <w:rsid w:val="008D3DB4"/>
    <w:rsid w:val="008D49EF"/>
    <w:rsid w:val="008D60DF"/>
    <w:rsid w:val="008D66F6"/>
    <w:rsid w:val="008D6B82"/>
    <w:rsid w:val="008D7533"/>
    <w:rsid w:val="008D7758"/>
    <w:rsid w:val="008E1EE7"/>
    <w:rsid w:val="008E22C9"/>
    <w:rsid w:val="008E2A19"/>
    <w:rsid w:val="008E6054"/>
    <w:rsid w:val="008E7D4E"/>
    <w:rsid w:val="008F17EB"/>
    <w:rsid w:val="008F2543"/>
    <w:rsid w:val="008F5A93"/>
    <w:rsid w:val="008F6897"/>
    <w:rsid w:val="008F6D4B"/>
    <w:rsid w:val="008F6FF4"/>
    <w:rsid w:val="008F7116"/>
    <w:rsid w:val="0090048D"/>
    <w:rsid w:val="009004E5"/>
    <w:rsid w:val="009059E7"/>
    <w:rsid w:val="00907DEC"/>
    <w:rsid w:val="00910DC8"/>
    <w:rsid w:val="0091153C"/>
    <w:rsid w:val="00911D55"/>
    <w:rsid w:val="00913D3C"/>
    <w:rsid w:val="00916EF9"/>
    <w:rsid w:val="00920BE5"/>
    <w:rsid w:val="00920E05"/>
    <w:rsid w:val="00923927"/>
    <w:rsid w:val="00923BBD"/>
    <w:rsid w:val="00925F06"/>
    <w:rsid w:val="009301C6"/>
    <w:rsid w:val="00930BCB"/>
    <w:rsid w:val="00930D58"/>
    <w:rsid w:val="00931219"/>
    <w:rsid w:val="00931A52"/>
    <w:rsid w:val="00931E24"/>
    <w:rsid w:val="00934A06"/>
    <w:rsid w:val="00934EA6"/>
    <w:rsid w:val="009408D3"/>
    <w:rsid w:val="00943F93"/>
    <w:rsid w:val="0094423A"/>
    <w:rsid w:val="00944D8D"/>
    <w:rsid w:val="00946238"/>
    <w:rsid w:val="009506FA"/>
    <w:rsid w:val="00951E05"/>
    <w:rsid w:val="00951E50"/>
    <w:rsid w:val="009531CE"/>
    <w:rsid w:val="0095737F"/>
    <w:rsid w:val="009610C6"/>
    <w:rsid w:val="009638FB"/>
    <w:rsid w:val="00963E2B"/>
    <w:rsid w:val="00965FEF"/>
    <w:rsid w:val="00966CC8"/>
    <w:rsid w:val="00966E05"/>
    <w:rsid w:val="00966EFF"/>
    <w:rsid w:val="009704F9"/>
    <w:rsid w:val="00970753"/>
    <w:rsid w:val="00974036"/>
    <w:rsid w:val="00974FC5"/>
    <w:rsid w:val="00975172"/>
    <w:rsid w:val="00981C75"/>
    <w:rsid w:val="00982912"/>
    <w:rsid w:val="009863E9"/>
    <w:rsid w:val="00986BC8"/>
    <w:rsid w:val="00987677"/>
    <w:rsid w:val="00992AC6"/>
    <w:rsid w:val="009937B3"/>
    <w:rsid w:val="0099674D"/>
    <w:rsid w:val="009A0ED5"/>
    <w:rsid w:val="009A401E"/>
    <w:rsid w:val="009A676F"/>
    <w:rsid w:val="009A6822"/>
    <w:rsid w:val="009A738C"/>
    <w:rsid w:val="009A79D7"/>
    <w:rsid w:val="009B5ED0"/>
    <w:rsid w:val="009C23D6"/>
    <w:rsid w:val="009C3C0E"/>
    <w:rsid w:val="009C5B78"/>
    <w:rsid w:val="009C6385"/>
    <w:rsid w:val="009C6590"/>
    <w:rsid w:val="009D38FD"/>
    <w:rsid w:val="009D47ED"/>
    <w:rsid w:val="009D6EE6"/>
    <w:rsid w:val="009D78AA"/>
    <w:rsid w:val="009E08A8"/>
    <w:rsid w:val="009E18EA"/>
    <w:rsid w:val="009E3230"/>
    <w:rsid w:val="009E7CB4"/>
    <w:rsid w:val="009F3365"/>
    <w:rsid w:val="009F45B5"/>
    <w:rsid w:val="009F4630"/>
    <w:rsid w:val="009F6F3E"/>
    <w:rsid w:val="009F787B"/>
    <w:rsid w:val="00A0188C"/>
    <w:rsid w:val="00A0354E"/>
    <w:rsid w:val="00A04FBB"/>
    <w:rsid w:val="00A060B6"/>
    <w:rsid w:val="00A079D9"/>
    <w:rsid w:val="00A07AA2"/>
    <w:rsid w:val="00A10829"/>
    <w:rsid w:val="00A11A91"/>
    <w:rsid w:val="00A11EE7"/>
    <w:rsid w:val="00A13F6D"/>
    <w:rsid w:val="00A143E3"/>
    <w:rsid w:val="00A16401"/>
    <w:rsid w:val="00A20B60"/>
    <w:rsid w:val="00A21D91"/>
    <w:rsid w:val="00A23291"/>
    <w:rsid w:val="00A23CC7"/>
    <w:rsid w:val="00A24BF1"/>
    <w:rsid w:val="00A2699F"/>
    <w:rsid w:val="00A277B8"/>
    <w:rsid w:val="00A27FF9"/>
    <w:rsid w:val="00A349D2"/>
    <w:rsid w:val="00A353F4"/>
    <w:rsid w:val="00A36A7B"/>
    <w:rsid w:val="00A3747A"/>
    <w:rsid w:val="00A405A3"/>
    <w:rsid w:val="00A40B43"/>
    <w:rsid w:val="00A42C08"/>
    <w:rsid w:val="00A45EF9"/>
    <w:rsid w:val="00A46435"/>
    <w:rsid w:val="00A468D6"/>
    <w:rsid w:val="00A472E6"/>
    <w:rsid w:val="00A51C76"/>
    <w:rsid w:val="00A53BE0"/>
    <w:rsid w:val="00A5640A"/>
    <w:rsid w:val="00A56D97"/>
    <w:rsid w:val="00A610A3"/>
    <w:rsid w:val="00A6165F"/>
    <w:rsid w:val="00A62731"/>
    <w:rsid w:val="00A63DB0"/>
    <w:rsid w:val="00A643DF"/>
    <w:rsid w:val="00A70925"/>
    <w:rsid w:val="00A7193E"/>
    <w:rsid w:val="00A723C2"/>
    <w:rsid w:val="00A765C7"/>
    <w:rsid w:val="00A8052D"/>
    <w:rsid w:val="00A81214"/>
    <w:rsid w:val="00A82733"/>
    <w:rsid w:val="00A8397C"/>
    <w:rsid w:val="00A83DC5"/>
    <w:rsid w:val="00A867EE"/>
    <w:rsid w:val="00A912FC"/>
    <w:rsid w:val="00A9148E"/>
    <w:rsid w:val="00A947A8"/>
    <w:rsid w:val="00A94AC9"/>
    <w:rsid w:val="00A951BA"/>
    <w:rsid w:val="00AA0A6A"/>
    <w:rsid w:val="00AA37B9"/>
    <w:rsid w:val="00AA4C9A"/>
    <w:rsid w:val="00AA5178"/>
    <w:rsid w:val="00AB1131"/>
    <w:rsid w:val="00AB2D13"/>
    <w:rsid w:val="00AB7CBF"/>
    <w:rsid w:val="00AB7F00"/>
    <w:rsid w:val="00AC1115"/>
    <w:rsid w:val="00AC22E4"/>
    <w:rsid w:val="00AC467B"/>
    <w:rsid w:val="00AC722E"/>
    <w:rsid w:val="00AD251F"/>
    <w:rsid w:val="00AD4E0D"/>
    <w:rsid w:val="00AD7EEC"/>
    <w:rsid w:val="00AE0C4B"/>
    <w:rsid w:val="00AE2780"/>
    <w:rsid w:val="00AE4697"/>
    <w:rsid w:val="00AE4A65"/>
    <w:rsid w:val="00AE5DA5"/>
    <w:rsid w:val="00AF0879"/>
    <w:rsid w:val="00AF0ADC"/>
    <w:rsid w:val="00AF0B1C"/>
    <w:rsid w:val="00AF72EA"/>
    <w:rsid w:val="00AF7863"/>
    <w:rsid w:val="00AF7E87"/>
    <w:rsid w:val="00B057A4"/>
    <w:rsid w:val="00B14DA8"/>
    <w:rsid w:val="00B14FF9"/>
    <w:rsid w:val="00B22DC6"/>
    <w:rsid w:val="00B24779"/>
    <w:rsid w:val="00B26559"/>
    <w:rsid w:val="00B27AAC"/>
    <w:rsid w:val="00B27D3E"/>
    <w:rsid w:val="00B3460B"/>
    <w:rsid w:val="00B348A2"/>
    <w:rsid w:val="00B362A9"/>
    <w:rsid w:val="00B36ABC"/>
    <w:rsid w:val="00B36E54"/>
    <w:rsid w:val="00B375D7"/>
    <w:rsid w:val="00B40411"/>
    <w:rsid w:val="00B42FD6"/>
    <w:rsid w:val="00B42FFA"/>
    <w:rsid w:val="00B43510"/>
    <w:rsid w:val="00B440B6"/>
    <w:rsid w:val="00B44572"/>
    <w:rsid w:val="00B44B80"/>
    <w:rsid w:val="00B46BC0"/>
    <w:rsid w:val="00B46D6F"/>
    <w:rsid w:val="00B577DB"/>
    <w:rsid w:val="00B57AF4"/>
    <w:rsid w:val="00B57C7F"/>
    <w:rsid w:val="00B60BBA"/>
    <w:rsid w:val="00B6214B"/>
    <w:rsid w:val="00B62A53"/>
    <w:rsid w:val="00B62B54"/>
    <w:rsid w:val="00B63732"/>
    <w:rsid w:val="00B67730"/>
    <w:rsid w:val="00B7049E"/>
    <w:rsid w:val="00B71D3B"/>
    <w:rsid w:val="00B72588"/>
    <w:rsid w:val="00B7552B"/>
    <w:rsid w:val="00B84892"/>
    <w:rsid w:val="00B8538D"/>
    <w:rsid w:val="00B8582B"/>
    <w:rsid w:val="00B85B93"/>
    <w:rsid w:val="00B86899"/>
    <w:rsid w:val="00B90A0A"/>
    <w:rsid w:val="00B935A1"/>
    <w:rsid w:val="00B948C9"/>
    <w:rsid w:val="00B9646D"/>
    <w:rsid w:val="00BA31A3"/>
    <w:rsid w:val="00BA3491"/>
    <w:rsid w:val="00BA6F5F"/>
    <w:rsid w:val="00BB34CC"/>
    <w:rsid w:val="00BB576C"/>
    <w:rsid w:val="00BB5DC2"/>
    <w:rsid w:val="00BB7EF9"/>
    <w:rsid w:val="00BC263C"/>
    <w:rsid w:val="00BC358F"/>
    <w:rsid w:val="00BC67F8"/>
    <w:rsid w:val="00BC7A52"/>
    <w:rsid w:val="00BD2A25"/>
    <w:rsid w:val="00BD5592"/>
    <w:rsid w:val="00BD6363"/>
    <w:rsid w:val="00BE00D2"/>
    <w:rsid w:val="00BE0156"/>
    <w:rsid w:val="00BE0752"/>
    <w:rsid w:val="00BE099A"/>
    <w:rsid w:val="00BE28CB"/>
    <w:rsid w:val="00BE2D36"/>
    <w:rsid w:val="00BE30EB"/>
    <w:rsid w:val="00BE753C"/>
    <w:rsid w:val="00BF0972"/>
    <w:rsid w:val="00BF2FE0"/>
    <w:rsid w:val="00BF45EF"/>
    <w:rsid w:val="00BF4B0E"/>
    <w:rsid w:val="00BF57A3"/>
    <w:rsid w:val="00BF774C"/>
    <w:rsid w:val="00C10605"/>
    <w:rsid w:val="00C10FA4"/>
    <w:rsid w:val="00C14607"/>
    <w:rsid w:val="00C15376"/>
    <w:rsid w:val="00C16E14"/>
    <w:rsid w:val="00C22F0A"/>
    <w:rsid w:val="00C24E87"/>
    <w:rsid w:val="00C2550D"/>
    <w:rsid w:val="00C25C88"/>
    <w:rsid w:val="00C27375"/>
    <w:rsid w:val="00C30106"/>
    <w:rsid w:val="00C365F2"/>
    <w:rsid w:val="00C36B4C"/>
    <w:rsid w:val="00C36F99"/>
    <w:rsid w:val="00C417B6"/>
    <w:rsid w:val="00C42106"/>
    <w:rsid w:val="00C42376"/>
    <w:rsid w:val="00C431EC"/>
    <w:rsid w:val="00C50872"/>
    <w:rsid w:val="00C51BDF"/>
    <w:rsid w:val="00C557D4"/>
    <w:rsid w:val="00C55E75"/>
    <w:rsid w:val="00C56B6C"/>
    <w:rsid w:val="00C64BEA"/>
    <w:rsid w:val="00C66494"/>
    <w:rsid w:val="00C713C7"/>
    <w:rsid w:val="00C71EF8"/>
    <w:rsid w:val="00C72918"/>
    <w:rsid w:val="00C72B0F"/>
    <w:rsid w:val="00C74728"/>
    <w:rsid w:val="00C74E7F"/>
    <w:rsid w:val="00C758A6"/>
    <w:rsid w:val="00C76002"/>
    <w:rsid w:val="00C80D8C"/>
    <w:rsid w:val="00C80F01"/>
    <w:rsid w:val="00C82B7B"/>
    <w:rsid w:val="00C82B8A"/>
    <w:rsid w:val="00C8308D"/>
    <w:rsid w:val="00C839D5"/>
    <w:rsid w:val="00C84167"/>
    <w:rsid w:val="00C8435E"/>
    <w:rsid w:val="00C87592"/>
    <w:rsid w:val="00C92129"/>
    <w:rsid w:val="00C94D81"/>
    <w:rsid w:val="00CA06D1"/>
    <w:rsid w:val="00CA1804"/>
    <w:rsid w:val="00CA48E3"/>
    <w:rsid w:val="00CA7B92"/>
    <w:rsid w:val="00CB0550"/>
    <w:rsid w:val="00CB2BE0"/>
    <w:rsid w:val="00CB32DE"/>
    <w:rsid w:val="00CB3462"/>
    <w:rsid w:val="00CB4DA3"/>
    <w:rsid w:val="00CB54F2"/>
    <w:rsid w:val="00CB58C3"/>
    <w:rsid w:val="00CC0FCE"/>
    <w:rsid w:val="00CC12B7"/>
    <w:rsid w:val="00CC3449"/>
    <w:rsid w:val="00CC3534"/>
    <w:rsid w:val="00CC5BCF"/>
    <w:rsid w:val="00CD04E9"/>
    <w:rsid w:val="00CD4996"/>
    <w:rsid w:val="00CD50C2"/>
    <w:rsid w:val="00CD5F70"/>
    <w:rsid w:val="00CD63AD"/>
    <w:rsid w:val="00CD724B"/>
    <w:rsid w:val="00CD7A21"/>
    <w:rsid w:val="00CE3999"/>
    <w:rsid w:val="00CE4016"/>
    <w:rsid w:val="00CE4017"/>
    <w:rsid w:val="00CE4492"/>
    <w:rsid w:val="00CE62AE"/>
    <w:rsid w:val="00CF08AE"/>
    <w:rsid w:val="00CF0CF5"/>
    <w:rsid w:val="00CF17AF"/>
    <w:rsid w:val="00CF2250"/>
    <w:rsid w:val="00CF3E00"/>
    <w:rsid w:val="00CF482F"/>
    <w:rsid w:val="00CF4D6C"/>
    <w:rsid w:val="00CF55F5"/>
    <w:rsid w:val="00CF7C5B"/>
    <w:rsid w:val="00CF7E3B"/>
    <w:rsid w:val="00D03D31"/>
    <w:rsid w:val="00D04267"/>
    <w:rsid w:val="00D052F2"/>
    <w:rsid w:val="00D0753F"/>
    <w:rsid w:val="00D078AE"/>
    <w:rsid w:val="00D078BE"/>
    <w:rsid w:val="00D10FD9"/>
    <w:rsid w:val="00D11FE5"/>
    <w:rsid w:val="00D13F8A"/>
    <w:rsid w:val="00D149A2"/>
    <w:rsid w:val="00D170A5"/>
    <w:rsid w:val="00D2102C"/>
    <w:rsid w:val="00D22006"/>
    <w:rsid w:val="00D26C90"/>
    <w:rsid w:val="00D26E0B"/>
    <w:rsid w:val="00D30D8E"/>
    <w:rsid w:val="00D329B8"/>
    <w:rsid w:val="00D331D3"/>
    <w:rsid w:val="00D33446"/>
    <w:rsid w:val="00D34C77"/>
    <w:rsid w:val="00D35243"/>
    <w:rsid w:val="00D36EF4"/>
    <w:rsid w:val="00D37F62"/>
    <w:rsid w:val="00D406C7"/>
    <w:rsid w:val="00D40EE8"/>
    <w:rsid w:val="00D4218F"/>
    <w:rsid w:val="00D4300C"/>
    <w:rsid w:val="00D4430F"/>
    <w:rsid w:val="00D47F9C"/>
    <w:rsid w:val="00D52B1C"/>
    <w:rsid w:val="00D560D1"/>
    <w:rsid w:val="00D566B5"/>
    <w:rsid w:val="00D5682A"/>
    <w:rsid w:val="00D574B6"/>
    <w:rsid w:val="00D6337C"/>
    <w:rsid w:val="00D644E2"/>
    <w:rsid w:val="00D659AA"/>
    <w:rsid w:val="00D6617D"/>
    <w:rsid w:val="00D667A1"/>
    <w:rsid w:val="00D67192"/>
    <w:rsid w:val="00D709D8"/>
    <w:rsid w:val="00D70C82"/>
    <w:rsid w:val="00D72B2D"/>
    <w:rsid w:val="00D72E25"/>
    <w:rsid w:val="00D77E7F"/>
    <w:rsid w:val="00D810D1"/>
    <w:rsid w:val="00D81CAF"/>
    <w:rsid w:val="00D86370"/>
    <w:rsid w:val="00D8644D"/>
    <w:rsid w:val="00D878B1"/>
    <w:rsid w:val="00D91573"/>
    <w:rsid w:val="00D918D5"/>
    <w:rsid w:val="00D920F9"/>
    <w:rsid w:val="00D936CA"/>
    <w:rsid w:val="00D94172"/>
    <w:rsid w:val="00D9466A"/>
    <w:rsid w:val="00D950F9"/>
    <w:rsid w:val="00D962DC"/>
    <w:rsid w:val="00D96498"/>
    <w:rsid w:val="00D96FCC"/>
    <w:rsid w:val="00DA107D"/>
    <w:rsid w:val="00DA14DE"/>
    <w:rsid w:val="00DA1DDC"/>
    <w:rsid w:val="00DA3005"/>
    <w:rsid w:val="00DA4090"/>
    <w:rsid w:val="00DA4261"/>
    <w:rsid w:val="00DA667C"/>
    <w:rsid w:val="00DB15F4"/>
    <w:rsid w:val="00DB4994"/>
    <w:rsid w:val="00DB6A5A"/>
    <w:rsid w:val="00DB7770"/>
    <w:rsid w:val="00DB7F82"/>
    <w:rsid w:val="00DC3558"/>
    <w:rsid w:val="00DC504C"/>
    <w:rsid w:val="00DC5A69"/>
    <w:rsid w:val="00DC644B"/>
    <w:rsid w:val="00DD0776"/>
    <w:rsid w:val="00DD2783"/>
    <w:rsid w:val="00DD3281"/>
    <w:rsid w:val="00DE0DBC"/>
    <w:rsid w:val="00DF19E4"/>
    <w:rsid w:val="00E002A5"/>
    <w:rsid w:val="00E00D81"/>
    <w:rsid w:val="00E018A2"/>
    <w:rsid w:val="00E02DC7"/>
    <w:rsid w:val="00E0507A"/>
    <w:rsid w:val="00E07EAE"/>
    <w:rsid w:val="00E116A6"/>
    <w:rsid w:val="00E12F39"/>
    <w:rsid w:val="00E16F80"/>
    <w:rsid w:val="00E172E4"/>
    <w:rsid w:val="00E2375E"/>
    <w:rsid w:val="00E25B12"/>
    <w:rsid w:val="00E32EB0"/>
    <w:rsid w:val="00E33C9B"/>
    <w:rsid w:val="00E33FF7"/>
    <w:rsid w:val="00E34403"/>
    <w:rsid w:val="00E34CA6"/>
    <w:rsid w:val="00E3604F"/>
    <w:rsid w:val="00E4045C"/>
    <w:rsid w:val="00E4231D"/>
    <w:rsid w:val="00E42380"/>
    <w:rsid w:val="00E42C8B"/>
    <w:rsid w:val="00E42E11"/>
    <w:rsid w:val="00E463D5"/>
    <w:rsid w:val="00E469AE"/>
    <w:rsid w:val="00E47A6C"/>
    <w:rsid w:val="00E505B1"/>
    <w:rsid w:val="00E530B1"/>
    <w:rsid w:val="00E53562"/>
    <w:rsid w:val="00E53D3F"/>
    <w:rsid w:val="00E54504"/>
    <w:rsid w:val="00E56994"/>
    <w:rsid w:val="00E56BD8"/>
    <w:rsid w:val="00E57E68"/>
    <w:rsid w:val="00E6011A"/>
    <w:rsid w:val="00E633C6"/>
    <w:rsid w:val="00E63466"/>
    <w:rsid w:val="00E64235"/>
    <w:rsid w:val="00E642E7"/>
    <w:rsid w:val="00E655FF"/>
    <w:rsid w:val="00E6771B"/>
    <w:rsid w:val="00E71E00"/>
    <w:rsid w:val="00E74709"/>
    <w:rsid w:val="00E75794"/>
    <w:rsid w:val="00E77166"/>
    <w:rsid w:val="00E77C5C"/>
    <w:rsid w:val="00E8057B"/>
    <w:rsid w:val="00E90EEE"/>
    <w:rsid w:val="00E9388B"/>
    <w:rsid w:val="00EA043A"/>
    <w:rsid w:val="00EA0A86"/>
    <w:rsid w:val="00EA140E"/>
    <w:rsid w:val="00EA446A"/>
    <w:rsid w:val="00EA465B"/>
    <w:rsid w:val="00EA6206"/>
    <w:rsid w:val="00EA6829"/>
    <w:rsid w:val="00EA7F13"/>
    <w:rsid w:val="00EB04FA"/>
    <w:rsid w:val="00EB06C6"/>
    <w:rsid w:val="00EB1497"/>
    <w:rsid w:val="00EB19EC"/>
    <w:rsid w:val="00EB4B95"/>
    <w:rsid w:val="00EB4BEC"/>
    <w:rsid w:val="00EB6D64"/>
    <w:rsid w:val="00EC0319"/>
    <w:rsid w:val="00EC0A70"/>
    <w:rsid w:val="00EC1BB4"/>
    <w:rsid w:val="00EC2882"/>
    <w:rsid w:val="00EC68D6"/>
    <w:rsid w:val="00EC737E"/>
    <w:rsid w:val="00EC79D3"/>
    <w:rsid w:val="00ED0044"/>
    <w:rsid w:val="00ED15C9"/>
    <w:rsid w:val="00ED2D53"/>
    <w:rsid w:val="00ED34E2"/>
    <w:rsid w:val="00EE0117"/>
    <w:rsid w:val="00EE1548"/>
    <w:rsid w:val="00EE2F45"/>
    <w:rsid w:val="00EE61D8"/>
    <w:rsid w:val="00EE6DBE"/>
    <w:rsid w:val="00EF0D73"/>
    <w:rsid w:val="00EF5850"/>
    <w:rsid w:val="00F014A8"/>
    <w:rsid w:val="00F02611"/>
    <w:rsid w:val="00F02AEC"/>
    <w:rsid w:val="00F038A7"/>
    <w:rsid w:val="00F04BCF"/>
    <w:rsid w:val="00F0602E"/>
    <w:rsid w:val="00F107BC"/>
    <w:rsid w:val="00F15C6B"/>
    <w:rsid w:val="00F20F44"/>
    <w:rsid w:val="00F228DE"/>
    <w:rsid w:val="00F258A8"/>
    <w:rsid w:val="00F30817"/>
    <w:rsid w:val="00F31052"/>
    <w:rsid w:val="00F31258"/>
    <w:rsid w:val="00F32E22"/>
    <w:rsid w:val="00F37B73"/>
    <w:rsid w:val="00F4029A"/>
    <w:rsid w:val="00F4094D"/>
    <w:rsid w:val="00F40EAB"/>
    <w:rsid w:val="00F41EC8"/>
    <w:rsid w:val="00F420D7"/>
    <w:rsid w:val="00F425C2"/>
    <w:rsid w:val="00F46F80"/>
    <w:rsid w:val="00F4718B"/>
    <w:rsid w:val="00F50DFD"/>
    <w:rsid w:val="00F5245E"/>
    <w:rsid w:val="00F53761"/>
    <w:rsid w:val="00F57044"/>
    <w:rsid w:val="00F57320"/>
    <w:rsid w:val="00F60F7A"/>
    <w:rsid w:val="00F61E72"/>
    <w:rsid w:val="00F62AC9"/>
    <w:rsid w:val="00F62FD9"/>
    <w:rsid w:val="00F6352E"/>
    <w:rsid w:val="00F67DAE"/>
    <w:rsid w:val="00F7339F"/>
    <w:rsid w:val="00F75DFB"/>
    <w:rsid w:val="00F76592"/>
    <w:rsid w:val="00F76968"/>
    <w:rsid w:val="00F80C35"/>
    <w:rsid w:val="00F829A8"/>
    <w:rsid w:val="00F83149"/>
    <w:rsid w:val="00F8568F"/>
    <w:rsid w:val="00F90384"/>
    <w:rsid w:val="00F905E3"/>
    <w:rsid w:val="00F90B49"/>
    <w:rsid w:val="00F91D42"/>
    <w:rsid w:val="00F91E3F"/>
    <w:rsid w:val="00F91EAD"/>
    <w:rsid w:val="00F92225"/>
    <w:rsid w:val="00F92891"/>
    <w:rsid w:val="00F92C14"/>
    <w:rsid w:val="00F93E97"/>
    <w:rsid w:val="00FA2544"/>
    <w:rsid w:val="00FA2B91"/>
    <w:rsid w:val="00FA3700"/>
    <w:rsid w:val="00FA3969"/>
    <w:rsid w:val="00FA46A3"/>
    <w:rsid w:val="00FA49C3"/>
    <w:rsid w:val="00FA4EB3"/>
    <w:rsid w:val="00FA7A71"/>
    <w:rsid w:val="00FB2BD9"/>
    <w:rsid w:val="00FB35F1"/>
    <w:rsid w:val="00FB3825"/>
    <w:rsid w:val="00FB4486"/>
    <w:rsid w:val="00FB7CDF"/>
    <w:rsid w:val="00FC2557"/>
    <w:rsid w:val="00FC57BA"/>
    <w:rsid w:val="00FC6F21"/>
    <w:rsid w:val="00FC7CDD"/>
    <w:rsid w:val="00FD0485"/>
    <w:rsid w:val="00FD0841"/>
    <w:rsid w:val="00FD1EE2"/>
    <w:rsid w:val="00FD42A5"/>
    <w:rsid w:val="00FD5C53"/>
    <w:rsid w:val="00FD5C56"/>
    <w:rsid w:val="00FE0690"/>
    <w:rsid w:val="00FE0923"/>
    <w:rsid w:val="00FE3B0B"/>
    <w:rsid w:val="00FE5271"/>
    <w:rsid w:val="00FF10E2"/>
    <w:rsid w:val="00FF19F7"/>
    <w:rsid w:val="00FF35D2"/>
    <w:rsid w:val="06BEEE9A"/>
    <w:rsid w:val="0FB0F90D"/>
    <w:rsid w:val="1043D661"/>
    <w:rsid w:val="16032762"/>
    <w:rsid w:val="18C2AD02"/>
    <w:rsid w:val="19B32474"/>
    <w:rsid w:val="1CB58381"/>
    <w:rsid w:val="1D777ED5"/>
    <w:rsid w:val="1EA9A29C"/>
    <w:rsid w:val="23BA9D4F"/>
    <w:rsid w:val="24386C5C"/>
    <w:rsid w:val="24BC6630"/>
    <w:rsid w:val="25857E9E"/>
    <w:rsid w:val="2798178F"/>
    <w:rsid w:val="279E9536"/>
    <w:rsid w:val="2BB4F732"/>
    <w:rsid w:val="2DA113C6"/>
    <w:rsid w:val="2DD5FA4E"/>
    <w:rsid w:val="2E156F8D"/>
    <w:rsid w:val="31C3FB35"/>
    <w:rsid w:val="32068BBC"/>
    <w:rsid w:val="3351BDDB"/>
    <w:rsid w:val="35079BD8"/>
    <w:rsid w:val="35C2D994"/>
    <w:rsid w:val="362C31A0"/>
    <w:rsid w:val="37642641"/>
    <w:rsid w:val="387F2CFD"/>
    <w:rsid w:val="397E62EB"/>
    <w:rsid w:val="39D77299"/>
    <w:rsid w:val="3B0BA95F"/>
    <w:rsid w:val="3B340E01"/>
    <w:rsid w:val="3DC19E5B"/>
    <w:rsid w:val="3F186122"/>
    <w:rsid w:val="3F4B43D4"/>
    <w:rsid w:val="4406A8B2"/>
    <w:rsid w:val="46FD5CB6"/>
    <w:rsid w:val="47D80F26"/>
    <w:rsid w:val="4808E2C3"/>
    <w:rsid w:val="482B04D6"/>
    <w:rsid w:val="482CE869"/>
    <w:rsid w:val="489EE72B"/>
    <w:rsid w:val="48B9598D"/>
    <w:rsid w:val="49ADDCBA"/>
    <w:rsid w:val="4C8FBDAC"/>
    <w:rsid w:val="4D6D1B29"/>
    <w:rsid w:val="4DB3A0D9"/>
    <w:rsid w:val="4DB8DB89"/>
    <w:rsid w:val="4E7361F9"/>
    <w:rsid w:val="4FAD5EFA"/>
    <w:rsid w:val="502F53AA"/>
    <w:rsid w:val="50FA700C"/>
    <w:rsid w:val="51AA43FB"/>
    <w:rsid w:val="522551CA"/>
    <w:rsid w:val="545E4CDE"/>
    <w:rsid w:val="580F4358"/>
    <w:rsid w:val="5AE5C394"/>
    <w:rsid w:val="5C2CA3A0"/>
    <w:rsid w:val="5EE3DA12"/>
    <w:rsid w:val="5EF42685"/>
    <w:rsid w:val="5F49C80D"/>
    <w:rsid w:val="5F7493A5"/>
    <w:rsid w:val="603683BE"/>
    <w:rsid w:val="6155E188"/>
    <w:rsid w:val="64FFAFAB"/>
    <w:rsid w:val="670E7516"/>
    <w:rsid w:val="681D56FF"/>
    <w:rsid w:val="69CC573E"/>
    <w:rsid w:val="6A8EE088"/>
    <w:rsid w:val="6D5A11CE"/>
    <w:rsid w:val="71AB4FA7"/>
    <w:rsid w:val="72E7AF61"/>
    <w:rsid w:val="7453E232"/>
    <w:rsid w:val="74C4DE18"/>
    <w:rsid w:val="755A5A93"/>
    <w:rsid w:val="7C217B42"/>
    <w:rsid w:val="7C406B55"/>
    <w:rsid w:val="7E4FD0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20E8"/>
  <w15:chartTrackingRefBased/>
  <w15:docId w15:val="{3DEEB77D-1A26-4EA5-8EE3-71096282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783"/>
    <w:rPr>
      <w:rFonts w:ascii="Arial" w:hAnsi="Arial"/>
    </w:rPr>
  </w:style>
  <w:style w:type="paragraph" w:styleId="Heading1">
    <w:name w:val="heading 1"/>
    <w:basedOn w:val="Normal"/>
    <w:next w:val="Normal"/>
    <w:link w:val="Heading1Char"/>
    <w:uiPriority w:val="9"/>
    <w:qFormat/>
    <w:rsid w:val="004647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4647AA"/>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4647AA"/>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647AA"/>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qFormat/>
    <w:rsid w:val="004647AA"/>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qFormat/>
    <w:rsid w:val="004647AA"/>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uiPriority w:val="9"/>
    <w:qFormat/>
    <w:rsid w:val="00685E72"/>
    <w:pPr>
      <w:keepNext/>
      <w:keepLines/>
      <w:spacing w:before="240" w:after="60" w:line="180" w:lineRule="atLeast"/>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unhideWhenUsed/>
    <w:qFormat/>
    <w:rsid w:val="00520CD5"/>
    <w:pPr>
      <w:keepNext/>
      <w:keepLines/>
      <w:spacing w:before="200" w:after="0" w:line="240" w:lineRule="atLeast"/>
      <w:outlineLvl w:val="7"/>
    </w:pPr>
    <w:rPr>
      <w:rFonts w:eastAsiaTheme="majorEastAsia" w:cstheme="majorBidi"/>
    </w:rPr>
  </w:style>
  <w:style w:type="paragraph" w:styleId="Heading9">
    <w:name w:val="heading 9"/>
    <w:basedOn w:val="Normal"/>
    <w:next w:val="Normal"/>
    <w:link w:val="Heading9Char"/>
    <w:uiPriority w:val="9"/>
    <w:unhideWhenUsed/>
    <w:qFormat/>
    <w:rsid w:val="00685E72"/>
    <w:pPr>
      <w:keepNext/>
      <w:keepLines/>
      <w:spacing w:before="200" w:after="0" w:line="24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4647AA"/>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4647AA"/>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4647AA"/>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4647AA"/>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4647AA"/>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4647AA"/>
    <w:rPr>
      <w:rFonts w:ascii="Arial" w:eastAsia="Times New Roman" w:hAnsi="Arial" w:cs="Times New Roman"/>
      <w:bCs/>
      <w:color w:val="001871"/>
      <w:sz w:val="24"/>
      <w:szCs w:val="21"/>
    </w:rPr>
  </w:style>
  <w:style w:type="paragraph" w:styleId="Date">
    <w:name w:val="Date"/>
    <w:basedOn w:val="Normal"/>
    <w:next w:val="Normal"/>
    <w:link w:val="DateChar"/>
    <w:uiPriority w:val="99"/>
    <w:rsid w:val="004647AA"/>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4647AA"/>
    <w:rPr>
      <w:rFonts w:ascii="Arial" w:eastAsia="Cambria" w:hAnsi="Arial" w:cs="Times New Roman"/>
      <w:color w:val="333F4A"/>
      <w:sz w:val="28"/>
    </w:rPr>
  </w:style>
  <w:style w:type="paragraph" w:styleId="Footer">
    <w:name w:val="footer"/>
    <w:basedOn w:val="Normal"/>
    <w:link w:val="FooterChar"/>
    <w:uiPriority w:val="99"/>
    <w:rsid w:val="004647AA"/>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4647AA"/>
    <w:rPr>
      <w:rFonts w:ascii="Arial" w:eastAsia="Cambria" w:hAnsi="Arial" w:cs="Times New Roman"/>
      <w:color w:val="333F4A"/>
      <w:sz w:val="17"/>
    </w:rPr>
  </w:style>
  <w:style w:type="paragraph" w:styleId="Header">
    <w:name w:val="header"/>
    <w:basedOn w:val="Normal"/>
    <w:link w:val="HeaderChar"/>
    <w:uiPriority w:val="99"/>
    <w:rsid w:val="004647AA"/>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4647AA"/>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4647AA"/>
    <w:rPr>
      <w:rFonts w:ascii="Arial" w:hAnsi="Arial"/>
      <w:color w:val="0000FF"/>
      <w:u w:val="single"/>
    </w:rPr>
  </w:style>
  <w:style w:type="paragraph" w:customStyle="1" w:styleId="LegalCopy">
    <w:name w:val="Legal Copy"/>
    <w:basedOn w:val="Footer"/>
    <w:rsid w:val="004647AA"/>
  </w:style>
  <w:style w:type="paragraph" w:customStyle="1" w:styleId="LegalSubheading">
    <w:name w:val="Legal Subheading"/>
    <w:basedOn w:val="Normal"/>
    <w:rsid w:val="004647AA"/>
    <w:pPr>
      <w:outlineLvl w:val="1"/>
    </w:pPr>
    <w:rPr>
      <w:sz w:val="17"/>
    </w:rPr>
  </w:style>
  <w:style w:type="paragraph" w:styleId="ListBullet">
    <w:name w:val="List Bullet"/>
    <w:basedOn w:val="Normal"/>
    <w:autoRedefine/>
    <w:uiPriority w:val="2"/>
    <w:qFormat/>
    <w:rsid w:val="00934A06"/>
    <w:pPr>
      <w:numPr>
        <w:numId w:val="11"/>
      </w:numPr>
      <w:spacing w:before="120" w:line="240" w:lineRule="auto"/>
      <w:ind w:left="357" w:hanging="357"/>
    </w:pPr>
    <w:rPr>
      <w:rFonts w:eastAsia="Cambria" w:cs="Times New Roman"/>
    </w:rPr>
  </w:style>
  <w:style w:type="paragraph" w:styleId="ListBullet2">
    <w:name w:val="List Bullet 2"/>
    <w:basedOn w:val="Normal"/>
    <w:uiPriority w:val="2"/>
    <w:qFormat/>
    <w:rsid w:val="004647AA"/>
    <w:pPr>
      <w:numPr>
        <w:ilvl w:val="1"/>
        <w:numId w:val="7"/>
      </w:numPr>
      <w:spacing w:before="120" w:after="180" w:line="240" w:lineRule="atLeast"/>
    </w:pPr>
    <w:rPr>
      <w:rFonts w:eastAsia="Cambria" w:cs="Times New Roman"/>
      <w:color w:val="333F48"/>
    </w:rPr>
  </w:style>
  <w:style w:type="paragraph" w:styleId="ListBullet3">
    <w:name w:val="List Bullet 3"/>
    <w:basedOn w:val="Normal"/>
    <w:uiPriority w:val="2"/>
    <w:qFormat/>
    <w:rsid w:val="004647AA"/>
    <w:pPr>
      <w:numPr>
        <w:numId w:val="6"/>
      </w:numPr>
      <w:spacing w:before="120" w:after="180" w:line="240" w:lineRule="atLeast"/>
    </w:pPr>
    <w:rPr>
      <w:rFonts w:eastAsia="Cambria" w:cs="Times New Roman"/>
      <w:color w:val="333F48"/>
    </w:rPr>
  </w:style>
  <w:style w:type="numbering" w:customStyle="1" w:styleId="ListBullets">
    <w:name w:val="ListBullets"/>
    <w:uiPriority w:val="99"/>
    <w:locked/>
    <w:rsid w:val="004647AA"/>
    <w:pPr>
      <w:numPr>
        <w:numId w:val="4"/>
      </w:numPr>
    </w:pPr>
  </w:style>
  <w:style w:type="paragraph" w:customStyle="1" w:styleId="Numberbullet0">
    <w:name w:val="Number bullet"/>
    <w:basedOn w:val="ListBullet"/>
    <w:uiPriority w:val="3"/>
    <w:qFormat/>
    <w:rsid w:val="004647AA"/>
    <w:pPr>
      <w:numPr>
        <w:numId w:val="9"/>
      </w:numPr>
    </w:pPr>
  </w:style>
  <w:style w:type="paragraph" w:customStyle="1" w:styleId="Numberbullet2">
    <w:name w:val="Number bullet 2"/>
    <w:basedOn w:val="ListBullet2"/>
    <w:uiPriority w:val="3"/>
    <w:qFormat/>
    <w:rsid w:val="004647AA"/>
    <w:pPr>
      <w:numPr>
        <w:numId w:val="9"/>
      </w:numPr>
    </w:pPr>
  </w:style>
  <w:style w:type="paragraph" w:customStyle="1" w:styleId="Numberbullet3">
    <w:name w:val="Number bullet 3"/>
    <w:basedOn w:val="Normal"/>
    <w:uiPriority w:val="3"/>
    <w:qFormat/>
    <w:rsid w:val="004647AA"/>
    <w:pPr>
      <w:numPr>
        <w:numId w:val="8"/>
      </w:numPr>
      <w:spacing w:before="120" w:after="180" w:line="240" w:lineRule="atLeast"/>
    </w:pPr>
    <w:rPr>
      <w:rFonts w:eastAsia="Cambria" w:cs="Times New Roman"/>
      <w:color w:val="333F48"/>
    </w:rPr>
  </w:style>
  <w:style w:type="numbering" w:customStyle="1" w:styleId="NumberBullet">
    <w:name w:val="NumberBullet"/>
    <w:uiPriority w:val="99"/>
    <w:locked/>
    <w:rsid w:val="004647AA"/>
    <w:pPr>
      <w:numPr>
        <w:numId w:val="1"/>
      </w:numPr>
    </w:pPr>
  </w:style>
  <w:style w:type="paragraph" w:styleId="Subtitle">
    <w:name w:val="Subtitle"/>
    <w:basedOn w:val="Normal"/>
    <w:link w:val="SubtitleChar"/>
    <w:uiPriority w:val="11"/>
    <w:rsid w:val="004647AA"/>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4647AA"/>
    <w:rPr>
      <w:rFonts w:ascii="Arial" w:eastAsia="Times New Roman" w:hAnsi="Arial" w:cs="Times New Roman"/>
      <w:bCs/>
      <w:iCs/>
      <w:color w:val="006BA6"/>
      <w:sz w:val="40"/>
      <w:szCs w:val="24"/>
    </w:rPr>
  </w:style>
  <w:style w:type="table" w:styleId="TableGrid">
    <w:name w:val="Table Grid"/>
    <w:basedOn w:val="TableNormal"/>
    <w:uiPriority w:val="59"/>
    <w:rsid w:val="004647AA"/>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4647AA"/>
    <w:pPr>
      <w:spacing w:before="120" w:after="360" w:line="240" w:lineRule="atLeast"/>
      <w:jc w:val="center"/>
    </w:pPr>
    <w:rPr>
      <w:rFonts w:eastAsia="Cambria" w:cs="Times New Roman"/>
      <w:b/>
      <w:color w:val="333F48"/>
      <w:sz w:val="28"/>
    </w:rPr>
  </w:style>
  <w:style w:type="paragraph" w:styleId="Title">
    <w:name w:val="Title"/>
    <w:link w:val="TitleChar"/>
    <w:uiPriority w:val="10"/>
    <w:rsid w:val="004647AA"/>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4647AA"/>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4647AA"/>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647AA"/>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647AA"/>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4647AA"/>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4647AA"/>
    <w:rPr>
      <w:rFonts w:ascii="Arial" w:eastAsia="Cambria" w:hAnsi="Arial" w:cs="Times New Roman"/>
      <w:color w:val="333F48"/>
      <w:sz w:val="16"/>
    </w:rPr>
  </w:style>
  <w:style w:type="character" w:styleId="FootnoteReference">
    <w:name w:val="footnote reference"/>
    <w:basedOn w:val="DefaultParagraphFont"/>
    <w:uiPriority w:val="99"/>
    <w:unhideWhenUsed/>
    <w:rsid w:val="004647AA"/>
    <w:rPr>
      <w:vertAlign w:val="superscript"/>
    </w:rPr>
  </w:style>
  <w:style w:type="paragraph" w:customStyle="1" w:styleId="NonTOCheading2">
    <w:name w:val="Non TOC heading 2"/>
    <w:basedOn w:val="Normal"/>
    <w:next w:val="Normal"/>
    <w:rsid w:val="004647AA"/>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4647AA"/>
    <w:pPr>
      <w:pBdr>
        <w:bottom w:val="none" w:sz="0" w:space="0" w:color="auto"/>
      </w:pBdr>
      <w:spacing w:line="240" w:lineRule="atLeast"/>
    </w:pPr>
  </w:style>
  <w:style w:type="paragraph" w:customStyle="1" w:styleId="Tabledescription">
    <w:name w:val="Table description"/>
    <w:basedOn w:val="Normal"/>
    <w:next w:val="Normal"/>
    <w:rsid w:val="004647AA"/>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4647AA"/>
    <w:pPr>
      <w:keepNext/>
      <w:spacing w:before="120" w:after="180" w:line="240" w:lineRule="atLeast"/>
    </w:pPr>
    <w:rPr>
      <w:rFonts w:eastAsia="Cambria" w:cs="Times New Roman"/>
      <w:b/>
      <w:color w:val="333F48"/>
    </w:rPr>
  </w:style>
  <w:style w:type="paragraph" w:customStyle="1" w:styleId="Address">
    <w:name w:val="Address"/>
    <w:basedOn w:val="Normal"/>
    <w:rsid w:val="004647AA"/>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4647AA"/>
    <w:pPr>
      <w:tabs>
        <w:tab w:val="left" w:pos="425"/>
      </w:tabs>
    </w:pPr>
  </w:style>
  <w:style w:type="paragraph" w:customStyle="1" w:styleId="ListBullet-donotcross">
    <w:name w:val="List Bullet - do not (cross)"/>
    <w:basedOn w:val="ListBullet"/>
    <w:autoRedefine/>
    <w:uiPriority w:val="1"/>
    <w:qFormat/>
    <w:rsid w:val="004647AA"/>
    <w:rPr>
      <w:rFonts w:eastAsiaTheme="minorHAnsi" w:cstheme="minorBidi"/>
      <w:szCs w:val="22"/>
    </w:rPr>
  </w:style>
  <w:style w:type="table" w:customStyle="1" w:styleId="TGABlack2023">
    <w:name w:val="TGA Black 2023"/>
    <w:basedOn w:val="TableTGAblue2023"/>
    <w:uiPriority w:val="99"/>
    <w:rsid w:val="004647AA"/>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uiPriority w:val="9"/>
    <w:rsid w:val="004647AA"/>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
    <w:rsid w:val="00685E72"/>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520CD5"/>
    <w:rPr>
      <w:rFonts w:ascii="Arial" w:eastAsiaTheme="majorEastAsia" w:hAnsi="Arial" w:cstheme="majorBidi"/>
      <w:color w:val="000000" w:themeColor="text1"/>
      <w:sz w:val="22"/>
    </w:rPr>
  </w:style>
  <w:style w:type="character" w:customStyle="1" w:styleId="Heading9Char">
    <w:name w:val="Heading 9 Char"/>
    <w:basedOn w:val="DefaultParagraphFont"/>
    <w:link w:val="Heading9"/>
    <w:uiPriority w:val="9"/>
    <w:semiHidden/>
    <w:rsid w:val="00685E72"/>
    <w:rPr>
      <w:rFonts w:asciiTheme="majorHAnsi" w:eastAsiaTheme="majorEastAsia" w:hAnsiTheme="majorHAnsi" w:cstheme="majorBidi"/>
      <w:i/>
      <w:iCs/>
      <w:color w:val="404040" w:themeColor="text1" w:themeTint="BF"/>
    </w:rPr>
  </w:style>
  <w:style w:type="paragraph" w:styleId="DocumentMap">
    <w:name w:val="Document Map"/>
    <w:basedOn w:val="Normal"/>
    <w:link w:val="DocumentMapChar"/>
    <w:uiPriority w:val="99"/>
    <w:semiHidden/>
    <w:unhideWhenUsed/>
    <w:rsid w:val="00685E72"/>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685E72"/>
    <w:rPr>
      <w:rFonts w:ascii="Tahoma" w:eastAsia="Cambria" w:hAnsi="Tahoma" w:cs="Tahoma"/>
      <w:sz w:val="16"/>
      <w:szCs w:val="16"/>
    </w:rPr>
  </w:style>
  <w:style w:type="paragraph" w:styleId="BalloonText">
    <w:name w:val="Balloon Text"/>
    <w:basedOn w:val="Normal"/>
    <w:link w:val="BalloonTextChar"/>
    <w:uiPriority w:val="99"/>
    <w:semiHidden/>
    <w:unhideWhenUsed/>
    <w:rsid w:val="00685E72"/>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685E72"/>
    <w:rPr>
      <w:rFonts w:ascii="Tahoma" w:eastAsia="Cambria" w:hAnsi="Tahoma" w:cs="Tahoma"/>
      <w:sz w:val="16"/>
      <w:szCs w:val="16"/>
    </w:rPr>
  </w:style>
  <w:style w:type="paragraph" w:styleId="TOC4">
    <w:name w:val="toc 4"/>
    <w:basedOn w:val="Normal"/>
    <w:next w:val="Normal"/>
    <w:autoRedefine/>
    <w:uiPriority w:val="39"/>
    <w:semiHidden/>
    <w:unhideWhenUsed/>
    <w:rsid w:val="00685E72"/>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685E72"/>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685E72"/>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685E72"/>
    <w:pPr>
      <w:spacing w:before="120" w:after="100" w:line="240" w:lineRule="atLeast"/>
      <w:ind w:left="2211"/>
    </w:pPr>
    <w:rPr>
      <w:rFonts w:ascii="Cambria" w:eastAsia="Cambria" w:hAnsi="Cambria" w:cs="Times New Roman"/>
    </w:rPr>
  </w:style>
  <w:style w:type="character" w:styleId="FollowedHyperlink">
    <w:name w:val="FollowedHyperlink"/>
    <w:basedOn w:val="DefaultParagraphFont"/>
    <w:semiHidden/>
    <w:unhideWhenUsed/>
    <w:rsid w:val="00685E72"/>
    <w:rPr>
      <w:color w:val="800080"/>
      <w:u w:val="single"/>
    </w:rPr>
  </w:style>
  <w:style w:type="paragraph" w:customStyle="1" w:styleId="HeaderNoLine0">
    <w:name w:val="Header No Line"/>
    <w:basedOn w:val="Header"/>
    <w:rsid w:val="00685E72"/>
    <w:pPr>
      <w:pBdr>
        <w:bottom w:val="none" w:sz="0" w:space="0" w:color="auto"/>
      </w:pBdr>
    </w:pPr>
    <w:rPr>
      <w:rFonts w:ascii="Cambria" w:hAnsi="Cambria"/>
      <w:color w:val="auto"/>
    </w:rPr>
  </w:style>
  <w:style w:type="table" w:styleId="LightShading-Accent2">
    <w:name w:val="Light Shading Accent 2"/>
    <w:basedOn w:val="TableNormal"/>
    <w:uiPriority w:val="60"/>
    <w:rsid w:val="00685E72"/>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685E72"/>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4647AA"/>
    <w:rPr>
      <w:color w:val="808080"/>
    </w:rPr>
  </w:style>
  <w:style w:type="paragraph" w:customStyle="1" w:styleId="Reference">
    <w:name w:val="Reference"/>
    <w:basedOn w:val="Normal"/>
    <w:rsid w:val="00685E72"/>
    <w:pPr>
      <w:spacing w:before="40" w:after="0" w:line="240" w:lineRule="atLeast"/>
      <w:ind w:left="170" w:hanging="170"/>
    </w:pPr>
    <w:rPr>
      <w:rFonts w:ascii="Cambria" w:eastAsia="Cambria" w:hAnsi="Cambria" w:cs="Times New Roman"/>
      <w:sz w:val="19"/>
    </w:rPr>
  </w:style>
  <w:style w:type="paragraph" w:styleId="EndnoteText">
    <w:name w:val="endnote text"/>
    <w:basedOn w:val="FootnoteText"/>
    <w:link w:val="EndnoteTextChar"/>
    <w:semiHidden/>
    <w:unhideWhenUsed/>
    <w:rsid w:val="00685E72"/>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685E72"/>
    <w:rPr>
      <w:rFonts w:eastAsia="Cambria"/>
      <w:szCs w:val="22"/>
    </w:rPr>
  </w:style>
  <w:style w:type="table" w:customStyle="1" w:styleId="TableTGAblue">
    <w:name w:val="Table TGA blue"/>
    <w:basedOn w:val="TableNormal"/>
    <w:uiPriority w:val="99"/>
    <w:qFormat/>
    <w:rsid w:val="00685E72"/>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Bold" w:hAnsi="Cambria-Bold"/>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685E72"/>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Bold" w:hAnsi="Cambria-Bold"/>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Bold" w:hAnsi="Cambria-Bold"/>
        <w:b/>
        <w:i w:val="0"/>
        <w:color w:val="FFFFFF"/>
        <w:sz w:val="22"/>
      </w:rPr>
    </w:tblStylePr>
  </w:style>
  <w:style w:type="paragraph" w:styleId="TOCHeading">
    <w:name w:val="TOC Heading"/>
    <w:basedOn w:val="Heading1"/>
    <w:next w:val="Normal"/>
    <w:uiPriority w:val="39"/>
    <w:unhideWhenUsed/>
    <w:qFormat/>
    <w:rsid w:val="004647AA"/>
    <w:pPr>
      <w:outlineLvl w:val="9"/>
    </w:pPr>
    <w:rPr>
      <w:lang w:val="en-US"/>
    </w:rPr>
  </w:style>
  <w:style w:type="numbering" w:customStyle="1" w:styleId="NumberBullet1">
    <w:name w:val="NumberBullet1"/>
    <w:uiPriority w:val="99"/>
    <w:rsid w:val="00685E72"/>
  </w:style>
  <w:style w:type="numbering" w:customStyle="1" w:styleId="ListBullets1">
    <w:name w:val="ListBullets1"/>
    <w:uiPriority w:val="99"/>
    <w:rsid w:val="00685E72"/>
  </w:style>
  <w:style w:type="character" w:styleId="EndnoteReference">
    <w:name w:val="endnote reference"/>
    <w:basedOn w:val="DefaultParagraphFont"/>
    <w:uiPriority w:val="99"/>
    <w:semiHidden/>
    <w:unhideWhenUsed/>
    <w:rsid w:val="00685E72"/>
    <w:rPr>
      <w:vertAlign w:val="superscript"/>
    </w:rPr>
  </w:style>
  <w:style w:type="table" w:customStyle="1" w:styleId="LightShading1">
    <w:name w:val="Light Shading1"/>
    <w:basedOn w:val="TableNormal"/>
    <w:uiPriority w:val="60"/>
    <w:rsid w:val="00685E72"/>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otation">
    <w:name w:val="Quotation"/>
    <w:basedOn w:val="Normal"/>
    <w:next w:val="Normal"/>
    <w:autoRedefine/>
    <w:uiPriority w:val="4"/>
    <w:qFormat/>
    <w:rsid w:val="00B90A0A"/>
    <w:pPr>
      <w:spacing w:before="120" w:after="180" w:line="240" w:lineRule="atLeast"/>
      <w:ind w:left="425"/>
    </w:pPr>
    <w:rPr>
      <w:rFonts w:eastAsia="Cambria" w:cs="Times New Roman"/>
    </w:rPr>
  </w:style>
  <w:style w:type="character" w:styleId="CommentReference">
    <w:name w:val="annotation reference"/>
    <w:basedOn w:val="DefaultParagraphFont"/>
    <w:uiPriority w:val="99"/>
    <w:semiHidden/>
    <w:unhideWhenUsed/>
    <w:rsid w:val="00685E72"/>
    <w:rPr>
      <w:sz w:val="16"/>
      <w:szCs w:val="16"/>
    </w:rPr>
  </w:style>
  <w:style w:type="paragraph" w:styleId="CommentText">
    <w:name w:val="annotation text"/>
    <w:basedOn w:val="Normal"/>
    <w:link w:val="CommentTextChar"/>
    <w:uiPriority w:val="99"/>
    <w:unhideWhenUsed/>
    <w:rsid w:val="00685E72"/>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685E72"/>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685E72"/>
    <w:rPr>
      <w:b/>
      <w:bCs/>
    </w:rPr>
  </w:style>
  <w:style w:type="character" w:customStyle="1" w:styleId="CommentSubjectChar">
    <w:name w:val="Comment Subject Char"/>
    <w:basedOn w:val="CommentTextChar"/>
    <w:link w:val="CommentSubject"/>
    <w:uiPriority w:val="99"/>
    <w:semiHidden/>
    <w:rsid w:val="00685E72"/>
    <w:rPr>
      <w:rFonts w:ascii="Cambria" w:eastAsia="Cambria" w:hAnsi="Cambria" w:cs="Times New Roman"/>
      <w:b/>
      <w:bCs/>
    </w:rPr>
  </w:style>
  <w:style w:type="paragraph" w:styleId="ListParagraph">
    <w:name w:val="List Paragraph"/>
    <w:basedOn w:val="ListBullet"/>
    <w:autoRedefine/>
    <w:uiPriority w:val="34"/>
    <w:qFormat/>
    <w:rsid w:val="003033EA"/>
    <w:pPr>
      <w:numPr>
        <w:numId w:val="26"/>
      </w:numPr>
      <w:spacing w:before="80" w:after="40"/>
      <w:contextualSpacing/>
      <w:textAlignment w:val="baseline"/>
    </w:pPr>
  </w:style>
  <w:style w:type="table" w:styleId="LightList-Accent1">
    <w:name w:val="Light List Accent 1"/>
    <w:basedOn w:val="TableNormal"/>
    <w:uiPriority w:val="61"/>
    <w:rsid w:val="00685E72"/>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OC9">
    <w:name w:val="toc 9"/>
    <w:basedOn w:val="Normal"/>
    <w:next w:val="Normal"/>
    <w:autoRedefine/>
    <w:uiPriority w:val="39"/>
    <w:semiHidden/>
    <w:unhideWhenUsed/>
    <w:rsid w:val="00685E72"/>
    <w:pPr>
      <w:spacing w:before="120" w:after="100" w:line="240" w:lineRule="atLeast"/>
      <w:ind w:left="1760"/>
    </w:pPr>
    <w:rPr>
      <w:rFonts w:ascii="Cambria" w:eastAsia="Cambria" w:hAnsi="Cambria" w:cs="Times New Roman"/>
    </w:rPr>
  </w:style>
  <w:style w:type="paragraph" w:customStyle="1" w:styleId="TableTitle0">
    <w:name w:val="Table Title"/>
    <w:basedOn w:val="Normal"/>
    <w:next w:val="Normal"/>
    <w:autoRedefine/>
    <w:qFormat/>
    <w:rsid w:val="00B90A0A"/>
    <w:pPr>
      <w:spacing w:before="180" w:after="180" w:line="240" w:lineRule="atLeast"/>
    </w:pPr>
    <w:rPr>
      <w:rFonts w:eastAsia="Cambria" w:cs="Times New Roman"/>
      <w:b/>
    </w:rPr>
  </w:style>
  <w:style w:type="character" w:styleId="Strong">
    <w:name w:val="Strong"/>
    <w:basedOn w:val="DefaultParagraphFont"/>
    <w:uiPriority w:val="22"/>
    <w:qFormat/>
    <w:rsid w:val="00520CD5"/>
    <w:rPr>
      <w:rFonts w:ascii="Arial" w:hAnsi="Arial"/>
      <w:b/>
      <w:bCs/>
      <w:color w:val="000000" w:themeColor="text1"/>
    </w:rPr>
  </w:style>
  <w:style w:type="paragraph" w:customStyle="1" w:styleId="Default">
    <w:name w:val="Default"/>
    <w:rsid w:val="00685E72"/>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character" w:customStyle="1" w:styleId="fontstyle01">
    <w:name w:val="fontstyle01"/>
    <w:basedOn w:val="DefaultParagraphFont"/>
    <w:rsid w:val="00685E72"/>
    <w:rPr>
      <w:rFonts w:ascii="Cambria" w:hAnsi="Cambria" w:hint="default"/>
      <w:b w:val="0"/>
      <w:bCs w:val="0"/>
      <w:i w:val="0"/>
      <w:iCs w:val="0"/>
      <w:color w:val="000000"/>
      <w:sz w:val="22"/>
      <w:szCs w:val="22"/>
    </w:rPr>
  </w:style>
  <w:style w:type="character" w:customStyle="1" w:styleId="fontstyle21">
    <w:name w:val="fontstyle21"/>
    <w:basedOn w:val="DefaultParagraphFont"/>
    <w:rsid w:val="00685E72"/>
    <w:rPr>
      <w:rFonts w:ascii="Cambria-Bold" w:hAnsi="Cambria-Bold" w:hint="default"/>
      <w:b/>
      <w:bCs/>
      <w:i w:val="0"/>
      <w:iCs w:val="0"/>
      <w:color w:val="000000"/>
      <w:sz w:val="22"/>
      <w:szCs w:val="22"/>
    </w:rPr>
  </w:style>
  <w:style w:type="paragraph" w:styleId="Revision">
    <w:name w:val="Revision"/>
    <w:hidden/>
    <w:uiPriority w:val="99"/>
    <w:semiHidden/>
    <w:rsid w:val="00685E72"/>
    <w:pPr>
      <w:spacing w:after="0" w:line="240" w:lineRule="auto"/>
    </w:pPr>
    <w:rPr>
      <w:rFonts w:ascii="Cambria" w:eastAsia="Cambria" w:hAnsi="Cambria" w:cs="Times New Roman"/>
      <w:sz w:val="22"/>
    </w:rPr>
  </w:style>
  <w:style w:type="paragraph" w:customStyle="1" w:styleId="ListBulleta">
    <w:name w:val="List Bullet a)"/>
    <w:basedOn w:val="ListBullet"/>
    <w:autoRedefine/>
    <w:uiPriority w:val="1"/>
    <w:qFormat/>
    <w:rsid w:val="00520CD5"/>
    <w:pPr>
      <w:numPr>
        <w:numId w:val="2"/>
      </w:numPr>
    </w:pPr>
  </w:style>
  <w:style w:type="paragraph" w:customStyle="1" w:styleId="ListBulleti">
    <w:name w:val="List Bullet i)"/>
    <w:basedOn w:val="ListBullet"/>
    <w:autoRedefine/>
    <w:uiPriority w:val="1"/>
    <w:qFormat/>
    <w:rsid w:val="00520CD5"/>
    <w:pPr>
      <w:numPr>
        <w:numId w:val="3"/>
      </w:numPr>
    </w:pPr>
  </w:style>
  <w:style w:type="character" w:customStyle="1" w:styleId="Style1">
    <w:name w:val="Style1"/>
    <w:basedOn w:val="DefaultParagraphFont"/>
    <w:uiPriority w:val="1"/>
    <w:rsid w:val="00685E72"/>
    <w:rPr>
      <w:rFonts w:ascii="Cambria" w:hAnsi="Cambria"/>
      <w:sz w:val="22"/>
    </w:rPr>
  </w:style>
  <w:style w:type="paragraph" w:styleId="NormalWeb">
    <w:name w:val="Normal (Web)"/>
    <w:basedOn w:val="Normal"/>
    <w:uiPriority w:val="99"/>
    <w:semiHidden/>
    <w:unhideWhenUsed/>
    <w:rsid w:val="00685E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685E72"/>
    <w:rPr>
      <w:color w:val="605E5C"/>
      <w:shd w:val="clear" w:color="auto" w:fill="E1DFDD"/>
    </w:rPr>
  </w:style>
  <w:style w:type="paragraph" w:styleId="NoSpacing">
    <w:name w:val="No Spacing"/>
    <w:autoRedefine/>
    <w:uiPriority w:val="1"/>
    <w:qFormat/>
    <w:rsid w:val="00520CD5"/>
    <w:pPr>
      <w:spacing w:after="0" w:line="240" w:lineRule="auto"/>
    </w:pPr>
    <w:rPr>
      <w:rFonts w:ascii="Arial" w:hAnsi="Arial"/>
      <w:color w:val="000000" w:themeColor="text1"/>
      <w:sz w:val="22"/>
    </w:rPr>
  </w:style>
  <w:style w:type="character" w:styleId="SubtleReference">
    <w:name w:val="Subtle Reference"/>
    <w:basedOn w:val="DefaultParagraphFont"/>
    <w:uiPriority w:val="31"/>
    <w:qFormat/>
    <w:rsid w:val="00520CD5"/>
    <w:rPr>
      <w:rFonts w:ascii="Arial" w:hAnsi="Arial"/>
      <w:smallCaps/>
      <w:color w:val="0D0D0D" w:themeColor="text1" w:themeTint="F2"/>
    </w:rPr>
  </w:style>
  <w:style w:type="paragraph" w:styleId="Quote">
    <w:name w:val="Quote"/>
    <w:basedOn w:val="Normal"/>
    <w:next w:val="Normal"/>
    <w:link w:val="QuoteChar"/>
    <w:autoRedefine/>
    <w:uiPriority w:val="29"/>
    <w:qFormat/>
    <w:rsid w:val="00E530B1"/>
    <w:pPr>
      <w:spacing w:before="200" w:after="160"/>
      <w:ind w:left="864" w:right="864"/>
      <w:jc w:val="center"/>
    </w:pPr>
    <w:rPr>
      <w:i/>
      <w:iCs/>
    </w:rPr>
  </w:style>
  <w:style w:type="character" w:customStyle="1" w:styleId="QuoteChar">
    <w:name w:val="Quote Char"/>
    <w:basedOn w:val="DefaultParagraphFont"/>
    <w:link w:val="Quote"/>
    <w:uiPriority w:val="29"/>
    <w:rsid w:val="00E530B1"/>
    <w:rPr>
      <w:i/>
      <w:iCs/>
      <w:color w:val="000000" w:themeColor="text1"/>
      <w:sz w:val="22"/>
    </w:rPr>
  </w:style>
  <w:style w:type="character" w:styleId="SubtleEmphasis">
    <w:name w:val="Subtle Emphasis"/>
    <w:basedOn w:val="DefaultParagraphFont"/>
    <w:uiPriority w:val="19"/>
    <w:qFormat/>
    <w:rsid w:val="00520CD5"/>
    <w:rPr>
      <w:rFonts w:ascii="Arial" w:hAnsi="Arial"/>
      <w:i/>
      <w:iCs/>
      <w:color w:val="000000" w:themeColor="text1"/>
    </w:rPr>
  </w:style>
  <w:style w:type="character" w:styleId="IntenseEmphasis">
    <w:name w:val="Intense Emphasis"/>
    <w:basedOn w:val="DefaultParagraphFont"/>
    <w:uiPriority w:val="21"/>
    <w:qFormat/>
    <w:rsid w:val="00520CD5"/>
    <w:rPr>
      <w:rFonts w:ascii="Arial" w:hAnsi="Arial"/>
      <w:i/>
      <w:iCs/>
      <w:color w:val="auto"/>
    </w:rPr>
  </w:style>
  <w:style w:type="character" w:styleId="Emphasis">
    <w:name w:val="Emphasis"/>
    <w:basedOn w:val="DefaultParagraphFont"/>
    <w:uiPriority w:val="20"/>
    <w:qFormat/>
    <w:rsid w:val="00520CD5"/>
    <w:rPr>
      <w:rFonts w:ascii="Arial" w:hAnsi="Arial"/>
      <w:i/>
      <w:iCs/>
    </w:rPr>
  </w:style>
  <w:style w:type="character" w:styleId="IntenseReference">
    <w:name w:val="Intense Reference"/>
    <w:basedOn w:val="DefaultParagraphFont"/>
    <w:uiPriority w:val="32"/>
    <w:qFormat/>
    <w:rsid w:val="00520CD5"/>
    <w:rPr>
      <w:rFonts w:ascii="Arial" w:hAnsi="Arial"/>
      <w:b/>
      <w:bCs/>
      <w:smallCaps/>
      <w:color w:val="1F3864" w:themeColor="accent1" w:themeShade="80"/>
      <w:spacing w:val="5"/>
    </w:rPr>
  </w:style>
  <w:style w:type="character" w:styleId="BookTitle">
    <w:name w:val="Book Title"/>
    <w:basedOn w:val="DefaultParagraphFont"/>
    <w:uiPriority w:val="33"/>
    <w:qFormat/>
    <w:rsid w:val="00520CD5"/>
    <w:rPr>
      <w:rFonts w:ascii="Arial" w:hAnsi="Arial"/>
      <w:b/>
      <w:bCs/>
      <w:i/>
      <w:iCs/>
      <w:spacing w:val="5"/>
    </w:rPr>
  </w:style>
  <w:style w:type="paragraph" w:customStyle="1" w:styleId="Legislation">
    <w:name w:val="Legislation"/>
    <w:basedOn w:val="Normal"/>
    <w:qFormat/>
    <w:rsid w:val="004647AA"/>
    <w:pPr>
      <w:jc w:val="center"/>
    </w:pPr>
    <w:rPr>
      <w:i/>
      <w:color w:val="333F48"/>
    </w:rPr>
  </w:style>
  <w:style w:type="paragraph" w:customStyle="1" w:styleId="Legislation-list">
    <w:name w:val="Legislation-list"/>
    <w:basedOn w:val="Numberbullet0"/>
    <w:rsid w:val="004647AA"/>
    <w:pPr>
      <w:numPr>
        <w:numId w:val="5"/>
      </w:numPr>
      <w:jc w:val="center"/>
    </w:pPr>
    <w:rPr>
      <w:i/>
    </w:rPr>
  </w:style>
  <w:style w:type="paragraph" w:customStyle="1" w:styleId="paragraphsub">
    <w:name w:val="paragraph(sub)"/>
    <w:aliases w:val="aa"/>
    <w:basedOn w:val="Normal"/>
    <w:rsid w:val="006F350B"/>
    <w:pPr>
      <w:tabs>
        <w:tab w:val="right" w:pos="1985"/>
      </w:tabs>
      <w:spacing w:before="40" w:after="0" w:line="240" w:lineRule="auto"/>
      <w:ind w:left="2098" w:hanging="2098"/>
    </w:pPr>
    <w:rPr>
      <w:rFonts w:ascii="Times New Roman" w:eastAsia="Times New Roman" w:hAnsi="Times New Roman" w:cs="Times New Roman"/>
      <w:sz w:val="22"/>
      <w:lang w:eastAsia="en-AU"/>
    </w:rPr>
  </w:style>
  <w:style w:type="paragraph" w:customStyle="1" w:styleId="PoisonsStandardScheduleEntry">
    <w:name w:val="Poisons Standard Schedule Entry"/>
    <w:basedOn w:val="Normal"/>
    <w:rsid w:val="006F350B"/>
    <w:pPr>
      <w:spacing w:before="240" w:after="0" w:line="240" w:lineRule="auto"/>
      <w:ind w:left="567" w:hanging="567"/>
    </w:pPr>
    <w:rPr>
      <w:rFonts w:ascii="Times New Roman" w:eastAsia="Cambria" w:hAnsi="Times New Roman" w:cs="Times New Roman"/>
      <w:sz w:val="22"/>
    </w:rPr>
  </w:style>
  <w:style w:type="paragraph" w:customStyle="1" w:styleId="PoisonsStandardScheduleEntryParagraph">
    <w:name w:val="Poisons Standard Schedule Entry (Paragraph)"/>
    <w:basedOn w:val="Normal"/>
    <w:rsid w:val="006F350B"/>
    <w:pPr>
      <w:tabs>
        <w:tab w:val="right" w:pos="851"/>
      </w:tabs>
      <w:spacing w:before="120" w:after="0" w:line="240" w:lineRule="auto"/>
      <w:ind w:left="992" w:hanging="992"/>
    </w:pPr>
    <w:rPr>
      <w:rFonts w:ascii="Times New Roman" w:eastAsia="Times New Roman" w:hAnsi="Times New Roman" w:cs="Times New Roman"/>
      <w:sz w:val="22"/>
      <w:lang w:eastAsia="en-AU"/>
    </w:rPr>
  </w:style>
  <w:style w:type="paragraph" w:customStyle="1" w:styleId="Tablea">
    <w:name w:val="Table(a)"/>
    <w:aliases w:val="ta"/>
    <w:basedOn w:val="Normal"/>
    <w:rsid w:val="00AF7E87"/>
    <w:pPr>
      <w:spacing w:before="60" w:after="0" w:line="240" w:lineRule="auto"/>
      <w:ind w:left="284" w:hanging="284"/>
    </w:pPr>
    <w:rPr>
      <w:rFonts w:ascii="Times New Roman" w:eastAsia="Times New Roman" w:hAnsi="Times New Roman" w:cs="Times New Roman"/>
      <w:lang w:eastAsia="en-AU"/>
    </w:rPr>
  </w:style>
  <w:style w:type="paragraph" w:customStyle="1" w:styleId="Tabletext">
    <w:name w:val="Tabletext"/>
    <w:aliases w:val="tt"/>
    <w:basedOn w:val="Normal"/>
    <w:rsid w:val="00AF7E87"/>
    <w:pPr>
      <w:spacing w:before="60" w:after="0" w:line="240" w:lineRule="atLeast"/>
    </w:pPr>
    <w:rPr>
      <w:rFonts w:ascii="Times New Roman" w:eastAsia="Times New Roman" w:hAnsi="Times New Roman" w:cs="Times New Roman"/>
      <w:lang w:eastAsia="en-AU"/>
    </w:rPr>
  </w:style>
  <w:style w:type="numbering" w:styleId="ArticleSection">
    <w:name w:val="Outline List 3"/>
    <w:basedOn w:val="NoList"/>
    <w:rsid w:val="00AF7E87"/>
    <w:pPr>
      <w:numPr>
        <w:numId w:val="10"/>
      </w:numPr>
    </w:pPr>
  </w:style>
  <w:style w:type="table" w:customStyle="1" w:styleId="TableGrid1">
    <w:name w:val="Table Grid1"/>
    <w:basedOn w:val="TableNormal"/>
    <w:next w:val="TableGrid"/>
    <w:uiPriority w:val="59"/>
    <w:rsid w:val="00307EB1"/>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aliases w:val="th"/>
    <w:basedOn w:val="Normal"/>
    <w:next w:val="Tabletext"/>
    <w:rsid w:val="00307EB1"/>
    <w:pPr>
      <w:keepNext/>
      <w:spacing w:before="60" w:after="0" w:line="240" w:lineRule="atLeast"/>
    </w:pPr>
    <w:rPr>
      <w:rFonts w:ascii="Times New Roman" w:eastAsia="Times New Roman" w:hAnsi="Times New Roman" w:cs="Times New Roman"/>
      <w:b/>
      <w:lang w:eastAsia="en-AU"/>
    </w:rPr>
  </w:style>
  <w:style w:type="paragraph" w:customStyle="1" w:styleId="paragraph">
    <w:name w:val="paragraph"/>
    <w:basedOn w:val="Normal"/>
    <w:rsid w:val="003033E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033EA"/>
  </w:style>
  <w:style w:type="character" w:customStyle="1" w:styleId="eop">
    <w:name w:val="eop"/>
    <w:basedOn w:val="DefaultParagraphFont"/>
    <w:rsid w:val="003033EA"/>
  </w:style>
  <w:style w:type="table" w:customStyle="1" w:styleId="TableTGAblue1">
    <w:name w:val="Table TGA blue1"/>
    <w:basedOn w:val="TableNormal"/>
    <w:uiPriority w:val="99"/>
    <w:qFormat/>
    <w:rsid w:val="000302C6"/>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Bodoni MT Black" w:hAnsi="Bodoni MT Black"/>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19203">
      <w:bodyDiv w:val="1"/>
      <w:marLeft w:val="0"/>
      <w:marRight w:val="0"/>
      <w:marTop w:val="0"/>
      <w:marBottom w:val="0"/>
      <w:divBdr>
        <w:top w:val="none" w:sz="0" w:space="0" w:color="auto"/>
        <w:left w:val="none" w:sz="0" w:space="0" w:color="auto"/>
        <w:bottom w:val="none" w:sz="0" w:space="0" w:color="auto"/>
        <w:right w:val="none" w:sz="0" w:space="0" w:color="auto"/>
      </w:divBdr>
    </w:div>
    <w:div w:id="1207181011">
      <w:bodyDiv w:val="1"/>
      <w:marLeft w:val="0"/>
      <w:marRight w:val="0"/>
      <w:marTop w:val="0"/>
      <w:marBottom w:val="0"/>
      <w:divBdr>
        <w:top w:val="none" w:sz="0" w:space="0" w:color="auto"/>
        <w:left w:val="none" w:sz="0" w:space="0" w:color="auto"/>
        <w:bottom w:val="none" w:sz="0" w:space="0" w:color="auto"/>
        <w:right w:val="none" w:sz="0" w:space="0" w:color="auto"/>
      </w:divBdr>
    </w:div>
    <w:div w:id="1619141667">
      <w:bodyDiv w:val="1"/>
      <w:marLeft w:val="0"/>
      <w:marRight w:val="0"/>
      <w:marTop w:val="0"/>
      <w:marBottom w:val="0"/>
      <w:divBdr>
        <w:top w:val="none" w:sz="0" w:space="0" w:color="auto"/>
        <w:left w:val="none" w:sz="0" w:space="0" w:color="auto"/>
        <w:bottom w:val="none" w:sz="0" w:space="0" w:color="auto"/>
        <w:right w:val="none" w:sz="0" w:space="0" w:color="auto"/>
      </w:divBdr>
    </w:div>
    <w:div w:id="21421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bs.tga.gov.au/" TargetMode="External"/><Relationship Id="rId21" Type="http://schemas.openxmlformats.org/officeDocument/2006/relationships/hyperlink" Target="mailto:medicines.scheduling@health.gov.au" TargetMode="External"/><Relationship Id="rId42" Type="http://schemas.openxmlformats.org/officeDocument/2006/relationships/hyperlink" Target="https://www.ebs.tga.gov.au/" TargetMode="External"/><Relationship Id="rId47" Type="http://schemas.openxmlformats.org/officeDocument/2006/relationships/hyperlink" Target="https://aems.tga.gov.au/daen-medicines-terms-condition/" TargetMode="External"/><Relationship Id="rId63" Type="http://schemas.openxmlformats.org/officeDocument/2006/relationships/hyperlink" Target="https://portal.apvma.gov.au/pubcris" TargetMode="External"/><Relationship Id="rId68" Type="http://schemas.openxmlformats.org/officeDocument/2006/relationships/hyperlink" Target="https://www.accessdata.fda.gov/scripts/cder/ob/index.cfm" TargetMode="External"/><Relationship Id="rId84" Type="http://schemas.openxmlformats.org/officeDocument/2006/relationships/hyperlink" Target="https://echa.europa.eu/search-for-chemicals" TargetMode="External"/><Relationship Id="rId89" Type="http://schemas.openxmlformats.org/officeDocument/2006/relationships/hyperlink" Target="https://consultations.tga.gov.au/tga/scheduling-pre-meeting-notice-acms-joint-july-26/"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portal.apvma.gov.au/pubcris" TargetMode="External"/><Relationship Id="rId37" Type="http://schemas.openxmlformats.org/officeDocument/2006/relationships/hyperlink" Target="https://www.accessdata.fda.gov/scripts/cder/daf/" TargetMode="External"/><Relationship Id="rId53" Type="http://schemas.openxmlformats.org/officeDocument/2006/relationships/hyperlink" Target="https://www.accessdata.fda.gov/scripts/cder/ob/search_product.cfm" TargetMode="External"/><Relationship Id="rId58" Type="http://schemas.openxmlformats.org/officeDocument/2006/relationships/hyperlink" Target="https://www.tga.gov.au/resources/artg" TargetMode="External"/><Relationship Id="rId74" Type="http://schemas.openxmlformats.org/officeDocument/2006/relationships/hyperlink" Target="https://www.legislation.gov.au/F2026L00162/asmade/text/5" TargetMode="External"/><Relationship Id="rId79" Type="http://schemas.openxmlformats.org/officeDocument/2006/relationships/hyperlink" Target="https://apvma.gov.au/node/10946" TargetMode="External"/><Relationship Id="rId102" Type="http://schemas.openxmlformats.org/officeDocument/2006/relationships/footer" Target="footer6.xml"/><Relationship Id="rId5" Type="http://schemas.openxmlformats.org/officeDocument/2006/relationships/numbering" Target="numbering.xml"/><Relationship Id="rId90" Type="http://schemas.openxmlformats.org/officeDocument/2006/relationships/hyperlink" Target="https://www.tga.gov.au/about-tga/advisory-bodies-and-committees/advisory-committee-medicines-scheduling-acms" TargetMode="External"/><Relationship Id="rId95" Type="http://schemas.openxmlformats.org/officeDocument/2006/relationships/header" Target="header4.xml"/><Relationship Id="rId22" Type="http://schemas.openxmlformats.org/officeDocument/2006/relationships/hyperlink" Target="https://consultations.tga.gov.au/tga/november_2021_interim" TargetMode="External"/><Relationship Id="rId27" Type="http://schemas.openxmlformats.org/officeDocument/2006/relationships/hyperlink" Target="https://www.tga.gov.au/artg" TargetMode="External"/><Relationship Id="rId43" Type="http://schemas.openxmlformats.org/officeDocument/2006/relationships/hyperlink" Target="https://www.tga.gov.au/artg" TargetMode="External"/><Relationship Id="rId48" Type="http://schemas.openxmlformats.org/officeDocument/2006/relationships/hyperlink" Target="https://portal.apvma.gov.au/pubcris" TargetMode="External"/><Relationship Id="rId64" Type="http://schemas.openxmlformats.org/officeDocument/2006/relationships/hyperlink" Target="https://services.industrialchemicals.gov.au/search-inventory/" TargetMode="External"/><Relationship Id="rId69" Type="http://schemas.openxmlformats.org/officeDocument/2006/relationships/hyperlink" Target="https://health-products.canada.ca/dpd-bdpp/index-eng.jsp" TargetMode="External"/><Relationship Id="rId80" Type="http://schemas.openxmlformats.org/officeDocument/2006/relationships/hyperlink" Target="https://services.industrialchemicals.gov.au/search-inventory/" TargetMode="External"/><Relationship Id="rId85" Type="http://schemas.openxmlformats.org/officeDocument/2006/relationships/hyperlink" Target="https://www.medsafe.govt.nz/profs/class/classintro.asp" TargetMode="External"/><Relationship Id="rId12" Type="http://schemas.openxmlformats.org/officeDocument/2006/relationships/header" Target="header2.xml"/><Relationship Id="rId17" Type="http://schemas.openxmlformats.org/officeDocument/2006/relationships/hyperlink" Target="mailto:tga.copyright@tga.gov.au" TargetMode="External"/><Relationship Id="rId25" Type="http://schemas.openxmlformats.org/officeDocument/2006/relationships/hyperlink" Target="mailto:medicines.scheduling@health.gov.au" TargetMode="External"/><Relationship Id="rId33" Type="http://schemas.openxmlformats.org/officeDocument/2006/relationships/hyperlink" Target="https://services.industrialchemicals.gov.au/search-inventory/" TargetMode="External"/><Relationship Id="rId38" Type="http://schemas.openxmlformats.org/officeDocument/2006/relationships/hyperlink" Target="https://www.accessdata.fda.gov/scripts/cder/ob/search_product.cfm" TargetMode="External"/><Relationship Id="rId46" Type="http://schemas.openxmlformats.org/officeDocument/2006/relationships/hyperlink" Target="https://www.legislation.gov.au/Details/F2021L01888" TargetMode="External"/><Relationship Id="rId59" Type="http://schemas.openxmlformats.org/officeDocument/2006/relationships/hyperlink" Target="https://www.legislation.gov.au/F2026L00162/asmade/text" TargetMode="External"/><Relationship Id="rId67" Type="http://schemas.openxmlformats.org/officeDocument/2006/relationships/hyperlink" Target="https://www.legislation.govt.nz/act/public/1981/118/en/latest/" TargetMode="External"/><Relationship Id="rId103" Type="http://schemas.openxmlformats.org/officeDocument/2006/relationships/fontTable" Target="fontTable.xml"/><Relationship Id="rId20" Type="http://schemas.openxmlformats.org/officeDocument/2006/relationships/hyperlink" Target="https://www.tga.gov.au/committee/advisory-committee-chemicals-scheduling-accs" TargetMode="External"/><Relationship Id="rId41" Type="http://schemas.openxmlformats.org/officeDocument/2006/relationships/hyperlink" Target="https://www.hpra.ie/find-a-medicine/for-human-use/authorised-medicines?data=eyJpZCI6bnVsbCwic2tpcCI6MCwidGFrZSI6MTAsInF1ZXJ5IjpudWxsLCJvcmRlciI6Ikxhc3RVcGRhdGVkIERFU0MiLCJzdGF0dXMiOiJBdXRob3Jpc2VkIiwiZmlsdGVycyI6eyJmcm9tIjpudWxsLCJ0byI6bnVsbCwicm91dGVzIjpudWxsLCJwbGFjZU9mU2FsZSI6bnVsbCwiYWR2ZXJ0aXNpbmdDb25kaXRpb25zIjpudWxsLCJtYXJrZXRpbmdBdmFpbGFiaWxpdHkiOm51bGwsImF0Y0NvZGUiOm51bGwsIm1lZGljaW5lVHlwZSI6bnVsbH19" TargetMode="External"/><Relationship Id="rId54" Type="http://schemas.openxmlformats.org/officeDocument/2006/relationships/hyperlink" Target="https://ec.europa.eu/health/documents/community-register/html/reg_index_inn.htm" TargetMode="External"/><Relationship Id="rId62" Type="http://schemas.openxmlformats.org/officeDocument/2006/relationships/hyperlink" Target="https://aems.tga.gov.au/daen-medicines-search/" TargetMode="External"/><Relationship Id="rId70" Type="http://schemas.openxmlformats.org/officeDocument/2006/relationships/hyperlink" Target="https://products.mhra.gov.uk/" TargetMode="External"/><Relationship Id="rId75" Type="http://schemas.openxmlformats.org/officeDocument/2006/relationships/hyperlink" Target="https://www.tga.gov.au/prescribing-medicines-pregnancy-database" TargetMode="External"/><Relationship Id="rId83" Type="http://schemas.openxmlformats.org/officeDocument/2006/relationships/hyperlink" Target="https://ec.europa.eu/health/documents/community-register/html/reg_index_inn.htm" TargetMode="External"/><Relationship Id="rId88" Type="http://schemas.openxmlformats.org/officeDocument/2006/relationships/hyperlink" Target="https://pesticide-registry.canada.ca/en/active-ingredient-search.html" TargetMode="External"/><Relationship Id="rId91" Type="http://schemas.openxmlformats.org/officeDocument/2006/relationships/hyperlink" Target="https://www.tga.gov.au/about-tga/advisory-bodies-and-committees/advisory-committee-chemicals-scheduling-accs" TargetMode="Externa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tga.gov.au/committee/advisory-committee-medicines-scheduling-acms" TargetMode="External"/><Relationship Id="rId28" Type="http://schemas.openxmlformats.org/officeDocument/2006/relationships/hyperlink" Target="https://www.legislation.gov.au/Search/Therapeutic%20Goods%20$LB$Permissible%20Ingredients$RB$%20Determination" TargetMode="External"/><Relationship Id="rId36" Type="http://schemas.openxmlformats.org/officeDocument/2006/relationships/hyperlink" Target="https://www.medicines.org.uk/emc/search?q=loratadine" TargetMode="External"/><Relationship Id="rId49" Type="http://schemas.openxmlformats.org/officeDocument/2006/relationships/hyperlink" Target="https://services.industrialchemicals.gov.au/search-inventory/" TargetMode="External"/><Relationship Id="rId57" Type="http://schemas.openxmlformats.org/officeDocument/2006/relationships/hyperlink" Target="https://www.ebs.tga.gov.au/" TargetMode="External"/><Relationship Id="rId10" Type="http://schemas.openxmlformats.org/officeDocument/2006/relationships/endnotes" Target="endnotes.xml"/><Relationship Id="rId31" Type="http://schemas.openxmlformats.org/officeDocument/2006/relationships/hyperlink" Target="https://apps.tga.gov.au/Prod/daen/daen-entry.aspx" TargetMode="External"/><Relationship Id="rId44" Type="http://schemas.openxmlformats.org/officeDocument/2006/relationships/hyperlink" Target="https://www.legislation.gov.au/Search/Therapeutic%20Goods%20$LB$Permissible%20Ingredients$RB$%20Determination" TargetMode="External"/><Relationship Id="rId52" Type="http://schemas.openxmlformats.org/officeDocument/2006/relationships/hyperlink" Target="https://www.accessdata.fda.gov/scripts/cder/daf/index.cfm?event=BasicSearch.process" TargetMode="External"/><Relationship Id="rId60" Type="http://schemas.openxmlformats.org/officeDocument/2006/relationships/hyperlink" Target="https://www.tga.gov.au/prescribing-medicines-pregnancy-database" TargetMode="External"/><Relationship Id="rId65" Type="http://schemas.openxmlformats.org/officeDocument/2006/relationships/hyperlink" Target="https://www.medsafe.govt.nz/profs/class/classintro.asp" TargetMode="External"/><Relationship Id="rId73" Type="http://schemas.openxmlformats.org/officeDocument/2006/relationships/hyperlink" Target="https://www.tga.gov.au/artg" TargetMode="External"/><Relationship Id="rId78" Type="http://schemas.openxmlformats.org/officeDocument/2006/relationships/hyperlink" Target="https://portal.apvma.gov.au/pubcris" TargetMode="External"/><Relationship Id="rId81" Type="http://schemas.openxmlformats.org/officeDocument/2006/relationships/hyperlink" Target="https://iaspub.epa.gov/apex/pesticides/f?p=CHEMICALSEARCH:1:" TargetMode="External"/><Relationship Id="rId86" Type="http://schemas.openxmlformats.org/officeDocument/2006/relationships/hyperlink" Target="https://www.epa.govt.nz/database-search/new-zealand-inventory-of-chemicals-nzioc/DatabaseSearchForm/?SiteDatabaseSearchFilters=36&amp;Keyword=acequinocyl&amp;DatabaseType=NZIOC" TargetMode="External"/><Relationship Id="rId94" Type="http://schemas.openxmlformats.org/officeDocument/2006/relationships/hyperlink" Target="https://www.tga.gov.au/resources/publication/scheduling-decisions-interim/notice-interim-decisions-proposed-amendments-poisons-standard-acms-accs-and-joint-acms-accs-meetings-november-2020/41-azelaic-acid" TargetMode="External"/><Relationship Id="rId99" Type="http://schemas.openxmlformats.org/officeDocument/2006/relationships/header" Target="header5.xml"/><Relationship Id="rId10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consultations.tga.gov.au/tga/november_2021_interim" TargetMode="External"/><Relationship Id="rId39" Type="http://schemas.openxmlformats.org/officeDocument/2006/relationships/hyperlink" Target="https://ec.europa.eu/health/documents/community-register/html/reg_index_inn.htm" TargetMode="External"/><Relationship Id="rId34" Type="http://schemas.openxmlformats.org/officeDocument/2006/relationships/hyperlink" Target="https://health-products.canada.ca/dpd-bdpp/" TargetMode="External"/><Relationship Id="rId50" Type="http://schemas.openxmlformats.org/officeDocument/2006/relationships/hyperlink" Target="https://health-products.canada.ca/dpd-bdpp/" TargetMode="External"/><Relationship Id="rId55" Type="http://schemas.openxmlformats.org/officeDocument/2006/relationships/hyperlink" Target="https://www.medicines.org.uk/emc" TargetMode="External"/><Relationship Id="rId76" Type="http://schemas.openxmlformats.org/officeDocument/2006/relationships/hyperlink" Target="https://www.legislation.gov.au/Details/F2021L01888" TargetMode="External"/><Relationship Id="rId97" Type="http://schemas.openxmlformats.org/officeDocument/2006/relationships/hyperlink" Target="mailto:info@tga.gov.au"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industrialchemicals.gov.au/sites/default/files/2024-06/EVA00150%20-%20Evaluation%20Statement%20-%2026%20June%202024.pdf" TargetMode="External"/><Relationship Id="rId92" Type="http://schemas.openxmlformats.org/officeDocument/2006/relationships/hyperlink" Target="https://www.tga.gov.au/resources/publication/scheduling-submissions" TargetMode="External"/><Relationship Id="rId2" Type="http://schemas.openxmlformats.org/officeDocument/2006/relationships/customXml" Target="../customXml/item2.xml"/><Relationship Id="rId29" Type="http://schemas.openxmlformats.org/officeDocument/2006/relationships/hyperlink" Target="https://www.tga.gov.au/prescribing-medicines-pregnancy-database" TargetMode="External"/><Relationship Id="rId24" Type="http://schemas.openxmlformats.org/officeDocument/2006/relationships/hyperlink" Target="https://www.tga.gov.au/committee/advisory-committee-chemicals-scheduling-accs" TargetMode="External"/><Relationship Id="rId40" Type="http://schemas.openxmlformats.org/officeDocument/2006/relationships/hyperlink" Target="https://www.hpra.ie/" TargetMode="External"/><Relationship Id="rId45" Type="http://schemas.openxmlformats.org/officeDocument/2006/relationships/hyperlink" Target="https://www.tga.gov.au/prescribing-medicines-pregnancy-database" TargetMode="External"/><Relationship Id="rId66" Type="http://schemas.openxmlformats.org/officeDocument/2006/relationships/hyperlink" Target="https://www.legislation.govt.nz/act/public/1975/116/en/latest/" TargetMode="External"/><Relationship Id="rId87" Type="http://schemas.openxmlformats.org/officeDocument/2006/relationships/hyperlink" Target="https://health-products.canada.ca/dpd-bdpp/index-eng.jsp" TargetMode="External"/><Relationship Id="rId61" Type="http://schemas.openxmlformats.org/officeDocument/2006/relationships/hyperlink" Target="https://www.legislation.gov.au/Details/F2021L01888" TargetMode="External"/><Relationship Id="rId82" Type="http://schemas.openxmlformats.org/officeDocument/2006/relationships/hyperlink" Target="https://ec.europa.eu/growth/tools-databases/cosing/" TargetMode="External"/><Relationship Id="rId19" Type="http://schemas.openxmlformats.org/officeDocument/2006/relationships/hyperlink" Target="https://www.tga.gov.au/committee/advisory-committee-medicines-scheduling-acms" TargetMode="External"/><Relationship Id="rId14" Type="http://schemas.openxmlformats.org/officeDocument/2006/relationships/footer" Target="footer2.xml"/><Relationship Id="rId30" Type="http://schemas.openxmlformats.org/officeDocument/2006/relationships/hyperlink" Target="https://www.legislation.gov.au/Details/F2021L01888" TargetMode="External"/><Relationship Id="rId35" Type="http://schemas.openxmlformats.org/officeDocument/2006/relationships/hyperlink" Target="https://www.medsafe.govt.nz/profs/class/classintro.asp" TargetMode="External"/><Relationship Id="rId56" Type="http://schemas.openxmlformats.org/officeDocument/2006/relationships/hyperlink" Target="https://www.hpra.ie/find-a-medicine/for-human-use/authorised-medicines?data=eyJpZCI6bnVsbCwic2tpcCI6MCwidGFrZSI6MTAsInF1ZXJ5IjpudWxsLCJvcmRlciI6Ikxhc3RVcGRhdGVkIERFU0MiLCJzdGF0dXMiOiJBdXRob3Jpc2VkIiwiZmlsdGVycyI6eyJmcm9tIjpudWxsLCJ0byI6bnVsbCwicm91dGVzIjpudWxsLCJwbGFjZU9mU2FsZSI6bnVsbCwiYWR2ZXJ0aXNpbmdDb25kaXRpb25zIjpudWxsLCJtYXJrZXRpbmdBdmFpbGFiaWxpdHkiOm51bGwsImF0Y0NvZGUiOm51bGwsIm1lZGljaW5lVHlwZSI6bnVsbH19" TargetMode="External"/><Relationship Id="rId77" Type="http://schemas.openxmlformats.org/officeDocument/2006/relationships/hyperlink" Target="https://apps.tga.gov.au/Prod/daen/daen-entry.aspx" TargetMode="External"/><Relationship Id="rId100"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medsafe.govt.nz/profs/class/classintro.asp" TargetMode="External"/><Relationship Id="rId72" Type="http://schemas.openxmlformats.org/officeDocument/2006/relationships/hyperlink" Target="https://www.ebs.tga.gov.au/" TargetMode="External"/><Relationship Id="rId93" Type="http://schemas.openxmlformats.org/officeDocument/2006/relationships/hyperlink" Target="https://www.tga.gov.au/resources/resource/forms/scheduling-consultation-coversheets" TargetMode="External"/><Relationship Id="rId98" Type="http://schemas.openxmlformats.org/officeDocument/2006/relationships/hyperlink" Target="https://www.tga.gov.au"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sites/default/files/scheduling-delegates-final-decisions-june-2017.pdf" TargetMode="External"/><Relationship Id="rId7" Type="http://schemas.openxmlformats.org/officeDocument/2006/relationships/hyperlink" Target="https://www.gov.uk/drug-safety-update/pseudoephedrine-and-ephedrine-nasal-decongestants" TargetMode="External"/><Relationship Id="rId2" Type="http://schemas.openxmlformats.org/officeDocument/2006/relationships/hyperlink" Target="https://go.drugbank.com/drugs/DB00455" TargetMode="External"/><Relationship Id="rId1" Type="http://schemas.openxmlformats.org/officeDocument/2006/relationships/hyperlink" Target="https://www.aihw.gov.au/reports/chronic-respiratory-conditions/allergic-rhinitis-hay-fever" TargetMode="External"/><Relationship Id="rId6" Type="http://schemas.openxmlformats.org/officeDocument/2006/relationships/hyperlink" Target="https://web.archive.org.au/awa/20211005061524mp_/www.tga.gov.au/scheduling-decision-final/scheduling-delegates-final-decisions-march-2011" TargetMode="External"/><Relationship Id="rId5" Type="http://schemas.openxmlformats.org/officeDocument/2006/relationships/hyperlink" Target="https://www.tga.gov.au/resources/publication/scheduling-decisions-final/notice-final-decision-amend-or-not-amend-current-poisons-standard-acms-40-accs-34-joint-acms-accs-32" TargetMode="External"/><Relationship Id="rId4" Type="http://schemas.openxmlformats.org/officeDocument/2006/relationships/hyperlink" Target="https://www.aihw.gov.au/reports/chronic-respiratory-conditions/allergic-rhinitis-hay-fev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STOA\AppData\Roaming\Micro%20Focus\Content%20Manager\TRIM\TEMP\HPTRIM.22872\D25-1412300%20%20Template%20-%20Pre-meeting%20public%20notice%20-%20May%20202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63445b0f5962617af566cb45de4dbe26">
  <xsd:schema xmlns:xsd="http://www.w3.org/2001/XMLSchema" xmlns:xs="http://www.w3.org/2001/XMLSchema" xmlns:p="http://schemas.microsoft.com/office/2006/metadata/properties" xmlns:ns2="f482729e-2cfb-42d6-a767-262eef245714" xmlns:ns3="2410a292-e042-440d-aef8-ab5a9bd10e41" targetNamespace="http://schemas.microsoft.com/office/2006/metadata/properties" ma:root="true" ma:fieldsID="7b06c7d5b72df4158dfdbec0f239ccff" ns2:_="" ns3:_="">
    <xsd:import namespace="f482729e-2cfb-42d6-a767-262eef245714"/>
    <xsd:import namespace="2410a292-e042-440d-aef8-ab5a9bd10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62ffbc-183f-4805-a010-07f79be95aa9}"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_Flow_SignoffStatus xmlns="f482729e-2cfb-42d6-a767-262eef245714" xsi:nil="true"/>
    <lcf76f155ced4ddcb4097134ff3c332f xmlns="f482729e-2cfb-42d6-a767-262eef24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FE3707-40C3-49E5-A3F7-9D5291075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2729e-2cfb-42d6-a767-262eef245714"/>
    <ds:schemaRef ds:uri="2410a292-e042-440d-aef8-ab5a9bd1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A8CBC-B2FD-424B-98E3-6D577660883A}">
  <ds:schemaRefs>
    <ds:schemaRef ds:uri="http://schemas.openxmlformats.org/officeDocument/2006/bibliography"/>
  </ds:schemaRefs>
</ds:datastoreItem>
</file>

<file path=customXml/itemProps3.xml><?xml version="1.0" encoding="utf-8"?>
<ds:datastoreItem xmlns:ds="http://schemas.openxmlformats.org/officeDocument/2006/customXml" ds:itemID="{33FF154B-20E7-4240-BA0F-4E1C21680023}">
  <ds:schemaRefs>
    <ds:schemaRef ds:uri="http://schemas.microsoft.com/sharepoint/v3/contenttype/forms"/>
  </ds:schemaRefs>
</ds:datastoreItem>
</file>

<file path=customXml/itemProps4.xml><?xml version="1.0" encoding="utf-8"?>
<ds:datastoreItem xmlns:ds="http://schemas.openxmlformats.org/officeDocument/2006/customXml" ds:itemID="{C78E7C65-E53C-4817-B611-A661DD849388}">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docProps/app.xml><?xml version="1.0" encoding="utf-8"?>
<Properties xmlns="http://schemas.openxmlformats.org/officeDocument/2006/extended-properties" xmlns:vt="http://schemas.openxmlformats.org/officeDocument/2006/docPropsVTypes">
  <Template>D25-1412300  Template - Pre-meeting public notice - May 2024.DOTM</Template>
  <TotalTime>1384</TotalTime>
  <Pages>27</Pages>
  <Words>9873</Words>
  <Characters>55587</Characters>
  <Application>Microsoft Office Word</Application>
  <DocSecurity>0</DocSecurity>
  <Lines>1292</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64717</CharactersWithSpaces>
  <SharedDoc>false</SharedDoc>
  <HLinks>
    <vt:vector size="780" baseType="variant">
      <vt:variant>
        <vt:i4>3473445</vt:i4>
      </vt:variant>
      <vt:variant>
        <vt:i4>495</vt:i4>
      </vt:variant>
      <vt:variant>
        <vt:i4>0</vt:i4>
      </vt:variant>
      <vt:variant>
        <vt:i4>5</vt:i4>
      </vt:variant>
      <vt:variant>
        <vt:lpwstr>https://www.tga.gov.au/</vt:lpwstr>
      </vt:variant>
      <vt:variant>
        <vt:lpwstr/>
      </vt:variant>
      <vt:variant>
        <vt:i4>5242926</vt:i4>
      </vt:variant>
      <vt:variant>
        <vt:i4>492</vt:i4>
      </vt:variant>
      <vt:variant>
        <vt:i4>0</vt:i4>
      </vt:variant>
      <vt:variant>
        <vt:i4>5</vt:i4>
      </vt:variant>
      <vt:variant>
        <vt:lpwstr>mailto:info@tga.gov.au</vt:lpwstr>
      </vt:variant>
      <vt:variant>
        <vt:lpwstr/>
      </vt:variant>
      <vt:variant>
        <vt:i4>720902</vt:i4>
      </vt:variant>
      <vt:variant>
        <vt:i4>489</vt:i4>
      </vt:variant>
      <vt:variant>
        <vt:i4>0</vt:i4>
      </vt:variant>
      <vt:variant>
        <vt:i4>5</vt:i4>
      </vt:variant>
      <vt:variant>
        <vt:lpwstr>https://www.tga.gov.au/resources/publication/scheduling-decisions-interim/notice-interim-decisions-proposed-amendments-poisons-standard-acms-accs-and-joint-acms-accs-meetings-november-2020/41-azelaic-acid</vt:lpwstr>
      </vt:variant>
      <vt:variant>
        <vt:lpwstr/>
      </vt:variant>
      <vt:variant>
        <vt:i4>7012462</vt:i4>
      </vt:variant>
      <vt:variant>
        <vt:i4>486</vt:i4>
      </vt:variant>
      <vt:variant>
        <vt:i4>0</vt:i4>
      </vt:variant>
      <vt:variant>
        <vt:i4>5</vt:i4>
      </vt:variant>
      <vt:variant>
        <vt:lpwstr>https://www.tga.gov.au/resources/resource/forms/scheduling-consultation-coversheets</vt:lpwstr>
      </vt:variant>
      <vt:variant>
        <vt:lpwstr/>
      </vt:variant>
      <vt:variant>
        <vt:i4>7340143</vt:i4>
      </vt:variant>
      <vt:variant>
        <vt:i4>483</vt:i4>
      </vt:variant>
      <vt:variant>
        <vt:i4>0</vt:i4>
      </vt:variant>
      <vt:variant>
        <vt:i4>5</vt:i4>
      </vt:variant>
      <vt:variant>
        <vt:lpwstr>https://www.tga.gov.au/resources/publication/scheduling-submissions</vt:lpwstr>
      </vt:variant>
      <vt:variant>
        <vt:lpwstr/>
      </vt:variant>
      <vt:variant>
        <vt:i4>1572947</vt:i4>
      </vt:variant>
      <vt:variant>
        <vt:i4>480</vt:i4>
      </vt:variant>
      <vt:variant>
        <vt:i4>0</vt:i4>
      </vt:variant>
      <vt:variant>
        <vt:i4>5</vt:i4>
      </vt:variant>
      <vt:variant>
        <vt:lpwstr>https://www.tga.gov.au/about-tga/advisory-bodies-and-committees/advisory-committee-chemicals-scheduling-accs</vt:lpwstr>
      </vt:variant>
      <vt:variant>
        <vt:lpwstr/>
      </vt:variant>
      <vt:variant>
        <vt:i4>1179735</vt:i4>
      </vt:variant>
      <vt:variant>
        <vt:i4>477</vt:i4>
      </vt:variant>
      <vt:variant>
        <vt:i4>0</vt:i4>
      </vt:variant>
      <vt:variant>
        <vt:i4>5</vt:i4>
      </vt:variant>
      <vt:variant>
        <vt:lpwstr>https://www.tga.gov.au/about-tga/advisory-bodies-and-committees/advisory-committee-medicines-scheduling-acms</vt:lpwstr>
      </vt:variant>
      <vt:variant>
        <vt:lpwstr/>
      </vt:variant>
      <vt:variant>
        <vt:i4>7929907</vt:i4>
      </vt:variant>
      <vt:variant>
        <vt:i4>474</vt:i4>
      </vt:variant>
      <vt:variant>
        <vt:i4>0</vt:i4>
      </vt:variant>
      <vt:variant>
        <vt:i4>5</vt:i4>
      </vt:variant>
      <vt:variant>
        <vt:lpwstr>https://ec.europa.eu/growth/tools-databases/cosing/</vt:lpwstr>
      </vt:variant>
      <vt:variant>
        <vt:lpwstr/>
      </vt:variant>
      <vt:variant>
        <vt:i4>6881365</vt:i4>
      </vt:variant>
      <vt:variant>
        <vt:i4>471</vt:i4>
      </vt:variant>
      <vt:variant>
        <vt:i4>0</vt:i4>
      </vt:variant>
      <vt:variant>
        <vt:i4>5</vt:i4>
      </vt:variant>
      <vt:variant>
        <vt:lpwstr>https://www.hpra.ie/find-a-medicine/for-human-use/authorised-medicines?data=eyJpZCI6bnVsbCwic2tpcCI6MCwidGFrZSI6MTAsInF1ZXJ5IjoiNi1tZXRoeWwgbmljb3RpbmUiLCJvcmRlciI6Ikxhc3RVcGRhdGVkIERFU0MiLCJzdGF0dXMiOiJBdXRob3Jpc2VkIiwiZmlsdGVycyI6eyJmcm9tIjpudWxsLCJ0byI6bnVsbCwicm91dGVzIjpudWxsLCJwbGFjZU9mU2FsZSI6bnVsbCwiYWR2ZXJ0aXNpbmdDb25kaXRpb25zIjpudWxsLCJtYXJrZXRpbmdBdmFpbGFiaWxpdHkiOm51bGwsImF0Y0NvZGUiOm51bGwsIm1lZGljaW5lVHlwZSI6bnVsbH19</vt:lpwstr>
      </vt:variant>
      <vt:variant>
        <vt:lpwstr>/</vt:lpwstr>
      </vt:variant>
      <vt:variant>
        <vt:i4>3866661</vt:i4>
      </vt:variant>
      <vt:variant>
        <vt:i4>468</vt:i4>
      </vt:variant>
      <vt:variant>
        <vt:i4>0</vt:i4>
      </vt:variant>
      <vt:variant>
        <vt:i4>5</vt:i4>
      </vt:variant>
      <vt:variant>
        <vt:lpwstr>https://www.medsafe.govt.nz/profs/class/classintro.asp</vt:lpwstr>
      </vt:variant>
      <vt:variant>
        <vt:lpwstr/>
      </vt:variant>
      <vt:variant>
        <vt:i4>3604547</vt:i4>
      </vt:variant>
      <vt:variant>
        <vt:i4>465</vt:i4>
      </vt:variant>
      <vt:variant>
        <vt:i4>0</vt:i4>
      </vt:variant>
      <vt:variant>
        <vt:i4>5</vt:i4>
      </vt:variant>
      <vt:variant>
        <vt:lpwstr>https://www.ema.europa.eu/en/documents/product-information/teizeild-epar-product-information_en.pdf</vt:lpwstr>
      </vt:variant>
      <vt:variant>
        <vt:lpwstr/>
      </vt:variant>
      <vt:variant>
        <vt:i4>8323186</vt:i4>
      </vt:variant>
      <vt:variant>
        <vt:i4>462</vt:i4>
      </vt:variant>
      <vt:variant>
        <vt:i4>0</vt:i4>
      </vt:variant>
      <vt:variant>
        <vt:i4>5</vt:i4>
      </vt:variant>
      <vt:variant>
        <vt:lpwstr>https://ec.europa.eu/health/documents/community-register/html/h1998.htm</vt:lpwstr>
      </vt:variant>
      <vt:variant>
        <vt:lpwstr/>
      </vt:variant>
      <vt:variant>
        <vt:i4>1703985</vt:i4>
      </vt:variant>
      <vt:variant>
        <vt:i4>459</vt:i4>
      </vt:variant>
      <vt:variant>
        <vt:i4>0</vt:i4>
      </vt:variant>
      <vt:variant>
        <vt:i4>5</vt:i4>
      </vt:variant>
      <vt:variant>
        <vt:lpwstr>https://pdf.hres.ca/dpd_pm/00080446.PDF</vt:lpwstr>
      </vt:variant>
      <vt:variant>
        <vt:lpwstr/>
      </vt:variant>
      <vt:variant>
        <vt:i4>2359330</vt:i4>
      </vt:variant>
      <vt:variant>
        <vt:i4>456</vt:i4>
      </vt:variant>
      <vt:variant>
        <vt:i4>0</vt:i4>
      </vt:variant>
      <vt:variant>
        <vt:i4>5</vt:i4>
      </vt:variant>
      <vt:variant>
        <vt:lpwstr>https://health-products.canada.ca/dpd-bdpp/</vt:lpwstr>
      </vt:variant>
      <vt:variant>
        <vt:lpwstr/>
      </vt:variant>
      <vt:variant>
        <vt:i4>2293846</vt:i4>
      </vt:variant>
      <vt:variant>
        <vt:i4>453</vt:i4>
      </vt:variant>
      <vt:variant>
        <vt:i4>0</vt:i4>
      </vt:variant>
      <vt:variant>
        <vt:i4>5</vt:i4>
      </vt:variant>
      <vt:variant>
        <vt:lpwstr>https://www.accessdata.fda.gov/drugsatfda_docs/label/2022/761183Orig1s000lbl.pdf</vt:lpwstr>
      </vt:variant>
      <vt:variant>
        <vt:lpwstr/>
      </vt:variant>
      <vt:variant>
        <vt:i4>6029388</vt:i4>
      </vt:variant>
      <vt:variant>
        <vt:i4>450</vt:i4>
      </vt:variant>
      <vt:variant>
        <vt:i4>0</vt:i4>
      </vt:variant>
      <vt:variant>
        <vt:i4>5</vt:i4>
      </vt:variant>
      <vt:variant>
        <vt:lpwstr>https://www.medicines.org.uk/emc/product/101240/smpc</vt:lpwstr>
      </vt:variant>
      <vt:variant>
        <vt:lpwstr/>
      </vt:variant>
      <vt:variant>
        <vt:i4>5111872</vt:i4>
      </vt:variant>
      <vt:variant>
        <vt:i4>447</vt:i4>
      </vt:variant>
      <vt:variant>
        <vt:i4>0</vt:i4>
      </vt:variant>
      <vt:variant>
        <vt:i4>5</vt:i4>
      </vt:variant>
      <vt:variant>
        <vt:lpwstr>https://www.accessdata.fda.gov/scripts/cder/daf/</vt:lpwstr>
      </vt:variant>
      <vt:variant>
        <vt:lpwstr/>
      </vt:variant>
      <vt:variant>
        <vt:i4>4522056</vt:i4>
      </vt:variant>
      <vt:variant>
        <vt:i4>444</vt:i4>
      </vt:variant>
      <vt:variant>
        <vt:i4>0</vt:i4>
      </vt:variant>
      <vt:variant>
        <vt:i4>5</vt:i4>
      </vt:variant>
      <vt:variant>
        <vt:lpwstr>https://services.industrialchemicals.gov.au/search-inventory/</vt:lpwstr>
      </vt:variant>
      <vt:variant>
        <vt:lpwstr/>
      </vt:variant>
      <vt:variant>
        <vt:i4>3145834</vt:i4>
      </vt:variant>
      <vt:variant>
        <vt:i4>441</vt:i4>
      </vt:variant>
      <vt:variant>
        <vt:i4>0</vt:i4>
      </vt:variant>
      <vt:variant>
        <vt:i4>5</vt:i4>
      </vt:variant>
      <vt:variant>
        <vt:lpwstr>https://portal.apvma.gov.au/pubcris</vt:lpwstr>
      </vt:variant>
      <vt:variant>
        <vt:lpwstr/>
      </vt:variant>
      <vt:variant>
        <vt:i4>1441872</vt:i4>
      </vt:variant>
      <vt:variant>
        <vt:i4>438</vt:i4>
      </vt:variant>
      <vt:variant>
        <vt:i4>0</vt:i4>
      </vt:variant>
      <vt:variant>
        <vt:i4>5</vt:i4>
      </vt:variant>
      <vt:variant>
        <vt:lpwstr>https://apps.tga.gov.au/Prod/daen/daen-entry.aspx</vt:lpwstr>
      </vt:variant>
      <vt:variant>
        <vt:lpwstr/>
      </vt:variant>
      <vt:variant>
        <vt:i4>7602211</vt:i4>
      </vt:variant>
      <vt:variant>
        <vt:i4>435</vt:i4>
      </vt:variant>
      <vt:variant>
        <vt:i4>0</vt:i4>
      </vt:variant>
      <vt:variant>
        <vt:i4>5</vt:i4>
      </vt:variant>
      <vt:variant>
        <vt:lpwstr>https://www.legislation.gov.au/Details/F2021L01888</vt:lpwstr>
      </vt:variant>
      <vt:variant>
        <vt:lpwstr/>
      </vt:variant>
      <vt:variant>
        <vt:i4>4063278</vt:i4>
      </vt:variant>
      <vt:variant>
        <vt:i4>432</vt:i4>
      </vt:variant>
      <vt:variant>
        <vt:i4>0</vt:i4>
      </vt:variant>
      <vt:variant>
        <vt:i4>5</vt:i4>
      </vt:variant>
      <vt:variant>
        <vt:lpwstr>https://www.tga.gov.au/prescribing-medicines-pregnancy-database</vt:lpwstr>
      </vt:variant>
      <vt:variant>
        <vt:lpwstr/>
      </vt:variant>
      <vt:variant>
        <vt:i4>720916</vt:i4>
      </vt:variant>
      <vt:variant>
        <vt:i4>429</vt:i4>
      </vt:variant>
      <vt:variant>
        <vt:i4>0</vt:i4>
      </vt:variant>
      <vt:variant>
        <vt:i4>5</vt:i4>
      </vt:variant>
      <vt:variant>
        <vt:lpwstr>https://www.legislation.gov.au/Search/Therapeutic Goods $LB$Permissible Ingredients$RB$ Determination</vt:lpwstr>
      </vt:variant>
      <vt:variant>
        <vt:lpwstr/>
      </vt:variant>
      <vt:variant>
        <vt:i4>3211301</vt:i4>
      </vt:variant>
      <vt:variant>
        <vt:i4>426</vt:i4>
      </vt:variant>
      <vt:variant>
        <vt:i4>0</vt:i4>
      </vt:variant>
      <vt:variant>
        <vt:i4>5</vt:i4>
      </vt:variant>
      <vt:variant>
        <vt:lpwstr>https://compliance.health.gov.au/artg/</vt:lpwstr>
      </vt:variant>
      <vt:variant>
        <vt:lpwstr/>
      </vt:variant>
      <vt:variant>
        <vt:i4>7929907</vt:i4>
      </vt:variant>
      <vt:variant>
        <vt:i4>423</vt:i4>
      </vt:variant>
      <vt:variant>
        <vt:i4>0</vt:i4>
      </vt:variant>
      <vt:variant>
        <vt:i4>5</vt:i4>
      </vt:variant>
      <vt:variant>
        <vt:lpwstr>https://www.ebs.tga.gov.au/</vt:lpwstr>
      </vt:variant>
      <vt:variant>
        <vt:lpwstr/>
      </vt:variant>
      <vt:variant>
        <vt:i4>786461</vt:i4>
      </vt:variant>
      <vt:variant>
        <vt:i4>420</vt:i4>
      </vt:variant>
      <vt:variant>
        <vt:i4>0</vt:i4>
      </vt:variant>
      <vt:variant>
        <vt:i4>5</vt:i4>
      </vt:variant>
      <vt:variant>
        <vt:lpwstr>https://products.mhra.gov.uk/</vt:lpwstr>
      </vt:variant>
      <vt:variant>
        <vt:lpwstr/>
      </vt:variant>
      <vt:variant>
        <vt:i4>4784152</vt:i4>
      </vt:variant>
      <vt:variant>
        <vt:i4>417</vt:i4>
      </vt:variant>
      <vt:variant>
        <vt:i4>0</vt:i4>
      </vt:variant>
      <vt:variant>
        <vt:i4>5</vt:i4>
      </vt:variant>
      <vt:variant>
        <vt:lpwstr>https://health-products.canada.ca/dpd-bdpp/index-eng.jsp</vt:lpwstr>
      </vt:variant>
      <vt:variant>
        <vt:lpwstr/>
      </vt:variant>
      <vt:variant>
        <vt:i4>1638465</vt:i4>
      </vt:variant>
      <vt:variant>
        <vt:i4>414</vt:i4>
      </vt:variant>
      <vt:variant>
        <vt:i4>0</vt:i4>
      </vt:variant>
      <vt:variant>
        <vt:i4>5</vt:i4>
      </vt:variant>
      <vt:variant>
        <vt:lpwstr>https://www.accessdata.fda.gov/scripts/cder/ob/index.cfm</vt:lpwstr>
      </vt:variant>
      <vt:variant>
        <vt:lpwstr/>
      </vt:variant>
      <vt:variant>
        <vt:i4>3866724</vt:i4>
      </vt:variant>
      <vt:variant>
        <vt:i4>411</vt:i4>
      </vt:variant>
      <vt:variant>
        <vt:i4>0</vt:i4>
      </vt:variant>
      <vt:variant>
        <vt:i4>5</vt:i4>
      </vt:variant>
      <vt:variant>
        <vt:lpwstr>https://www.legislation.govt.nz/act/public/1981/118/en/latest/</vt:lpwstr>
      </vt:variant>
      <vt:variant>
        <vt:lpwstr>DLM54687</vt:lpwstr>
      </vt:variant>
      <vt:variant>
        <vt:i4>3276896</vt:i4>
      </vt:variant>
      <vt:variant>
        <vt:i4>408</vt:i4>
      </vt:variant>
      <vt:variant>
        <vt:i4>0</vt:i4>
      </vt:variant>
      <vt:variant>
        <vt:i4>5</vt:i4>
      </vt:variant>
      <vt:variant>
        <vt:lpwstr>https://www.legislation.govt.nz/act/public/1975/116/en/latest/</vt:lpwstr>
      </vt:variant>
      <vt:variant>
        <vt:lpwstr>DLM436101</vt:lpwstr>
      </vt:variant>
      <vt:variant>
        <vt:i4>3866661</vt:i4>
      </vt:variant>
      <vt:variant>
        <vt:i4>405</vt:i4>
      </vt:variant>
      <vt:variant>
        <vt:i4>0</vt:i4>
      </vt:variant>
      <vt:variant>
        <vt:i4>5</vt:i4>
      </vt:variant>
      <vt:variant>
        <vt:lpwstr>https://www.medsafe.govt.nz/profs/class/classintro.asp</vt:lpwstr>
      </vt:variant>
      <vt:variant>
        <vt:lpwstr/>
      </vt:variant>
      <vt:variant>
        <vt:i4>4522056</vt:i4>
      </vt:variant>
      <vt:variant>
        <vt:i4>402</vt:i4>
      </vt:variant>
      <vt:variant>
        <vt:i4>0</vt:i4>
      </vt:variant>
      <vt:variant>
        <vt:i4>5</vt:i4>
      </vt:variant>
      <vt:variant>
        <vt:lpwstr>https://services.industrialchemicals.gov.au/search-inventory/</vt:lpwstr>
      </vt:variant>
      <vt:variant>
        <vt:lpwstr/>
      </vt:variant>
      <vt:variant>
        <vt:i4>3145834</vt:i4>
      </vt:variant>
      <vt:variant>
        <vt:i4>399</vt:i4>
      </vt:variant>
      <vt:variant>
        <vt:i4>0</vt:i4>
      </vt:variant>
      <vt:variant>
        <vt:i4>5</vt:i4>
      </vt:variant>
      <vt:variant>
        <vt:lpwstr>https://portal.apvma.gov.au/pubcris</vt:lpwstr>
      </vt:variant>
      <vt:variant>
        <vt:lpwstr/>
      </vt:variant>
      <vt:variant>
        <vt:i4>7012449</vt:i4>
      </vt:variant>
      <vt:variant>
        <vt:i4>396</vt:i4>
      </vt:variant>
      <vt:variant>
        <vt:i4>0</vt:i4>
      </vt:variant>
      <vt:variant>
        <vt:i4>5</vt:i4>
      </vt:variant>
      <vt:variant>
        <vt:lpwstr>https://aems.tga.gov.au/daen-medicines-search/</vt:lpwstr>
      </vt:variant>
      <vt:variant>
        <vt:lpwstr/>
      </vt:variant>
      <vt:variant>
        <vt:i4>7602211</vt:i4>
      </vt:variant>
      <vt:variant>
        <vt:i4>393</vt:i4>
      </vt:variant>
      <vt:variant>
        <vt:i4>0</vt:i4>
      </vt:variant>
      <vt:variant>
        <vt:i4>5</vt:i4>
      </vt:variant>
      <vt:variant>
        <vt:lpwstr>https://www.legislation.gov.au/Details/F2021L01888</vt:lpwstr>
      </vt:variant>
      <vt:variant>
        <vt:lpwstr/>
      </vt:variant>
      <vt:variant>
        <vt:i4>4063278</vt:i4>
      </vt:variant>
      <vt:variant>
        <vt:i4>390</vt:i4>
      </vt:variant>
      <vt:variant>
        <vt:i4>0</vt:i4>
      </vt:variant>
      <vt:variant>
        <vt:i4>5</vt:i4>
      </vt:variant>
      <vt:variant>
        <vt:lpwstr>https://www.tga.gov.au/prescribing-medicines-pregnancy-database</vt:lpwstr>
      </vt:variant>
      <vt:variant>
        <vt:lpwstr/>
      </vt:variant>
      <vt:variant>
        <vt:i4>2883647</vt:i4>
      </vt:variant>
      <vt:variant>
        <vt:i4>387</vt:i4>
      </vt:variant>
      <vt:variant>
        <vt:i4>0</vt:i4>
      </vt:variant>
      <vt:variant>
        <vt:i4>5</vt:i4>
      </vt:variant>
      <vt:variant>
        <vt:lpwstr>https://www.legislation.gov.au/F2026L00162/asmade/text</vt:lpwstr>
      </vt:variant>
      <vt:variant>
        <vt:lpwstr/>
      </vt:variant>
      <vt:variant>
        <vt:i4>4456522</vt:i4>
      </vt:variant>
      <vt:variant>
        <vt:i4>384</vt:i4>
      </vt:variant>
      <vt:variant>
        <vt:i4>0</vt:i4>
      </vt:variant>
      <vt:variant>
        <vt:i4>5</vt:i4>
      </vt:variant>
      <vt:variant>
        <vt:lpwstr>https://www.tga.gov.au/resources/artg</vt:lpwstr>
      </vt:variant>
      <vt:variant>
        <vt:lpwstr/>
      </vt:variant>
      <vt:variant>
        <vt:i4>7929907</vt:i4>
      </vt:variant>
      <vt:variant>
        <vt:i4>381</vt:i4>
      </vt:variant>
      <vt:variant>
        <vt:i4>0</vt:i4>
      </vt:variant>
      <vt:variant>
        <vt:i4>5</vt:i4>
      </vt:variant>
      <vt:variant>
        <vt:lpwstr>https://www.ebs.tga.gov.au/</vt:lpwstr>
      </vt:variant>
      <vt:variant>
        <vt:lpwstr/>
      </vt:variant>
      <vt:variant>
        <vt:i4>2162812</vt:i4>
      </vt:variant>
      <vt:variant>
        <vt:i4>378</vt:i4>
      </vt:variant>
      <vt:variant>
        <vt:i4>0</vt:i4>
      </vt:variant>
      <vt:variant>
        <vt:i4>5</vt:i4>
      </vt:variant>
      <vt:variant>
        <vt:lpwstr>https://www.hpra.ie/find-a-medicine/for-human-use/authorised-medicines?data=eyJpZCI6bnVsbCwic2tpcCI6MCwidGFrZSI6MTAsInF1ZXJ5IjpudWxsLCJvcmRlciI6Ikxhc3RVcGRhdGVkIERFU0MiLCJzdGF0dXMiOiJBdXRob3Jpc2VkIiwiZmlsdGVycyI6eyJmcm9tIjpudWxsLCJ0byI6bnVsbCwicm91dGVzIjpudWxsLCJwbGFjZU9mU2FsZSI6bnVsbCwiYWR2ZXJ0aXNpbmdDb25kaXRpb25zIjpudWxsLCJtYXJrZXRpbmdBdmFpbGFiaWxpdHkiOm51bGwsImF0Y0NvZGUiOm51bGwsIm1lZGljaW5lVHlwZSI6bnVsbH19</vt:lpwstr>
      </vt:variant>
      <vt:variant>
        <vt:lpwstr/>
      </vt:variant>
      <vt:variant>
        <vt:i4>5701640</vt:i4>
      </vt:variant>
      <vt:variant>
        <vt:i4>375</vt:i4>
      </vt:variant>
      <vt:variant>
        <vt:i4>0</vt:i4>
      </vt:variant>
      <vt:variant>
        <vt:i4>5</vt:i4>
      </vt:variant>
      <vt:variant>
        <vt:lpwstr>https://www.medicines.org.uk/emc</vt:lpwstr>
      </vt:variant>
      <vt:variant>
        <vt:lpwstr/>
      </vt:variant>
      <vt:variant>
        <vt:i4>7798908</vt:i4>
      </vt:variant>
      <vt:variant>
        <vt:i4>372</vt:i4>
      </vt:variant>
      <vt:variant>
        <vt:i4>0</vt:i4>
      </vt:variant>
      <vt:variant>
        <vt:i4>5</vt:i4>
      </vt:variant>
      <vt:variant>
        <vt:lpwstr>https://ec.europa.eu/health/documents/community-register/html/reg_index_inn.htm</vt:lpwstr>
      </vt:variant>
      <vt:variant>
        <vt:lpwstr/>
      </vt:variant>
      <vt:variant>
        <vt:i4>7405568</vt:i4>
      </vt:variant>
      <vt:variant>
        <vt:i4>369</vt:i4>
      </vt:variant>
      <vt:variant>
        <vt:i4>0</vt:i4>
      </vt:variant>
      <vt:variant>
        <vt:i4>5</vt:i4>
      </vt:variant>
      <vt:variant>
        <vt:lpwstr>https://www.accessdata.fda.gov/scripts/cder/ob/search_product.cfm</vt:lpwstr>
      </vt:variant>
      <vt:variant>
        <vt:lpwstr/>
      </vt:variant>
      <vt:variant>
        <vt:i4>2228280</vt:i4>
      </vt:variant>
      <vt:variant>
        <vt:i4>366</vt:i4>
      </vt:variant>
      <vt:variant>
        <vt:i4>0</vt:i4>
      </vt:variant>
      <vt:variant>
        <vt:i4>5</vt:i4>
      </vt:variant>
      <vt:variant>
        <vt:lpwstr>https://www.accessdata.fda.gov/scripts/cder/daf/index.cfm?event=BasicSearch.process</vt:lpwstr>
      </vt:variant>
      <vt:variant>
        <vt:lpwstr/>
      </vt:variant>
      <vt:variant>
        <vt:i4>3866661</vt:i4>
      </vt:variant>
      <vt:variant>
        <vt:i4>363</vt:i4>
      </vt:variant>
      <vt:variant>
        <vt:i4>0</vt:i4>
      </vt:variant>
      <vt:variant>
        <vt:i4>5</vt:i4>
      </vt:variant>
      <vt:variant>
        <vt:lpwstr>https://www.medsafe.govt.nz/profs/class/classintro.asp</vt:lpwstr>
      </vt:variant>
      <vt:variant>
        <vt:lpwstr/>
      </vt:variant>
      <vt:variant>
        <vt:i4>2359330</vt:i4>
      </vt:variant>
      <vt:variant>
        <vt:i4>360</vt:i4>
      </vt:variant>
      <vt:variant>
        <vt:i4>0</vt:i4>
      </vt:variant>
      <vt:variant>
        <vt:i4>5</vt:i4>
      </vt:variant>
      <vt:variant>
        <vt:lpwstr>https://health-products.canada.ca/dpd-bdpp/</vt:lpwstr>
      </vt:variant>
      <vt:variant>
        <vt:lpwstr/>
      </vt:variant>
      <vt:variant>
        <vt:i4>4522056</vt:i4>
      </vt:variant>
      <vt:variant>
        <vt:i4>357</vt:i4>
      </vt:variant>
      <vt:variant>
        <vt:i4>0</vt:i4>
      </vt:variant>
      <vt:variant>
        <vt:i4>5</vt:i4>
      </vt:variant>
      <vt:variant>
        <vt:lpwstr>https://services.industrialchemicals.gov.au/search-inventory/</vt:lpwstr>
      </vt:variant>
      <vt:variant>
        <vt:lpwstr/>
      </vt:variant>
      <vt:variant>
        <vt:i4>3145834</vt:i4>
      </vt:variant>
      <vt:variant>
        <vt:i4>354</vt:i4>
      </vt:variant>
      <vt:variant>
        <vt:i4>0</vt:i4>
      </vt:variant>
      <vt:variant>
        <vt:i4>5</vt:i4>
      </vt:variant>
      <vt:variant>
        <vt:lpwstr>https://portal.apvma.gov.au/pubcris</vt:lpwstr>
      </vt:variant>
      <vt:variant>
        <vt:lpwstr/>
      </vt:variant>
      <vt:variant>
        <vt:i4>2293803</vt:i4>
      </vt:variant>
      <vt:variant>
        <vt:i4>351</vt:i4>
      </vt:variant>
      <vt:variant>
        <vt:i4>0</vt:i4>
      </vt:variant>
      <vt:variant>
        <vt:i4>5</vt:i4>
      </vt:variant>
      <vt:variant>
        <vt:lpwstr>https://aems.tga.gov.au/daen-medicines-terms-condition/</vt:lpwstr>
      </vt:variant>
      <vt:variant>
        <vt:lpwstr/>
      </vt:variant>
      <vt:variant>
        <vt:i4>7602211</vt:i4>
      </vt:variant>
      <vt:variant>
        <vt:i4>348</vt:i4>
      </vt:variant>
      <vt:variant>
        <vt:i4>0</vt:i4>
      </vt:variant>
      <vt:variant>
        <vt:i4>5</vt:i4>
      </vt:variant>
      <vt:variant>
        <vt:lpwstr>https://www.legislation.gov.au/Details/F2021L01888</vt:lpwstr>
      </vt:variant>
      <vt:variant>
        <vt:lpwstr/>
      </vt:variant>
      <vt:variant>
        <vt:i4>4063278</vt:i4>
      </vt:variant>
      <vt:variant>
        <vt:i4>345</vt:i4>
      </vt:variant>
      <vt:variant>
        <vt:i4>0</vt:i4>
      </vt:variant>
      <vt:variant>
        <vt:i4>5</vt:i4>
      </vt:variant>
      <vt:variant>
        <vt:lpwstr>https://www.tga.gov.au/prescribing-medicines-pregnancy-database</vt:lpwstr>
      </vt:variant>
      <vt:variant>
        <vt:lpwstr/>
      </vt:variant>
      <vt:variant>
        <vt:i4>720916</vt:i4>
      </vt:variant>
      <vt:variant>
        <vt:i4>342</vt:i4>
      </vt:variant>
      <vt:variant>
        <vt:i4>0</vt:i4>
      </vt:variant>
      <vt:variant>
        <vt:i4>5</vt:i4>
      </vt:variant>
      <vt:variant>
        <vt:lpwstr>https://www.legislation.gov.au/Search/Therapeutic Goods $LB$Permissible Ingredients$RB$ Determination</vt:lpwstr>
      </vt:variant>
      <vt:variant>
        <vt:lpwstr/>
      </vt:variant>
      <vt:variant>
        <vt:i4>2097272</vt:i4>
      </vt:variant>
      <vt:variant>
        <vt:i4>339</vt:i4>
      </vt:variant>
      <vt:variant>
        <vt:i4>0</vt:i4>
      </vt:variant>
      <vt:variant>
        <vt:i4>5</vt:i4>
      </vt:variant>
      <vt:variant>
        <vt:lpwstr>https://www.tga.gov.au/artg</vt:lpwstr>
      </vt:variant>
      <vt:variant>
        <vt:lpwstr/>
      </vt:variant>
      <vt:variant>
        <vt:i4>7929907</vt:i4>
      </vt:variant>
      <vt:variant>
        <vt:i4>336</vt:i4>
      </vt:variant>
      <vt:variant>
        <vt:i4>0</vt:i4>
      </vt:variant>
      <vt:variant>
        <vt:i4>5</vt:i4>
      </vt:variant>
      <vt:variant>
        <vt:lpwstr>https://www.ebs.tga.gov.au/</vt:lpwstr>
      </vt:variant>
      <vt:variant>
        <vt:lpwstr/>
      </vt:variant>
      <vt:variant>
        <vt:i4>2162812</vt:i4>
      </vt:variant>
      <vt:variant>
        <vt:i4>333</vt:i4>
      </vt:variant>
      <vt:variant>
        <vt:i4>0</vt:i4>
      </vt:variant>
      <vt:variant>
        <vt:i4>5</vt:i4>
      </vt:variant>
      <vt:variant>
        <vt:lpwstr>https://www.hpra.ie/find-a-medicine/for-human-use/authorised-medicines?data=eyJpZCI6bnVsbCwic2tpcCI6MCwidGFrZSI6MTAsInF1ZXJ5IjpudWxsLCJvcmRlciI6Ikxhc3RVcGRhdGVkIERFU0MiLCJzdGF0dXMiOiJBdXRob3Jpc2VkIiwiZmlsdGVycyI6eyJmcm9tIjpudWxsLCJ0byI6bnVsbCwicm91dGVzIjpudWxsLCJwbGFjZU9mU2FsZSI6bnVsbCwiYWR2ZXJ0aXNpbmdDb25kaXRpb25zIjpudWxsLCJtYXJrZXRpbmdBdmFpbGFiaWxpdHkiOm51bGwsImF0Y0NvZGUiOm51bGwsIm1lZGljaW5lVHlwZSI6bnVsbH19</vt:lpwstr>
      </vt:variant>
      <vt:variant>
        <vt:lpwstr/>
      </vt:variant>
      <vt:variant>
        <vt:i4>2031633</vt:i4>
      </vt:variant>
      <vt:variant>
        <vt:i4>330</vt:i4>
      </vt:variant>
      <vt:variant>
        <vt:i4>0</vt:i4>
      </vt:variant>
      <vt:variant>
        <vt:i4>5</vt:i4>
      </vt:variant>
      <vt:variant>
        <vt:lpwstr>https://www.hpra.ie/</vt:lpwstr>
      </vt:variant>
      <vt:variant>
        <vt:lpwstr/>
      </vt:variant>
      <vt:variant>
        <vt:i4>7798908</vt:i4>
      </vt:variant>
      <vt:variant>
        <vt:i4>327</vt:i4>
      </vt:variant>
      <vt:variant>
        <vt:i4>0</vt:i4>
      </vt:variant>
      <vt:variant>
        <vt:i4>5</vt:i4>
      </vt:variant>
      <vt:variant>
        <vt:lpwstr>https://ec.europa.eu/health/documents/community-register/html/reg_index_inn.htm</vt:lpwstr>
      </vt:variant>
      <vt:variant>
        <vt:lpwstr/>
      </vt:variant>
      <vt:variant>
        <vt:i4>7405568</vt:i4>
      </vt:variant>
      <vt:variant>
        <vt:i4>324</vt:i4>
      </vt:variant>
      <vt:variant>
        <vt:i4>0</vt:i4>
      </vt:variant>
      <vt:variant>
        <vt:i4>5</vt:i4>
      </vt:variant>
      <vt:variant>
        <vt:lpwstr>https://www.accessdata.fda.gov/scripts/cder/ob/search_product.cfm</vt:lpwstr>
      </vt:variant>
      <vt:variant>
        <vt:lpwstr/>
      </vt:variant>
      <vt:variant>
        <vt:i4>5111872</vt:i4>
      </vt:variant>
      <vt:variant>
        <vt:i4>321</vt:i4>
      </vt:variant>
      <vt:variant>
        <vt:i4>0</vt:i4>
      </vt:variant>
      <vt:variant>
        <vt:i4>5</vt:i4>
      </vt:variant>
      <vt:variant>
        <vt:lpwstr>https://www.accessdata.fda.gov/scripts/cder/daf/</vt:lpwstr>
      </vt:variant>
      <vt:variant>
        <vt:lpwstr/>
      </vt:variant>
      <vt:variant>
        <vt:i4>4653129</vt:i4>
      </vt:variant>
      <vt:variant>
        <vt:i4>318</vt:i4>
      </vt:variant>
      <vt:variant>
        <vt:i4>0</vt:i4>
      </vt:variant>
      <vt:variant>
        <vt:i4>5</vt:i4>
      </vt:variant>
      <vt:variant>
        <vt:lpwstr>https://www.medicines.org.uk/emc/search?q=loratadine</vt:lpwstr>
      </vt:variant>
      <vt:variant>
        <vt:lpwstr/>
      </vt:variant>
      <vt:variant>
        <vt:i4>3866661</vt:i4>
      </vt:variant>
      <vt:variant>
        <vt:i4>315</vt:i4>
      </vt:variant>
      <vt:variant>
        <vt:i4>0</vt:i4>
      </vt:variant>
      <vt:variant>
        <vt:i4>5</vt:i4>
      </vt:variant>
      <vt:variant>
        <vt:lpwstr>https://www.medsafe.govt.nz/profs/class/classintro.asp</vt:lpwstr>
      </vt:variant>
      <vt:variant>
        <vt:lpwstr/>
      </vt:variant>
      <vt:variant>
        <vt:i4>2359330</vt:i4>
      </vt:variant>
      <vt:variant>
        <vt:i4>312</vt:i4>
      </vt:variant>
      <vt:variant>
        <vt:i4>0</vt:i4>
      </vt:variant>
      <vt:variant>
        <vt:i4>5</vt:i4>
      </vt:variant>
      <vt:variant>
        <vt:lpwstr>https://health-products.canada.ca/dpd-bdpp/</vt:lpwstr>
      </vt:variant>
      <vt:variant>
        <vt:lpwstr/>
      </vt:variant>
      <vt:variant>
        <vt:i4>4522056</vt:i4>
      </vt:variant>
      <vt:variant>
        <vt:i4>309</vt:i4>
      </vt:variant>
      <vt:variant>
        <vt:i4>0</vt:i4>
      </vt:variant>
      <vt:variant>
        <vt:i4>5</vt:i4>
      </vt:variant>
      <vt:variant>
        <vt:lpwstr>https://services.industrialchemicals.gov.au/search-inventory/</vt:lpwstr>
      </vt:variant>
      <vt:variant>
        <vt:lpwstr/>
      </vt:variant>
      <vt:variant>
        <vt:i4>3145834</vt:i4>
      </vt:variant>
      <vt:variant>
        <vt:i4>306</vt:i4>
      </vt:variant>
      <vt:variant>
        <vt:i4>0</vt:i4>
      </vt:variant>
      <vt:variant>
        <vt:i4>5</vt:i4>
      </vt:variant>
      <vt:variant>
        <vt:lpwstr>https://portal.apvma.gov.au/pubcris</vt:lpwstr>
      </vt:variant>
      <vt:variant>
        <vt:lpwstr/>
      </vt:variant>
      <vt:variant>
        <vt:i4>1441872</vt:i4>
      </vt:variant>
      <vt:variant>
        <vt:i4>303</vt:i4>
      </vt:variant>
      <vt:variant>
        <vt:i4>0</vt:i4>
      </vt:variant>
      <vt:variant>
        <vt:i4>5</vt:i4>
      </vt:variant>
      <vt:variant>
        <vt:lpwstr>https://apps.tga.gov.au/Prod/daen/daen-entry.aspx</vt:lpwstr>
      </vt:variant>
      <vt:variant>
        <vt:lpwstr/>
      </vt:variant>
      <vt:variant>
        <vt:i4>7602211</vt:i4>
      </vt:variant>
      <vt:variant>
        <vt:i4>300</vt:i4>
      </vt:variant>
      <vt:variant>
        <vt:i4>0</vt:i4>
      </vt:variant>
      <vt:variant>
        <vt:i4>5</vt:i4>
      </vt:variant>
      <vt:variant>
        <vt:lpwstr>https://www.legislation.gov.au/Details/F2021L01888</vt:lpwstr>
      </vt:variant>
      <vt:variant>
        <vt:lpwstr/>
      </vt:variant>
      <vt:variant>
        <vt:i4>4063278</vt:i4>
      </vt:variant>
      <vt:variant>
        <vt:i4>297</vt:i4>
      </vt:variant>
      <vt:variant>
        <vt:i4>0</vt:i4>
      </vt:variant>
      <vt:variant>
        <vt:i4>5</vt:i4>
      </vt:variant>
      <vt:variant>
        <vt:lpwstr>https://www.tga.gov.au/prescribing-medicines-pregnancy-database</vt:lpwstr>
      </vt:variant>
      <vt:variant>
        <vt:lpwstr/>
      </vt:variant>
      <vt:variant>
        <vt:i4>720916</vt:i4>
      </vt:variant>
      <vt:variant>
        <vt:i4>294</vt:i4>
      </vt:variant>
      <vt:variant>
        <vt:i4>0</vt:i4>
      </vt:variant>
      <vt:variant>
        <vt:i4>5</vt:i4>
      </vt:variant>
      <vt:variant>
        <vt:lpwstr>https://www.legislation.gov.au/Search/Therapeutic Goods $LB$Permissible Ingredients$RB$ Determination</vt:lpwstr>
      </vt:variant>
      <vt:variant>
        <vt:lpwstr/>
      </vt:variant>
      <vt:variant>
        <vt:i4>2097272</vt:i4>
      </vt:variant>
      <vt:variant>
        <vt:i4>291</vt:i4>
      </vt:variant>
      <vt:variant>
        <vt:i4>0</vt:i4>
      </vt:variant>
      <vt:variant>
        <vt:i4>5</vt:i4>
      </vt:variant>
      <vt:variant>
        <vt:lpwstr>https://www.tga.gov.au/artg</vt:lpwstr>
      </vt:variant>
      <vt:variant>
        <vt:lpwstr/>
      </vt:variant>
      <vt:variant>
        <vt:i4>7929907</vt:i4>
      </vt:variant>
      <vt:variant>
        <vt:i4>288</vt:i4>
      </vt:variant>
      <vt:variant>
        <vt:i4>0</vt:i4>
      </vt:variant>
      <vt:variant>
        <vt:i4>5</vt:i4>
      </vt:variant>
      <vt:variant>
        <vt:lpwstr>https://www.ebs.tga.gov.au/</vt:lpwstr>
      </vt:variant>
      <vt:variant>
        <vt:lpwstr/>
      </vt:variant>
      <vt:variant>
        <vt:i4>1245235</vt:i4>
      </vt:variant>
      <vt:variant>
        <vt:i4>281</vt:i4>
      </vt:variant>
      <vt:variant>
        <vt:i4>0</vt:i4>
      </vt:variant>
      <vt:variant>
        <vt:i4>5</vt:i4>
      </vt:variant>
      <vt:variant>
        <vt:lpwstr/>
      </vt:variant>
      <vt:variant>
        <vt:lpwstr>_Toc230542506</vt:lpwstr>
      </vt:variant>
      <vt:variant>
        <vt:i4>1245235</vt:i4>
      </vt:variant>
      <vt:variant>
        <vt:i4>275</vt:i4>
      </vt:variant>
      <vt:variant>
        <vt:i4>0</vt:i4>
      </vt:variant>
      <vt:variant>
        <vt:i4>5</vt:i4>
      </vt:variant>
      <vt:variant>
        <vt:lpwstr/>
      </vt:variant>
      <vt:variant>
        <vt:lpwstr>_Toc230542505</vt:lpwstr>
      </vt:variant>
      <vt:variant>
        <vt:i4>1245235</vt:i4>
      </vt:variant>
      <vt:variant>
        <vt:i4>269</vt:i4>
      </vt:variant>
      <vt:variant>
        <vt:i4>0</vt:i4>
      </vt:variant>
      <vt:variant>
        <vt:i4>5</vt:i4>
      </vt:variant>
      <vt:variant>
        <vt:lpwstr/>
      </vt:variant>
      <vt:variant>
        <vt:lpwstr>_Toc230542504</vt:lpwstr>
      </vt:variant>
      <vt:variant>
        <vt:i4>1245235</vt:i4>
      </vt:variant>
      <vt:variant>
        <vt:i4>263</vt:i4>
      </vt:variant>
      <vt:variant>
        <vt:i4>0</vt:i4>
      </vt:variant>
      <vt:variant>
        <vt:i4>5</vt:i4>
      </vt:variant>
      <vt:variant>
        <vt:lpwstr/>
      </vt:variant>
      <vt:variant>
        <vt:lpwstr>_Toc230542503</vt:lpwstr>
      </vt:variant>
      <vt:variant>
        <vt:i4>1245235</vt:i4>
      </vt:variant>
      <vt:variant>
        <vt:i4>257</vt:i4>
      </vt:variant>
      <vt:variant>
        <vt:i4>0</vt:i4>
      </vt:variant>
      <vt:variant>
        <vt:i4>5</vt:i4>
      </vt:variant>
      <vt:variant>
        <vt:lpwstr/>
      </vt:variant>
      <vt:variant>
        <vt:lpwstr>_Toc230542502</vt:lpwstr>
      </vt:variant>
      <vt:variant>
        <vt:i4>1245235</vt:i4>
      </vt:variant>
      <vt:variant>
        <vt:i4>251</vt:i4>
      </vt:variant>
      <vt:variant>
        <vt:i4>0</vt:i4>
      </vt:variant>
      <vt:variant>
        <vt:i4>5</vt:i4>
      </vt:variant>
      <vt:variant>
        <vt:lpwstr/>
      </vt:variant>
      <vt:variant>
        <vt:lpwstr>_Toc230542501</vt:lpwstr>
      </vt:variant>
      <vt:variant>
        <vt:i4>1245235</vt:i4>
      </vt:variant>
      <vt:variant>
        <vt:i4>245</vt:i4>
      </vt:variant>
      <vt:variant>
        <vt:i4>0</vt:i4>
      </vt:variant>
      <vt:variant>
        <vt:i4>5</vt:i4>
      </vt:variant>
      <vt:variant>
        <vt:lpwstr/>
      </vt:variant>
      <vt:variant>
        <vt:lpwstr>_Toc230542500</vt:lpwstr>
      </vt:variant>
      <vt:variant>
        <vt:i4>1703986</vt:i4>
      </vt:variant>
      <vt:variant>
        <vt:i4>239</vt:i4>
      </vt:variant>
      <vt:variant>
        <vt:i4>0</vt:i4>
      </vt:variant>
      <vt:variant>
        <vt:i4>5</vt:i4>
      </vt:variant>
      <vt:variant>
        <vt:lpwstr/>
      </vt:variant>
      <vt:variant>
        <vt:lpwstr>_Toc230542499</vt:lpwstr>
      </vt:variant>
      <vt:variant>
        <vt:i4>1703986</vt:i4>
      </vt:variant>
      <vt:variant>
        <vt:i4>233</vt:i4>
      </vt:variant>
      <vt:variant>
        <vt:i4>0</vt:i4>
      </vt:variant>
      <vt:variant>
        <vt:i4>5</vt:i4>
      </vt:variant>
      <vt:variant>
        <vt:lpwstr/>
      </vt:variant>
      <vt:variant>
        <vt:lpwstr>_Toc230542498</vt:lpwstr>
      </vt:variant>
      <vt:variant>
        <vt:i4>1703986</vt:i4>
      </vt:variant>
      <vt:variant>
        <vt:i4>227</vt:i4>
      </vt:variant>
      <vt:variant>
        <vt:i4>0</vt:i4>
      </vt:variant>
      <vt:variant>
        <vt:i4>5</vt:i4>
      </vt:variant>
      <vt:variant>
        <vt:lpwstr/>
      </vt:variant>
      <vt:variant>
        <vt:lpwstr>_Toc230542497</vt:lpwstr>
      </vt:variant>
      <vt:variant>
        <vt:i4>1703986</vt:i4>
      </vt:variant>
      <vt:variant>
        <vt:i4>221</vt:i4>
      </vt:variant>
      <vt:variant>
        <vt:i4>0</vt:i4>
      </vt:variant>
      <vt:variant>
        <vt:i4>5</vt:i4>
      </vt:variant>
      <vt:variant>
        <vt:lpwstr/>
      </vt:variant>
      <vt:variant>
        <vt:lpwstr>_Toc230542496</vt:lpwstr>
      </vt:variant>
      <vt:variant>
        <vt:i4>1703986</vt:i4>
      </vt:variant>
      <vt:variant>
        <vt:i4>215</vt:i4>
      </vt:variant>
      <vt:variant>
        <vt:i4>0</vt:i4>
      </vt:variant>
      <vt:variant>
        <vt:i4>5</vt:i4>
      </vt:variant>
      <vt:variant>
        <vt:lpwstr/>
      </vt:variant>
      <vt:variant>
        <vt:lpwstr>_Toc230542495</vt:lpwstr>
      </vt:variant>
      <vt:variant>
        <vt:i4>1703986</vt:i4>
      </vt:variant>
      <vt:variant>
        <vt:i4>209</vt:i4>
      </vt:variant>
      <vt:variant>
        <vt:i4>0</vt:i4>
      </vt:variant>
      <vt:variant>
        <vt:i4>5</vt:i4>
      </vt:variant>
      <vt:variant>
        <vt:lpwstr/>
      </vt:variant>
      <vt:variant>
        <vt:lpwstr>_Toc230542494</vt:lpwstr>
      </vt:variant>
      <vt:variant>
        <vt:i4>1703986</vt:i4>
      </vt:variant>
      <vt:variant>
        <vt:i4>203</vt:i4>
      </vt:variant>
      <vt:variant>
        <vt:i4>0</vt:i4>
      </vt:variant>
      <vt:variant>
        <vt:i4>5</vt:i4>
      </vt:variant>
      <vt:variant>
        <vt:lpwstr/>
      </vt:variant>
      <vt:variant>
        <vt:lpwstr>_Toc230542493</vt:lpwstr>
      </vt:variant>
      <vt:variant>
        <vt:i4>1703986</vt:i4>
      </vt:variant>
      <vt:variant>
        <vt:i4>197</vt:i4>
      </vt:variant>
      <vt:variant>
        <vt:i4>0</vt:i4>
      </vt:variant>
      <vt:variant>
        <vt:i4>5</vt:i4>
      </vt:variant>
      <vt:variant>
        <vt:lpwstr/>
      </vt:variant>
      <vt:variant>
        <vt:lpwstr>_Toc230542492</vt:lpwstr>
      </vt:variant>
      <vt:variant>
        <vt:i4>1703986</vt:i4>
      </vt:variant>
      <vt:variant>
        <vt:i4>191</vt:i4>
      </vt:variant>
      <vt:variant>
        <vt:i4>0</vt:i4>
      </vt:variant>
      <vt:variant>
        <vt:i4>5</vt:i4>
      </vt:variant>
      <vt:variant>
        <vt:lpwstr/>
      </vt:variant>
      <vt:variant>
        <vt:lpwstr>_Toc230542491</vt:lpwstr>
      </vt:variant>
      <vt:variant>
        <vt:i4>1703986</vt:i4>
      </vt:variant>
      <vt:variant>
        <vt:i4>185</vt:i4>
      </vt:variant>
      <vt:variant>
        <vt:i4>0</vt:i4>
      </vt:variant>
      <vt:variant>
        <vt:i4>5</vt:i4>
      </vt:variant>
      <vt:variant>
        <vt:lpwstr/>
      </vt:variant>
      <vt:variant>
        <vt:lpwstr>_Toc230542490</vt:lpwstr>
      </vt:variant>
      <vt:variant>
        <vt:i4>1769522</vt:i4>
      </vt:variant>
      <vt:variant>
        <vt:i4>179</vt:i4>
      </vt:variant>
      <vt:variant>
        <vt:i4>0</vt:i4>
      </vt:variant>
      <vt:variant>
        <vt:i4>5</vt:i4>
      </vt:variant>
      <vt:variant>
        <vt:lpwstr/>
      </vt:variant>
      <vt:variant>
        <vt:lpwstr>_Toc230542489</vt:lpwstr>
      </vt:variant>
      <vt:variant>
        <vt:i4>1769522</vt:i4>
      </vt:variant>
      <vt:variant>
        <vt:i4>173</vt:i4>
      </vt:variant>
      <vt:variant>
        <vt:i4>0</vt:i4>
      </vt:variant>
      <vt:variant>
        <vt:i4>5</vt:i4>
      </vt:variant>
      <vt:variant>
        <vt:lpwstr/>
      </vt:variant>
      <vt:variant>
        <vt:lpwstr>_Toc230542488</vt:lpwstr>
      </vt:variant>
      <vt:variant>
        <vt:i4>1769522</vt:i4>
      </vt:variant>
      <vt:variant>
        <vt:i4>167</vt:i4>
      </vt:variant>
      <vt:variant>
        <vt:i4>0</vt:i4>
      </vt:variant>
      <vt:variant>
        <vt:i4>5</vt:i4>
      </vt:variant>
      <vt:variant>
        <vt:lpwstr/>
      </vt:variant>
      <vt:variant>
        <vt:lpwstr>_Toc230542487</vt:lpwstr>
      </vt:variant>
      <vt:variant>
        <vt:i4>1769522</vt:i4>
      </vt:variant>
      <vt:variant>
        <vt:i4>161</vt:i4>
      </vt:variant>
      <vt:variant>
        <vt:i4>0</vt:i4>
      </vt:variant>
      <vt:variant>
        <vt:i4>5</vt:i4>
      </vt:variant>
      <vt:variant>
        <vt:lpwstr/>
      </vt:variant>
      <vt:variant>
        <vt:lpwstr>_Toc230542486</vt:lpwstr>
      </vt:variant>
      <vt:variant>
        <vt:i4>1769522</vt:i4>
      </vt:variant>
      <vt:variant>
        <vt:i4>155</vt:i4>
      </vt:variant>
      <vt:variant>
        <vt:i4>0</vt:i4>
      </vt:variant>
      <vt:variant>
        <vt:i4>5</vt:i4>
      </vt:variant>
      <vt:variant>
        <vt:lpwstr/>
      </vt:variant>
      <vt:variant>
        <vt:lpwstr>_Toc230542485</vt:lpwstr>
      </vt:variant>
      <vt:variant>
        <vt:i4>1769522</vt:i4>
      </vt:variant>
      <vt:variant>
        <vt:i4>149</vt:i4>
      </vt:variant>
      <vt:variant>
        <vt:i4>0</vt:i4>
      </vt:variant>
      <vt:variant>
        <vt:i4>5</vt:i4>
      </vt:variant>
      <vt:variant>
        <vt:lpwstr/>
      </vt:variant>
      <vt:variant>
        <vt:lpwstr>_Toc230542484</vt:lpwstr>
      </vt:variant>
      <vt:variant>
        <vt:i4>1769522</vt:i4>
      </vt:variant>
      <vt:variant>
        <vt:i4>143</vt:i4>
      </vt:variant>
      <vt:variant>
        <vt:i4>0</vt:i4>
      </vt:variant>
      <vt:variant>
        <vt:i4>5</vt:i4>
      </vt:variant>
      <vt:variant>
        <vt:lpwstr/>
      </vt:variant>
      <vt:variant>
        <vt:lpwstr>_Toc230542483</vt:lpwstr>
      </vt:variant>
      <vt:variant>
        <vt:i4>1769522</vt:i4>
      </vt:variant>
      <vt:variant>
        <vt:i4>137</vt:i4>
      </vt:variant>
      <vt:variant>
        <vt:i4>0</vt:i4>
      </vt:variant>
      <vt:variant>
        <vt:i4>5</vt:i4>
      </vt:variant>
      <vt:variant>
        <vt:lpwstr/>
      </vt:variant>
      <vt:variant>
        <vt:lpwstr>_Toc230542482</vt:lpwstr>
      </vt:variant>
      <vt:variant>
        <vt:i4>1769522</vt:i4>
      </vt:variant>
      <vt:variant>
        <vt:i4>131</vt:i4>
      </vt:variant>
      <vt:variant>
        <vt:i4>0</vt:i4>
      </vt:variant>
      <vt:variant>
        <vt:i4>5</vt:i4>
      </vt:variant>
      <vt:variant>
        <vt:lpwstr/>
      </vt:variant>
      <vt:variant>
        <vt:lpwstr>_Toc230542481</vt:lpwstr>
      </vt:variant>
      <vt:variant>
        <vt:i4>1769522</vt:i4>
      </vt:variant>
      <vt:variant>
        <vt:i4>125</vt:i4>
      </vt:variant>
      <vt:variant>
        <vt:i4>0</vt:i4>
      </vt:variant>
      <vt:variant>
        <vt:i4>5</vt:i4>
      </vt:variant>
      <vt:variant>
        <vt:lpwstr/>
      </vt:variant>
      <vt:variant>
        <vt:lpwstr>_Toc230542480</vt:lpwstr>
      </vt:variant>
      <vt:variant>
        <vt:i4>1310770</vt:i4>
      </vt:variant>
      <vt:variant>
        <vt:i4>119</vt:i4>
      </vt:variant>
      <vt:variant>
        <vt:i4>0</vt:i4>
      </vt:variant>
      <vt:variant>
        <vt:i4>5</vt:i4>
      </vt:variant>
      <vt:variant>
        <vt:lpwstr/>
      </vt:variant>
      <vt:variant>
        <vt:lpwstr>_Toc230542479</vt:lpwstr>
      </vt:variant>
      <vt:variant>
        <vt:i4>1310770</vt:i4>
      </vt:variant>
      <vt:variant>
        <vt:i4>113</vt:i4>
      </vt:variant>
      <vt:variant>
        <vt:i4>0</vt:i4>
      </vt:variant>
      <vt:variant>
        <vt:i4>5</vt:i4>
      </vt:variant>
      <vt:variant>
        <vt:lpwstr/>
      </vt:variant>
      <vt:variant>
        <vt:lpwstr>_Toc230542478</vt:lpwstr>
      </vt:variant>
      <vt:variant>
        <vt:i4>1310770</vt:i4>
      </vt:variant>
      <vt:variant>
        <vt:i4>107</vt:i4>
      </vt:variant>
      <vt:variant>
        <vt:i4>0</vt:i4>
      </vt:variant>
      <vt:variant>
        <vt:i4>5</vt:i4>
      </vt:variant>
      <vt:variant>
        <vt:lpwstr/>
      </vt:variant>
      <vt:variant>
        <vt:lpwstr>_Toc230542477</vt:lpwstr>
      </vt:variant>
      <vt:variant>
        <vt:i4>1310770</vt:i4>
      </vt:variant>
      <vt:variant>
        <vt:i4>101</vt:i4>
      </vt:variant>
      <vt:variant>
        <vt:i4>0</vt:i4>
      </vt:variant>
      <vt:variant>
        <vt:i4>5</vt:i4>
      </vt:variant>
      <vt:variant>
        <vt:lpwstr/>
      </vt:variant>
      <vt:variant>
        <vt:lpwstr>_Toc230542476</vt:lpwstr>
      </vt:variant>
      <vt:variant>
        <vt:i4>1310770</vt:i4>
      </vt:variant>
      <vt:variant>
        <vt:i4>95</vt:i4>
      </vt:variant>
      <vt:variant>
        <vt:i4>0</vt:i4>
      </vt:variant>
      <vt:variant>
        <vt:i4>5</vt:i4>
      </vt:variant>
      <vt:variant>
        <vt:lpwstr/>
      </vt:variant>
      <vt:variant>
        <vt:lpwstr>_Toc230542475</vt:lpwstr>
      </vt:variant>
      <vt:variant>
        <vt:i4>1310770</vt:i4>
      </vt:variant>
      <vt:variant>
        <vt:i4>89</vt:i4>
      </vt:variant>
      <vt:variant>
        <vt:i4>0</vt:i4>
      </vt:variant>
      <vt:variant>
        <vt:i4>5</vt:i4>
      </vt:variant>
      <vt:variant>
        <vt:lpwstr/>
      </vt:variant>
      <vt:variant>
        <vt:lpwstr>_Toc230542474</vt:lpwstr>
      </vt:variant>
      <vt:variant>
        <vt:i4>1310770</vt:i4>
      </vt:variant>
      <vt:variant>
        <vt:i4>83</vt:i4>
      </vt:variant>
      <vt:variant>
        <vt:i4>0</vt:i4>
      </vt:variant>
      <vt:variant>
        <vt:i4>5</vt:i4>
      </vt:variant>
      <vt:variant>
        <vt:lpwstr/>
      </vt:variant>
      <vt:variant>
        <vt:lpwstr>_Toc230542473</vt:lpwstr>
      </vt:variant>
      <vt:variant>
        <vt:i4>1310770</vt:i4>
      </vt:variant>
      <vt:variant>
        <vt:i4>77</vt:i4>
      </vt:variant>
      <vt:variant>
        <vt:i4>0</vt:i4>
      </vt:variant>
      <vt:variant>
        <vt:i4>5</vt:i4>
      </vt:variant>
      <vt:variant>
        <vt:lpwstr/>
      </vt:variant>
      <vt:variant>
        <vt:lpwstr>_Toc230542472</vt:lpwstr>
      </vt:variant>
      <vt:variant>
        <vt:i4>1310770</vt:i4>
      </vt:variant>
      <vt:variant>
        <vt:i4>71</vt:i4>
      </vt:variant>
      <vt:variant>
        <vt:i4>0</vt:i4>
      </vt:variant>
      <vt:variant>
        <vt:i4>5</vt:i4>
      </vt:variant>
      <vt:variant>
        <vt:lpwstr/>
      </vt:variant>
      <vt:variant>
        <vt:lpwstr>_Toc230542471</vt:lpwstr>
      </vt:variant>
      <vt:variant>
        <vt:i4>1310770</vt:i4>
      </vt:variant>
      <vt:variant>
        <vt:i4>65</vt:i4>
      </vt:variant>
      <vt:variant>
        <vt:i4>0</vt:i4>
      </vt:variant>
      <vt:variant>
        <vt:i4>5</vt:i4>
      </vt:variant>
      <vt:variant>
        <vt:lpwstr/>
      </vt:variant>
      <vt:variant>
        <vt:lpwstr>_Toc230542470</vt:lpwstr>
      </vt:variant>
      <vt:variant>
        <vt:i4>1376306</vt:i4>
      </vt:variant>
      <vt:variant>
        <vt:i4>59</vt:i4>
      </vt:variant>
      <vt:variant>
        <vt:i4>0</vt:i4>
      </vt:variant>
      <vt:variant>
        <vt:i4>5</vt:i4>
      </vt:variant>
      <vt:variant>
        <vt:lpwstr/>
      </vt:variant>
      <vt:variant>
        <vt:lpwstr>_Toc230542469</vt:lpwstr>
      </vt:variant>
      <vt:variant>
        <vt:i4>1376306</vt:i4>
      </vt:variant>
      <vt:variant>
        <vt:i4>53</vt:i4>
      </vt:variant>
      <vt:variant>
        <vt:i4>0</vt:i4>
      </vt:variant>
      <vt:variant>
        <vt:i4>5</vt:i4>
      </vt:variant>
      <vt:variant>
        <vt:lpwstr/>
      </vt:variant>
      <vt:variant>
        <vt:lpwstr>_Toc230542468</vt:lpwstr>
      </vt:variant>
      <vt:variant>
        <vt:i4>1376306</vt:i4>
      </vt:variant>
      <vt:variant>
        <vt:i4>47</vt:i4>
      </vt:variant>
      <vt:variant>
        <vt:i4>0</vt:i4>
      </vt:variant>
      <vt:variant>
        <vt:i4>5</vt:i4>
      </vt:variant>
      <vt:variant>
        <vt:lpwstr/>
      </vt:variant>
      <vt:variant>
        <vt:lpwstr>_Toc230542467</vt:lpwstr>
      </vt:variant>
      <vt:variant>
        <vt:i4>1376306</vt:i4>
      </vt:variant>
      <vt:variant>
        <vt:i4>41</vt:i4>
      </vt:variant>
      <vt:variant>
        <vt:i4>0</vt:i4>
      </vt:variant>
      <vt:variant>
        <vt:i4>5</vt:i4>
      </vt:variant>
      <vt:variant>
        <vt:lpwstr/>
      </vt:variant>
      <vt:variant>
        <vt:lpwstr>_Toc230542466</vt:lpwstr>
      </vt:variant>
      <vt:variant>
        <vt:i4>1376306</vt:i4>
      </vt:variant>
      <vt:variant>
        <vt:i4>35</vt:i4>
      </vt:variant>
      <vt:variant>
        <vt:i4>0</vt:i4>
      </vt:variant>
      <vt:variant>
        <vt:i4>5</vt:i4>
      </vt:variant>
      <vt:variant>
        <vt:lpwstr/>
      </vt:variant>
      <vt:variant>
        <vt:lpwstr>_Toc230542465</vt:lpwstr>
      </vt:variant>
      <vt:variant>
        <vt:i4>1376306</vt:i4>
      </vt:variant>
      <vt:variant>
        <vt:i4>29</vt:i4>
      </vt:variant>
      <vt:variant>
        <vt:i4>0</vt:i4>
      </vt:variant>
      <vt:variant>
        <vt:i4>5</vt:i4>
      </vt:variant>
      <vt:variant>
        <vt:lpwstr/>
      </vt:variant>
      <vt:variant>
        <vt:lpwstr>_Toc230542464</vt:lpwstr>
      </vt:variant>
      <vt:variant>
        <vt:i4>1376306</vt:i4>
      </vt:variant>
      <vt:variant>
        <vt:i4>23</vt:i4>
      </vt:variant>
      <vt:variant>
        <vt:i4>0</vt:i4>
      </vt:variant>
      <vt:variant>
        <vt:i4>5</vt:i4>
      </vt:variant>
      <vt:variant>
        <vt:lpwstr/>
      </vt:variant>
      <vt:variant>
        <vt:lpwstr>_Toc230542463</vt:lpwstr>
      </vt:variant>
      <vt:variant>
        <vt:i4>1376306</vt:i4>
      </vt:variant>
      <vt:variant>
        <vt:i4>17</vt:i4>
      </vt:variant>
      <vt:variant>
        <vt:i4>0</vt:i4>
      </vt:variant>
      <vt:variant>
        <vt:i4>5</vt:i4>
      </vt:variant>
      <vt:variant>
        <vt:lpwstr/>
      </vt:variant>
      <vt:variant>
        <vt:lpwstr>_Toc230542462</vt:lpwstr>
      </vt:variant>
      <vt:variant>
        <vt:i4>1376306</vt:i4>
      </vt:variant>
      <vt:variant>
        <vt:i4>11</vt:i4>
      </vt:variant>
      <vt:variant>
        <vt:i4>0</vt:i4>
      </vt:variant>
      <vt:variant>
        <vt:i4>5</vt:i4>
      </vt:variant>
      <vt:variant>
        <vt:lpwstr/>
      </vt:variant>
      <vt:variant>
        <vt:lpwstr>_Toc230542461</vt:lpwstr>
      </vt:variant>
      <vt:variant>
        <vt:i4>1376306</vt:i4>
      </vt:variant>
      <vt:variant>
        <vt:i4>5</vt:i4>
      </vt:variant>
      <vt:variant>
        <vt:i4>0</vt:i4>
      </vt:variant>
      <vt:variant>
        <vt:i4>5</vt:i4>
      </vt:variant>
      <vt:variant>
        <vt:lpwstr/>
      </vt:variant>
      <vt:variant>
        <vt:lpwstr>_Toc230542460</vt:lpwstr>
      </vt:variant>
      <vt:variant>
        <vt:i4>6291548</vt:i4>
      </vt:variant>
      <vt:variant>
        <vt:i4>0</vt:i4>
      </vt:variant>
      <vt:variant>
        <vt:i4>0</vt:i4>
      </vt:variant>
      <vt:variant>
        <vt:i4>5</vt:i4>
      </vt:variant>
      <vt:variant>
        <vt:lpwstr>mailto:tga.copyright@tga.gov.au</vt:lpwstr>
      </vt:variant>
      <vt:variant>
        <vt:lpwstr/>
      </vt:variant>
      <vt:variant>
        <vt:i4>2293846</vt:i4>
      </vt:variant>
      <vt:variant>
        <vt:i4>21</vt:i4>
      </vt:variant>
      <vt:variant>
        <vt:i4>0</vt:i4>
      </vt:variant>
      <vt:variant>
        <vt:i4>5</vt:i4>
      </vt:variant>
      <vt:variant>
        <vt:lpwstr>https://www.accessdata.fda.gov/drugsatfda_docs/label/2022/761183Orig1s000lbl.pdf</vt:lpwstr>
      </vt:variant>
      <vt:variant>
        <vt:lpwstr/>
      </vt:variant>
      <vt:variant>
        <vt:i4>6619189</vt:i4>
      </vt:variant>
      <vt:variant>
        <vt:i4>18</vt:i4>
      </vt:variant>
      <vt:variant>
        <vt:i4>0</vt:i4>
      </vt:variant>
      <vt:variant>
        <vt:i4>5</vt:i4>
      </vt:variant>
      <vt:variant>
        <vt:lpwstr>https://www.gov.uk/drug-safety-update/pseudoephedrine-and-ephedrine-nasal-decongestants</vt:lpwstr>
      </vt:variant>
      <vt:variant>
        <vt:lpwstr/>
      </vt:variant>
      <vt:variant>
        <vt:i4>7995479</vt:i4>
      </vt:variant>
      <vt:variant>
        <vt:i4>15</vt:i4>
      </vt:variant>
      <vt:variant>
        <vt:i4>0</vt:i4>
      </vt:variant>
      <vt:variant>
        <vt:i4>5</vt:i4>
      </vt:variant>
      <vt:variant>
        <vt:lpwstr>https://web.archive.org.au/awa/20211005061524mp_/www.tga.gov.au/scheduling-decision-final/scheduling-delegates-final-decisions-march-2011</vt:lpwstr>
      </vt:variant>
      <vt:variant>
        <vt:lpwstr/>
      </vt:variant>
      <vt:variant>
        <vt:i4>72</vt:i4>
      </vt:variant>
      <vt:variant>
        <vt:i4>12</vt:i4>
      </vt:variant>
      <vt:variant>
        <vt:i4>0</vt:i4>
      </vt:variant>
      <vt:variant>
        <vt:i4>5</vt:i4>
      </vt:variant>
      <vt:variant>
        <vt:lpwstr>https://www.tga.gov.au/resources/publication/scheduling-decisions-final/notice-final-decision-amend-or-not-amend-current-poisons-standard-acms-40-accs-34-joint-acms-accs-32</vt:lpwstr>
      </vt:variant>
      <vt:variant>
        <vt:lpwstr/>
      </vt:variant>
      <vt:variant>
        <vt:i4>8192104</vt:i4>
      </vt:variant>
      <vt:variant>
        <vt:i4>9</vt:i4>
      </vt:variant>
      <vt:variant>
        <vt:i4>0</vt:i4>
      </vt:variant>
      <vt:variant>
        <vt:i4>5</vt:i4>
      </vt:variant>
      <vt:variant>
        <vt:lpwstr>https://www.aihw.gov.au/reports/chronic-respiratory-conditions/allergic-rhinitis-hay-fever</vt:lpwstr>
      </vt:variant>
      <vt:variant>
        <vt:lpwstr/>
      </vt:variant>
      <vt:variant>
        <vt:i4>1572874</vt:i4>
      </vt:variant>
      <vt:variant>
        <vt:i4>6</vt:i4>
      </vt:variant>
      <vt:variant>
        <vt:i4>0</vt:i4>
      </vt:variant>
      <vt:variant>
        <vt:i4>5</vt:i4>
      </vt:variant>
      <vt:variant>
        <vt:lpwstr>https://www.tga.gov.au/sites/default/files/scheduling-delegates-final-decisions-june-2017.pdf</vt:lpwstr>
      </vt:variant>
      <vt:variant>
        <vt:lpwstr/>
      </vt:variant>
      <vt:variant>
        <vt:i4>5242906</vt:i4>
      </vt:variant>
      <vt:variant>
        <vt:i4>3</vt:i4>
      </vt:variant>
      <vt:variant>
        <vt:i4>0</vt:i4>
      </vt:variant>
      <vt:variant>
        <vt:i4>5</vt:i4>
      </vt:variant>
      <vt:variant>
        <vt:lpwstr>https://go.drugbank.com/drugs/DB00455</vt:lpwstr>
      </vt:variant>
      <vt:variant>
        <vt:lpwstr/>
      </vt:variant>
      <vt:variant>
        <vt:i4>8192104</vt:i4>
      </vt:variant>
      <vt:variant>
        <vt:i4>0</vt:i4>
      </vt:variant>
      <vt:variant>
        <vt:i4>0</vt:i4>
      </vt:variant>
      <vt:variant>
        <vt:i4>5</vt:i4>
      </vt:variant>
      <vt:variant>
        <vt:lpwstr>https://www.aihw.gov.au/reports/chronic-respiratory-conditions/allergic-rhinitis-hay-fever</vt:lpwstr>
      </vt:variant>
      <vt:variant>
        <vt:lpwstr/>
      </vt:variant>
      <vt:variant>
        <vt:i4>3735563</vt:i4>
      </vt:variant>
      <vt:variant>
        <vt:i4>9</vt:i4>
      </vt:variant>
      <vt:variant>
        <vt:i4>0</vt:i4>
      </vt:variant>
      <vt:variant>
        <vt:i4>5</vt:i4>
      </vt:variant>
      <vt:variant>
        <vt:lpwstr>mailto:medicines.scheduling@health.gov.au</vt:lpwstr>
      </vt:variant>
      <vt:variant>
        <vt:lpwstr/>
      </vt:variant>
      <vt:variant>
        <vt:i4>1966101</vt:i4>
      </vt:variant>
      <vt:variant>
        <vt:i4>6</vt:i4>
      </vt:variant>
      <vt:variant>
        <vt:i4>0</vt:i4>
      </vt:variant>
      <vt:variant>
        <vt:i4>5</vt:i4>
      </vt:variant>
      <vt:variant>
        <vt:lpwstr>https://www.tga.gov.au/committee/advisory-committee-chemicals-scheduling-accs</vt:lpwstr>
      </vt:variant>
      <vt:variant>
        <vt:lpwstr/>
      </vt:variant>
      <vt:variant>
        <vt:i4>1703967</vt:i4>
      </vt:variant>
      <vt:variant>
        <vt:i4>3</vt:i4>
      </vt:variant>
      <vt:variant>
        <vt:i4>0</vt:i4>
      </vt:variant>
      <vt:variant>
        <vt:i4>5</vt:i4>
      </vt:variant>
      <vt:variant>
        <vt:lpwstr>https://www.tga.gov.au/committee/advisory-committee-medicines-scheduling-acms</vt:lpwstr>
      </vt:variant>
      <vt:variant>
        <vt:lpwstr/>
      </vt:variant>
      <vt:variant>
        <vt:i4>851969</vt:i4>
      </vt:variant>
      <vt:variant>
        <vt:i4>0</vt:i4>
      </vt:variant>
      <vt:variant>
        <vt:i4>0</vt:i4>
      </vt:variant>
      <vt:variant>
        <vt:i4>5</vt:i4>
      </vt:variant>
      <vt:variant>
        <vt:lpwstr>https://consultations.tga.gov.au/tga/november_2021_interim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BOSTON, Aimee</dc:creator>
  <cp:keywords/>
  <dc:description/>
  <cp:lastModifiedBy>CHAKRABARTI, Apratim</cp:lastModifiedBy>
  <cp:revision>143</cp:revision>
  <cp:lastPrinted>2026-05-28T04:11:00Z</cp:lastPrinted>
  <dcterms:created xsi:type="dcterms:W3CDTF">2026-05-25T01:20:00Z</dcterms:created>
  <dcterms:modified xsi:type="dcterms:W3CDTF">2026-05-29T02:55:00Z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69e909bb,d7ca87d,297a6753,22d011b9,6d41b1b3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4a0019cc,2099501a,6fc9e98d,204e41f1,41c5844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2025-12-18T03:42:46Z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92f55ec8-0538-448a-b48c-962024cf906f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0x010100EFE0E35EFD4F464680E6AF1C0D13EB20</vt:lpwstr>
  </property>
  <property fmtid="{D5CDD505-2E9C-101B-9397-08002B2CF9AE}" pid="17" name="MediaServiceImageTags">
    <vt:lpwstr/>
  </property>
  <property fmtid="{D5CDD505-2E9C-101B-9397-08002B2CF9AE}" pid="18" name="docLang">
    <vt:lpwstr>en</vt:lpwstr>
  </property>
</Properties>
</file>