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C3A2B" w14:textId="77777777" w:rsidR="00F57320" w:rsidRPr="00F57320" w:rsidRDefault="00F57320" w:rsidP="00F57320">
      <w:bookmarkStart w:id="0" w:name="_Hlk165881389"/>
    </w:p>
    <w:p w14:paraId="7B307E20" w14:textId="2A94EA99" w:rsidR="003D51C5" w:rsidRDefault="00F57320" w:rsidP="003D51C5">
      <w:pPr>
        <w:pStyle w:val="Title"/>
      </w:pPr>
      <w:r w:rsidRPr="00C417B6">
        <w:t>Consultation: Proposed amendment</w:t>
      </w:r>
      <w:r w:rsidR="00C054DB">
        <w:t>s</w:t>
      </w:r>
      <w:r w:rsidRPr="00C417B6">
        <w:t xml:space="preserve"> to the Poisons Standard </w:t>
      </w:r>
      <w:r w:rsidR="00BC59CF">
        <w:t xml:space="preserve">in relation to nitrous oxide </w:t>
      </w:r>
      <w:r w:rsidRPr="00C417B6">
        <w:t xml:space="preserve">– </w:t>
      </w:r>
      <w:r w:rsidR="00E94158" w:rsidRPr="00E94158">
        <w:t>Joint ACMS-</w:t>
      </w:r>
      <w:r w:rsidRPr="00E94158">
        <w:t xml:space="preserve">ACCS </w:t>
      </w:r>
      <w:r w:rsidR="00C1655E" w:rsidRPr="00E94158">
        <w:t xml:space="preserve">meeting </w:t>
      </w:r>
      <w:r w:rsidRPr="00E94158">
        <w:t>#</w:t>
      </w:r>
      <w:r w:rsidR="009C120A">
        <w:t>45</w:t>
      </w:r>
      <w:r w:rsidRPr="00C417B6">
        <w:t xml:space="preserve">, </w:t>
      </w:r>
      <w:r w:rsidR="004C4E11">
        <w:t>November</w:t>
      </w:r>
      <w:r w:rsidRPr="00C417B6">
        <w:t xml:space="preserve"> 20</w:t>
      </w:r>
      <w:r w:rsidR="004C4E11">
        <w:t>26</w:t>
      </w:r>
    </w:p>
    <w:p w14:paraId="68ED4462" w14:textId="77777777" w:rsidR="004C4E11" w:rsidRDefault="004C4E11" w:rsidP="00097246">
      <w:pPr>
        <w:pStyle w:val="Subtitle"/>
        <w:ind w:left="0"/>
        <w:rPr>
          <w:highlight w:val="yellow"/>
        </w:rPr>
      </w:pPr>
    </w:p>
    <w:p w14:paraId="0E639128" w14:textId="44EB3F0F" w:rsidR="003D51C5" w:rsidRPr="00F57320" w:rsidRDefault="004125E4" w:rsidP="00097246">
      <w:pPr>
        <w:pStyle w:val="Subtitle"/>
        <w:ind w:left="0"/>
        <w:sectPr w:rsidR="003D51C5" w:rsidRPr="00F57320" w:rsidSect="000D6BB2">
          <w:headerReference w:type="even" r:id="rId11"/>
          <w:headerReference w:type="default" r:id="rId12"/>
          <w:footerReference w:type="even" r:id="rId13"/>
          <w:footerReference w:type="default" r:id="rId14"/>
          <w:headerReference w:type="first" r:id="rId15"/>
          <w:footerReference w:type="first" r:id="rId16"/>
          <w:pgSz w:w="11906" w:h="16838"/>
          <w:pgMar w:top="1006" w:right="1440" w:bottom="1440" w:left="1440" w:header="708" w:footer="708" w:gutter="0"/>
          <w:cols w:space="708"/>
          <w:titlePg/>
          <w:docGrid w:linePitch="360"/>
        </w:sectPr>
      </w:pPr>
      <w:r w:rsidRPr="00427354">
        <w:t>11</w:t>
      </w:r>
      <w:r w:rsidR="00F41EC8" w:rsidRPr="00427354">
        <w:t xml:space="preserve"> </w:t>
      </w:r>
      <w:r w:rsidR="004C4E11" w:rsidRPr="004C4E11">
        <w:t>September</w:t>
      </w:r>
      <w:r w:rsidR="00F41EC8" w:rsidRPr="004C4E11">
        <w:t xml:space="preserve"> 20</w:t>
      </w:r>
      <w:r w:rsidR="004C4E11" w:rsidRPr="004C4E11">
        <w:t>26</w:t>
      </w:r>
    </w:p>
    <w:p w14:paraId="1CC46501" w14:textId="77777777" w:rsidR="00F02AEC" w:rsidRPr="00BF2FE0" w:rsidRDefault="00F02AEC" w:rsidP="00BF2FE0">
      <w:pPr>
        <w:pStyle w:val="LegalSubheading"/>
        <w:rPr>
          <w:b/>
          <w:bCs/>
        </w:rPr>
      </w:pPr>
      <w:bookmarkStart w:id="1" w:name="_Hlk139891783"/>
      <w:r w:rsidRPr="00BF2FE0">
        <w:rPr>
          <w:b/>
          <w:bCs/>
        </w:rPr>
        <w:lastRenderedPageBreak/>
        <w:t>Copyright</w:t>
      </w:r>
    </w:p>
    <w:p w14:paraId="3563970E" w14:textId="35F753F5" w:rsidR="00930D58" w:rsidRPr="00C417B6" w:rsidRDefault="00F02AEC" w:rsidP="00BF2FE0">
      <w:pPr>
        <w:pStyle w:val="LegalSubheading"/>
      </w:pPr>
      <w:r w:rsidRPr="00C417B6">
        <w:t>© Commonwealth of Australia 202</w:t>
      </w:r>
      <w:r w:rsidR="00170EA1">
        <w:t>6</w:t>
      </w:r>
      <w:r w:rsidRPr="00C417B6">
        <w:br/>
        <w:t xml:space="preserve">This work is copyright. You may reproduce the whole or part of this work in unaltered form for your own personal use or, if you are part of an organisation, for internal use within your organisation, but only if you or your organisation do not use the reproduction for any commercial purpose and retain this copyright notice and all disclaimer notices as part of that reproduction. Apart from rights to use as permitted by the Copyright Act 1968 or allowed by this copyright notice, all other rights are reserved and you are not allowed to reproduce the whole or any part of this work in any way (electronic or otherwise) without first being given specific written permission from the Commonwealth to do so. Requests and inquiries concerning reproduction and rights are to be sent to the TGA Copyright Officer, Therapeutic Goods Administration, PO Box 100, Woden ACT 2606 or emailed to </w:t>
      </w:r>
      <w:hyperlink r:id="rId17" w:history="1">
        <w:r w:rsidR="002C0C6F" w:rsidRPr="004B44EF">
          <w:rPr>
            <w:rStyle w:val="Hyperlink"/>
          </w:rPr>
          <w:t>tga.copyright@tga.gov.au</w:t>
        </w:r>
      </w:hyperlink>
      <w:r w:rsidRPr="00C417B6">
        <w:t>.</w:t>
      </w:r>
    </w:p>
    <w:p w14:paraId="48A6B6B2" w14:textId="77777777" w:rsidR="00175CD8" w:rsidRPr="00C417B6" w:rsidRDefault="00175CD8" w:rsidP="00C417B6"/>
    <w:p w14:paraId="3EBBB6DC" w14:textId="77777777" w:rsidR="0088292E" w:rsidRPr="00BF2FE0" w:rsidRDefault="0088292E" w:rsidP="00BF2FE0">
      <w:pPr>
        <w:pStyle w:val="LegalSubheading"/>
        <w:rPr>
          <w:b/>
          <w:bCs/>
        </w:rPr>
      </w:pPr>
      <w:bookmarkStart w:id="2" w:name="_Hlk139901247"/>
      <w:r w:rsidRPr="00BF2FE0">
        <w:rPr>
          <w:b/>
          <w:bCs/>
        </w:rPr>
        <w:t>Confidentiality</w:t>
      </w:r>
    </w:p>
    <w:p w14:paraId="4262FADA" w14:textId="77777777" w:rsidR="00BF2FE0" w:rsidRDefault="0088292E" w:rsidP="00F41EC8">
      <w:pPr>
        <w:pStyle w:val="LegalSubheading"/>
      </w:pPr>
      <w:r w:rsidRPr="00C417B6">
        <w:t>All submissions received will be placed on the TGA’s Internet site, unless marked confidential. Any confidential material contained within your submission should be provided under a separate cover and clearly marked “IN CONFIDENCE”. Reasons for a claim to confidentiality must be included in the space provided on the TGA submission form. For submission made by individuals, all personal details, other than your name, will be removed from your submission before it is published on the TGA’s Internet site. In addition, a list of parties making submissions will be published. If you do not wish to be identified with your submission you must specifically request this in the space provided on the submission form.</w:t>
      </w:r>
      <w:bookmarkEnd w:id="2"/>
    </w:p>
    <w:p w14:paraId="6A3E4A5F" w14:textId="77777777" w:rsidR="0088292E" w:rsidRPr="00C417B6" w:rsidRDefault="0088292E" w:rsidP="00C417B6"/>
    <w:bookmarkEnd w:id="1" w:displacedByCustomXml="next"/>
    <w:bookmarkStart w:id="3" w:name="_Hlk139892237" w:displacedByCustomXml="next"/>
    <w:sdt>
      <w:sdtPr>
        <w:rPr>
          <w:rFonts w:eastAsiaTheme="minorEastAsia" w:cstheme="minorBidi"/>
          <w:b w:val="0"/>
          <w:color w:val="auto"/>
          <w:sz w:val="20"/>
        </w:rPr>
        <w:id w:val="21514769"/>
        <w:docPartObj>
          <w:docPartGallery w:val="Table of Contents"/>
          <w:docPartUnique/>
        </w:docPartObj>
      </w:sdtPr>
      <w:sdtEndPr/>
      <w:sdtContent>
        <w:p w14:paraId="72B7FBCB" w14:textId="77777777" w:rsidR="00F02AEC" w:rsidRPr="00C417B6" w:rsidRDefault="00F02AEC" w:rsidP="00F41EC8">
          <w:pPr>
            <w:pStyle w:val="NonTOCheading2"/>
          </w:pPr>
          <w:r w:rsidRPr="00C417B6">
            <w:t>Contents</w:t>
          </w:r>
        </w:p>
        <w:p w14:paraId="016E3039" w14:textId="61B4A9DC" w:rsidR="008C1EA9" w:rsidRDefault="00F02AEC">
          <w:pPr>
            <w:pStyle w:val="TOC1"/>
            <w:rPr>
              <w:rFonts w:asciiTheme="minorHAnsi" w:eastAsiaTheme="minorEastAsia" w:hAnsiTheme="minorHAnsi" w:cstheme="minorBidi"/>
              <w:b w:val="0"/>
              <w:noProof/>
              <w:color w:val="auto"/>
              <w:kern w:val="2"/>
              <w:sz w:val="24"/>
              <w:szCs w:val="24"/>
              <w:lang w:eastAsia="en-AU"/>
              <w14:ligatures w14:val="standardContextual"/>
            </w:rPr>
          </w:pPr>
          <w:r w:rsidRPr="00C417B6">
            <w:fldChar w:fldCharType="begin"/>
          </w:r>
          <w:r w:rsidRPr="00C417B6">
            <w:instrText xml:space="preserve"> TOC \h \z \u \t "Heading 2,1,Heading 3,2,Heading 4,3" </w:instrText>
          </w:r>
          <w:r w:rsidRPr="00C417B6">
            <w:fldChar w:fldCharType="separate"/>
          </w:r>
          <w:hyperlink w:anchor="_Toc239763002" w:history="1">
            <w:r w:rsidR="008C1EA9" w:rsidRPr="003A45B9">
              <w:rPr>
                <w:rStyle w:val="Hyperlink"/>
                <w:noProof/>
              </w:rPr>
              <w:t>About this consultation</w:t>
            </w:r>
            <w:r w:rsidR="008C1EA9">
              <w:rPr>
                <w:noProof/>
                <w:webHidden/>
              </w:rPr>
              <w:tab/>
            </w:r>
            <w:r w:rsidR="008C1EA9">
              <w:rPr>
                <w:noProof/>
                <w:webHidden/>
              </w:rPr>
              <w:fldChar w:fldCharType="begin"/>
            </w:r>
            <w:r w:rsidR="008C1EA9">
              <w:rPr>
                <w:noProof/>
                <w:webHidden/>
              </w:rPr>
              <w:instrText xml:space="preserve"> PAGEREF _Toc239763002 \h </w:instrText>
            </w:r>
            <w:r w:rsidR="008C1EA9">
              <w:rPr>
                <w:noProof/>
                <w:webHidden/>
              </w:rPr>
            </w:r>
            <w:r w:rsidR="008C1EA9">
              <w:rPr>
                <w:noProof/>
                <w:webHidden/>
              </w:rPr>
              <w:fldChar w:fldCharType="separate"/>
            </w:r>
            <w:r w:rsidR="008C1EA9">
              <w:rPr>
                <w:noProof/>
                <w:webHidden/>
              </w:rPr>
              <w:t>4</w:t>
            </w:r>
            <w:r w:rsidR="008C1EA9">
              <w:rPr>
                <w:noProof/>
                <w:webHidden/>
              </w:rPr>
              <w:fldChar w:fldCharType="end"/>
            </w:r>
          </w:hyperlink>
        </w:p>
        <w:p w14:paraId="7B3CA8DC" w14:textId="7B40F128" w:rsidR="008C1EA9" w:rsidRDefault="008C1EA9">
          <w:pPr>
            <w:pStyle w:val="TOC1"/>
            <w:tabs>
              <w:tab w:val="left" w:pos="425"/>
            </w:tabs>
            <w:rPr>
              <w:rFonts w:asciiTheme="minorHAnsi" w:eastAsiaTheme="minorEastAsia" w:hAnsiTheme="minorHAnsi" w:cstheme="minorBidi"/>
              <w:b w:val="0"/>
              <w:noProof/>
              <w:color w:val="auto"/>
              <w:kern w:val="2"/>
              <w:sz w:val="24"/>
              <w:szCs w:val="24"/>
              <w:lang w:eastAsia="en-AU"/>
              <w14:ligatures w14:val="standardContextual"/>
            </w:rPr>
          </w:pPr>
          <w:hyperlink w:anchor="_Toc239763003" w:history="1">
            <w:r w:rsidRPr="003A45B9">
              <w:rPr>
                <w:rStyle w:val="Hyperlink"/>
                <w:noProof/>
              </w:rPr>
              <w:t>1</w:t>
            </w:r>
            <w:r>
              <w:rPr>
                <w:rFonts w:asciiTheme="minorHAnsi" w:eastAsiaTheme="minorEastAsia" w:hAnsiTheme="minorHAnsi" w:cstheme="minorBidi"/>
                <w:b w:val="0"/>
                <w:noProof/>
                <w:color w:val="auto"/>
                <w:kern w:val="2"/>
                <w:sz w:val="24"/>
                <w:szCs w:val="24"/>
                <w:lang w:eastAsia="en-AU"/>
                <w14:ligatures w14:val="standardContextual"/>
              </w:rPr>
              <w:tab/>
            </w:r>
            <w:r w:rsidRPr="003A45B9">
              <w:rPr>
                <w:rStyle w:val="Hyperlink"/>
                <w:noProof/>
              </w:rPr>
              <w:t xml:space="preserve"> Proposed amendment referred for scheduling advice to Joint ACCS-ACMS meeting #45</w:t>
            </w:r>
            <w:r>
              <w:rPr>
                <w:noProof/>
                <w:webHidden/>
              </w:rPr>
              <w:tab/>
            </w:r>
            <w:r>
              <w:rPr>
                <w:noProof/>
                <w:webHidden/>
              </w:rPr>
              <w:fldChar w:fldCharType="begin"/>
            </w:r>
            <w:r>
              <w:rPr>
                <w:noProof/>
                <w:webHidden/>
              </w:rPr>
              <w:instrText xml:space="preserve"> PAGEREF _Toc239763003 \h </w:instrText>
            </w:r>
            <w:r>
              <w:rPr>
                <w:noProof/>
                <w:webHidden/>
              </w:rPr>
            </w:r>
            <w:r>
              <w:rPr>
                <w:noProof/>
                <w:webHidden/>
              </w:rPr>
              <w:fldChar w:fldCharType="separate"/>
            </w:r>
            <w:r>
              <w:rPr>
                <w:noProof/>
                <w:webHidden/>
              </w:rPr>
              <w:t>5</w:t>
            </w:r>
            <w:r>
              <w:rPr>
                <w:noProof/>
                <w:webHidden/>
              </w:rPr>
              <w:fldChar w:fldCharType="end"/>
            </w:r>
          </w:hyperlink>
        </w:p>
        <w:p w14:paraId="6126FBED" w14:textId="49C47C02" w:rsidR="008C1EA9" w:rsidRDefault="008C1EA9">
          <w:pPr>
            <w:pStyle w:val="TOC2"/>
            <w:tabs>
              <w:tab w:val="left" w:pos="1276"/>
            </w:tabs>
            <w:rPr>
              <w:rFonts w:asciiTheme="minorHAnsi" w:eastAsiaTheme="minorEastAsia" w:hAnsiTheme="minorHAnsi" w:cstheme="minorBidi"/>
              <w:noProof/>
              <w:color w:val="auto"/>
              <w:kern w:val="2"/>
              <w:szCs w:val="24"/>
              <w:lang w:eastAsia="en-AU"/>
              <w14:ligatures w14:val="standardContextual"/>
            </w:rPr>
          </w:pPr>
          <w:hyperlink w:anchor="_Toc239763004" w:history="1">
            <w:r w:rsidRPr="003A45B9">
              <w:rPr>
                <w:rStyle w:val="Hyperlink"/>
                <w:noProof/>
              </w:rPr>
              <w:t>1.1</w:t>
            </w:r>
            <w:r>
              <w:rPr>
                <w:rFonts w:asciiTheme="minorHAnsi" w:eastAsiaTheme="minorEastAsia" w:hAnsiTheme="minorHAnsi" w:cstheme="minorBidi"/>
                <w:noProof/>
                <w:color w:val="auto"/>
                <w:kern w:val="2"/>
                <w:szCs w:val="24"/>
                <w:lang w:eastAsia="en-AU"/>
                <w14:ligatures w14:val="standardContextual"/>
              </w:rPr>
              <w:tab/>
            </w:r>
            <w:r w:rsidRPr="003A45B9">
              <w:rPr>
                <w:rStyle w:val="Hyperlink"/>
                <w:noProof/>
              </w:rPr>
              <w:t>Nitrous oxide</w:t>
            </w:r>
            <w:r>
              <w:rPr>
                <w:noProof/>
                <w:webHidden/>
              </w:rPr>
              <w:tab/>
            </w:r>
            <w:r>
              <w:rPr>
                <w:noProof/>
                <w:webHidden/>
              </w:rPr>
              <w:fldChar w:fldCharType="begin"/>
            </w:r>
            <w:r>
              <w:rPr>
                <w:noProof/>
                <w:webHidden/>
              </w:rPr>
              <w:instrText xml:space="preserve"> PAGEREF _Toc239763004 \h </w:instrText>
            </w:r>
            <w:r>
              <w:rPr>
                <w:noProof/>
                <w:webHidden/>
              </w:rPr>
            </w:r>
            <w:r>
              <w:rPr>
                <w:noProof/>
                <w:webHidden/>
              </w:rPr>
              <w:fldChar w:fldCharType="separate"/>
            </w:r>
            <w:r>
              <w:rPr>
                <w:noProof/>
                <w:webHidden/>
              </w:rPr>
              <w:t>5</w:t>
            </w:r>
            <w:r>
              <w:rPr>
                <w:noProof/>
                <w:webHidden/>
              </w:rPr>
              <w:fldChar w:fldCharType="end"/>
            </w:r>
          </w:hyperlink>
        </w:p>
        <w:p w14:paraId="2F9BB028" w14:textId="6327C1C8"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05" w:history="1">
            <w:r w:rsidRPr="003A45B9">
              <w:rPr>
                <w:rStyle w:val="Hyperlink"/>
                <w:noProof/>
              </w:rPr>
              <w:t>Proposal</w:t>
            </w:r>
            <w:r>
              <w:rPr>
                <w:noProof/>
                <w:webHidden/>
              </w:rPr>
              <w:tab/>
            </w:r>
            <w:r>
              <w:rPr>
                <w:noProof/>
                <w:webHidden/>
              </w:rPr>
              <w:fldChar w:fldCharType="begin"/>
            </w:r>
            <w:r>
              <w:rPr>
                <w:noProof/>
                <w:webHidden/>
              </w:rPr>
              <w:instrText xml:space="preserve"> PAGEREF _Toc239763005 \h </w:instrText>
            </w:r>
            <w:r>
              <w:rPr>
                <w:noProof/>
                <w:webHidden/>
              </w:rPr>
            </w:r>
            <w:r>
              <w:rPr>
                <w:noProof/>
                <w:webHidden/>
              </w:rPr>
              <w:fldChar w:fldCharType="separate"/>
            </w:r>
            <w:r>
              <w:rPr>
                <w:noProof/>
                <w:webHidden/>
              </w:rPr>
              <w:t>5</w:t>
            </w:r>
            <w:r>
              <w:rPr>
                <w:noProof/>
                <w:webHidden/>
              </w:rPr>
              <w:fldChar w:fldCharType="end"/>
            </w:r>
          </w:hyperlink>
        </w:p>
        <w:p w14:paraId="02C1A815" w14:textId="0CC650AD"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06" w:history="1">
            <w:r w:rsidRPr="003A45B9">
              <w:rPr>
                <w:rStyle w:val="Hyperlink"/>
                <w:noProof/>
              </w:rPr>
              <w:t>Delegate reasons for proposal 1</w:t>
            </w:r>
            <w:r>
              <w:rPr>
                <w:noProof/>
                <w:webHidden/>
              </w:rPr>
              <w:tab/>
            </w:r>
            <w:r>
              <w:rPr>
                <w:noProof/>
                <w:webHidden/>
              </w:rPr>
              <w:fldChar w:fldCharType="begin"/>
            </w:r>
            <w:r>
              <w:rPr>
                <w:noProof/>
                <w:webHidden/>
              </w:rPr>
              <w:instrText xml:space="preserve"> PAGEREF _Toc239763006 \h </w:instrText>
            </w:r>
            <w:r>
              <w:rPr>
                <w:noProof/>
                <w:webHidden/>
              </w:rPr>
            </w:r>
            <w:r>
              <w:rPr>
                <w:noProof/>
                <w:webHidden/>
              </w:rPr>
              <w:fldChar w:fldCharType="separate"/>
            </w:r>
            <w:r>
              <w:rPr>
                <w:noProof/>
                <w:webHidden/>
              </w:rPr>
              <w:t>6</w:t>
            </w:r>
            <w:r>
              <w:rPr>
                <w:noProof/>
                <w:webHidden/>
              </w:rPr>
              <w:fldChar w:fldCharType="end"/>
            </w:r>
          </w:hyperlink>
        </w:p>
        <w:p w14:paraId="5A59CDEC" w14:textId="54DCCF5E"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07" w:history="1">
            <w:r w:rsidRPr="003A45B9">
              <w:rPr>
                <w:rStyle w:val="Hyperlink"/>
                <w:noProof/>
              </w:rPr>
              <w:t>Applicant reasons for proposal 2</w:t>
            </w:r>
            <w:r>
              <w:rPr>
                <w:noProof/>
                <w:webHidden/>
              </w:rPr>
              <w:tab/>
            </w:r>
            <w:r>
              <w:rPr>
                <w:noProof/>
                <w:webHidden/>
              </w:rPr>
              <w:fldChar w:fldCharType="begin"/>
            </w:r>
            <w:r>
              <w:rPr>
                <w:noProof/>
                <w:webHidden/>
              </w:rPr>
              <w:instrText xml:space="preserve"> PAGEREF _Toc239763007 \h </w:instrText>
            </w:r>
            <w:r>
              <w:rPr>
                <w:noProof/>
                <w:webHidden/>
              </w:rPr>
            </w:r>
            <w:r>
              <w:rPr>
                <w:noProof/>
                <w:webHidden/>
              </w:rPr>
              <w:fldChar w:fldCharType="separate"/>
            </w:r>
            <w:r>
              <w:rPr>
                <w:noProof/>
                <w:webHidden/>
              </w:rPr>
              <w:t>8</w:t>
            </w:r>
            <w:r>
              <w:rPr>
                <w:noProof/>
                <w:webHidden/>
              </w:rPr>
              <w:fldChar w:fldCharType="end"/>
            </w:r>
          </w:hyperlink>
        </w:p>
        <w:p w14:paraId="423DBB97" w14:textId="0A597914"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08" w:history="1">
            <w:r w:rsidRPr="003A45B9">
              <w:rPr>
                <w:rStyle w:val="Hyperlink"/>
                <w:noProof/>
              </w:rPr>
              <w:t>Background</w:t>
            </w:r>
            <w:r>
              <w:rPr>
                <w:noProof/>
                <w:webHidden/>
              </w:rPr>
              <w:tab/>
            </w:r>
            <w:r>
              <w:rPr>
                <w:noProof/>
                <w:webHidden/>
              </w:rPr>
              <w:fldChar w:fldCharType="begin"/>
            </w:r>
            <w:r>
              <w:rPr>
                <w:noProof/>
                <w:webHidden/>
              </w:rPr>
              <w:instrText xml:space="preserve"> PAGEREF _Toc239763008 \h </w:instrText>
            </w:r>
            <w:r>
              <w:rPr>
                <w:noProof/>
                <w:webHidden/>
              </w:rPr>
            </w:r>
            <w:r>
              <w:rPr>
                <w:noProof/>
                <w:webHidden/>
              </w:rPr>
              <w:fldChar w:fldCharType="separate"/>
            </w:r>
            <w:r>
              <w:rPr>
                <w:noProof/>
                <w:webHidden/>
              </w:rPr>
              <w:t>9</w:t>
            </w:r>
            <w:r>
              <w:rPr>
                <w:noProof/>
                <w:webHidden/>
              </w:rPr>
              <w:fldChar w:fldCharType="end"/>
            </w:r>
          </w:hyperlink>
        </w:p>
        <w:p w14:paraId="55526D11" w14:textId="393A1D11"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09" w:history="1">
            <w:r w:rsidRPr="003A45B9">
              <w:rPr>
                <w:rStyle w:val="Hyperlink"/>
                <w:noProof/>
              </w:rPr>
              <w:t>Australian regulations</w:t>
            </w:r>
            <w:r>
              <w:rPr>
                <w:noProof/>
                <w:webHidden/>
              </w:rPr>
              <w:tab/>
            </w:r>
            <w:r>
              <w:rPr>
                <w:noProof/>
                <w:webHidden/>
              </w:rPr>
              <w:fldChar w:fldCharType="begin"/>
            </w:r>
            <w:r>
              <w:rPr>
                <w:noProof/>
                <w:webHidden/>
              </w:rPr>
              <w:instrText xml:space="preserve"> PAGEREF _Toc239763009 \h </w:instrText>
            </w:r>
            <w:r>
              <w:rPr>
                <w:noProof/>
                <w:webHidden/>
              </w:rPr>
            </w:r>
            <w:r>
              <w:rPr>
                <w:noProof/>
                <w:webHidden/>
              </w:rPr>
              <w:fldChar w:fldCharType="separate"/>
            </w:r>
            <w:r>
              <w:rPr>
                <w:noProof/>
                <w:webHidden/>
              </w:rPr>
              <w:t>10</w:t>
            </w:r>
            <w:r>
              <w:rPr>
                <w:noProof/>
                <w:webHidden/>
              </w:rPr>
              <w:fldChar w:fldCharType="end"/>
            </w:r>
          </w:hyperlink>
        </w:p>
        <w:p w14:paraId="562EFD84" w14:textId="327716C1" w:rsidR="008C1EA9" w:rsidRDefault="008C1EA9">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763010" w:history="1">
            <w:r w:rsidRPr="003A45B9">
              <w:rPr>
                <w:rStyle w:val="Hyperlink"/>
                <w:noProof/>
              </w:rPr>
              <w:t>International regulations</w:t>
            </w:r>
            <w:r>
              <w:rPr>
                <w:noProof/>
                <w:webHidden/>
              </w:rPr>
              <w:tab/>
            </w:r>
            <w:r>
              <w:rPr>
                <w:noProof/>
                <w:webHidden/>
              </w:rPr>
              <w:fldChar w:fldCharType="begin"/>
            </w:r>
            <w:r>
              <w:rPr>
                <w:noProof/>
                <w:webHidden/>
              </w:rPr>
              <w:instrText xml:space="preserve"> PAGEREF _Toc239763010 \h </w:instrText>
            </w:r>
            <w:r>
              <w:rPr>
                <w:noProof/>
                <w:webHidden/>
              </w:rPr>
            </w:r>
            <w:r>
              <w:rPr>
                <w:noProof/>
                <w:webHidden/>
              </w:rPr>
              <w:fldChar w:fldCharType="separate"/>
            </w:r>
            <w:r>
              <w:rPr>
                <w:noProof/>
                <w:webHidden/>
              </w:rPr>
              <w:t>11</w:t>
            </w:r>
            <w:r>
              <w:rPr>
                <w:noProof/>
                <w:webHidden/>
              </w:rPr>
              <w:fldChar w:fldCharType="end"/>
            </w:r>
          </w:hyperlink>
        </w:p>
        <w:p w14:paraId="63C090B6" w14:textId="2093E23D" w:rsidR="008C1EA9" w:rsidRDefault="008C1EA9">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763011" w:history="1">
            <w:r w:rsidRPr="003A45B9">
              <w:rPr>
                <w:rStyle w:val="Hyperlink"/>
                <w:noProof/>
              </w:rPr>
              <w:t>How to respond</w:t>
            </w:r>
            <w:r>
              <w:rPr>
                <w:noProof/>
                <w:webHidden/>
              </w:rPr>
              <w:tab/>
            </w:r>
            <w:r>
              <w:rPr>
                <w:noProof/>
                <w:webHidden/>
              </w:rPr>
              <w:fldChar w:fldCharType="begin"/>
            </w:r>
            <w:r>
              <w:rPr>
                <w:noProof/>
                <w:webHidden/>
              </w:rPr>
              <w:instrText xml:space="preserve"> PAGEREF _Toc239763011 \h </w:instrText>
            </w:r>
            <w:r>
              <w:rPr>
                <w:noProof/>
                <w:webHidden/>
              </w:rPr>
            </w:r>
            <w:r>
              <w:rPr>
                <w:noProof/>
                <w:webHidden/>
              </w:rPr>
              <w:fldChar w:fldCharType="separate"/>
            </w:r>
            <w:r>
              <w:rPr>
                <w:noProof/>
                <w:webHidden/>
              </w:rPr>
              <w:t>11</w:t>
            </w:r>
            <w:r>
              <w:rPr>
                <w:noProof/>
                <w:webHidden/>
              </w:rPr>
              <w:fldChar w:fldCharType="end"/>
            </w:r>
          </w:hyperlink>
        </w:p>
        <w:p w14:paraId="6D7C7533" w14:textId="12421161" w:rsidR="008C1EA9" w:rsidRDefault="008C1EA9">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763012" w:history="1">
            <w:r w:rsidRPr="003A45B9">
              <w:rPr>
                <w:rStyle w:val="Hyperlink"/>
                <w:noProof/>
              </w:rPr>
              <w:t>What will happen</w:t>
            </w:r>
            <w:r>
              <w:rPr>
                <w:noProof/>
                <w:webHidden/>
              </w:rPr>
              <w:tab/>
            </w:r>
            <w:r>
              <w:rPr>
                <w:noProof/>
                <w:webHidden/>
              </w:rPr>
              <w:fldChar w:fldCharType="begin"/>
            </w:r>
            <w:r>
              <w:rPr>
                <w:noProof/>
                <w:webHidden/>
              </w:rPr>
              <w:instrText xml:space="preserve"> PAGEREF _Toc239763012 \h </w:instrText>
            </w:r>
            <w:r>
              <w:rPr>
                <w:noProof/>
                <w:webHidden/>
              </w:rPr>
            </w:r>
            <w:r>
              <w:rPr>
                <w:noProof/>
                <w:webHidden/>
              </w:rPr>
              <w:fldChar w:fldCharType="separate"/>
            </w:r>
            <w:r>
              <w:rPr>
                <w:noProof/>
                <w:webHidden/>
              </w:rPr>
              <w:t>11</w:t>
            </w:r>
            <w:r>
              <w:rPr>
                <w:noProof/>
                <w:webHidden/>
              </w:rPr>
              <w:fldChar w:fldCharType="end"/>
            </w:r>
          </w:hyperlink>
        </w:p>
        <w:p w14:paraId="58D2A9A2" w14:textId="5AA9129F" w:rsidR="00F02AEC" w:rsidRPr="00C417B6" w:rsidRDefault="00F02AEC" w:rsidP="00C417B6">
          <w:r w:rsidRPr="00C417B6">
            <w:fldChar w:fldCharType="end"/>
          </w:r>
        </w:p>
      </w:sdtContent>
    </w:sdt>
    <w:bookmarkEnd w:id="3" w:displacedByCustomXml="prev"/>
    <w:p w14:paraId="24C28624" w14:textId="77777777" w:rsidR="00F02AEC" w:rsidRPr="00C417B6" w:rsidRDefault="00F02AEC" w:rsidP="00C417B6">
      <w:r w:rsidRPr="00C417B6">
        <w:br w:type="page"/>
      </w:r>
    </w:p>
    <w:p w14:paraId="55A0E832" w14:textId="77777777" w:rsidR="00F02AEC" w:rsidRPr="00C417B6" w:rsidRDefault="00685E72" w:rsidP="00395107">
      <w:pPr>
        <w:pStyle w:val="Heading2"/>
      </w:pPr>
      <w:bookmarkStart w:id="4" w:name="_Toc239763002"/>
      <w:bookmarkStart w:id="5" w:name="_Hlk139892263"/>
      <w:r w:rsidRPr="00C417B6">
        <w:lastRenderedPageBreak/>
        <w:t>About this consultation</w:t>
      </w:r>
      <w:bookmarkEnd w:id="4"/>
    </w:p>
    <w:p w14:paraId="18F8AD31" w14:textId="77777777" w:rsidR="00685E72" w:rsidRPr="00C417B6" w:rsidRDefault="00685E72" w:rsidP="00F53761">
      <w:bookmarkStart w:id="6" w:name="_Toc323739591"/>
      <w:bookmarkStart w:id="7" w:name="_Toc356305218"/>
      <w:r w:rsidRPr="00C417B6">
        <w:t>Subdivision 3D.2 of the Therapeutic Goods Regulations 1990 (the Regulations) sets out the procedure to be followed where the Secretary receives an application under section 52EAA of the Therapeutic Goods Act 1989 (the Act) to amend the current Poisons Standard or decides to amend the Poisons Standard on his or her own initiative and decides to refer the proposed amendment to an expert advisory committee. These include, under regulation 42ZCZK, that the Secretary publish (in a manner the Secretary considers appropriate) the proposed amendment to be referred to an expert advisory committee, the committee to which the proposed amendment will be referred, and the date of the committee meeting. The Secretary must also invite public submissions to be made to the expert advisory committee by a date mentioned in the notice as the closing date, allowing at least 20 business days after publication of the notice.</w:t>
      </w:r>
    </w:p>
    <w:p w14:paraId="17190147" w14:textId="207A1E73" w:rsidR="00685E72" w:rsidRPr="00C417B6" w:rsidRDefault="00685E72" w:rsidP="00F53761">
      <w:r w:rsidRPr="00C417B6">
        <w:rPr>
          <w:noProof/>
        </w:rPr>
        <mc:AlternateContent>
          <mc:Choice Requires="wps">
            <w:drawing>
              <wp:anchor distT="0" distB="0" distL="114300" distR="114300" simplePos="0" relativeHeight="251658240" behindDoc="0" locked="0" layoutInCell="1" allowOverlap="1" wp14:anchorId="78822159" wp14:editId="360CEDE6">
                <wp:simplePos x="0" y="0"/>
                <wp:positionH relativeFrom="margin">
                  <wp:posOffset>0</wp:posOffset>
                </wp:positionH>
                <wp:positionV relativeFrom="paragraph">
                  <wp:posOffset>1007110</wp:posOffset>
                </wp:positionV>
                <wp:extent cx="1828800" cy="1828800"/>
                <wp:effectExtent l="0" t="0" r="25400" b="1333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C6D0E9"/>
                        </a:solidFill>
                        <a:ln w="6350">
                          <a:solidFill>
                            <a:prstClr val="black"/>
                          </a:solidFill>
                        </a:ln>
                      </wps:spPr>
                      <wps:txbx>
                        <w:txbxContent>
                          <w:p w14:paraId="040EBB88" w14:textId="798CC60F" w:rsidR="00685E72" w:rsidRPr="00520CD5" w:rsidRDefault="00685E72" w:rsidP="00F53761">
                            <w:pPr>
                              <w:rPr>
                                <w:lang w:val="en"/>
                              </w:rPr>
                            </w:pPr>
                            <w:r w:rsidRPr="00520CD5">
                              <w:t>Submissions should be provided through our</w:t>
                            </w:r>
                            <w:r w:rsidRPr="00520CD5">
                              <w:rPr>
                                <w:lang w:val="en"/>
                              </w:rPr>
                              <w:t xml:space="preserve"> </w:t>
                            </w:r>
                            <w:hyperlink r:id="rId18" w:history="1">
                              <w:r w:rsidRPr="00520CD5">
                                <w:rPr>
                                  <w:rStyle w:val="Hyperlink"/>
                                  <w:rFonts w:cs="Arial"/>
                                  <w:szCs w:val="18"/>
                                </w:rPr>
                                <w:t>consultation hub</w:t>
                              </w:r>
                            </w:hyperlink>
                            <w:r w:rsidRPr="00520CD5">
                              <w:rPr>
                                <w:lang w:val="en"/>
                              </w:rPr>
                              <w:t xml:space="preserve">. </w:t>
                            </w:r>
                            <w:r w:rsidRPr="00520CD5">
                              <w:t>Any submission about any of the proposals to amend the Poisons Standard will be considered at the next meeting of the</w:t>
                            </w:r>
                            <w:r w:rsidRPr="00520CD5">
                              <w:rPr>
                                <w:lang w:val="en"/>
                              </w:rPr>
                              <w:t xml:space="preserve"> </w:t>
                            </w:r>
                            <w:hyperlink r:id="rId19" w:history="1">
                              <w:r w:rsidRPr="00520CD5">
                                <w:rPr>
                                  <w:rStyle w:val="Hyperlink"/>
                                  <w:rFonts w:cs="Arial"/>
                                  <w:szCs w:val="18"/>
                                </w:rPr>
                                <w:t>Advisory Committee on Medicines Scheduling (ACMS)</w:t>
                              </w:r>
                            </w:hyperlink>
                            <w:r w:rsidRPr="00520CD5">
                              <w:rPr>
                                <w:lang w:val="en"/>
                              </w:rPr>
                              <w:t xml:space="preserve">, </w:t>
                            </w:r>
                            <w:r w:rsidRPr="00520CD5">
                              <w:t>meeting of the</w:t>
                            </w:r>
                            <w:r w:rsidRPr="00520CD5">
                              <w:rPr>
                                <w:lang w:val="en"/>
                              </w:rPr>
                              <w:t xml:space="preserve"> </w:t>
                            </w:r>
                            <w:hyperlink r:id="rId20" w:history="1">
                              <w:r w:rsidRPr="00520CD5">
                                <w:rPr>
                                  <w:rStyle w:val="Hyperlink"/>
                                  <w:rFonts w:cs="Arial"/>
                                  <w:szCs w:val="18"/>
                                </w:rPr>
                                <w:t>Advisory Committee on Chemicals Scheduling (ACCS)</w:t>
                              </w:r>
                            </w:hyperlink>
                            <w:r w:rsidRPr="00520CD5">
                              <w:rPr>
                                <w:lang w:val="en"/>
                              </w:rPr>
                              <w:t xml:space="preserve">, </w:t>
                            </w:r>
                            <w:r w:rsidRPr="00520CD5">
                              <w:t>or a joint meeting of these two committees.</w:t>
                            </w:r>
                          </w:p>
                          <w:p w14:paraId="443CF4F9" w14:textId="06567534" w:rsidR="00685E72" w:rsidRPr="00520CD5" w:rsidRDefault="00685E72" w:rsidP="00F53761">
                            <w:pPr>
                              <w:rPr>
                                <w:b/>
                                <w:lang w:val="en"/>
                              </w:rPr>
                            </w:pPr>
                            <w:r w:rsidRPr="00520CD5">
                              <w:rPr>
                                <w:b/>
                                <w:lang w:val="en"/>
                              </w:rPr>
                              <w:t xml:space="preserve">This consultation closes on </w:t>
                            </w:r>
                            <w:r w:rsidR="00D9426B" w:rsidRPr="000F1B51">
                              <w:rPr>
                                <w:b/>
                                <w:bCs/>
                              </w:rPr>
                              <w:t>12 October</w:t>
                            </w:r>
                            <w:r w:rsidR="002D5FAB" w:rsidRPr="000F1B51">
                              <w:rPr>
                                <w:b/>
                                <w:bCs/>
                              </w:rPr>
                              <w:t> 2026</w:t>
                            </w:r>
                          </w:p>
                          <w:p w14:paraId="718EC082" w14:textId="77777777" w:rsidR="00685E72" w:rsidRPr="00520CD5" w:rsidRDefault="00685E72" w:rsidP="00F53761">
                            <w:r w:rsidRPr="00520CD5">
                              <w:t>We aim to provide documents in an accessible format. If you're having problems using this document, please contact </w:t>
                            </w:r>
                            <w:hyperlink r:id="rId21" w:history="1">
                              <w:r w:rsidRPr="00520CD5">
                                <w:rPr>
                                  <w:rStyle w:val="Hyperlink"/>
                                  <w:rFonts w:cs="Arial"/>
                                  <w:szCs w:val="18"/>
                                </w:rPr>
                                <w:t>medicines.scheduling@health.gov.au</w:t>
                              </w:r>
                            </w:hyperlink>
                            <w:r w:rsidRPr="00520CD5">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822159" id="_x0000_t202" coordsize="21600,21600" o:spt="202" path="m,l,21600r21600,l21600,xe">
                <v:stroke joinstyle="miter"/>
                <v:path gradientshapeok="t" o:connecttype="rect"/>
              </v:shapetype>
              <v:shape id="Text Box 1" o:spid="_x0000_s1026" type="#_x0000_t202" style="position:absolute;margin-left:0;margin-top:79.3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" fillcolor="#c6d0e9" strokeweight=".5pt">
                <v:textbox style="mso-fit-shape-to-text:t">
                  <w:txbxContent>
                    <w:p w14:paraId="040EBB88" w14:textId="798CC60F" w:rsidR="00685E72" w:rsidRPr="00520CD5" w:rsidRDefault="00685E72" w:rsidP="00F53761">
                      <w:pPr>
                        <w:rPr>
                          <w:lang w:val="en"/>
                        </w:rPr>
                      </w:pPr>
                      <w:r w:rsidRPr="00520CD5">
                        <w:t>Submissions should be provided through our</w:t>
                      </w:r>
                      <w:r w:rsidRPr="00520CD5">
                        <w:rPr>
                          <w:lang w:val="en"/>
                        </w:rPr>
                        <w:t xml:space="preserve"> </w:t>
                      </w:r>
                      <w:hyperlink r:id="rId22" w:history="1">
                        <w:r w:rsidRPr="00520CD5">
                          <w:rPr>
                            <w:rStyle w:val="Hyperlink"/>
                            <w:rFonts w:cs="Arial"/>
                            <w:szCs w:val="18"/>
                          </w:rPr>
                          <w:t>consultation hub</w:t>
                        </w:r>
                      </w:hyperlink>
                      <w:r w:rsidRPr="00520CD5">
                        <w:rPr>
                          <w:lang w:val="en"/>
                        </w:rPr>
                        <w:t xml:space="preserve">. </w:t>
                      </w:r>
                      <w:r w:rsidRPr="00520CD5">
                        <w:t>Any submission about any of the proposals to amend the Poisons Standard will be considered at the next meeting of the</w:t>
                      </w:r>
                      <w:r w:rsidRPr="00520CD5">
                        <w:rPr>
                          <w:lang w:val="en"/>
                        </w:rPr>
                        <w:t xml:space="preserve"> </w:t>
                      </w:r>
                      <w:hyperlink r:id="rId23" w:history="1">
                        <w:r w:rsidRPr="00520CD5">
                          <w:rPr>
                            <w:rStyle w:val="Hyperlink"/>
                            <w:rFonts w:cs="Arial"/>
                            <w:szCs w:val="18"/>
                          </w:rPr>
                          <w:t>Advisory Committee on Medicines Scheduling (ACMS)</w:t>
                        </w:r>
                      </w:hyperlink>
                      <w:r w:rsidRPr="00520CD5">
                        <w:rPr>
                          <w:lang w:val="en"/>
                        </w:rPr>
                        <w:t xml:space="preserve">, </w:t>
                      </w:r>
                      <w:r w:rsidRPr="00520CD5">
                        <w:t>meeting of the</w:t>
                      </w:r>
                      <w:r w:rsidRPr="00520CD5">
                        <w:rPr>
                          <w:lang w:val="en"/>
                        </w:rPr>
                        <w:t xml:space="preserve"> </w:t>
                      </w:r>
                      <w:hyperlink r:id="rId24" w:history="1">
                        <w:r w:rsidRPr="00520CD5">
                          <w:rPr>
                            <w:rStyle w:val="Hyperlink"/>
                            <w:rFonts w:cs="Arial"/>
                            <w:szCs w:val="18"/>
                          </w:rPr>
                          <w:t>Advisory Committee on Chemicals Scheduling (ACCS)</w:t>
                        </w:r>
                      </w:hyperlink>
                      <w:r w:rsidRPr="00520CD5">
                        <w:rPr>
                          <w:lang w:val="en"/>
                        </w:rPr>
                        <w:t xml:space="preserve">, </w:t>
                      </w:r>
                      <w:r w:rsidRPr="00520CD5">
                        <w:t>or a joint meeting of these two committees.</w:t>
                      </w:r>
                    </w:p>
                    <w:p w14:paraId="443CF4F9" w14:textId="06567534" w:rsidR="00685E72" w:rsidRPr="00520CD5" w:rsidRDefault="00685E72" w:rsidP="00F53761">
                      <w:pPr>
                        <w:rPr>
                          <w:b/>
                          <w:lang w:val="en"/>
                        </w:rPr>
                      </w:pPr>
                      <w:r w:rsidRPr="00520CD5">
                        <w:rPr>
                          <w:b/>
                          <w:lang w:val="en"/>
                        </w:rPr>
                        <w:t xml:space="preserve">This consultation closes on </w:t>
                      </w:r>
                      <w:r w:rsidR="00D9426B" w:rsidRPr="000F1B51">
                        <w:rPr>
                          <w:b/>
                          <w:bCs/>
                        </w:rPr>
                        <w:t>12 October</w:t>
                      </w:r>
                      <w:r w:rsidR="002D5FAB" w:rsidRPr="000F1B51">
                        <w:rPr>
                          <w:b/>
                          <w:bCs/>
                        </w:rPr>
                        <w:t> 2026</w:t>
                      </w:r>
                    </w:p>
                    <w:p w14:paraId="718EC082" w14:textId="77777777" w:rsidR="00685E72" w:rsidRPr="00520CD5" w:rsidRDefault="00685E72" w:rsidP="00F53761">
                      <w:r w:rsidRPr="00520CD5">
                        <w:t>We aim to provide documents in an accessible format. If you're having problems using this document, please contact </w:t>
                      </w:r>
                      <w:hyperlink r:id="rId25" w:history="1">
                        <w:r w:rsidRPr="00520CD5">
                          <w:rPr>
                            <w:rStyle w:val="Hyperlink"/>
                            <w:rFonts w:cs="Arial"/>
                            <w:szCs w:val="18"/>
                          </w:rPr>
                          <w:t>medicines.scheduling@health.gov.au</w:t>
                        </w:r>
                      </w:hyperlink>
                      <w:r w:rsidRPr="00520CD5">
                        <w:t>.</w:t>
                      </w:r>
                    </w:p>
                  </w:txbxContent>
                </v:textbox>
                <w10:wrap type="square" anchorx="margin"/>
              </v:shape>
            </w:pict>
          </mc:Fallback>
        </mc:AlternateContent>
      </w:r>
      <w:r w:rsidRPr="00C417B6">
        <w:t xml:space="preserve">In accordance with regulation 42ZCZK of the Regulations, the Secretary invites public submissions on scheduling proposals referred to the </w:t>
      </w:r>
      <w:r w:rsidR="00B2672C">
        <w:t>November 2026</w:t>
      </w:r>
      <w:r w:rsidR="002327B4" w:rsidRPr="00C417B6">
        <w:t xml:space="preserve"> </w:t>
      </w:r>
      <w:r w:rsidRPr="00C417B6">
        <w:t>meeting of the</w:t>
      </w:r>
      <w:r w:rsidR="00F258A8" w:rsidRPr="00DF10CA">
        <w:t xml:space="preserve"> Advisory Committee on </w:t>
      </w:r>
      <w:r w:rsidR="00DF10CA" w:rsidRPr="00DF10CA">
        <w:t xml:space="preserve">Medicines Scheduling (ACMS) and </w:t>
      </w:r>
      <w:r w:rsidR="00F258A8" w:rsidRPr="00DF10CA">
        <w:t xml:space="preserve">Advisory Committee on Chemicals Scheduling </w:t>
      </w:r>
      <w:r w:rsidR="00DF10CA" w:rsidRPr="00DF10CA">
        <w:t xml:space="preserve">in joint session </w:t>
      </w:r>
      <w:r w:rsidR="00F258A8" w:rsidRPr="00DF10CA">
        <w:t>(</w:t>
      </w:r>
      <w:r w:rsidR="00DF10CA" w:rsidRPr="00DF10CA">
        <w:t>Joint ACMS-</w:t>
      </w:r>
      <w:r w:rsidR="00F258A8" w:rsidRPr="00DF10CA">
        <w:t>ACCS</w:t>
      </w:r>
      <w:r w:rsidR="008122B9" w:rsidRPr="00DF10CA">
        <w:t xml:space="preserve"> </w:t>
      </w:r>
      <w:r w:rsidR="008122B9">
        <w:t>#</w:t>
      </w:r>
      <w:r w:rsidR="009C120A">
        <w:t>45</w:t>
      </w:r>
      <w:r w:rsidRPr="00DF10CA">
        <w:t>).</w:t>
      </w:r>
      <w:r w:rsidRPr="00C417B6">
        <w:t xml:space="preserve"> Submissions must be received by close of business </w:t>
      </w:r>
      <w:r w:rsidR="00791989" w:rsidRPr="000F1B51">
        <w:rPr>
          <w:b/>
          <w:bCs/>
        </w:rPr>
        <w:t>1</w:t>
      </w:r>
      <w:r w:rsidR="00D9426B" w:rsidRPr="000F1B51">
        <w:rPr>
          <w:b/>
          <w:bCs/>
        </w:rPr>
        <w:t>2</w:t>
      </w:r>
      <w:r w:rsidR="00A2578C" w:rsidRPr="000F1B51">
        <w:rPr>
          <w:b/>
          <w:bCs/>
        </w:rPr>
        <w:t> </w:t>
      </w:r>
      <w:r w:rsidR="00D9426B" w:rsidRPr="000F1B51">
        <w:rPr>
          <w:b/>
          <w:bCs/>
        </w:rPr>
        <w:t>October</w:t>
      </w:r>
      <w:r w:rsidR="00A2578C" w:rsidRPr="000F1B51">
        <w:rPr>
          <w:b/>
          <w:bCs/>
        </w:rPr>
        <w:t> 2026</w:t>
      </w:r>
      <w:r w:rsidRPr="000F1B51">
        <w:t>.</w:t>
      </w:r>
    </w:p>
    <w:bookmarkEnd w:id="5"/>
    <w:bookmarkEnd w:id="6"/>
    <w:bookmarkEnd w:id="7"/>
    <w:p w14:paraId="3552B76B" w14:textId="77777777" w:rsidR="00685E72" w:rsidRPr="00C417B6" w:rsidRDefault="00685E72" w:rsidP="00C417B6">
      <w:r w:rsidRPr="00C417B6">
        <w:br w:type="page"/>
      </w:r>
    </w:p>
    <w:p w14:paraId="3F712622" w14:textId="07EED4A8" w:rsidR="00685E72" w:rsidRDefault="004B0184" w:rsidP="009C3C0E">
      <w:pPr>
        <w:pStyle w:val="Heading2"/>
      </w:pPr>
      <w:bookmarkStart w:id="8" w:name="_Toc239763003"/>
      <w:r>
        <w:lastRenderedPageBreak/>
        <w:t>1</w:t>
      </w:r>
      <w:r>
        <w:tab/>
      </w:r>
      <w:bookmarkStart w:id="9" w:name="_Toc122614225"/>
      <w:r w:rsidR="00637832">
        <w:t xml:space="preserve"> </w:t>
      </w:r>
      <w:bookmarkStart w:id="10" w:name="_Hlk165902706"/>
      <w:r w:rsidR="00685E72" w:rsidRPr="00C417B6">
        <w:t xml:space="preserve">Proposed </w:t>
      </w:r>
      <w:r w:rsidR="002D5FAB" w:rsidRPr="00C417B6">
        <w:t>amendment</w:t>
      </w:r>
      <w:r w:rsidR="00685E72" w:rsidRPr="00C417B6">
        <w:t xml:space="preserve"> referred for scheduling advice to</w:t>
      </w:r>
      <w:r w:rsidR="00B90A0A" w:rsidRPr="00C417B6">
        <w:t> </w:t>
      </w:r>
      <w:r w:rsidR="008B42D3">
        <w:t xml:space="preserve">Joint </w:t>
      </w:r>
      <w:r w:rsidR="00685E72" w:rsidRPr="00C417B6">
        <w:t>ACCS</w:t>
      </w:r>
      <w:r w:rsidR="008B42D3">
        <w:t>-ACMS</w:t>
      </w:r>
      <w:r w:rsidR="00B90A0A" w:rsidRPr="00C417B6">
        <w:t> </w:t>
      </w:r>
      <w:r w:rsidR="00685E72" w:rsidRPr="00C417B6">
        <w:t>meeting</w:t>
      </w:r>
      <w:r w:rsidR="00B90A0A" w:rsidRPr="00C417B6">
        <w:t> </w:t>
      </w:r>
      <w:r w:rsidR="00685E72" w:rsidRPr="00427354">
        <w:t>#</w:t>
      </w:r>
      <w:bookmarkEnd w:id="9"/>
      <w:r w:rsidR="009C120A">
        <w:t>45</w:t>
      </w:r>
      <w:bookmarkEnd w:id="8"/>
    </w:p>
    <w:p w14:paraId="72D0BE77" w14:textId="34CE64DC" w:rsidR="00685E72" w:rsidRPr="00C417B6" w:rsidRDefault="00903293" w:rsidP="009C3C0E">
      <w:pPr>
        <w:pStyle w:val="Heading3"/>
      </w:pPr>
      <w:bookmarkStart w:id="11" w:name="_Toc122614226"/>
      <w:bookmarkStart w:id="12" w:name="_Toc239763004"/>
      <w:r>
        <w:t>1</w:t>
      </w:r>
      <w:r w:rsidR="009C3C0E" w:rsidRPr="00232BF5">
        <w:t>.1</w:t>
      </w:r>
      <w:r w:rsidR="009C3C0E" w:rsidRPr="00232BF5">
        <w:tab/>
      </w:r>
      <w:bookmarkEnd w:id="11"/>
      <w:r w:rsidR="002E60D3">
        <w:t>Nitrous oxide</w:t>
      </w:r>
      <w:bookmarkEnd w:id="12"/>
    </w:p>
    <w:p w14:paraId="4D27CC72" w14:textId="77777777" w:rsidR="00685E72" w:rsidRPr="00C417B6" w:rsidRDefault="00685E72" w:rsidP="009C3C0E">
      <w:pPr>
        <w:pStyle w:val="Heading4"/>
      </w:pPr>
      <w:bookmarkStart w:id="13" w:name="_Toc122614227"/>
      <w:bookmarkStart w:id="14" w:name="_Toc239763005"/>
      <w:r w:rsidRPr="00C417B6">
        <w:t>Proposal</w:t>
      </w:r>
      <w:bookmarkEnd w:id="13"/>
      <w:bookmarkEnd w:id="14"/>
    </w:p>
    <w:p w14:paraId="783958E7" w14:textId="022FE0B8" w:rsidR="00847CB5" w:rsidRDefault="00867D39" w:rsidP="0093015A">
      <w:pPr>
        <w:spacing w:before="120" w:line="240" w:lineRule="auto"/>
      </w:pPr>
      <w:bookmarkStart w:id="15" w:name="_Toc122614249"/>
      <w:bookmarkEnd w:id="10"/>
      <w:r>
        <w:t xml:space="preserve">This </w:t>
      </w:r>
      <w:r w:rsidR="00175D2C">
        <w:t>pro</w:t>
      </w:r>
      <w:r w:rsidR="00BB1463">
        <w:t>posal is</w:t>
      </w:r>
      <w:r w:rsidR="00847CB5">
        <w:t xml:space="preserve"> to amend </w:t>
      </w:r>
      <w:r w:rsidR="000F2B99">
        <w:t xml:space="preserve">the </w:t>
      </w:r>
      <w:r w:rsidR="005A51AF" w:rsidRPr="00F8443C">
        <w:t xml:space="preserve">current Poisons Standard in relation to </w:t>
      </w:r>
      <w:r w:rsidR="005A51AF">
        <w:t>nitr</w:t>
      </w:r>
      <w:r w:rsidR="00D53976">
        <w:t>ous oxide</w:t>
      </w:r>
      <w:r w:rsidR="00D42B4F" w:rsidRPr="00D42B4F">
        <w:t xml:space="preserve"> </w:t>
      </w:r>
      <w:r w:rsidR="00D42B4F">
        <w:t>to manage the increasing public health risks from its misuse.</w:t>
      </w:r>
      <w:r w:rsidR="00DD088A">
        <w:t xml:space="preserve"> </w:t>
      </w:r>
      <w:r w:rsidR="006E3062" w:rsidRPr="000C26BB">
        <w:t xml:space="preserve">Currently, nitrous oxide for therapeutic use is a Prescription only (Schedule 4) substance while for all other uses it </w:t>
      </w:r>
      <w:r w:rsidR="00773619">
        <w:t xml:space="preserve">is </w:t>
      </w:r>
      <w:r w:rsidR="006E3062" w:rsidRPr="000C26BB">
        <w:t>a Poison (Schedule 6</w:t>
      </w:r>
      <w:r w:rsidR="006E3062" w:rsidRPr="0093015A">
        <w:t>)</w:t>
      </w:r>
      <w:r w:rsidR="00CC17EF">
        <w:t>. Products classified as Schedule 6</w:t>
      </w:r>
      <w:r w:rsidR="006E3062">
        <w:t xml:space="preserve"> and are required to carry </w:t>
      </w:r>
      <w:r w:rsidR="00454905" w:rsidRPr="009C1675">
        <w:t>first aid instructions</w:t>
      </w:r>
      <w:r w:rsidR="00454905">
        <w:t>,</w:t>
      </w:r>
      <w:r w:rsidR="00454905" w:rsidRPr="009C1675">
        <w:t xml:space="preserve"> </w:t>
      </w:r>
      <w:r w:rsidR="00454905" w:rsidRPr="00AE4636">
        <w:t>warning statements and safet</w:t>
      </w:r>
      <w:r w:rsidR="00454905">
        <w:t xml:space="preserve">y </w:t>
      </w:r>
      <w:r w:rsidR="00454905" w:rsidRPr="00AE4636">
        <w:t>directions</w:t>
      </w:r>
      <w:r w:rsidR="00454905">
        <w:t xml:space="preserve"> regarding </w:t>
      </w:r>
      <w:r w:rsidR="006E3062">
        <w:t xml:space="preserve">potential for </w:t>
      </w:r>
      <w:r w:rsidR="006E3062" w:rsidRPr="00010735">
        <w:t>nerve damage if inhaled</w:t>
      </w:r>
      <w:r w:rsidR="006E3062" w:rsidRPr="000C26BB">
        <w:t>.</w:t>
      </w:r>
      <w:r w:rsidR="00963310">
        <w:t xml:space="preserve"> </w:t>
      </w:r>
      <w:r w:rsidR="005C6F3D">
        <w:t>This consultation presents 2 proposals</w:t>
      </w:r>
      <w:r w:rsidR="00053336">
        <w:t xml:space="preserve"> </w:t>
      </w:r>
      <w:r w:rsidR="00B120DC">
        <w:t xml:space="preserve">to amend the </w:t>
      </w:r>
      <w:r w:rsidR="00B56EB1">
        <w:t xml:space="preserve">current </w:t>
      </w:r>
      <w:r w:rsidR="000B494F">
        <w:t>scheduling</w:t>
      </w:r>
      <w:r w:rsidR="00B56EB1">
        <w:t xml:space="preserve"> of </w:t>
      </w:r>
      <w:r w:rsidR="00F41EFF">
        <w:t>nitrous oxide</w:t>
      </w:r>
      <w:r w:rsidR="002048E8">
        <w:t>.</w:t>
      </w:r>
    </w:p>
    <w:p w14:paraId="4BF2EC24" w14:textId="5617CEA0" w:rsidR="00C6664C" w:rsidRPr="00D42B4F" w:rsidRDefault="005C6F3D" w:rsidP="007B2C2C">
      <w:pPr>
        <w:spacing w:before="120" w:line="240" w:lineRule="auto"/>
        <w:rPr>
          <w:i/>
          <w:iCs/>
          <w:u w:val="single"/>
        </w:rPr>
      </w:pPr>
      <w:r>
        <w:rPr>
          <w:i/>
          <w:iCs/>
          <w:u w:val="single"/>
        </w:rPr>
        <w:t>Proposal</w:t>
      </w:r>
      <w:r w:rsidR="00F41EFF" w:rsidRPr="0093015A">
        <w:rPr>
          <w:i/>
          <w:iCs/>
          <w:u w:val="single"/>
        </w:rPr>
        <w:t xml:space="preserve"> 1</w:t>
      </w:r>
    </w:p>
    <w:p w14:paraId="4D0E6374" w14:textId="7060F151" w:rsidR="00E510F5" w:rsidRPr="0093015A" w:rsidRDefault="00C6664C" w:rsidP="0093015A">
      <w:pPr>
        <w:spacing w:before="120" w:line="240" w:lineRule="auto"/>
        <w:rPr>
          <w:rFonts w:cs="Arial"/>
        </w:rPr>
      </w:pPr>
      <w:r>
        <w:t xml:space="preserve">This </w:t>
      </w:r>
      <w:r w:rsidR="00B86E32">
        <w:t>proposal</w:t>
      </w:r>
      <w:r w:rsidR="48DC3448">
        <w:t xml:space="preserve"> i</w:t>
      </w:r>
      <w:r w:rsidR="00F41EFF">
        <w:t>s initiated by the</w:t>
      </w:r>
      <w:r w:rsidR="002E0FBA">
        <w:t xml:space="preserve"> delegate of the Secretary of the Department of Health, Disability and Ageing (the Delegate)</w:t>
      </w:r>
      <w:r w:rsidR="004A21E2">
        <w:t>.</w:t>
      </w:r>
      <w:r w:rsidR="002E0FBA">
        <w:t xml:space="preserve"> </w:t>
      </w:r>
      <w:r w:rsidR="00947EAE">
        <w:t xml:space="preserve">The Delegate is proposing to </w:t>
      </w:r>
      <w:r w:rsidR="003E0DE4">
        <w:t>c</w:t>
      </w:r>
      <w:r w:rsidR="006A421E">
        <w:t>lassify</w:t>
      </w:r>
      <w:r w:rsidR="00947EAE">
        <w:t xml:space="preserve"> nitrous oxide</w:t>
      </w:r>
      <w:r w:rsidR="00A72EC8">
        <w:t xml:space="preserve"> </w:t>
      </w:r>
      <w:r w:rsidR="004833DF">
        <w:t xml:space="preserve">when used for non-therapeutic purposes </w:t>
      </w:r>
      <w:r w:rsidR="00B3547F">
        <w:t xml:space="preserve">in </w:t>
      </w:r>
      <w:r w:rsidR="00B3547F" w:rsidRPr="0093015A">
        <w:t>amount</w:t>
      </w:r>
      <w:r w:rsidR="00753352">
        <w:t>s greater than</w:t>
      </w:r>
      <w:r w:rsidR="00B3547F">
        <w:t xml:space="preserve"> 10 g </w:t>
      </w:r>
      <w:r w:rsidR="002176F5">
        <w:t xml:space="preserve">as a </w:t>
      </w:r>
      <w:r w:rsidR="00163719" w:rsidRPr="0093015A">
        <w:t>Substance of such danger to health as to warrant prohibition of supply and use</w:t>
      </w:r>
      <w:r w:rsidR="00BA5B72" w:rsidRPr="0093015A">
        <w:t xml:space="preserve"> </w:t>
      </w:r>
      <w:r w:rsidR="00BA5B72">
        <w:t>(Schedule 10</w:t>
      </w:r>
      <w:r w:rsidR="00BA5B72" w:rsidRPr="0093015A">
        <w:t>)</w:t>
      </w:r>
      <w:r w:rsidR="00496AA7" w:rsidRPr="0093015A">
        <w:t>.</w:t>
      </w:r>
      <w:r w:rsidR="0048768C">
        <w:t xml:space="preserve"> Non-therapeutic use </w:t>
      </w:r>
      <w:r w:rsidR="002E6BC7">
        <w:t xml:space="preserve">of </w:t>
      </w:r>
      <w:r w:rsidR="002E6BC7" w:rsidRPr="0093015A">
        <w:t xml:space="preserve">nitrous oxide </w:t>
      </w:r>
      <w:r w:rsidR="00364FB3">
        <w:t>in containers 10</w:t>
      </w:r>
      <w:r w:rsidR="006C208C">
        <w:t xml:space="preserve"> g or less</w:t>
      </w:r>
      <w:r w:rsidR="002E6BC7">
        <w:t xml:space="preserve"> will </w:t>
      </w:r>
      <w:r w:rsidR="001B1FAB">
        <w:t>continue to be captured under Schedule 6</w:t>
      </w:r>
      <w:r w:rsidR="00A05EB8">
        <w:t>,</w:t>
      </w:r>
      <w:r w:rsidR="00FA0F40">
        <w:t xml:space="preserve"> be labelled </w:t>
      </w:r>
      <w:r w:rsidR="00933D54">
        <w:t>as</w:t>
      </w:r>
      <w:r w:rsidR="00FA0F40">
        <w:t xml:space="preserve"> POISON </w:t>
      </w:r>
      <w:r w:rsidR="00A05EB8">
        <w:t xml:space="preserve">and </w:t>
      </w:r>
      <w:r w:rsidR="00890135">
        <w:t xml:space="preserve">required to </w:t>
      </w:r>
      <w:r w:rsidR="00A05EB8">
        <w:t>carry</w:t>
      </w:r>
      <w:r w:rsidR="00FA0F40">
        <w:t xml:space="preserve"> </w:t>
      </w:r>
      <w:r w:rsidR="009C1675">
        <w:t>first aid instructions</w:t>
      </w:r>
      <w:r w:rsidR="000F0E7B">
        <w:t>,</w:t>
      </w:r>
      <w:r w:rsidR="009C1675">
        <w:t xml:space="preserve"> </w:t>
      </w:r>
      <w:r w:rsidR="00AE4636">
        <w:t>warning statements and safet</w:t>
      </w:r>
      <w:r w:rsidR="002A636F">
        <w:t xml:space="preserve">y </w:t>
      </w:r>
      <w:r w:rsidR="00AE4636">
        <w:t>directions</w:t>
      </w:r>
      <w:r w:rsidR="003C4920">
        <w:t xml:space="preserve">, as </w:t>
      </w:r>
      <w:r w:rsidR="003C4920" w:rsidRPr="0093015A">
        <w:t>current</w:t>
      </w:r>
      <w:r w:rsidR="00263439">
        <w:t>ly applies</w:t>
      </w:r>
      <w:r w:rsidR="00AE4636" w:rsidRPr="0093015A">
        <w:t>.</w:t>
      </w:r>
      <w:r w:rsidR="00E510F5">
        <w:t xml:space="preserve"> </w:t>
      </w:r>
      <w:r w:rsidR="00E510F5" w:rsidRPr="0093015A">
        <w:rPr>
          <w:rFonts w:cs="Arial"/>
        </w:rPr>
        <w:t>The proposed amendments are as follows</w:t>
      </w:r>
      <w:r w:rsidR="00EE2ED2" w:rsidRPr="0093015A">
        <w:rPr>
          <w:rFonts w:cs="Arial"/>
        </w:rPr>
        <w:t>.</w:t>
      </w:r>
    </w:p>
    <w:p w14:paraId="3C0A365A" w14:textId="77777777" w:rsidR="00E510F5" w:rsidRPr="00401D36" w:rsidRDefault="00E510F5" w:rsidP="0093015A">
      <w:pPr>
        <w:spacing w:before="120" w:line="240" w:lineRule="auto"/>
        <w:ind w:left="720" w:hanging="436"/>
        <w:rPr>
          <w:rFonts w:cs="Arial"/>
          <w:b/>
        </w:rPr>
      </w:pPr>
      <w:r w:rsidRPr="00401D36">
        <w:rPr>
          <w:rFonts w:cs="Arial"/>
          <w:b/>
        </w:rPr>
        <w:t>Schedule 4</w:t>
      </w:r>
    </w:p>
    <w:p w14:paraId="6ED3F309" w14:textId="1DA71B74" w:rsidR="00E510F5" w:rsidRPr="00401D36" w:rsidRDefault="00DF17FA" w:rsidP="00C3308D">
      <w:pPr>
        <w:spacing w:before="120" w:line="240" w:lineRule="auto"/>
        <w:ind w:firstLine="720"/>
        <w:rPr>
          <w:rFonts w:cs="Arial"/>
        </w:rPr>
      </w:pPr>
      <w:r w:rsidRPr="00401D36">
        <w:rPr>
          <w:rFonts w:cs="Arial"/>
        </w:rPr>
        <w:t xml:space="preserve">NITROUS OXIDE </w:t>
      </w:r>
      <w:r w:rsidR="00E510F5" w:rsidRPr="00401D36">
        <w:rPr>
          <w:rFonts w:cs="Arial"/>
        </w:rPr>
        <w:t>for therapeutic use.</w:t>
      </w:r>
    </w:p>
    <w:p w14:paraId="541F8007" w14:textId="77777777" w:rsidR="00E510F5" w:rsidRPr="00401D36" w:rsidRDefault="00E510F5" w:rsidP="0093015A">
      <w:pPr>
        <w:spacing w:before="120" w:line="240" w:lineRule="auto"/>
        <w:ind w:left="720" w:hanging="436"/>
        <w:rPr>
          <w:rFonts w:cs="Arial"/>
          <w:b/>
        </w:rPr>
      </w:pPr>
      <w:r w:rsidRPr="00401D36">
        <w:rPr>
          <w:rFonts w:cs="Arial"/>
          <w:b/>
        </w:rPr>
        <w:t>Schedule 6</w:t>
      </w:r>
    </w:p>
    <w:p w14:paraId="577F6BC7" w14:textId="3867722A" w:rsidR="00E510F5" w:rsidRPr="00401D36" w:rsidRDefault="00DF17FA" w:rsidP="00C3308D">
      <w:pPr>
        <w:spacing w:before="120" w:line="240" w:lineRule="auto"/>
        <w:ind w:firstLine="720"/>
        <w:rPr>
          <w:rFonts w:cs="Arial"/>
          <w:color w:val="00B050"/>
        </w:rPr>
      </w:pPr>
      <w:r w:rsidRPr="00401D36">
        <w:rPr>
          <w:rFonts w:cs="Arial"/>
        </w:rPr>
        <w:t xml:space="preserve">NITROUS OXIDE </w:t>
      </w:r>
      <w:r w:rsidR="00E510F5" w:rsidRPr="00401D36">
        <w:rPr>
          <w:rFonts w:cs="Arial"/>
          <w:b/>
        </w:rPr>
        <w:t>except</w:t>
      </w:r>
      <w:r w:rsidR="00E510F5" w:rsidRPr="00401D36">
        <w:rPr>
          <w:rFonts w:cs="Arial"/>
        </w:rPr>
        <w:t xml:space="preserve"> when included in Schedule 4</w:t>
      </w:r>
      <w:r w:rsidR="00E510F5" w:rsidRPr="00401D36">
        <w:rPr>
          <w:rFonts w:cs="Arial"/>
          <w:color w:val="00B050"/>
        </w:rPr>
        <w:t xml:space="preserve"> or Schedule 10.</w:t>
      </w:r>
    </w:p>
    <w:p w14:paraId="4E5685F6" w14:textId="77777777" w:rsidR="00E510F5" w:rsidRPr="00401D36" w:rsidRDefault="00E510F5" w:rsidP="0093015A">
      <w:pPr>
        <w:spacing w:before="120" w:line="240" w:lineRule="auto"/>
        <w:ind w:left="720" w:hanging="436"/>
        <w:rPr>
          <w:rFonts w:cs="Arial"/>
          <w:b/>
          <w:color w:val="00B050"/>
        </w:rPr>
      </w:pPr>
      <w:r w:rsidRPr="00401D36">
        <w:rPr>
          <w:rFonts w:cs="Arial"/>
          <w:b/>
          <w:color w:val="00B050"/>
        </w:rPr>
        <w:t>Schedule 10</w:t>
      </w:r>
    </w:p>
    <w:p w14:paraId="685E11F2" w14:textId="0041541C" w:rsidR="00E510F5" w:rsidRPr="00401D36" w:rsidRDefault="00DF17FA" w:rsidP="00C3308D">
      <w:pPr>
        <w:spacing w:before="120" w:line="240" w:lineRule="auto"/>
        <w:ind w:left="720"/>
        <w:rPr>
          <w:rFonts w:cs="Arial"/>
          <w:color w:val="00B050"/>
        </w:rPr>
      </w:pPr>
      <w:r w:rsidRPr="00401D36">
        <w:rPr>
          <w:rFonts w:cs="Arial"/>
          <w:color w:val="00B050"/>
        </w:rPr>
        <w:t xml:space="preserve">NITROUS OXIDE </w:t>
      </w:r>
      <w:r w:rsidR="00780601">
        <w:rPr>
          <w:rFonts w:cs="Arial"/>
          <w:color w:val="00B050"/>
        </w:rPr>
        <w:t xml:space="preserve">when </w:t>
      </w:r>
      <w:r w:rsidR="00E510F5" w:rsidRPr="00401D36">
        <w:rPr>
          <w:rFonts w:cs="Arial"/>
          <w:color w:val="00B050"/>
        </w:rPr>
        <w:t>packed in non-refillable containers each containing more than 10 g of nitrous oxide.</w:t>
      </w:r>
    </w:p>
    <w:p w14:paraId="01ED0ED9" w14:textId="5216AAC8" w:rsidR="002E0FBA" w:rsidRDefault="009B398D" w:rsidP="0093015A">
      <w:pPr>
        <w:spacing w:before="120" w:line="240" w:lineRule="auto"/>
      </w:pPr>
      <w:r w:rsidRPr="0093015A">
        <w:rPr>
          <w:rFonts w:cs="Arial"/>
        </w:rPr>
        <w:t xml:space="preserve">The effect of this proposal would be to prohibit the sale, supply and use </w:t>
      </w:r>
      <w:r w:rsidR="00E21992">
        <w:rPr>
          <w:rFonts w:cs="Arial"/>
        </w:rPr>
        <w:t xml:space="preserve">of </w:t>
      </w:r>
      <w:r w:rsidRPr="0093015A">
        <w:rPr>
          <w:rFonts w:cs="Arial"/>
        </w:rPr>
        <w:t xml:space="preserve">larger </w:t>
      </w:r>
      <w:r>
        <w:rPr>
          <w:rFonts w:cs="Arial"/>
        </w:rPr>
        <w:t>single-use</w:t>
      </w:r>
      <w:r w:rsidR="00F87156">
        <w:rPr>
          <w:rFonts w:cs="Arial"/>
        </w:rPr>
        <w:t xml:space="preserve"> </w:t>
      </w:r>
      <w:r w:rsidRPr="0093015A">
        <w:rPr>
          <w:rFonts w:cs="Arial"/>
        </w:rPr>
        <w:t xml:space="preserve">containers that pose </w:t>
      </w:r>
      <w:r w:rsidR="00E33133" w:rsidRPr="0093015A">
        <w:rPr>
          <w:rFonts w:cs="Arial"/>
        </w:rPr>
        <w:t>higher</w:t>
      </w:r>
      <w:r w:rsidRPr="0093015A">
        <w:rPr>
          <w:rFonts w:cs="Arial"/>
        </w:rPr>
        <w:t xml:space="preserve"> risk from misuse. This proposal </w:t>
      </w:r>
      <w:r w:rsidR="00AB3041">
        <w:rPr>
          <w:rFonts w:cs="Arial"/>
        </w:rPr>
        <w:t>is intended to</w:t>
      </w:r>
      <w:r w:rsidRPr="0093015A">
        <w:rPr>
          <w:rFonts w:cs="Arial"/>
        </w:rPr>
        <w:t xml:space="preserve"> complement the restrictions </w:t>
      </w:r>
      <w:r w:rsidR="00753352">
        <w:rPr>
          <w:rFonts w:cs="Arial"/>
        </w:rPr>
        <w:t>made</w:t>
      </w:r>
      <w:r w:rsidR="005F415A">
        <w:rPr>
          <w:rFonts w:cs="Arial"/>
        </w:rPr>
        <w:t xml:space="preserve">, or in </w:t>
      </w:r>
      <w:r w:rsidR="0052032A">
        <w:rPr>
          <w:rFonts w:cs="Arial"/>
        </w:rPr>
        <w:t>progress,</w:t>
      </w:r>
      <w:r w:rsidR="00753352">
        <w:rPr>
          <w:rFonts w:cs="Arial"/>
        </w:rPr>
        <w:t xml:space="preserve"> by </w:t>
      </w:r>
      <w:r w:rsidR="0052032A">
        <w:rPr>
          <w:rFonts w:cs="Arial"/>
        </w:rPr>
        <w:t>state and territory</w:t>
      </w:r>
      <w:r w:rsidR="00753352">
        <w:rPr>
          <w:rFonts w:cs="Arial"/>
        </w:rPr>
        <w:t xml:space="preserve"> jurisdictions </w:t>
      </w:r>
      <w:r w:rsidRPr="0093015A">
        <w:rPr>
          <w:rFonts w:cs="Arial"/>
        </w:rPr>
        <w:t>on the sale of nitrous oxide.</w:t>
      </w:r>
    </w:p>
    <w:p w14:paraId="76398C08" w14:textId="4C6731D5" w:rsidR="003E79E8" w:rsidRPr="00D42B4F" w:rsidRDefault="005C6F3D" w:rsidP="000069FA">
      <w:pPr>
        <w:spacing w:before="120" w:line="240" w:lineRule="auto"/>
        <w:rPr>
          <w:i/>
          <w:iCs/>
          <w:u w:val="single"/>
        </w:rPr>
      </w:pPr>
      <w:r>
        <w:rPr>
          <w:i/>
          <w:iCs/>
          <w:u w:val="single"/>
        </w:rPr>
        <w:t>Proposal</w:t>
      </w:r>
      <w:r w:rsidR="0052576A" w:rsidRPr="0093015A">
        <w:rPr>
          <w:i/>
          <w:iCs/>
          <w:u w:val="single"/>
        </w:rPr>
        <w:t xml:space="preserve"> 2</w:t>
      </w:r>
    </w:p>
    <w:p w14:paraId="0276423F" w14:textId="3337A513" w:rsidR="00D35C24" w:rsidRPr="00420C23" w:rsidRDefault="003E79E8">
      <w:pPr>
        <w:spacing w:before="120" w:line="240" w:lineRule="auto"/>
        <w:rPr>
          <w:rFonts w:cs="Arial"/>
        </w:rPr>
      </w:pPr>
      <w:r w:rsidRPr="00420C23">
        <w:t>Th</w:t>
      </w:r>
      <w:r w:rsidR="00251423" w:rsidRPr="00420C23">
        <w:t>is</w:t>
      </w:r>
      <w:r w:rsidRPr="00420C23">
        <w:t xml:space="preserve"> </w:t>
      </w:r>
      <w:r w:rsidR="2D06EAD0">
        <w:t>proposal</w:t>
      </w:r>
      <w:r w:rsidRPr="00420C23">
        <w:t xml:space="preserve"> </w:t>
      </w:r>
      <w:r w:rsidR="002673C9" w:rsidRPr="00420C23">
        <w:t>is based on a</w:t>
      </w:r>
      <w:r w:rsidR="00584F73" w:rsidRPr="00420C23">
        <w:t>n</w:t>
      </w:r>
      <w:r w:rsidR="00AA13DD" w:rsidRPr="00420C23">
        <w:t xml:space="preserve"> application</w:t>
      </w:r>
      <w:r w:rsidR="007B60B4" w:rsidRPr="00420C23">
        <w:t xml:space="preserve"> from a private applicant</w:t>
      </w:r>
      <w:r w:rsidR="00AA13DD" w:rsidRPr="00420C23">
        <w:t xml:space="preserve"> to amend the scheduling of nitrous oxide. The </w:t>
      </w:r>
      <w:r w:rsidR="00CC1ED9" w:rsidRPr="00420C23">
        <w:t xml:space="preserve">applicant </w:t>
      </w:r>
      <w:r w:rsidR="006140F5" w:rsidRPr="00420C23">
        <w:t xml:space="preserve">has proposed </w:t>
      </w:r>
      <w:r w:rsidR="00AA13DD" w:rsidRPr="00420C23">
        <w:t xml:space="preserve">to remove the existing Schedule 6 entry and instead </w:t>
      </w:r>
      <w:r w:rsidR="00ED6D57" w:rsidRPr="00420C23">
        <w:t>c</w:t>
      </w:r>
      <w:r w:rsidR="00270D3A" w:rsidRPr="00420C23">
        <w:t>lassify</w:t>
      </w:r>
      <w:r w:rsidR="00AA13DD" w:rsidRPr="00420C23">
        <w:t> nitrous oxide </w:t>
      </w:r>
      <w:r w:rsidR="00CF1E2F" w:rsidRPr="00420C23">
        <w:t xml:space="preserve">for non-therapeutic purposes </w:t>
      </w:r>
      <w:r w:rsidR="00BD0116" w:rsidRPr="00420C23">
        <w:t xml:space="preserve">as a </w:t>
      </w:r>
      <w:r w:rsidR="00AA13DD" w:rsidRPr="00420C23">
        <w:t xml:space="preserve">Controlled Drug (Schedule 8) with </w:t>
      </w:r>
      <w:r w:rsidR="00D933FC" w:rsidRPr="00420C23">
        <w:t xml:space="preserve">certain exemptions </w:t>
      </w:r>
      <w:r w:rsidR="00077F22" w:rsidRPr="00420C23">
        <w:t xml:space="preserve">for limited </w:t>
      </w:r>
      <w:r w:rsidR="6DF5DA3D">
        <w:t xml:space="preserve">personal </w:t>
      </w:r>
      <w:r w:rsidR="6A21E5AC">
        <w:t>possession</w:t>
      </w:r>
      <w:r w:rsidR="00773619">
        <w:t>,</w:t>
      </w:r>
      <w:r w:rsidR="6A21E5AC">
        <w:t xml:space="preserve"> and </w:t>
      </w:r>
      <w:r w:rsidR="66155001">
        <w:t xml:space="preserve">supply and use for </w:t>
      </w:r>
      <w:r w:rsidR="00077F22" w:rsidRPr="00420C23">
        <w:t xml:space="preserve">legitimate </w:t>
      </w:r>
      <w:r w:rsidR="00AA13DD" w:rsidRPr="00420C23">
        <w:t>industrial, automotive</w:t>
      </w:r>
      <w:r w:rsidR="001A36BC">
        <w:t xml:space="preserve"> and</w:t>
      </w:r>
      <w:r w:rsidR="00AA13DD" w:rsidRPr="00420C23">
        <w:t xml:space="preserve"> hospitality </w:t>
      </w:r>
      <w:r w:rsidR="2CFBF43D">
        <w:t>purposes</w:t>
      </w:r>
      <w:r w:rsidR="400E8A12">
        <w:t>.</w:t>
      </w:r>
      <w:r w:rsidR="00C119A0" w:rsidRPr="00420C23">
        <w:t xml:space="preserve"> </w:t>
      </w:r>
      <w:r w:rsidR="00C119A0" w:rsidRPr="00420C23">
        <w:rPr>
          <w:rFonts w:cs="Arial"/>
        </w:rPr>
        <w:t>The proposed amendments are as follows</w:t>
      </w:r>
      <w:r w:rsidR="00EE2ED2" w:rsidRPr="00420C23">
        <w:rPr>
          <w:rFonts w:cs="Arial"/>
        </w:rPr>
        <w:t>.</w:t>
      </w:r>
    </w:p>
    <w:p w14:paraId="0DD8190C" w14:textId="77777777" w:rsidR="00D35C24" w:rsidRPr="00420C23" w:rsidRDefault="00D35C24" w:rsidP="0093015A">
      <w:pPr>
        <w:spacing w:before="120" w:line="240" w:lineRule="auto"/>
        <w:ind w:left="720" w:hanging="436"/>
        <w:rPr>
          <w:rFonts w:cs="Arial"/>
          <w:b/>
        </w:rPr>
      </w:pPr>
      <w:r w:rsidRPr="00420C23">
        <w:rPr>
          <w:rFonts w:cs="Arial"/>
          <w:b/>
        </w:rPr>
        <w:t>SCHEDULE 4</w:t>
      </w:r>
    </w:p>
    <w:p w14:paraId="364590A4" w14:textId="13D5A234" w:rsidR="00D35C24" w:rsidRPr="00420C23" w:rsidRDefault="00DF17FA" w:rsidP="00C3308D">
      <w:pPr>
        <w:spacing w:before="120" w:line="240" w:lineRule="auto"/>
        <w:ind w:left="720"/>
        <w:rPr>
          <w:rFonts w:cs="Arial"/>
          <w:b/>
          <w:strike/>
        </w:rPr>
      </w:pPr>
      <w:r w:rsidRPr="00420C23">
        <w:rPr>
          <w:rFonts w:cs="Arial"/>
        </w:rPr>
        <w:t xml:space="preserve">NITROUS OXIDE </w:t>
      </w:r>
      <w:r w:rsidR="00D35C24" w:rsidRPr="00420C23">
        <w:rPr>
          <w:rFonts w:cs="Arial"/>
        </w:rPr>
        <w:t>for therapeutic use</w:t>
      </w:r>
    </w:p>
    <w:p w14:paraId="25CAC5A9" w14:textId="77777777" w:rsidR="00D35C24" w:rsidRPr="00420C23" w:rsidRDefault="00D35C24" w:rsidP="0093015A">
      <w:pPr>
        <w:spacing w:before="120" w:line="240" w:lineRule="auto"/>
        <w:ind w:left="720" w:hanging="436"/>
        <w:rPr>
          <w:rFonts w:cs="Arial"/>
          <w:strike/>
          <w:color w:val="FF0000"/>
        </w:rPr>
      </w:pPr>
      <w:r w:rsidRPr="00420C23">
        <w:rPr>
          <w:rFonts w:cs="Arial"/>
          <w:b/>
          <w:strike/>
          <w:color w:val="FF0000"/>
        </w:rPr>
        <w:t xml:space="preserve">SCHEDULE 6 </w:t>
      </w:r>
    </w:p>
    <w:p w14:paraId="6F0DB551" w14:textId="0C8A5780" w:rsidR="00D35C24" w:rsidRPr="00420C23" w:rsidRDefault="00DF17FA" w:rsidP="00C3308D">
      <w:pPr>
        <w:spacing w:before="120" w:line="240" w:lineRule="auto"/>
        <w:ind w:left="720"/>
        <w:rPr>
          <w:rFonts w:cs="Arial"/>
          <w:b/>
          <w:strike/>
          <w:color w:val="FF0000"/>
        </w:rPr>
      </w:pPr>
      <w:r w:rsidRPr="00420C23">
        <w:rPr>
          <w:rFonts w:cs="Arial"/>
          <w:strike/>
          <w:color w:val="FF0000"/>
        </w:rPr>
        <w:t xml:space="preserve">NITROUS OXIDE </w:t>
      </w:r>
      <w:r w:rsidR="00D35C24" w:rsidRPr="00420C23">
        <w:rPr>
          <w:rFonts w:cs="Arial"/>
          <w:strike/>
          <w:color w:val="FF0000"/>
        </w:rPr>
        <w:t>except when included in Schedule 4</w:t>
      </w:r>
    </w:p>
    <w:p w14:paraId="7BF1C4DB" w14:textId="77777777" w:rsidR="00D35C24" w:rsidRPr="00420C23" w:rsidRDefault="00D35C24" w:rsidP="0093015A">
      <w:pPr>
        <w:spacing w:before="120" w:line="240" w:lineRule="auto"/>
        <w:ind w:left="720" w:hanging="436"/>
        <w:rPr>
          <w:rFonts w:cs="Arial"/>
          <w:b/>
          <w:color w:val="00B050"/>
        </w:rPr>
      </w:pPr>
      <w:r w:rsidRPr="00420C23">
        <w:rPr>
          <w:rFonts w:cs="Arial"/>
          <w:b/>
          <w:color w:val="00B050"/>
        </w:rPr>
        <w:t>SCHEDULE 8</w:t>
      </w:r>
    </w:p>
    <w:p w14:paraId="0519FD13" w14:textId="77777777" w:rsidR="00D35C24" w:rsidRPr="00420C23" w:rsidRDefault="00D35C24" w:rsidP="00C3308D">
      <w:pPr>
        <w:spacing w:before="120" w:line="240" w:lineRule="auto"/>
        <w:ind w:firstLine="720"/>
        <w:rPr>
          <w:rFonts w:cs="Arial"/>
          <w:color w:val="00B050"/>
        </w:rPr>
      </w:pPr>
      <w:r w:rsidRPr="00420C23">
        <w:rPr>
          <w:rFonts w:cs="Arial"/>
          <w:color w:val="00B050"/>
        </w:rPr>
        <w:t>NITROUS OXIDE except</w:t>
      </w:r>
    </w:p>
    <w:p w14:paraId="510E6A96" w14:textId="77777777" w:rsidR="001903A0" w:rsidRPr="005307FA" w:rsidRDefault="00D35C24" w:rsidP="00682D89">
      <w:pPr>
        <w:pStyle w:val="ListParagraph"/>
        <w:rPr>
          <w:color w:val="00B050"/>
        </w:rPr>
      </w:pPr>
      <w:r w:rsidRPr="005307FA">
        <w:rPr>
          <w:color w:val="00B050"/>
        </w:rPr>
        <w:t>where it is a Schedule 4 Poison, or;</w:t>
      </w:r>
    </w:p>
    <w:p w14:paraId="311BEE89" w14:textId="77777777" w:rsidR="00D35C24" w:rsidRPr="005307FA" w:rsidRDefault="00D35C24" w:rsidP="00682D89">
      <w:pPr>
        <w:pStyle w:val="ListParagraph"/>
        <w:rPr>
          <w:color w:val="00B050"/>
        </w:rPr>
      </w:pPr>
      <w:r w:rsidRPr="005307FA">
        <w:rPr>
          <w:color w:val="00B050"/>
        </w:rPr>
        <w:t>where it is in the possession of an individual, in a quantity of less than 48 g, comprised of fewer than 6 individual bulbs each containing 8 g or less of the gas, or;</w:t>
      </w:r>
    </w:p>
    <w:p w14:paraId="179AC2C8" w14:textId="77777777" w:rsidR="00D35C24" w:rsidRPr="005307FA" w:rsidRDefault="00D35C24" w:rsidP="00682D89">
      <w:pPr>
        <w:pStyle w:val="ListParagraph"/>
        <w:rPr>
          <w:color w:val="00B050"/>
        </w:rPr>
      </w:pPr>
      <w:r w:rsidRPr="005307FA">
        <w:rPr>
          <w:color w:val="00B050"/>
        </w:rPr>
        <w:lastRenderedPageBreak/>
        <w:t>where it is in the possession of a registered hospitality venue or licensed venue, in a quantity of less than 480 g, comprised of fewer than 60 individual bulbs, each containing 8 g or less of the gas, or;</w:t>
      </w:r>
    </w:p>
    <w:p w14:paraId="272F314C" w14:textId="77777777" w:rsidR="00D35C24" w:rsidRPr="005307FA" w:rsidRDefault="00D35C24" w:rsidP="00682D89">
      <w:pPr>
        <w:pStyle w:val="ListParagraph"/>
        <w:rPr>
          <w:color w:val="00B050"/>
        </w:rPr>
      </w:pPr>
      <w:r w:rsidRPr="005307FA">
        <w:rPr>
          <w:color w:val="00B050"/>
        </w:rPr>
        <w:t>where it is in the possession of a legitimate importer, wholesaler, distributor or retailer, if that importer, wholesaler or distributor creates a copy of the identity of each person to whom it sells the gas, keeps those copies for five years, makes those copies available to any regulatory or law enforcement agency upon request, and where the importer, wholesaler, distributor or retailer does not advertise the gas for sale, and where the importer, wholesaler, distributor or retailer does not make the gas available for sale on the internet, or;</w:t>
      </w:r>
    </w:p>
    <w:p w14:paraId="588304C1" w14:textId="77777777" w:rsidR="00D35C24" w:rsidRPr="005307FA" w:rsidRDefault="00D35C24" w:rsidP="00682D89">
      <w:pPr>
        <w:pStyle w:val="ListParagraph"/>
        <w:rPr>
          <w:color w:val="00B050"/>
        </w:rPr>
      </w:pPr>
      <w:r w:rsidRPr="005307FA">
        <w:rPr>
          <w:color w:val="00B050"/>
        </w:rPr>
        <w:t>where it is used as a refrigerant and where the equipment it is used in is only operated by a qualified technician, or;</w:t>
      </w:r>
    </w:p>
    <w:p w14:paraId="4B4ACF0C" w14:textId="2FEC41CB" w:rsidR="00775815" w:rsidRPr="005307FA" w:rsidRDefault="00CD098A" w:rsidP="00682D89">
      <w:pPr>
        <w:pStyle w:val="ListParagraph"/>
        <w:rPr>
          <w:color w:val="00B050"/>
        </w:rPr>
      </w:pPr>
      <w:r w:rsidRPr="005307FA">
        <w:rPr>
          <w:color w:val="00B050"/>
        </w:rPr>
        <w:t>where it is mixed with greater than 100 ppm of sulphur dioxide and is for use in an automotive application.</w:t>
      </w:r>
    </w:p>
    <w:p w14:paraId="46B5AA2D" w14:textId="34263A24" w:rsidR="00082AE3" w:rsidRPr="00420C23" w:rsidRDefault="00FF4E5D" w:rsidP="0093015A">
      <w:pPr>
        <w:spacing w:before="120" w:line="240" w:lineRule="auto"/>
      </w:pPr>
      <w:r w:rsidRPr="00420C23">
        <w:t>None of the options propose any change</w:t>
      </w:r>
      <w:r w:rsidR="00DE0DFB" w:rsidRPr="00420C23">
        <w:t>s</w:t>
      </w:r>
      <w:r w:rsidRPr="00420C23">
        <w:t xml:space="preserve"> to the Schedule 4 classification of nitrous oxide for therapeutic purposes.</w:t>
      </w:r>
      <w:r w:rsidR="00CD098A" w:rsidRPr="00420C23">
        <w:t xml:space="preserve"> Legitimate use of nitrous oxide </w:t>
      </w:r>
      <w:r w:rsidR="00124832" w:rsidRPr="00420C23">
        <w:t xml:space="preserve">for </w:t>
      </w:r>
      <w:r w:rsidR="00DD307E" w:rsidRPr="00420C23">
        <w:t>food, culinary and industrial purposes are permissible under both the options.</w:t>
      </w:r>
    </w:p>
    <w:p w14:paraId="130E84C2" w14:textId="6B172ED3" w:rsidR="006C107D" w:rsidRDefault="00853393">
      <w:pPr>
        <w:pStyle w:val="Heading4"/>
      </w:pPr>
      <w:bookmarkStart w:id="16" w:name="_Toc239763006"/>
      <w:r>
        <w:t>Delegate r</w:t>
      </w:r>
      <w:r w:rsidR="006C107D">
        <w:t>easons for proposal</w:t>
      </w:r>
      <w:r>
        <w:t xml:space="preserve"> 1</w:t>
      </w:r>
      <w:bookmarkEnd w:id="16"/>
    </w:p>
    <w:p w14:paraId="26BACA15" w14:textId="77777777" w:rsidR="00E505C8" w:rsidRPr="000273B3" w:rsidRDefault="00FB440B" w:rsidP="0093015A">
      <w:pPr>
        <w:spacing w:before="120" w:line="240" w:lineRule="auto"/>
        <w:rPr>
          <w:rFonts w:cs="Arial"/>
        </w:rPr>
      </w:pPr>
      <w:r w:rsidRPr="000273B3">
        <w:rPr>
          <w:rFonts w:cs="Arial"/>
        </w:rPr>
        <w:t>Despite the implementation of the scheduling decision in 2022</w:t>
      </w:r>
      <w:r w:rsidR="00FC2F84" w:rsidRPr="000273B3">
        <w:rPr>
          <w:rFonts w:cs="Arial"/>
        </w:rPr>
        <w:t xml:space="preserve"> to classify nitrous oxide for non-therapeutic use as a Poison (Schedule 6)</w:t>
      </w:r>
      <w:r w:rsidR="00675C63" w:rsidRPr="000273B3">
        <w:rPr>
          <w:rFonts w:cs="Arial"/>
        </w:rPr>
        <w:t xml:space="preserve"> it is </w:t>
      </w:r>
      <w:r w:rsidRPr="000273B3">
        <w:rPr>
          <w:rFonts w:cs="Arial"/>
        </w:rPr>
        <w:t xml:space="preserve">increasingly being misused for recreation purposes resulting in serious adverse outcomes in Australia. </w:t>
      </w:r>
      <w:r w:rsidR="00E505C8" w:rsidRPr="000273B3">
        <w:rPr>
          <w:rFonts w:cs="Arial"/>
        </w:rPr>
        <w:t xml:space="preserve">Adverse events include psychological disturbances, serious neurological effects such as permanent brain and spinal cord damage, sudden loss of blood pressure, fainting, hypoxia and fatal heart attacks. </w:t>
      </w:r>
    </w:p>
    <w:p w14:paraId="4CD8359E" w14:textId="77777777" w:rsidR="00EA1600" w:rsidRPr="000273B3" w:rsidRDefault="00EA1600" w:rsidP="00953CBD">
      <w:pPr>
        <w:spacing w:before="120" w:line="240" w:lineRule="auto"/>
        <w:rPr>
          <w:rFonts w:cs="Arial"/>
        </w:rPr>
      </w:pPr>
      <w:r w:rsidRPr="000273B3">
        <w:rPr>
          <w:rFonts w:cs="Arial"/>
        </w:rPr>
        <w:t>Available data also shows a clear shift from the use of small bulbs to larger canisters, which is concerning given emerging evidence linking these products to greater exposure and increased neurotoxicity.</w:t>
      </w:r>
    </w:p>
    <w:p w14:paraId="1D8DD880" w14:textId="2674F39E" w:rsidR="00953CBD" w:rsidRDefault="00953CBD" w:rsidP="00953CBD">
      <w:pPr>
        <w:spacing w:before="120" w:line="240" w:lineRule="auto"/>
        <w:rPr>
          <w:rFonts w:cs="Arial"/>
        </w:rPr>
      </w:pPr>
      <w:r w:rsidRPr="000273B3">
        <w:rPr>
          <w:rFonts w:cs="Arial"/>
        </w:rPr>
        <w:t>Several jurisdictions have imposed stricter regulation on the sale</w:t>
      </w:r>
      <w:r w:rsidR="007F000E">
        <w:rPr>
          <w:rFonts w:cs="Arial"/>
        </w:rPr>
        <w:t xml:space="preserve"> of nitrous oxide</w:t>
      </w:r>
      <w:r w:rsidRPr="000273B3">
        <w:rPr>
          <w:rFonts w:cs="Arial"/>
        </w:rPr>
        <w:t xml:space="preserve">. However, further restrictions on access at </w:t>
      </w:r>
      <w:r w:rsidR="00773619">
        <w:rPr>
          <w:rFonts w:cs="Arial"/>
        </w:rPr>
        <w:t xml:space="preserve">a </w:t>
      </w:r>
      <w:r w:rsidRPr="000273B3">
        <w:rPr>
          <w:rFonts w:cs="Arial"/>
        </w:rPr>
        <w:t>national level through scheduling could supplement the jurisdictional efforts to reduce nitrous oxide misuse and facilitate enforcement by the jurisdictions at the border.</w:t>
      </w:r>
    </w:p>
    <w:p w14:paraId="10294F9C" w14:textId="3D2F3BAB" w:rsidR="00E505C8" w:rsidRPr="00D42B4F" w:rsidRDefault="00E05CA6" w:rsidP="009B21AF">
      <w:pPr>
        <w:spacing w:before="120" w:line="240" w:lineRule="auto"/>
        <w:rPr>
          <w:i/>
          <w:iCs/>
          <w:u w:val="single"/>
        </w:rPr>
      </w:pPr>
      <w:r w:rsidRPr="00D42B4F">
        <w:rPr>
          <w:i/>
          <w:iCs/>
          <w:u w:val="single"/>
        </w:rPr>
        <w:t>Evidence for misuse of nitrous oxide</w:t>
      </w:r>
    </w:p>
    <w:p w14:paraId="64C154E0" w14:textId="40D5FA90" w:rsidR="008C0C56" w:rsidRDefault="00C82968" w:rsidP="0093015A">
      <w:pPr>
        <w:spacing w:before="120" w:line="240" w:lineRule="auto"/>
      </w:pPr>
      <w:r>
        <w:t xml:space="preserve">Data from </w:t>
      </w:r>
      <w:r w:rsidR="009F6D56">
        <w:t xml:space="preserve">the </w:t>
      </w:r>
      <w:r>
        <w:t>V</w:t>
      </w:r>
      <w:r w:rsidR="009F6D56">
        <w:t>ictoria</w:t>
      </w:r>
      <w:r>
        <w:t xml:space="preserve"> Poisons Information Centre (</w:t>
      </w:r>
      <w:r w:rsidR="00515BD1">
        <w:t>PIC</w:t>
      </w:r>
      <w:r>
        <w:t xml:space="preserve">) </w:t>
      </w:r>
      <w:r w:rsidR="00141CA9">
        <w:t>demons</w:t>
      </w:r>
      <w:r w:rsidR="00B037C6">
        <w:t>trated</w:t>
      </w:r>
      <w:r>
        <w:t xml:space="preserve"> </w:t>
      </w:r>
      <w:r w:rsidRPr="0028774E">
        <w:t>increasing</w:t>
      </w:r>
      <w:r>
        <w:t xml:space="preserve"> harm and need for clinical toxicology support from nitrous oxide misuse and a shift toward larger canister products</w:t>
      </w:r>
      <w:r w:rsidR="00CF5ED1">
        <w:t>.</w:t>
      </w:r>
      <w:r w:rsidRPr="0028774E">
        <w:t xml:space="preserve"> </w:t>
      </w:r>
      <w:r w:rsidR="00EA774C">
        <w:t>C</w:t>
      </w:r>
      <w:r w:rsidR="00EA774C" w:rsidRPr="004F7E92">
        <w:t xml:space="preserve">alls </w:t>
      </w:r>
      <w:r w:rsidR="00EA774C">
        <w:t xml:space="preserve">to PIC that were </w:t>
      </w:r>
      <w:r w:rsidR="00EA774C" w:rsidRPr="004F7E92">
        <w:t>referred to an on-call clinical toxicologist</w:t>
      </w:r>
      <w:r w:rsidR="00EA774C">
        <w:t xml:space="preserve"> tripled between 2022 (21 calls) </w:t>
      </w:r>
      <w:r w:rsidR="00072171">
        <w:t xml:space="preserve">and 2025 (63 calls). </w:t>
      </w:r>
    </w:p>
    <w:p w14:paraId="3A36B750" w14:textId="05CF38E8" w:rsidR="00602612" w:rsidRDefault="008C0C56" w:rsidP="0093015A">
      <w:pPr>
        <w:spacing w:before="120" w:line="240" w:lineRule="auto"/>
      </w:pPr>
      <w:r>
        <w:t xml:space="preserve">Victorian emergency department data also shows an increasing trend in the number of nitrous oxide related presentations per 10,000 ED presentations since 2022 with further upward change in trend occurring in March 2024. </w:t>
      </w:r>
      <w:r>
        <w:rPr>
          <w:lang w:val="en-US"/>
        </w:rPr>
        <w:t>For emergency department presentations between 1 January 2022 and 30</w:t>
      </w:r>
      <w:r w:rsidR="2DC12E29" w:rsidRPr="4DABEA24">
        <w:rPr>
          <w:lang w:val="en-US"/>
        </w:rPr>
        <w:t> </w:t>
      </w:r>
      <w:r>
        <w:rPr>
          <w:lang w:val="en-US"/>
        </w:rPr>
        <w:t>June 2026, 38.5% showed psychiatric symptoms while 26.1% involved some level of documented self-harm risk</w:t>
      </w:r>
      <w:r w:rsidR="0729C42A" w:rsidRPr="4DABEA24">
        <w:rPr>
          <w:lang w:val="en-US"/>
        </w:rPr>
        <w:t xml:space="preserve">, although it is not often possible to tell if the symptoms were caused </w:t>
      </w:r>
      <w:proofErr w:type="gramStart"/>
      <w:r w:rsidR="0729C42A" w:rsidRPr="4DABEA24">
        <w:rPr>
          <w:lang w:val="en-US"/>
        </w:rPr>
        <w:t>by the use of</w:t>
      </w:r>
      <w:proofErr w:type="gramEnd"/>
      <w:r w:rsidR="0729C42A" w:rsidRPr="4DABEA24">
        <w:rPr>
          <w:lang w:val="en-US"/>
        </w:rPr>
        <w:t xml:space="preserve"> nitrous oxide, or pre-dated its use.</w:t>
      </w:r>
      <w:r w:rsidR="00602612" w:rsidRPr="4DABEA24">
        <w:rPr>
          <w:lang w:val="en-US"/>
        </w:rPr>
        <w:t xml:space="preserve"> </w:t>
      </w:r>
      <w:r w:rsidR="00602612" w:rsidRPr="00B219A4">
        <w:t>Young adults were the most affected group, with people aged 18–24 accounting for the largest proportion of presentations and those under 30 representing about two-thirds of cases, with no significant gender difference observed.</w:t>
      </w:r>
    </w:p>
    <w:p w14:paraId="1B3A984E" w14:textId="77777777" w:rsidR="005930A3" w:rsidRDefault="005930A3" w:rsidP="005930A3">
      <w:pPr>
        <w:spacing w:before="120" w:line="240" w:lineRule="auto"/>
      </w:pPr>
      <w:r>
        <w:t>The Victorian data also shows that since 2021,</w:t>
      </w:r>
      <w:r w:rsidRPr="004F2AE4">
        <w:t xml:space="preserve"> there </w:t>
      </w:r>
      <w:r>
        <w:t>has been</w:t>
      </w:r>
      <w:r w:rsidRPr="004F2AE4">
        <w:t xml:space="preserve"> a clear shift from </w:t>
      </w:r>
      <w:r>
        <w:t xml:space="preserve">using </w:t>
      </w:r>
      <w:r w:rsidRPr="004F2AE4">
        <w:t xml:space="preserve">small 8 g bulbs to larger </w:t>
      </w:r>
      <w:r>
        <w:t xml:space="preserve">canisters between </w:t>
      </w:r>
      <w:r w:rsidRPr="004F2AE4">
        <w:t xml:space="preserve">1 </w:t>
      </w:r>
      <w:r>
        <w:t>and</w:t>
      </w:r>
      <w:r w:rsidRPr="004F2AE4">
        <w:t xml:space="preserve"> 4 L</w:t>
      </w:r>
      <w:r>
        <w:t xml:space="preserve">. </w:t>
      </w:r>
      <w:r w:rsidRPr="004F7E92">
        <w:t>The proportion of cases referred to an on-call clinical toxicologist related to exclusive canister use increased from 6.2 per cent in 2021 to 77.8 per cent in 2025</w:t>
      </w:r>
      <w:r>
        <w:t xml:space="preserve"> (only calls where this data was recorded). Conversely, proportion of the calls referred to </w:t>
      </w:r>
      <w:r w:rsidRPr="004F7E92">
        <w:t>an on-call clinical toxicologist</w:t>
      </w:r>
      <w:r>
        <w:t xml:space="preserve"> that involved use of bulbs decreased from 87.5% in 2021 to 4.8% in 2025.</w:t>
      </w:r>
    </w:p>
    <w:p w14:paraId="612336C1" w14:textId="1DE6CD27" w:rsidR="00077F61" w:rsidRDefault="00077F61" w:rsidP="0093015A">
      <w:pPr>
        <w:spacing w:before="120" w:line="240" w:lineRule="auto"/>
      </w:pPr>
      <w:r>
        <w:t xml:space="preserve">Data on calls made to New South Wales PIC relating to nitrous oxide use shows more than doubling in calls about non-medical use </w:t>
      </w:r>
      <w:r w:rsidR="00DF17FA">
        <w:t>of</w:t>
      </w:r>
      <w:r>
        <w:t xml:space="preserve"> nitrous oxide between 2021 and 2023 (more than </w:t>
      </w:r>
      <w:r w:rsidR="00DF17FA">
        <w:t>50</w:t>
      </w:r>
      <w:r>
        <w:t xml:space="preserve"> calls). Emergency department presentations to related to nitrous oxide in New South Wales public hospitals also increased by more than 20-fold increase between 2016 and 2023.</w:t>
      </w:r>
      <w:r w:rsidR="00DF17FA">
        <w:rPr>
          <w:rStyle w:val="FootnoteReference"/>
        </w:rPr>
        <w:footnoteReference w:id="1"/>
      </w:r>
    </w:p>
    <w:p w14:paraId="68FF940D" w14:textId="496DF4BF" w:rsidR="009F6264" w:rsidRDefault="003966DF" w:rsidP="0093015A">
      <w:pPr>
        <w:spacing w:before="120" w:line="240" w:lineRule="auto"/>
      </w:pPr>
      <w:r>
        <w:lastRenderedPageBreak/>
        <w:t>R</w:t>
      </w:r>
      <w:r w:rsidR="00F66613">
        <w:t xml:space="preserve">ecent </w:t>
      </w:r>
      <w:r>
        <w:t xml:space="preserve">National Drug and Alcohol Research Centre </w:t>
      </w:r>
      <w:r w:rsidR="00F66613">
        <w:t xml:space="preserve">report on the use of nitrous oxide among people who regularly use ecstasy and/or other illicit stimulants </w:t>
      </w:r>
      <w:r w:rsidR="007C7F43">
        <w:t>also</w:t>
      </w:r>
      <w:r w:rsidR="00F66613">
        <w:t xml:space="preserve"> showed a clear shift from the use of small bulbs to larger </w:t>
      </w:r>
      <w:r w:rsidR="00F66613" w:rsidRPr="00F72EBD">
        <w:t>canisters.</w:t>
      </w:r>
      <w:r w:rsidR="00E35EA2">
        <w:rPr>
          <w:rStyle w:val="FootnoteReference"/>
        </w:rPr>
        <w:footnoteReference w:id="2"/>
      </w:r>
      <w:r w:rsidR="00F66613" w:rsidRPr="00F72EBD">
        <w:t xml:space="preserve"> While about 6% of </w:t>
      </w:r>
      <w:r w:rsidR="007170BE">
        <w:t>the</w:t>
      </w:r>
      <w:r w:rsidR="00F66613" w:rsidRPr="00F72EBD">
        <w:t xml:space="preserve"> participants reported using larger canisters (&gt;8</w:t>
      </w:r>
      <w:r w:rsidR="0088657D">
        <w:t> </w:t>
      </w:r>
      <w:r w:rsidR="00F66613" w:rsidRPr="00F72EBD">
        <w:t xml:space="preserve">g) in the past 6 months in 2021, this had risen to 27% in 2023, and 51% in 2025. </w:t>
      </w:r>
    </w:p>
    <w:p w14:paraId="2CF988B2" w14:textId="27F2BFBF" w:rsidR="00E110A1" w:rsidRPr="00420C23" w:rsidRDefault="00603E28" w:rsidP="0093015A">
      <w:pPr>
        <w:spacing w:before="120" w:line="240" w:lineRule="auto"/>
        <w:rPr>
          <w:b/>
          <w:bCs/>
          <w:sz w:val="24"/>
          <w:szCs w:val="24"/>
        </w:rPr>
      </w:pPr>
      <w:r w:rsidRPr="000824F9">
        <w:t xml:space="preserve">The </w:t>
      </w:r>
      <w:r w:rsidR="00D121C2" w:rsidRPr="000824F9">
        <w:t>most reported</w:t>
      </w:r>
      <w:r w:rsidRPr="000824F9">
        <w:t xml:space="preserve"> source of nitrous oxide in the past 6 months was convenience stores, followed by 24/7 delivery services.</w:t>
      </w:r>
      <w:r w:rsidR="009F6264">
        <w:t xml:space="preserve"> </w:t>
      </w:r>
      <w:r w:rsidR="000B0E78">
        <w:t>A</w:t>
      </w:r>
      <w:r w:rsidR="009F6264">
        <w:t xml:space="preserve"> </w:t>
      </w:r>
      <w:r w:rsidR="000B0E78">
        <w:t xml:space="preserve">recent </w:t>
      </w:r>
      <w:r w:rsidR="009F6264">
        <w:t xml:space="preserve">survey of 65 physical retail stores </w:t>
      </w:r>
      <w:r w:rsidR="007A3E47">
        <w:t xml:space="preserve">in Queensland </w:t>
      </w:r>
      <w:r w:rsidR="009F6264">
        <w:t xml:space="preserve">found </w:t>
      </w:r>
      <w:r w:rsidR="00E41A58">
        <w:t xml:space="preserve">more than 41,000 </w:t>
      </w:r>
      <w:r w:rsidR="009F6264">
        <w:t xml:space="preserve">nitrous oxide </w:t>
      </w:r>
      <w:r w:rsidR="001938C3">
        <w:t>products</w:t>
      </w:r>
      <w:r w:rsidR="009F6264">
        <w:t xml:space="preserve"> ranging from 8 g canisters to 4 L cylinders </w:t>
      </w:r>
      <w:r w:rsidR="001938C3">
        <w:t>in</w:t>
      </w:r>
      <w:r w:rsidR="009F6264">
        <w:t xml:space="preserve"> 57 retailers</w:t>
      </w:r>
      <w:r w:rsidR="00A0680A">
        <w:t xml:space="preserve">. </w:t>
      </w:r>
      <w:r w:rsidR="009E5F0C">
        <w:t>While m</w:t>
      </w:r>
      <w:r w:rsidR="009F6264">
        <w:t>ost were small 8–9 g canisters</w:t>
      </w:r>
      <w:r w:rsidR="009E5F0C">
        <w:t xml:space="preserve"> more than </w:t>
      </w:r>
      <w:r w:rsidR="009F6264">
        <w:t xml:space="preserve">1,300 </w:t>
      </w:r>
      <w:r w:rsidR="0062240E">
        <w:t>cylinders</w:t>
      </w:r>
      <w:r w:rsidR="009F6264">
        <w:t xml:space="preserve"> greater than 1 L were also identified, along with accessories such as balloons, crackers, nozzles, </w:t>
      </w:r>
      <w:r w:rsidR="00CC42F2">
        <w:t xml:space="preserve">and </w:t>
      </w:r>
      <w:r w:rsidR="009F6264">
        <w:t>cream dispensers.</w:t>
      </w:r>
    </w:p>
    <w:p w14:paraId="1D511586" w14:textId="1A9CF062" w:rsidR="00F71641" w:rsidRPr="00D42B4F" w:rsidRDefault="00F71641" w:rsidP="009011A6">
      <w:pPr>
        <w:spacing w:before="120" w:line="240" w:lineRule="auto"/>
        <w:rPr>
          <w:i/>
          <w:iCs/>
          <w:u w:val="single"/>
        </w:rPr>
      </w:pPr>
      <w:r w:rsidRPr="00D42B4F">
        <w:rPr>
          <w:i/>
          <w:iCs/>
          <w:u w:val="single"/>
        </w:rPr>
        <w:t xml:space="preserve">Coroner </w:t>
      </w:r>
      <w:r w:rsidR="00C554B2" w:rsidRPr="00D42B4F">
        <w:rPr>
          <w:i/>
          <w:iCs/>
          <w:u w:val="single"/>
        </w:rPr>
        <w:t>reports</w:t>
      </w:r>
    </w:p>
    <w:p w14:paraId="16A6B527" w14:textId="041EAE85" w:rsidR="00C554B2" w:rsidRPr="00C554B2" w:rsidRDefault="006E666E" w:rsidP="0093015A">
      <w:pPr>
        <w:spacing w:before="120" w:line="240" w:lineRule="auto"/>
      </w:pPr>
      <w:r>
        <w:t>Since the 2022 scheduling decision, there have been 8</w:t>
      </w:r>
      <w:r w:rsidR="00C554B2">
        <w:t xml:space="preserve"> </w:t>
      </w:r>
      <w:r w:rsidR="00C554B2" w:rsidRPr="00C554B2">
        <w:t xml:space="preserve">coronial reports </w:t>
      </w:r>
      <w:r>
        <w:t xml:space="preserve">published </w:t>
      </w:r>
      <w:r w:rsidR="00856A0C">
        <w:t>link</w:t>
      </w:r>
      <w:r w:rsidR="00CD6A8B">
        <w:t>ing</w:t>
      </w:r>
      <w:r w:rsidR="00856A0C">
        <w:t xml:space="preserve"> </w:t>
      </w:r>
      <w:r w:rsidR="00C554B2" w:rsidRPr="00C554B2">
        <w:t xml:space="preserve">nitrous oxide misuse to a range of serious harms, including fatal asphyxia, suffocation, drowning, chronic health deterioration and possible driver impairment. Several deaths involved direct nitrous oxide use immediately before the incident or </w:t>
      </w:r>
      <w:r w:rsidR="00C331EA">
        <w:t>in higher risk</w:t>
      </w:r>
      <w:r w:rsidR="00C554B2" w:rsidRPr="00C554B2">
        <w:t xml:space="preserve"> settings such as </w:t>
      </w:r>
      <w:r w:rsidR="003A64A0">
        <w:t xml:space="preserve">driving </w:t>
      </w:r>
      <w:r w:rsidR="0021168B">
        <w:t xml:space="preserve">or </w:t>
      </w:r>
      <w:r w:rsidR="00C554B2" w:rsidRPr="00C554B2">
        <w:t xml:space="preserve">swimming </w:t>
      </w:r>
      <w:r w:rsidR="000B21F8">
        <w:t>after inhal</w:t>
      </w:r>
      <w:r w:rsidR="008C2253">
        <w:t>ing the gas</w:t>
      </w:r>
      <w:r w:rsidR="00C554B2" w:rsidRPr="00C554B2">
        <w:t>. Other cases involved polysubstance use, where nitrous oxide was not the primary cause of death but may have contributed to impairment, toxicity or altered mental state. Coroners highlighted recurring public health concerns, including youth access, increasing availability, inadequate data collection, difficulties detecting nitrous oxide post-mortem, and the need for stronger regulatory controls, surveillance, public education, retailer warnings and harm-reduction measures.</w:t>
      </w:r>
    </w:p>
    <w:p w14:paraId="6390F364" w14:textId="77777777" w:rsidR="00A034CA" w:rsidRPr="00D42B4F" w:rsidRDefault="00A034CA" w:rsidP="006B5AAD">
      <w:pPr>
        <w:spacing w:before="120" w:line="240" w:lineRule="auto"/>
        <w:rPr>
          <w:i/>
          <w:iCs/>
          <w:u w:val="single"/>
        </w:rPr>
      </w:pPr>
      <w:r w:rsidRPr="00D42B4F">
        <w:rPr>
          <w:i/>
          <w:iCs/>
          <w:u w:val="single"/>
        </w:rPr>
        <w:t>Risk management responses</w:t>
      </w:r>
    </w:p>
    <w:p w14:paraId="52172244" w14:textId="7C60C420" w:rsidR="00F1295C" w:rsidRDefault="00516CCE" w:rsidP="0093015A">
      <w:pPr>
        <w:spacing w:before="120" w:line="240" w:lineRule="auto"/>
      </w:pPr>
      <w:r>
        <w:t xml:space="preserve">Currently, </w:t>
      </w:r>
      <w:r w:rsidR="00246196">
        <w:t>i</w:t>
      </w:r>
      <w:r w:rsidR="00F1295C" w:rsidRPr="00581798">
        <w:t>n V</w:t>
      </w:r>
      <w:r w:rsidR="00886C6B">
        <w:t>ictoria</w:t>
      </w:r>
      <w:r w:rsidR="00F1295C" w:rsidRPr="00581798">
        <w:t xml:space="preserve"> and </w:t>
      </w:r>
      <w:r w:rsidR="00F1295C">
        <w:t>S</w:t>
      </w:r>
      <w:r w:rsidR="00886C6B">
        <w:t xml:space="preserve">outh Australia </w:t>
      </w:r>
      <w:r w:rsidR="00F1295C" w:rsidRPr="00581798">
        <w:t>it</w:t>
      </w:r>
      <w:r w:rsidR="00F1295C">
        <w:t xml:space="preserve"> is</w:t>
      </w:r>
      <w:r w:rsidR="00F1295C" w:rsidRPr="00581798">
        <w:t xml:space="preserve"> illegal to sell nitrous oxide if the </w:t>
      </w:r>
      <w:r w:rsidR="00F1295C">
        <w:t>seller</w:t>
      </w:r>
      <w:r w:rsidR="00F1295C" w:rsidRPr="00581798">
        <w:t xml:space="preserve"> knows, or should reasonably know, that it will be inhaled or given to another person to inhale.</w:t>
      </w:r>
      <w:r w:rsidR="00F1295C">
        <w:rPr>
          <w:rStyle w:val="FootnoteReference"/>
        </w:rPr>
        <w:footnoteReference w:id="3"/>
      </w:r>
      <w:r w:rsidR="00F1295C">
        <w:t xml:space="preserve"> In </w:t>
      </w:r>
      <w:r w:rsidR="00D96904">
        <w:t>South Australia</w:t>
      </w:r>
      <w:r w:rsidR="00F1295C">
        <w:t xml:space="preserve">, it is also </w:t>
      </w:r>
      <w:r w:rsidR="00F1295C" w:rsidRPr="00AB4C69">
        <w:t>an offence to sell nitrous oxide to a person under 18 years</w:t>
      </w:r>
      <w:r w:rsidR="00F1295C">
        <w:t>. Retailers are required to display</w:t>
      </w:r>
      <w:r w:rsidR="00F1295C" w:rsidRPr="004F29D3">
        <w:t xml:space="preserve"> </w:t>
      </w:r>
      <w:r w:rsidR="00F1295C">
        <w:t>notices</w:t>
      </w:r>
      <w:r w:rsidR="00F1295C" w:rsidRPr="004F29D3">
        <w:t xml:space="preserve"> that evidence of a customer's age may need to be produced </w:t>
      </w:r>
      <w:proofErr w:type="gramStart"/>
      <w:r w:rsidR="00F1295C" w:rsidRPr="004F29D3">
        <w:t>in order to</w:t>
      </w:r>
      <w:proofErr w:type="gramEnd"/>
      <w:r w:rsidR="00F1295C" w:rsidRPr="004F29D3">
        <w:t xml:space="preserve"> purchase</w:t>
      </w:r>
      <w:r w:rsidR="00F1295C">
        <w:t xml:space="preserve">. </w:t>
      </w:r>
      <w:r w:rsidR="00F1295C" w:rsidRPr="00B32BEC">
        <w:t xml:space="preserve">Nitrous </w:t>
      </w:r>
      <w:r w:rsidR="00F1295C">
        <w:t>o</w:t>
      </w:r>
      <w:r w:rsidR="00F1295C" w:rsidRPr="00B32BEC">
        <w:t xml:space="preserve">xide </w:t>
      </w:r>
      <w:r w:rsidR="00F1295C">
        <w:t xml:space="preserve">also </w:t>
      </w:r>
      <w:r w:rsidR="00F1295C" w:rsidRPr="00B32BEC">
        <w:t>must not be sold between the hours of 10:00</w:t>
      </w:r>
      <w:r w:rsidR="00F1295C">
        <w:t xml:space="preserve"> </w:t>
      </w:r>
      <w:r w:rsidR="00F1295C" w:rsidRPr="00B32BEC">
        <w:t>pm and 5:00</w:t>
      </w:r>
      <w:r w:rsidR="00F1295C">
        <w:t xml:space="preserve"> </w:t>
      </w:r>
      <w:r w:rsidR="00F1295C" w:rsidRPr="00B32BEC">
        <w:t>am, on any day.</w:t>
      </w:r>
      <w:r w:rsidR="00F1295C">
        <w:rPr>
          <w:rStyle w:val="FootnoteReference"/>
        </w:rPr>
        <w:footnoteReference w:id="4"/>
      </w:r>
    </w:p>
    <w:p w14:paraId="5C8A5A47" w14:textId="00CEEB90" w:rsidR="00F1295C" w:rsidRDefault="00F1295C" w:rsidP="0093015A">
      <w:pPr>
        <w:spacing w:before="120" w:line="240" w:lineRule="auto"/>
      </w:pPr>
      <w:r>
        <w:t>W</w:t>
      </w:r>
      <w:r w:rsidR="00D96904">
        <w:t xml:space="preserve">estern Australia </w:t>
      </w:r>
      <w:r>
        <w:t>has</w:t>
      </w:r>
      <w:r w:rsidR="00516CCE">
        <w:t xml:space="preserve"> also</w:t>
      </w:r>
      <w:r>
        <w:t xml:space="preserve"> imposed restrictions on the sale of </w:t>
      </w:r>
      <w:r w:rsidRPr="00F76C5E">
        <w:t xml:space="preserve">small nitrous oxide canisters </w:t>
      </w:r>
      <w:r>
        <w:t xml:space="preserve">which can only be sold to </w:t>
      </w:r>
      <w:r w:rsidRPr="00886872">
        <w:t>registered food businesses</w:t>
      </w:r>
      <w:r>
        <w:t xml:space="preserve">, </w:t>
      </w:r>
      <w:r w:rsidRPr="00007584">
        <w:t>businesses with a liquor licence that prepare alcoholic drinks on-site</w:t>
      </w:r>
      <w:r>
        <w:t xml:space="preserve">, </w:t>
      </w:r>
      <w:r w:rsidRPr="00007584">
        <w:t>educational and training institutions</w:t>
      </w:r>
      <w:r>
        <w:t xml:space="preserve"> and </w:t>
      </w:r>
      <w:r w:rsidRPr="00007584">
        <w:t>cooking school businesses</w:t>
      </w:r>
      <w:r>
        <w:t xml:space="preserve">. </w:t>
      </w:r>
      <w:r w:rsidRPr="00C179EE">
        <w:t>Suppliers are required to collect evidence that nitrous oxide canisters are being sold to registered food or beverage businesses while buyers will need to provide evidence</w:t>
      </w:r>
      <w:r>
        <w:t xml:space="preserve"> that</w:t>
      </w:r>
      <w:r w:rsidRPr="00C179EE">
        <w:t xml:space="preserve"> they are an approved recipient.</w:t>
      </w:r>
      <w:r>
        <w:t xml:space="preserve"> Penalties and/or convictions can be imposed on a</w:t>
      </w:r>
      <w:r w:rsidRPr="00E87124">
        <w:t>nyone caught selling nitrous oxide unlawfully</w:t>
      </w:r>
      <w:r>
        <w:t>.</w:t>
      </w:r>
      <w:r>
        <w:rPr>
          <w:rStyle w:val="FootnoteReference"/>
        </w:rPr>
        <w:footnoteReference w:id="5"/>
      </w:r>
    </w:p>
    <w:p w14:paraId="42B62BE3" w14:textId="59D4DDFE" w:rsidR="00F1295C" w:rsidRPr="002406BB" w:rsidRDefault="00516CCE" w:rsidP="0093015A">
      <w:pPr>
        <w:spacing w:before="120" w:line="240" w:lineRule="auto"/>
      </w:pPr>
      <w:r>
        <w:t>I</w:t>
      </w:r>
      <w:r w:rsidR="00F1295C">
        <w:t xml:space="preserve">n </w:t>
      </w:r>
      <w:r w:rsidR="00D96904">
        <w:t>Queensland</w:t>
      </w:r>
      <w:r w:rsidR="00F1295C">
        <w:t xml:space="preserve">, </w:t>
      </w:r>
      <w:r w:rsidR="00BB3316">
        <w:t>Queensland Health authorised officers</w:t>
      </w:r>
      <w:r w:rsidR="00F1295C" w:rsidRPr="00961E21">
        <w:t xml:space="preserve"> </w:t>
      </w:r>
      <w:r w:rsidR="00F1295C">
        <w:t>can</w:t>
      </w:r>
      <w:r w:rsidR="00F1295C" w:rsidRPr="00961E21">
        <w:t xml:space="preserve"> </w:t>
      </w:r>
      <w:r>
        <w:t xml:space="preserve">now </w:t>
      </w:r>
      <w:r w:rsidR="00F1295C" w:rsidRPr="00961E21">
        <w:t xml:space="preserve">seize nitrous oxide </w:t>
      </w:r>
      <w:r w:rsidR="00F1295C">
        <w:t>canisters</w:t>
      </w:r>
      <w:r w:rsidR="00F1295C" w:rsidRPr="00961E21">
        <w:t xml:space="preserve"> found alongside illicit tobacco or nicotine products (such as vapes)</w:t>
      </w:r>
      <w:r w:rsidR="00F1295C" w:rsidRPr="002406BB">
        <w:t>.</w:t>
      </w:r>
      <w:r w:rsidR="00F1295C">
        <w:rPr>
          <w:rStyle w:val="FootnoteReference"/>
        </w:rPr>
        <w:footnoteReference w:id="6"/>
      </w:r>
    </w:p>
    <w:p w14:paraId="61BE71FD" w14:textId="1A3F8AF3" w:rsidR="00F1295C" w:rsidRDefault="00F1295C" w:rsidP="0093015A">
      <w:pPr>
        <w:spacing w:before="120" w:line="240" w:lineRule="auto"/>
      </w:pPr>
      <w:r>
        <w:t>In July 2026, N</w:t>
      </w:r>
      <w:r w:rsidR="0051067B">
        <w:t>ew South Wales</w:t>
      </w:r>
      <w:r>
        <w:t xml:space="preserve"> announced new restrictions on nitrous oxide sales that will be effective on 5 November 2026. Under these regulations, retail sales of bulbs containing 8–10 g of nitrous oxide will be capped at 250 g per customer per day and canisters or cylinders containing more than 10 g nitrous oxide will be banned from retail sale. Sales to individuals under 18 and </w:t>
      </w:r>
      <w:r w:rsidRPr="00F94907">
        <w:t>same</w:t>
      </w:r>
      <w:r>
        <w:t>-</w:t>
      </w:r>
      <w:r w:rsidRPr="00F94907">
        <w:t>day delivery and supply</w:t>
      </w:r>
      <w:r>
        <w:t xml:space="preserve"> will also be prohibited, and sales will be restricted </w:t>
      </w:r>
      <w:r w:rsidRPr="00F21C6C">
        <w:t>before 5</w:t>
      </w:r>
      <w:r>
        <w:t xml:space="preserve"> </w:t>
      </w:r>
      <w:r w:rsidRPr="00F21C6C">
        <w:t>am and after 10</w:t>
      </w:r>
      <w:r>
        <w:t xml:space="preserve"> </w:t>
      </w:r>
      <w:r w:rsidRPr="00F21C6C">
        <w:t>pm</w:t>
      </w:r>
      <w:r>
        <w:t>. Further, nitrous oxide products cannot be</w:t>
      </w:r>
      <w:r w:rsidRPr="00EC691C">
        <w:t xml:space="preserve"> visibly displayed to customers in retail settings</w:t>
      </w:r>
      <w:r>
        <w:t xml:space="preserve">. </w:t>
      </w:r>
      <w:r w:rsidRPr="00395AC4">
        <w:t>Exemptions will be in place for legitimate use such as food and beverage businesses, some industrial and commercial applications, and nitrous oxide that is used therapeutically.</w:t>
      </w:r>
      <w:r>
        <w:rPr>
          <w:rStyle w:val="FootnoteReference"/>
        </w:rPr>
        <w:footnoteReference w:id="7"/>
      </w:r>
    </w:p>
    <w:p w14:paraId="38E082E1" w14:textId="77777777" w:rsidR="000837D8" w:rsidRDefault="000837D8" w:rsidP="0093015A">
      <w:pPr>
        <w:spacing w:before="120" w:line="240" w:lineRule="auto"/>
      </w:pPr>
      <w:r>
        <w:lastRenderedPageBreak/>
        <w:t>Increasing reports of neurological and psychiatric harms associated with nitrous oxide use have prompted regulatory responses in multiple countries, including the United Kingdom and New Zealand.</w:t>
      </w:r>
      <w:r>
        <w:rPr>
          <w:rStyle w:val="FootnoteReference"/>
        </w:rPr>
        <w:footnoteReference w:id="8"/>
      </w:r>
      <w:r w:rsidRPr="00A80C87">
        <w:rPr>
          <w:vertAlign w:val="superscript"/>
        </w:rPr>
        <w:t>,</w:t>
      </w:r>
      <w:r>
        <w:rPr>
          <w:rStyle w:val="FootnoteReference"/>
        </w:rPr>
        <w:footnoteReference w:id="9"/>
      </w:r>
      <w:r>
        <w:t xml:space="preserve"> </w:t>
      </w:r>
    </w:p>
    <w:p w14:paraId="1809D2D9" w14:textId="77777777" w:rsidR="000837D8" w:rsidRDefault="000837D8" w:rsidP="0093015A">
      <w:pPr>
        <w:spacing w:before="120" w:line="240" w:lineRule="auto"/>
      </w:pPr>
      <w:r w:rsidRPr="002D2DCB">
        <w:t>The European Union Drugs Agency</w:t>
      </w:r>
      <w:r>
        <w:t xml:space="preserve"> and the</w:t>
      </w:r>
      <w:r w:rsidRPr="002D2DCB">
        <w:t xml:space="preserve"> UK’s Advisory Council on the Misuse of Drugs</w:t>
      </w:r>
      <w:r>
        <w:t xml:space="preserve"> have recommended:</w:t>
      </w:r>
    </w:p>
    <w:p w14:paraId="4BEA91E4" w14:textId="77777777" w:rsidR="000837D8" w:rsidRDefault="000837D8" w:rsidP="00682D89">
      <w:pPr>
        <w:pStyle w:val="ListParagraph"/>
        <w:numPr>
          <w:ilvl w:val="0"/>
          <w:numId w:val="48"/>
        </w:numPr>
      </w:pPr>
      <w:r>
        <w:t>limiting how many cartridges can be sold at once</w:t>
      </w:r>
    </w:p>
    <w:p w14:paraId="00EBC77A" w14:textId="77777777" w:rsidR="000837D8" w:rsidRDefault="000837D8" w:rsidP="00682D89">
      <w:pPr>
        <w:pStyle w:val="ListParagraph"/>
        <w:numPr>
          <w:ilvl w:val="0"/>
          <w:numId w:val="48"/>
        </w:numPr>
      </w:pPr>
      <w:r>
        <w:t>restricting online direct-to-customer sales</w:t>
      </w:r>
    </w:p>
    <w:p w14:paraId="70503928" w14:textId="77777777" w:rsidR="000837D8" w:rsidRDefault="000837D8" w:rsidP="00682D89">
      <w:pPr>
        <w:pStyle w:val="ListParagraph"/>
        <w:numPr>
          <w:ilvl w:val="0"/>
          <w:numId w:val="48"/>
        </w:numPr>
      </w:pPr>
      <w:r>
        <w:t>setting age limits for sales and requiring age checks in shops and online</w:t>
      </w:r>
    </w:p>
    <w:p w14:paraId="50ADA952" w14:textId="77777777" w:rsidR="000837D8" w:rsidRDefault="000837D8" w:rsidP="00682D89">
      <w:pPr>
        <w:pStyle w:val="ListParagraph"/>
        <w:numPr>
          <w:ilvl w:val="0"/>
          <w:numId w:val="48"/>
        </w:numPr>
      </w:pPr>
      <w:r>
        <w:t>preventing sales during certain hours, such as between 10 pm and 5 am</w:t>
      </w:r>
    </w:p>
    <w:p w14:paraId="3145827C" w14:textId="77777777" w:rsidR="000837D8" w:rsidRDefault="000837D8" w:rsidP="00682D89">
      <w:pPr>
        <w:pStyle w:val="ListParagraph"/>
        <w:numPr>
          <w:ilvl w:val="0"/>
          <w:numId w:val="48"/>
        </w:numPr>
      </w:pPr>
      <w:r>
        <w:t>restricting the sale of large cannister sizes not intended for legitimate use</w:t>
      </w:r>
    </w:p>
    <w:p w14:paraId="52ABA4C4" w14:textId="77777777" w:rsidR="000837D8" w:rsidRDefault="000837D8" w:rsidP="00682D89">
      <w:pPr>
        <w:pStyle w:val="ListParagraph"/>
        <w:numPr>
          <w:ilvl w:val="0"/>
          <w:numId w:val="48"/>
        </w:numPr>
      </w:pPr>
      <w:r>
        <w:t>banning sales in bars, clubs, and shops that sell alcohol, tobacco, or vapes.</w:t>
      </w:r>
    </w:p>
    <w:p w14:paraId="1DDCC541" w14:textId="77777777" w:rsidR="000837D8" w:rsidRDefault="000837D8" w:rsidP="0093015A">
      <w:pPr>
        <w:spacing w:before="120" w:line="240" w:lineRule="auto"/>
      </w:pPr>
      <w:r>
        <w:t xml:space="preserve">In the UK, since 8 November 2023, </w:t>
      </w:r>
      <w:r w:rsidRPr="0002399E">
        <w:t>possession of nitrous oxide is illegal</w:t>
      </w:r>
      <w:r w:rsidRPr="00B65C14">
        <w:t xml:space="preserve"> if it is, or is likely to be, wrongfully inhaled</w:t>
      </w:r>
      <w:r>
        <w:t xml:space="preserve"> (</w:t>
      </w:r>
      <w:r w:rsidRPr="002449FB">
        <w:t>inhalation other than for medical or dental purposes</w:t>
      </w:r>
      <w:r>
        <w:t xml:space="preserve"> or</w:t>
      </w:r>
      <w:r w:rsidRPr="002449FB">
        <w:t xml:space="preserve"> accidental inhalation</w:t>
      </w:r>
      <w:r>
        <w:t xml:space="preserve">). This includes possession for </w:t>
      </w:r>
      <w:r w:rsidRPr="00015CCC">
        <w:t>importation, exportation, production and supply</w:t>
      </w:r>
      <w:r>
        <w:t xml:space="preserve"> to another person.</w:t>
      </w:r>
    </w:p>
    <w:p w14:paraId="3987FE1E" w14:textId="002FB1E5" w:rsidR="000837D8" w:rsidRPr="00A80C87" w:rsidRDefault="000837D8" w:rsidP="0093015A">
      <w:pPr>
        <w:spacing w:before="120" w:line="240" w:lineRule="auto"/>
      </w:pPr>
      <w:r>
        <w:t>Since 5 June 2026</w:t>
      </w:r>
      <w:r w:rsidRPr="00A80C87">
        <w:t xml:space="preserve">, the New Zealand Government </w:t>
      </w:r>
      <w:r>
        <w:t xml:space="preserve">has implemented new </w:t>
      </w:r>
      <w:r w:rsidRPr="00A80C87">
        <w:t>regulat</w:t>
      </w:r>
      <w:r>
        <w:t>ions for</w:t>
      </w:r>
      <w:r w:rsidRPr="00A80C87">
        <w:t xml:space="preserve"> nitrous oxide to address harms associated with its unlawful psychoactive use. </w:t>
      </w:r>
      <w:r>
        <w:t>L</w:t>
      </w:r>
      <w:r w:rsidRPr="00A80C87">
        <w:t xml:space="preserve">arge nitrous oxide canisters containing more than 10 g of nitrous oxide and marketed for cream whipping are regulated as psychoactive substances under the </w:t>
      </w:r>
      <w:r w:rsidRPr="00A80C87">
        <w:rPr>
          <w:i/>
          <w:iCs/>
        </w:rPr>
        <w:t>Psychoactive Substances Act</w:t>
      </w:r>
      <w:r w:rsidR="007005D9">
        <w:rPr>
          <w:i/>
          <w:iCs/>
        </w:rPr>
        <w:t>,</w:t>
      </w:r>
      <w:r w:rsidRPr="00A80C87">
        <w:rPr>
          <w:i/>
          <w:iCs/>
        </w:rPr>
        <w:t xml:space="preserve"> 2013</w:t>
      </w:r>
      <w:r w:rsidRPr="00A80C87">
        <w:t>. The changes introduced stricter import controls, making it unlawful to import nitrous oxide without a permit issued by the Director-General of Health.</w:t>
      </w:r>
    </w:p>
    <w:p w14:paraId="312CA4E2" w14:textId="77777777" w:rsidR="000837D8" w:rsidRDefault="000837D8" w:rsidP="0093015A">
      <w:pPr>
        <w:spacing w:before="120" w:line="240" w:lineRule="auto"/>
      </w:pPr>
      <w:r w:rsidRPr="00A80C87">
        <w:t xml:space="preserve">To support the new requirements, </w:t>
      </w:r>
      <w:proofErr w:type="spellStart"/>
      <w:r w:rsidRPr="00A80C87">
        <w:t>Medsafe</w:t>
      </w:r>
      <w:proofErr w:type="spellEnd"/>
      <w:r w:rsidRPr="00A80C87">
        <w:t xml:space="preserve"> established the Nitrous Oxide Importer Permit Scheme, which allows the continued importation of nitrous oxide for legitimate purposes, including commercial, industrial, medicinal, scientific, educational and food preparation uses.</w:t>
      </w:r>
    </w:p>
    <w:p w14:paraId="59D410BA" w14:textId="035CFE13" w:rsidR="00382FD8" w:rsidRPr="00083054" w:rsidRDefault="00382FD8" w:rsidP="0093015A">
      <w:pPr>
        <w:spacing w:before="120" w:line="240" w:lineRule="auto"/>
        <w:rPr>
          <w:i/>
          <w:iCs/>
          <w:u w:val="single"/>
        </w:rPr>
      </w:pPr>
      <w:r w:rsidRPr="00083054">
        <w:rPr>
          <w:i/>
          <w:iCs/>
          <w:u w:val="single"/>
        </w:rPr>
        <w:t>Effect of the proposal on industry</w:t>
      </w:r>
    </w:p>
    <w:p w14:paraId="6CE01B7D" w14:textId="5C0F625A" w:rsidR="00AF0194" w:rsidRPr="00D411E3" w:rsidRDefault="00A93FED" w:rsidP="0093015A">
      <w:pPr>
        <w:spacing w:before="120" w:line="240" w:lineRule="auto"/>
      </w:pPr>
      <w:r>
        <w:t xml:space="preserve">Some </w:t>
      </w:r>
      <w:r w:rsidR="00217C3E" w:rsidRPr="00427354">
        <w:t xml:space="preserve">industry </w:t>
      </w:r>
      <w:r>
        <w:t xml:space="preserve">suppliers of small bulbs containing nitrous oxide have advised </w:t>
      </w:r>
      <w:r w:rsidR="00326ED5" w:rsidRPr="00427354">
        <w:t xml:space="preserve">that </w:t>
      </w:r>
      <w:r w:rsidR="00AF7BFC" w:rsidRPr="008534CE">
        <w:t>there</w:t>
      </w:r>
      <w:r w:rsidR="00AF7BFC" w:rsidRPr="00AF7BFC">
        <w:t xml:space="preserve"> is no legitimate use for the large non-refillable containers being marketed for culinary use. </w:t>
      </w:r>
      <w:r w:rsidR="00D94204" w:rsidRPr="00AF7BFC">
        <w:t xml:space="preserve">Cream chargers are specifically designed to be only pressurised from small single-use </w:t>
      </w:r>
      <w:proofErr w:type="gramStart"/>
      <w:r w:rsidR="00D94204" w:rsidRPr="00AF7BFC">
        <w:t>bulbs</w:t>
      </w:r>
      <w:proofErr w:type="gramEnd"/>
      <w:r w:rsidR="001C7EB3">
        <w:t xml:space="preserve"> and</w:t>
      </w:r>
      <w:r w:rsidR="00AF7BFC" w:rsidRPr="00AF7BFC">
        <w:t xml:space="preserve"> the</w:t>
      </w:r>
      <w:r w:rsidR="008E639F">
        <w:t xml:space="preserve">y are not designed to </w:t>
      </w:r>
      <w:r w:rsidR="00AF7BFC" w:rsidRPr="00AF7BFC">
        <w:t>reliabl</w:t>
      </w:r>
      <w:r w:rsidR="008E639F">
        <w:t xml:space="preserve">y or safely </w:t>
      </w:r>
      <w:r w:rsidR="00AF7BFC" w:rsidRPr="00AF7BFC">
        <w:t>pressurise the vessel from a larger container</w:t>
      </w:r>
      <w:r w:rsidR="008E639F">
        <w:t>/cylinder</w:t>
      </w:r>
      <w:r w:rsidR="00AF7BFC" w:rsidRPr="00AF7BFC">
        <w:t xml:space="preserve">, even with a regulator. </w:t>
      </w:r>
      <w:r w:rsidR="008E639F">
        <w:t xml:space="preserve">Industry raised </w:t>
      </w:r>
      <w:r w:rsidR="00C55727">
        <w:t xml:space="preserve">concerns that </w:t>
      </w:r>
      <w:r w:rsidR="00B25735">
        <w:t>if</w:t>
      </w:r>
      <w:r w:rsidR="00BA42CC">
        <w:t xml:space="preserve"> cream chargers are pressurised in a way contrary to its design, then it </w:t>
      </w:r>
      <w:r w:rsidR="00BA42CC" w:rsidRPr="00D411E3">
        <w:t>may pose a hazard to users.</w:t>
      </w:r>
    </w:p>
    <w:p w14:paraId="61622F07" w14:textId="55870D46" w:rsidR="00BA42CC" w:rsidRPr="00427354" w:rsidRDefault="00602C4A" w:rsidP="0093015A">
      <w:pPr>
        <w:spacing w:before="120" w:line="240" w:lineRule="auto"/>
      </w:pPr>
      <w:r w:rsidRPr="00427354">
        <w:t>Industry suppliers of medical</w:t>
      </w:r>
      <w:r w:rsidR="006C59DB" w:rsidRPr="00427354">
        <w:t xml:space="preserve"> and industrial gases are </w:t>
      </w:r>
      <w:r w:rsidR="009F0C50" w:rsidRPr="00427354">
        <w:t>not expected</w:t>
      </w:r>
      <w:r w:rsidR="006C59DB" w:rsidRPr="00427354">
        <w:t xml:space="preserve"> to be </w:t>
      </w:r>
      <w:r w:rsidR="00137623" w:rsidRPr="00427354">
        <w:t>affected by proposal 1 as</w:t>
      </w:r>
      <w:r w:rsidR="00773619">
        <w:t xml:space="preserve"> c</w:t>
      </w:r>
      <w:r w:rsidR="00CA1A85" w:rsidRPr="00427354">
        <w:t>ylinders</w:t>
      </w:r>
      <w:r w:rsidR="00773619">
        <w:t xml:space="preserve"> used for these purposes are</w:t>
      </w:r>
      <w:r w:rsidR="00C46CC7" w:rsidRPr="00427354">
        <w:t xml:space="preserve"> designed to be refilled</w:t>
      </w:r>
      <w:r w:rsidR="00CA1A85" w:rsidRPr="00427354">
        <w:t>.</w:t>
      </w:r>
      <w:r w:rsidR="005C3982" w:rsidRPr="00427354">
        <w:t xml:space="preserve"> The primary Australian Standard</w:t>
      </w:r>
      <w:r w:rsidR="00773619">
        <w:t>s</w:t>
      </w:r>
      <w:r w:rsidR="005C3982" w:rsidRPr="00427354">
        <w:t xml:space="preserve"> for refillable gas cylinders are </w:t>
      </w:r>
      <w:r w:rsidR="00D411E3" w:rsidRPr="00427354">
        <w:t>AS 2030.1</w:t>
      </w:r>
      <w:r w:rsidR="00F52AFB">
        <w:t>:2026</w:t>
      </w:r>
      <w:r w:rsidR="00D411E3" w:rsidRPr="00427354">
        <w:t xml:space="preserve"> (</w:t>
      </w:r>
      <w:r w:rsidR="009C41CB" w:rsidRPr="009C41CB">
        <w:t>Gas cylinders General requirements for pressure receptacles</w:t>
      </w:r>
      <w:r w:rsidR="00D411E3" w:rsidRPr="00427354">
        <w:t>) and AS 2030.5</w:t>
      </w:r>
      <w:r w:rsidR="002D0EC6">
        <w:t>:2026</w:t>
      </w:r>
      <w:r w:rsidR="00D411E3" w:rsidRPr="00427354">
        <w:t xml:space="preserve"> (</w:t>
      </w:r>
      <w:r w:rsidR="00E622A1" w:rsidRPr="00E622A1">
        <w:t>Gas cylinders Filling, inspection and testing of refillable cylinders</w:t>
      </w:r>
      <w:r w:rsidR="00D411E3" w:rsidRPr="00427354">
        <w:t>).</w:t>
      </w:r>
    </w:p>
    <w:p w14:paraId="75F16CB6" w14:textId="663E5D53" w:rsidR="00853393" w:rsidRDefault="00853393" w:rsidP="00853393">
      <w:pPr>
        <w:pStyle w:val="Heading4"/>
      </w:pPr>
      <w:bookmarkStart w:id="17" w:name="_Toc239763007"/>
      <w:r>
        <w:t>Applicant reasons for proposal 2</w:t>
      </w:r>
      <w:bookmarkEnd w:id="17"/>
    </w:p>
    <w:p w14:paraId="055E5554" w14:textId="1D08B1BE" w:rsidR="00D44D5C" w:rsidRDefault="00D44D5C" w:rsidP="00682D89">
      <w:pPr>
        <w:pStyle w:val="ListBullet"/>
        <w:numPr>
          <w:ilvl w:val="0"/>
          <w:numId w:val="0"/>
        </w:numPr>
      </w:pPr>
      <w:r w:rsidRPr="005E4E52">
        <w:t xml:space="preserve">Significant </w:t>
      </w:r>
      <w:r>
        <w:t xml:space="preserve">divergence occurs </w:t>
      </w:r>
      <w:r w:rsidRPr="005E4E52">
        <w:t xml:space="preserve">from </w:t>
      </w:r>
      <w:r>
        <w:t xml:space="preserve">the legitimate </w:t>
      </w:r>
      <w:r w:rsidRPr="005E4E52">
        <w:t xml:space="preserve">supply </w:t>
      </w:r>
      <w:r>
        <w:t xml:space="preserve">of </w:t>
      </w:r>
      <w:r w:rsidRPr="005E4E52">
        <w:t xml:space="preserve">nitrous oxide </w:t>
      </w:r>
      <w:r>
        <w:t xml:space="preserve">for </w:t>
      </w:r>
      <w:r w:rsidRPr="005E4E52">
        <w:t xml:space="preserve">culinary </w:t>
      </w:r>
      <w:r>
        <w:t xml:space="preserve">purposes </w:t>
      </w:r>
      <w:r w:rsidRPr="005E4E52">
        <w:t>into illicit use</w:t>
      </w:r>
      <w:r>
        <w:t xml:space="preserve"> and</w:t>
      </w:r>
      <w:r w:rsidRPr="005E4E52">
        <w:t xml:space="preserve"> thousands of tonnes </w:t>
      </w:r>
      <w:r>
        <w:t xml:space="preserve">are </w:t>
      </w:r>
      <w:r w:rsidRPr="005E4E52">
        <w:t>reportedly sold each year under the guise of culinary use.</w:t>
      </w:r>
      <w:r>
        <w:t xml:space="preserve"> </w:t>
      </w:r>
      <w:r w:rsidR="00D23594">
        <w:t>A</w:t>
      </w:r>
      <w:r w:rsidR="00D23594" w:rsidRPr="005E4E52">
        <w:t>round 90% of nitrous oxide imported into Australia may be illicitly used.</w:t>
      </w:r>
    </w:p>
    <w:p w14:paraId="0EFC3350" w14:textId="01E5C48D" w:rsidR="00D44D5C" w:rsidRDefault="005210D1" w:rsidP="00682D89">
      <w:pPr>
        <w:pStyle w:val="ListBullet"/>
        <w:numPr>
          <w:ilvl w:val="0"/>
          <w:numId w:val="0"/>
        </w:numPr>
      </w:pPr>
      <w:r>
        <w:t>I</w:t>
      </w:r>
      <w:r w:rsidR="00D44D5C" w:rsidRPr="005E4E52">
        <w:t xml:space="preserve">mport data released by the Australian Border Force </w:t>
      </w:r>
      <w:r w:rsidR="00D44D5C">
        <w:t>showed</w:t>
      </w:r>
      <w:r w:rsidR="00D44D5C" w:rsidRPr="005E4E52">
        <w:t xml:space="preserve"> </w:t>
      </w:r>
      <w:r w:rsidR="00682D89">
        <w:t xml:space="preserve">a </w:t>
      </w:r>
      <w:r w:rsidR="00D44D5C" w:rsidRPr="005E4E52">
        <w:t>major increase in nitrous oxide imports over the past decade</w:t>
      </w:r>
      <w:r w:rsidR="004B0E86">
        <w:t xml:space="preserve"> with imports rising to</w:t>
      </w:r>
      <w:r w:rsidR="004B0E86" w:rsidRPr="005E4E52">
        <w:t xml:space="preserve"> almost 4,000 tonnes by 2025</w:t>
      </w:r>
      <w:r w:rsidR="004B0E86">
        <w:t xml:space="preserve">. Concomitantly, </w:t>
      </w:r>
      <w:r w:rsidR="00CA158E">
        <w:t>s</w:t>
      </w:r>
      <w:r w:rsidR="00140B46">
        <w:t>ince 2018 in</w:t>
      </w:r>
      <w:r w:rsidR="008C14D8">
        <w:t>t</w:t>
      </w:r>
      <w:r w:rsidR="00D44D5C" w:rsidRPr="005E4E52">
        <w:t>ernet searches</w:t>
      </w:r>
      <w:r w:rsidR="008C14D8">
        <w:t xml:space="preserve"> for nitrous oxide</w:t>
      </w:r>
      <w:r w:rsidR="00D44D5C" w:rsidRPr="005E4E52">
        <w:t xml:space="preserve">, </w:t>
      </w:r>
      <w:r w:rsidR="008C14D8" w:rsidRPr="005E4E52">
        <w:t xml:space="preserve">delivery services </w:t>
      </w:r>
      <w:r w:rsidR="00D44D5C" w:rsidRPr="005E4E52">
        <w:t xml:space="preserve">hospital presentations </w:t>
      </w:r>
      <w:r w:rsidR="008C14D8">
        <w:t xml:space="preserve">related to the gas has </w:t>
      </w:r>
      <w:r w:rsidR="00CA158E">
        <w:t>also steadily</w:t>
      </w:r>
      <w:r w:rsidR="008C14D8">
        <w:t xml:space="preserve"> increased</w:t>
      </w:r>
      <w:r w:rsidR="00D23594">
        <w:t>.</w:t>
      </w:r>
    </w:p>
    <w:p w14:paraId="7C493596" w14:textId="012AF4EF" w:rsidR="00D44D5C" w:rsidRPr="005E4E52" w:rsidRDefault="00D44D5C" w:rsidP="00682D89">
      <w:pPr>
        <w:pStyle w:val="ListBullet"/>
        <w:numPr>
          <w:ilvl w:val="0"/>
          <w:numId w:val="0"/>
        </w:numPr>
      </w:pPr>
      <w:r w:rsidRPr="005E4E52">
        <w:t>Nitrous oxide is sold in tobacconists and in large canisters with no legitimate food purpose, often displayed alongside drug-use paraphernalia.</w:t>
      </w:r>
      <w:r w:rsidR="001C02AE">
        <w:t xml:space="preserve"> Large bottles have become more common and </w:t>
      </w:r>
      <w:r>
        <w:t>m</w:t>
      </w:r>
      <w:r w:rsidRPr="005E4E52">
        <w:t xml:space="preserve">ost </w:t>
      </w:r>
      <w:r>
        <w:t xml:space="preserve">of the </w:t>
      </w:r>
      <w:r w:rsidRPr="005E4E52">
        <w:t xml:space="preserve">sales occur online, meaning retail display restrictions alone are unlikely to be effective. Online delivery services supply large quantities within minutes, </w:t>
      </w:r>
      <w:r w:rsidR="0005374A">
        <w:t xml:space="preserve">claiming </w:t>
      </w:r>
      <w:r w:rsidRPr="005E4E52">
        <w:t xml:space="preserve">hospitality-supplier </w:t>
      </w:r>
      <w:r w:rsidR="0005374A">
        <w:t>use</w:t>
      </w:r>
      <w:r w:rsidRPr="005E4E52">
        <w:t>.</w:t>
      </w:r>
      <w:r>
        <w:t xml:space="preserve"> </w:t>
      </w:r>
      <w:r w:rsidRPr="005E4E52">
        <w:t xml:space="preserve">Large-volume online sales allow users to cheaply stockpile hundreds or thousands of </w:t>
      </w:r>
      <w:r w:rsidR="00080E6F">
        <w:t>bulbs</w:t>
      </w:r>
      <w:r w:rsidRPr="005E4E52">
        <w:t>, weakening the effect of restrictions on trading hours or retail sales</w:t>
      </w:r>
      <w:r w:rsidR="00296F3B">
        <w:t>.</w:t>
      </w:r>
    </w:p>
    <w:p w14:paraId="1F99BE2B" w14:textId="5A2B5ACB" w:rsidR="00D44D5C" w:rsidRDefault="00080E6F" w:rsidP="00682D89">
      <w:pPr>
        <w:pStyle w:val="ListBullet"/>
        <w:numPr>
          <w:ilvl w:val="0"/>
          <w:numId w:val="0"/>
        </w:numPr>
      </w:pPr>
      <w:r>
        <w:lastRenderedPageBreak/>
        <w:t>The applicant asserts that c</w:t>
      </w:r>
      <w:r w:rsidR="00D44D5C" w:rsidRPr="005E4E52">
        <w:t>urrent state-based reforms are ad hoc and insufficient because they do not address the main supply-side drivers of misuse. Existing penalties are too lenient to deter suppliers, and prosecution is difficult because authorities must prove knowledge or intent.</w:t>
      </w:r>
    </w:p>
    <w:p w14:paraId="68214911" w14:textId="77777777" w:rsidR="00D44D5C" w:rsidRPr="005E4E52" w:rsidRDefault="00D44D5C" w:rsidP="00682D89">
      <w:pPr>
        <w:pStyle w:val="ListBullet"/>
        <w:numPr>
          <w:ilvl w:val="0"/>
          <w:numId w:val="0"/>
        </w:numPr>
      </w:pPr>
      <w:r w:rsidRPr="005E4E52">
        <w:t>Illicit users are young, influenced by perceptions that nitrous oxide is safe, cheap, readily available and effectively legal.</w:t>
      </w:r>
      <w:r>
        <w:t xml:space="preserve"> </w:t>
      </w:r>
      <w:r w:rsidRPr="005E4E52">
        <w:t>Most users are said to be in their 20s, not under 18, limiting the effectiveness of age-based restrictions</w:t>
      </w:r>
      <w:r>
        <w:t>.</w:t>
      </w:r>
    </w:p>
    <w:p w14:paraId="5FFCFC06" w14:textId="4C470B5E" w:rsidR="00D44D5C" w:rsidRDefault="009F4856" w:rsidP="00682D89">
      <w:pPr>
        <w:pStyle w:val="ListBullet"/>
        <w:numPr>
          <w:ilvl w:val="0"/>
          <w:numId w:val="0"/>
        </w:numPr>
      </w:pPr>
      <w:r>
        <w:t>The applicant argues that there are l</w:t>
      </w:r>
      <w:r w:rsidR="00D44D5C">
        <w:t>egal loopholes around n</w:t>
      </w:r>
      <w:r w:rsidR="00D44D5C" w:rsidRPr="005E4E52">
        <w:t xml:space="preserve">itrous oxide sold online, including through 24/7 delivery websites, </w:t>
      </w:r>
      <w:r>
        <w:t xml:space="preserve">that </w:t>
      </w:r>
      <w:r w:rsidR="00D44D5C">
        <w:t>make</w:t>
      </w:r>
      <w:r w:rsidR="00D44D5C" w:rsidRPr="005E4E52">
        <w:t xml:space="preserve"> prosecution difficult</w:t>
      </w:r>
      <w:r w:rsidR="00D44D5C">
        <w:t>. As a result, p</w:t>
      </w:r>
      <w:r w:rsidR="00D44D5C" w:rsidRPr="005E4E52">
        <w:t>rosecutions for illegal supply are rare despite widespread misuse.</w:t>
      </w:r>
    </w:p>
    <w:p w14:paraId="075D4CC6" w14:textId="74C72861" w:rsidR="00D44D5C" w:rsidRDefault="00D23ECD" w:rsidP="00682D89">
      <w:pPr>
        <w:pStyle w:val="ListBullet"/>
        <w:numPr>
          <w:ilvl w:val="0"/>
          <w:numId w:val="0"/>
        </w:numPr>
      </w:pPr>
      <w:r w:rsidRPr="005E4E52">
        <w:t>Suppliers drive misuse through aggressive marketing, late-night operations, rapid delivery and sales volumes far beyond legitimate culinary needs.</w:t>
      </w:r>
      <w:r>
        <w:t xml:space="preserve"> </w:t>
      </w:r>
      <w:r w:rsidR="00D44D5C">
        <w:t>Based on findings from o</w:t>
      </w:r>
      <w:r w:rsidR="00D44D5C" w:rsidRPr="005E4E52">
        <w:t>verseas litigation</w:t>
      </w:r>
      <w:r w:rsidR="00D44D5C">
        <w:t>s,</w:t>
      </w:r>
      <w:r w:rsidR="00D44D5C" w:rsidRPr="005E4E52">
        <w:t xml:space="preserve"> some suppliers kn</w:t>
      </w:r>
      <w:r w:rsidR="00D44D5C">
        <w:t>ow</w:t>
      </w:r>
      <w:r w:rsidR="00D44D5C" w:rsidRPr="005E4E52">
        <w:t xml:space="preserve"> or should have known their products would be inhaled recreationally.</w:t>
      </w:r>
    </w:p>
    <w:p w14:paraId="64335FC2" w14:textId="12C84279" w:rsidR="006E402D" w:rsidRDefault="00B01E6C" w:rsidP="006E402D">
      <w:pPr>
        <w:pStyle w:val="Heading4"/>
      </w:pPr>
      <w:bookmarkStart w:id="18" w:name="_Toc239763008"/>
      <w:r>
        <w:t>Background</w:t>
      </w:r>
      <w:bookmarkEnd w:id="18"/>
    </w:p>
    <w:p w14:paraId="3CF694FC" w14:textId="5B65193B" w:rsidR="00B01E6C" w:rsidRDefault="00B01E6C" w:rsidP="00065C4C">
      <w:pPr>
        <w:spacing w:before="120" w:line="240" w:lineRule="auto"/>
      </w:pPr>
      <w:r>
        <w:t xml:space="preserve">Nitrous oxide (CAS </w:t>
      </w:r>
      <w:r w:rsidR="00871ABF">
        <w:t>No.</w:t>
      </w:r>
      <w:r>
        <w:t xml:space="preserve"> </w:t>
      </w:r>
      <w:r w:rsidRPr="008F2B33">
        <w:t>10024-97-2</w:t>
      </w:r>
      <w:r>
        <w:t>) is used in d</w:t>
      </w:r>
      <w:r w:rsidRPr="004308D0">
        <w:t xml:space="preserve">ental and medical practices for </w:t>
      </w:r>
      <w:r w:rsidRPr="007C42B6">
        <w:t>pain relief</w:t>
      </w:r>
      <w:r>
        <w:t xml:space="preserve"> and</w:t>
      </w:r>
      <w:r w:rsidRPr="007C42B6">
        <w:t xml:space="preserve"> </w:t>
      </w:r>
      <w:r w:rsidRPr="004308D0">
        <w:t>sedatio</w:t>
      </w:r>
      <w:r>
        <w:t xml:space="preserve">n, and by food and beverage businesses </w:t>
      </w:r>
      <w:r w:rsidRPr="00292055">
        <w:t>as a food additive to create whipped cream, to infuse flavours into alcoholic drinks, and to create mousses and foams</w:t>
      </w:r>
      <w:r>
        <w:t>. It is also</w:t>
      </w:r>
      <w:r w:rsidRPr="00292055" w:rsidDel="00292055">
        <w:t xml:space="preserve"> </w:t>
      </w:r>
      <w:r>
        <w:t xml:space="preserve">used in the automotive industry </w:t>
      </w:r>
      <w:r w:rsidRPr="007A1FAB">
        <w:t>to enhance engine performance</w:t>
      </w:r>
      <w:r>
        <w:t>.</w:t>
      </w:r>
    </w:p>
    <w:p w14:paraId="09F516A5" w14:textId="55EABE81" w:rsidR="0082270F" w:rsidRDefault="0082270F" w:rsidP="0082270F">
      <w:pPr>
        <w:spacing w:before="120" w:line="240" w:lineRule="auto"/>
      </w:pPr>
      <w:r>
        <w:t>N</w:t>
      </w:r>
      <w:r w:rsidRPr="00EC2D31">
        <w:t xml:space="preserve">itrous </w:t>
      </w:r>
      <w:r>
        <w:t>o</w:t>
      </w:r>
      <w:r w:rsidRPr="00EC2D31">
        <w:t xml:space="preserve">xide </w:t>
      </w:r>
      <w:r>
        <w:t xml:space="preserve">for medical use is supplied in large cylinders that are </w:t>
      </w:r>
      <w:r w:rsidRPr="00095B85">
        <w:t xml:space="preserve">not available for purchase by the </w:t>
      </w:r>
      <w:proofErr w:type="gramStart"/>
      <w:r w:rsidRPr="00095B85">
        <w:t>general public</w:t>
      </w:r>
      <w:proofErr w:type="gramEnd"/>
      <w:r>
        <w:t>.</w:t>
      </w:r>
      <w:r w:rsidRPr="00095B85">
        <w:t xml:space="preserve"> </w:t>
      </w:r>
      <w:r>
        <w:t xml:space="preserve">For food and beverage use, nitrous oxide is supplied as compressed liquified gas in small metal bulbs (~8 g, single use containers suitable for cream chargers). Nitrous oxide is also supplied in larger non-refillable cylinders (from ~300 g to up to </w:t>
      </w:r>
      <w:r w:rsidR="00AD78B2">
        <w:t>~</w:t>
      </w:r>
      <w:r>
        <w:t>2 kg) marketed for culinary use</w:t>
      </w:r>
      <w:r w:rsidR="00882EA2">
        <w:t>.</w:t>
      </w:r>
    </w:p>
    <w:p w14:paraId="2F2E956F" w14:textId="77777777" w:rsidR="00366DAB" w:rsidRPr="00B138CB" w:rsidRDefault="00366DAB" w:rsidP="00083054">
      <w:pPr>
        <w:spacing w:before="120" w:line="240" w:lineRule="auto"/>
        <w:rPr>
          <w:i/>
          <w:iCs/>
          <w:u w:val="single"/>
        </w:rPr>
      </w:pPr>
      <w:r w:rsidRPr="00B138CB">
        <w:rPr>
          <w:i/>
          <w:iCs/>
          <w:u w:val="single"/>
        </w:rPr>
        <w:t>Misuse</w:t>
      </w:r>
    </w:p>
    <w:p w14:paraId="29279260" w14:textId="77777777" w:rsidR="00366DAB" w:rsidRDefault="00366DAB" w:rsidP="00065C4C">
      <w:pPr>
        <w:spacing w:before="120" w:line="240" w:lineRule="auto"/>
      </w:pPr>
      <w:r>
        <w:t xml:space="preserve">Nitrous oxide, when misused for recreational purposes </w:t>
      </w:r>
      <w:r w:rsidRPr="00EE3133">
        <w:t xml:space="preserve">is inhaled </w:t>
      </w:r>
      <w:r>
        <w:t>through 2 main methods:</w:t>
      </w:r>
    </w:p>
    <w:p w14:paraId="6E27388D" w14:textId="77777777" w:rsidR="00366DAB" w:rsidRDefault="00366DAB" w:rsidP="00682D89">
      <w:pPr>
        <w:pStyle w:val="ListParagraph"/>
        <w:numPr>
          <w:ilvl w:val="0"/>
          <w:numId w:val="46"/>
        </w:numPr>
      </w:pPr>
      <w:r w:rsidRPr="00EE3133">
        <w:t xml:space="preserve">by releasing nitrous gas </w:t>
      </w:r>
      <w:r>
        <w:t xml:space="preserve">from </w:t>
      </w:r>
      <w:r w:rsidRPr="00EE3133">
        <w:t>cartridges (</w:t>
      </w:r>
      <w:r>
        <w:t xml:space="preserve">also referred to as </w:t>
      </w:r>
      <w:r w:rsidRPr="00EE3133">
        <w:t>bulbs</w:t>
      </w:r>
      <w:r>
        <w:t>,</w:t>
      </w:r>
      <w:r w:rsidRPr="00EE3133">
        <w:t xml:space="preserve"> whippets</w:t>
      </w:r>
      <w:r>
        <w:t>, or “</w:t>
      </w:r>
      <w:proofErr w:type="spellStart"/>
      <w:r>
        <w:t>nangs</w:t>
      </w:r>
      <w:proofErr w:type="spellEnd"/>
      <w:r>
        <w:t>”</w:t>
      </w:r>
      <w:r w:rsidRPr="00EE3133">
        <w:t>) into another object, such as a balloon</w:t>
      </w:r>
      <w:r>
        <w:t xml:space="preserve"> from which the gas is inhaled, or</w:t>
      </w:r>
    </w:p>
    <w:p w14:paraId="71B16498" w14:textId="77777777" w:rsidR="00366DAB" w:rsidRDefault="00366DAB" w:rsidP="00682D89">
      <w:pPr>
        <w:pStyle w:val="ListParagraph"/>
        <w:numPr>
          <w:ilvl w:val="0"/>
          <w:numId w:val="46"/>
        </w:numPr>
      </w:pPr>
      <w:r>
        <w:t>larger non-refillable containers supplied with a simple regulator, tubing and face mask to deliver the gas for inhalation.</w:t>
      </w:r>
    </w:p>
    <w:p w14:paraId="27760214" w14:textId="3D6D004C" w:rsidR="00B138CB" w:rsidRDefault="00366DAB" w:rsidP="00065C4C">
      <w:pPr>
        <w:spacing w:before="120" w:line="240" w:lineRule="auto"/>
        <w:rPr>
          <w:vertAlign w:val="superscript"/>
        </w:rPr>
      </w:pPr>
      <w:r>
        <w:t>Inhalation results in immediate, but short-lived, dissociation (</w:t>
      </w:r>
      <w:r w:rsidRPr="00C73356">
        <w:t>feel</w:t>
      </w:r>
      <w:r>
        <w:t>ing</w:t>
      </w:r>
      <w:r w:rsidRPr="00C73356">
        <w:t xml:space="preserve"> separated or detached from body or physical environment</w:t>
      </w:r>
      <w:r>
        <w:t>)</w:t>
      </w:r>
      <w:r w:rsidRPr="00EE3133">
        <w:t>.</w:t>
      </w:r>
      <w:r>
        <w:t xml:space="preserve"> </w:t>
      </w:r>
      <w:r w:rsidRPr="006E0FD3">
        <w:t>Frequently inhaling large amounts of nitrous oxide can lead</w:t>
      </w:r>
      <w:r>
        <w:t xml:space="preserve"> to numbness and tingling in the hands or feet, poor balance and coordination, memory loss, </w:t>
      </w:r>
      <w:r w:rsidRPr="00A554D8">
        <w:t>psychological disturbances</w:t>
      </w:r>
      <w:r>
        <w:t xml:space="preserve"> and serious neurological effects including permanent brain and spinal cord damage. Inhaling large amount of nitrous oxide can lead to loss of blood pressure, fainting, hypoxia and heart attacks which could be fatal.</w:t>
      </w:r>
      <w:r>
        <w:rPr>
          <w:rStyle w:val="FootnoteReference"/>
        </w:rPr>
        <w:footnoteReference w:id="10"/>
      </w:r>
      <w:r w:rsidRPr="00F85028">
        <w:rPr>
          <w:vertAlign w:val="superscript"/>
        </w:rPr>
        <w:t>,</w:t>
      </w:r>
      <w:r>
        <w:rPr>
          <w:rStyle w:val="FootnoteReference"/>
        </w:rPr>
        <w:footnoteReference w:id="11"/>
      </w:r>
    </w:p>
    <w:p w14:paraId="4A4261E8" w14:textId="01EEDA86" w:rsidR="00B01E6C" w:rsidRPr="00B01E6C" w:rsidRDefault="00B01E6C" w:rsidP="00083054">
      <w:pPr>
        <w:spacing w:before="120" w:line="240" w:lineRule="auto"/>
        <w:rPr>
          <w:i/>
          <w:iCs/>
          <w:u w:val="single"/>
        </w:rPr>
      </w:pPr>
      <w:r w:rsidRPr="00B01E6C">
        <w:rPr>
          <w:i/>
          <w:iCs/>
          <w:u w:val="single"/>
        </w:rPr>
        <w:t>Current scheduling</w:t>
      </w:r>
    </w:p>
    <w:p w14:paraId="6FB2D3C7" w14:textId="77777777" w:rsidR="00B01E6C" w:rsidRPr="00B00854" w:rsidRDefault="00B01E6C" w:rsidP="00065C4C">
      <w:pPr>
        <w:spacing w:before="120" w:line="240" w:lineRule="auto"/>
        <w:rPr>
          <w:rFonts w:ascii="Segoe UI" w:eastAsia="Times New Roman" w:hAnsi="Segoe UI" w:cs="Segoe UI"/>
          <w:sz w:val="18"/>
          <w:szCs w:val="18"/>
          <w:lang w:eastAsia="zh-TW"/>
        </w:rPr>
      </w:pPr>
      <w:r>
        <w:t xml:space="preserve">Nitrous oxide is </w:t>
      </w:r>
      <w:r w:rsidRPr="00B00854">
        <w:rPr>
          <w:rFonts w:eastAsia="Times New Roman" w:cs="Arial"/>
          <w:lang w:eastAsia="zh-TW"/>
        </w:rPr>
        <w:t>currently listed in Schedules </w:t>
      </w:r>
      <w:r>
        <w:rPr>
          <w:rFonts w:eastAsia="Times New Roman" w:cs="Arial"/>
          <w:lang w:eastAsia="zh-TW"/>
        </w:rPr>
        <w:t>4 and 6 and of</w:t>
      </w:r>
      <w:r w:rsidRPr="00B00854">
        <w:rPr>
          <w:rFonts w:eastAsia="Times New Roman" w:cs="Arial"/>
          <w:lang w:eastAsia="zh-TW"/>
        </w:rPr>
        <w:t xml:space="preserve"> the Poisons Standard as follows:</w:t>
      </w:r>
    </w:p>
    <w:p w14:paraId="3A735E12" w14:textId="77777777" w:rsidR="00B01E6C" w:rsidRPr="00B00854" w:rsidRDefault="00B01E6C" w:rsidP="00B01E6C">
      <w:pPr>
        <w:spacing w:before="120" w:line="240" w:lineRule="auto"/>
        <w:ind w:left="420"/>
        <w:textAlignment w:val="baseline"/>
        <w:rPr>
          <w:rFonts w:ascii="Segoe UI" w:eastAsia="Times New Roman" w:hAnsi="Segoe UI" w:cs="Segoe UI"/>
          <w:sz w:val="18"/>
          <w:szCs w:val="18"/>
          <w:lang w:eastAsia="zh-TW"/>
        </w:rPr>
      </w:pPr>
      <w:r w:rsidRPr="00B00854">
        <w:rPr>
          <w:rFonts w:eastAsia="Times New Roman" w:cs="Arial"/>
          <w:b/>
          <w:bCs/>
          <w:lang w:eastAsia="zh-TW"/>
        </w:rPr>
        <w:t>Schedule</w:t>
      </w:r>
      <w:r>
        <w:rPr>
          <w:rFonts w:eastAsia="Times New Roman" w:cs="Arial"/>
          <w:b/>
          <w:bCs/>
          <w:lang w:eastAsia="zh-TW"/>
        </w:rPr>
        <w:t xml:space="preserve"> 4</w:t>
      </w:r>
    </w:p>
    <w:p w14:paraId="76ECBE37" w14:textId="77777777" w:rsidR="00B01E6C" w:rsidRPr="00CA6BEF" w:rsidRDefault="00B01E6C" w:rsidP="00C3308D">
      <w:pPr>
        <w:spacing w:before="120" w:line="240" w:lineRule="auto"/>
        <w:ind w:left="420" w:firstLine="300"/>
        <w:textAlignment w:val="baseline"/>
        <w:rPr>
          <w:rFonts w:eastAsia="Times New Roman" w:cs="Arial"/>
          <w:lang w:eastAsia="zh-TW"/>
        </w:rPr>
      </w:pPr>
      <w:r w:rsidRPr="00CA6BEF">
        <w:rPr>
          <w:rFonts w:eastAsia="Times New Roman" w:cs="Arial"/>
          <w:lang w:eastAsia="zh-TW"/>
        </w:rPr>
        <w:t>NITROUS OXIDE</w:t>
      </w:r>
      <w:r>
        <w:rPr>
          <w:rFonts w:eastAsia="Times New Roman" w:cs="Arial"/>
          <w:lang w:eastAsia="zh-TW"/>
        </w:rPr>
        <w:t xml:space="preserve"> </w:t>
      </w:r>
      <w:r w:rsidRPr="00813234">
        <w:rPr>
          <w:rFonts w:eastAsia="Times New Roman" w:cs="Arial"/>
          <w:lang w:eastAsia="zh-TW"/>
        </w:rPr>
        <w:t>for therapeutic use</w:t>
      </w:r>
    </w:p>
    <w:p w14:paraId="734A3079" w14:textId="77777777" w:rsidR="00B01E6C" w:rsidRPr="00B00854" w:rsidRDefault="00B01E6C" w:rsidP="00B01E6C">
      <w:pPr>
        <w:spacing w:before="120" w:line="240" w:lineRule="auto"/>
        <w:ind w:left="420"/>
        <w:textAlignment w:val="baseline"/>
        <w:rPr>
          <w:rFonts w:ascii="Segoe UI" w:eastAsia="Times New Roman" w:hAnsi="Segoe UI" w:cs="Segoe UI"/>
          <w:sz w:val="18"/>
          <w:szCs w:val="18"/>
          <w:lang w:eastAsia="zh-TW"/>
        </w:rPr>
      </w:pPr>
      <w:r w:rsidRPr="00B00854">
        <w:rPr>
          <w:rFonts w:eastAsia="Times New Roman" w:cs="Arial"/>
          <w:b/>
          <w:bCs/>
          <w:lang w:eastAsia="zh-TW"/>
        </w:rPr>
        <w:t>Schedule</w:t>
      </w:r>
      <w:r>
        <w:rPr>
          <w:rFonts w:eastAsia="Times New Roman" w:cs="Arial"/>
          <w:b/>
          <w:bCs/>
          <w:lang w:eastAsia="zh-TW"/>
        </w:rPr>
        <w:t xml:space="preserve"> 6</w:t>
      </w:r>
    </w:p>
    <w:p w14:paraId="003292C3" w14:textId="77777777" w:rsidR="00B01E6C" w:rsidRPr="00CA6BEF" w:rsidRDefault="00B01E6C" w:rsidP="00C3308D">
      <w:pPr>
        <w:spacing w:before="120" w:line="240" w:lineRule="auto"/>
        <w:ind w:left="420" w:firstLine="300"/>
        <w:textAlignment w:val="baseline"/>
        <w:rPr>
          <w:rFonts w:eastAsia="Times New Roman" w:cs="Arial"/>
          <w:lang w:eastAsia="zh-TW"/>
        </w:rPr>
      </w:pPr>
      <w:r w:rsidRPr="00CA6BEF">
        <w:rPr>
          <w:rFonts w:eastAsia="Times New Roman" w:cs="Arial"/>
          <w:lang w:eastAsia="zh-TW"/>
        </w:rPr>
        <w:t>NITROUS OXIDE</w:t>
      </w:r>
      <w:r>
        <w:rPr>
          <w:rFonts w:eastAsia="Times New Roman" w:cs="Arial"/>
          <w:lang w:eastAsia="zh-TW"/>
        </w:rPr>
        <w:t xml:space="preserve"> </w:t>
      </w:r>
      <w:r w:rsidRPr="00263732">
        <w:rPr>
          <w:rFonts w:eastAsia="Times New Roman" w:cs="Arial"/>
          <w:b/>
          <w:bCs/>
          <w:lang w:eastAsia="zh-TW"/>
        </w:rPr>
        <w:t>except</w:t>
      </w:r>
      <w:r w:rsidRPr="00263732">
        <w:rPr>
          <w:rFonts w:eastAsia="Times New Roman" w:cs="Arial"/>
          <w:lang w:eastAsia="zh-TW"/>
        </w:rPr>
        <w:t xml:space="preserve"> when included in Schedule 4</w:t>
      </w:r>
      <w:r>
        <w:rPr>
          <w:rFonts w:eastAsia="Times New Roman" w:cs="Arial"/>
          <w:lang w:eastAsia="zh-TW"/>
        </w:rPr>
        <w:t>.</w:t>
      </w:r>
    </w:p>
    <w:p w14:paraId="2F34FF9C" w14:textId="77777777" w:rsidR="00B01E6C" w:rsidRDefault="00B01E6C" w:rsidP="00B01E6C">
      <w:pPr>
        <w:spacing w:before="120" w:line="240" w:lineRule="auto"/>
        <w:textAlignment w:val="baseline"/>
        <w:rPr>
          <w:rFonts w:eastAsia="Times New Roman" w:cs="Arial"/>
          <w:lang w:eastAsia="zh-TW"/>
        </w:rPr>
      </w:pPr>
      <w:r>
        <w:t>Nitrous oxide</w:t>
      </w:r>
      <w:r w:rsidRPr="00B00854">
        <w:rPr>
          <w:rFonts w:eastAsia="Times New Roman" w:cs="Arial"/>
          <w:lang w:eastAsia="zh-TW"/>
        </w:rPr>
        <w:t xml:space="preserve"> is also included </w:t>
      </w:r>
      <w:r w:rsidRPr="002E42AB">
        <w:rPr>
          <w:rFonts w:eastAsia="Times New Roman" w:cs="Arial"/>
          <w:lang w:eastAsia="zh-TW"/>
        </w:rPr>
        <w:t>in Appendix </w:t>
      </w:r>
      <w:r>
        <w:rPr>
          <w:rFonts w:eastAsia="Times New Roman" w:cs="Arial"/>
          <w:lang w:eastAsia="zh-TW"/>
        </w:rPr>
        <w:t>E and F as follows.</w:t>
      </w:r>
    </w:p>
    <w:p w14:paraId="1F3EC311" w14:textId="77777777" w:rsidR="00B01E6C" w:rsidRDefault="00B01E6C" w:rsidP="00B01E6C">
      <w:pPr>
        <w:spacing w:before="120" w:line="240" w:lineRule="auto"/>
        <w:ind w:left="420"/>
        <w:textAlignment w:val="baseline"/>
        <w:rPr>
          <w:rFonts w:eastAsia="Times New Roman" w:cs="Arial"/>
          <w:b/>
          <w:bCs/>
          <w:lang w:eastAsia="zh-TW"/>
        </w:rPr>
      </w:pPr>
      <w:r>
        <w:rPr>
          <w:rFonts w:eastAsia="Times New Roman" w:cs="Arial"/>
          <w:b/>
          <w:bCs/>
          <w:lang w:eastAsia="zh-TW"/>
        </w:rPr>
        <w:t>Appendix E, clause 3 – f</w:t>
      </w:r>
      <w:r w:rsidRPr="00DF4A18">
        <w:rPr>
          <w:rFonts w:eastAsia="Times New Roman" w:cs="Arial"/>
          <w:b/>
          <w:bCs/>
          <w:lang w:eastAsia="zh-TW"/>
        </w:rPr>
        <w:t>irst</w:t>
      </w:r>
      <w:r>
        <w:rPr>
          <w:rFonts w:eastAsia="Times New Roman" w:cs="Arial"/>
          <w:b/>
          <w:bCs/>
          <w:lang w:eastAsia="zh-TW"/>
        </w:rPr>
        <w:t xml:space="preserve"> </w:t>
      </w:r>
      <w:r w:rsidRPr="00DF4A18">
        <w:rPr>
          <w:rFonts w:eastAsia="Times New Roman" w:cs="Arial"/>
          <w:b/>
          <w:bCs/>
          <w:lang w:eastAsia="zh-TW"/>
        </w:rPr>
        <w:t>aid instructions for poisons</w:t>
      </w:r>
    </w:p>
    <w:p w14:paraId="45CE184D" w14:textId="77777777" w:rsidR="00B01E6C" w:rsidRPr="005635CB" w:rsidRDefault="00B01E6C" w:rsidP="00C3308D">
      <w:pPr>
        <w:spacing w:before="120" w:line="240" w:lineRule="auto"/>
        <w:ind w:left="720"/>
        <w:textAlignment w:val="baseline"/>
        <w:rPr>
          <w:rFonts w:eastAsia="Times New Roman" w:cs="Arial"/>
          <w:lang w:eastAsia="zh-TW"/>
        </w:rPr>
      </w:pPr>
      <w:r w:rsidRPr="005635CB">
        <w:rPr>
          <w:rFonts w:eastAsia="Times New Roman" w:cs="Arial"/>
          <w:lang w:eastAsia="zh-TW"/>
        </w:rPr>
        <w:t xml:space="preserve">Statement A: </w:t>
      </w:r>
      <w:r w:rsidRPr="00C9613A">
        <w:rPr>
          <w:rFonts w:eastAsia="Times New Roman" w:cs="Arial"/>
          <w:lang w:eastAsia="zh-TW"/>
        </w:rPr>
        <w:t>For advice, contact a Poisons Information Centre (e.g. phone Australia 13 11 26; New Zealand 0800 764 766) or a doctor (at once).</w:t>
      </w:r>
    </w:p>
    <w:p w14:paraId="0E87137F" w14:textId="77777777" w:rsidR="00B01E6C" w:rsidRDefault="00B01E6C" w:rsidP="00B01E6C">
      <w:pPr>
        <w:spacing w:before="120" w:line="240" w:lineRule="auto"/>
        <w:ind w:left="420"/>
        <w:textAlignment w:val="baseline"/>
        <w:rPr>
          <w:rFonts w:eastAsia="Times New Roman" w:cs="Arial"/>
          <w:b/>
          <w:bCs/>
          <w:lang w:eastAsia="zh-TW"/>
        </w:rPr>
      </w:pPr>
      <w:r>
        <w:rPr>
          <w:rFonts w:eastAsia="Times New Roman" w:cs="Arial"/>
          <w:b/>
          <w:bCs/>
          <w:lang w:eastAsia="zh-TW"/>
        </w:rPr>
        <w:t xml:space="preserve">Appendix F, clause 4 – </w:t>
      </w:r>
      <w:r w:rsidRPr="003D1C59">
        <w:rPr>
          <w:rFonts w:eastAsia="Times New Roman" w:cs="Arial"/>
          <w:b/>
          <w:bCs/>
          <w:lang w:eastAsia="zh-TW"/>
        </w:rPr>
        <w:t>warning</w:t>
      </w:r>
      <w:r>
        <w:rPr>
          <w:rFonts w:eastAsia="Times New Roman" w:cs="Arial"/>
          <w:b/>
          <w:bCs/>
          <w:lang w:eastAsia="zh-TW"/>
        </w:rPr>
        <w:t xml:space="preserve"> </w:t>
      </w:r>
      <w:r w:rsidRPr="003D1C59">
        <w:rPr>
          <w:rFonts w:eastAsia="Times New Roman" w:cs="Arial"/>
          <w:b/>
          <w:bCs/>
          <w:lang w:eastAsia="zh-TW"/>
        </w:rPr>
        <w:t>statements and safety directions</w:t>
      </w:r>
    </w:p>
    <w:p w14:paraId="6F03BA96" w14:textId="77777777" w:rsidR="00B01E6C" w:rsidRPr="001C2DB1" w:rsidRDefault="00B01E6C" w:rsidP="00C3308D">
      <w:pPr>
        <w:spacing w:before="120" w:line="240" w:lineRule="auto"/>
        <w:ind w:left="420" w:firstLine="300"/>
        <w:textAlignment w:val="baseline"/>
        <w:rPr>
          <w:rFonts w:eastAsia="Times New Roman" w:cs="Arial"/>
          <w:lang w:eastAsia="zh-TW"/>
        </w:rPr>
      </w:pPr>
      <w:r w:rsidRPr="001C2DB1">
        <w:rPr>
          <w:rFonts w:eastAsia="Times New Roman" w:cs="Arial"/>
          <w:lang w:eastAsia="zh-TW"/>
        </w:rPr>
        <w:t>Warning statement 112: WARNING – May cause irreversible nerve damage if inhaled.</w:t>
      </w:r>
    </w:p>
    <w:p w14:paraId="7D1A0952" w14:textId="77777777" w:rsidR="00B01E6C" w:rsidRPr="00AA208D" w:rsidRDefault="00B01E6C" w:rsidP="00C3308D">
      <w:pPr>
        <w:spacing w:before="120" w:line="240" w:lineRule="auto"/>
        <w:ind w:left="420" w:firstLine="300"/>
        <w:textAlignment w:val="baseline"/>
        <w:rPr>
          <w:u w:val="single"/>
        </w:rPr>
      </w:pPr>
      <w:r w:rsidRPr="001C2DB1">
        <w:rPr>
          <w:rFonts w:eastAsia="Times New Roman" w:cs="Arial"/>
          <w:lang w:eastAsia="zh-TW"/>
        </w:rPr>
        <w:lastRenderedPageBreak/>
        <w:t>Safety direction 38: Do not intentionally inhale contents.</w:t>
      </w:r>
    </w:p>
    <w:p w14:paraId="30238A39" w14:textId="79571CB2" w:rsidR="00B27735" w:rsidRDefault="0073102C" w:rsidP="00065C4C">
      <w:pPr>
        <w:spacing w:before="120" w:line="240" w:lineRule="auto"/>
      </w:pPr>
      <w:r>
        <w:t>T</w:t>
      </w:r>
      <w:r w:rsidR="005E3FFC">
        <w:t xml:space="preserve">he decision to classify nitrous oxide for non-therapeutic use as a Schedule 6 substance was made in October 2021 after </w:t>
      </w:r>
      <w:r w:rsidR="000B1A2C">
        <w:t xml:space="preserve">2 </w:t>
      </w:r>
      <w:r w:rsidR="005E3FFC">
        <w:t>rounds of public consultation and in consultation with the joint Advisory Committees on Medicines and Chemicals Scheduling.</w:t>
      </w:r>
      <w:r w:rsidR="005E3FFC">
        <w:rPr>
          <w:rStyle w:val="FootnoteReference"/>
        </w:rPr>
        <w:footnoteReference w:id="12"/>
      </w:r>
      <w:r w:rsidR="00B27735">
        <w:t xml:space="preserve"> </w:t>
      </w:r>
      <w:r w:rsidR="00B27735" w:rsidRPr="00B27735">
        <w:t>Schedule 6 substances are those with moderate potential for causing harm which can be reduced through the use of distinctive packaging with strong warnings and safety directions on the label.</w:t>
      </w:r>
    </w:p>
    <w:p w14:paraId="65BC9E12" w14:textId="1C7C651B" w:rsidR="00672C3A" w:rsidRDefault="0057518B" w:rsidP="00065C4C">
      <w:pPr>
        <w:spacing w:before="120" w:line="240" w:lineRule="auto"/>
      </w:pPr>
      <w:r>
        <w:t>At that time, c</w:t>
      </w:r>
      <w:r w:rsidR="00053DB9">
        <w:t xml:space="preserve">lassifying </w:t>
      </w:r>
      <w:r w:rsidR="00772C7A">
        <w:t xml:space="preserve">nitrous oxide as a Dangerous </w:t>
      </w:r>
      <w:r w:rsidR="00452150">
        <w:t>p</w:t>
      </w:r>
      <w:r w:rsidR="00772C7A">
        <w:t>oison (</w:t>
      </w:r>
      <w:r w:rsidR="00772C7A" w:rsidRPr="00580AB1">
        <w:t>Schedule 7</w:t>
      </w:r>
      <w:r w:rsidR="00772C7A">
        <w:t>)</w:t>
      </w:r>
      <w:r w:rsidR="00BF04DD">
        <w:t xml:space="preserve"> or Prohibite</w:t>
      </w:r>
      <w:r w:rsidR="007578F2">
        <w:t>d substance (Schedule 9</w:t>
      </w:r>
      <w:r w:rsidR="00116B95">
        <w:t>; for</w:t>
      </w:r>
      <w:r w:rsidR="00116B95" w:rsidRPr="00116B95">
        <w:t xml:space="preserve"> </w:t>
      </w:r>
      <w:r w:rsidR="00116B95" w:rsidRPr="00EC333A">
        <w:t>large quantities of the gas</w:t>
      </w:r>
      <w:r w:rsidR="007578F2">
        <w:t>)</w:t>
      </w:r>
      <w:r w:rsidR="00772C7A">
        <w:t xml:space="preserve"> </w:t>
      </w:r>
      <w:r w:rsidR="007F2502">
        <w:t xml:space="preserve">or </w:t>
      </w:r>
      <w:r w:rsidR="00B81DEA">
        <w:t xml:space="preserve">a Schedule 10 </w:t>
      </w:r>
      <w:r w:rsidR="002818B6">
        <w:t>substance</w:t>
      </w:r>
      <w:r w:rsidR="00116B95">
        <w:t xml:space="preserve"> (for </w:t>
      </w:r>
      <w:r w:rsidR="00051E69">
        <w:t>8–10 g bulbs)</w:t>
      </w:r>
      <w:r w:rsidR="007F2502">
        <w:t xml:space="preserve"> </w:t>
      </w:r>
      <w:r w:rsidR="00772C7A">
        <w:t>was considered</w:t>
      </w:r>
      <w:r w:rsidR="002818B6">
        <w:t xml:space="preserve">. </w:t>
      </w:r>
      <w:r w:rsidR="000F731C">
        <w:t xml:space="preserve">Schedule 7 substances have </w:t>
      </w:r>
      <w:r w:rsidR="000F731C" w:rsidRPr="00BA1780">
        <w:t xml:space="preserve">a high potential for causing harm at low exposure and require special precautions during manufacture, handling or use. These poisons should be available only to specialised or authorised users </w:t>
      </w:r>
      <w:r w:rsidR="000F731C">
        <w:t>and s</w:t>
      </w:r>
      <w:r w:rsidR="000F731C" w:rsidRPr="00BA1780">
        <w:t>pecial regulations restricting their availability, possession, storage or use may apply.</w:t>
      </w:r>
      <w:r w:rsidR="000F731C" w:rsidRPr="000F731C">
        <w:t xml:space="preserve"> </w:t>
      </w:r>
      <w:r w:rsidR="000F731C">
        <w:t xml:space="preserve">Schedule 9 includes substances which may be abused or misused, the manufacture, possession, supply or use of which should be prohibited by law except when required for medical or scientific research, or for analytical, teaching or training purposes with approval of the relevant health authorities. </w:t>
      </w:r>
      <w:r w:rsidR="00B3630B">
        <w:t>Sch</w:t>
      </w:r>
      <w:r w:rsidR="00C91F55">
        <w:t>edule 10 includes s</w:t>
      </w:r>
      <w:r w:rsidR="001413EB" w:rsidRPr="001413EB">
        <w:t>ubstances of such danger to health as to warrant prohibition of supply and use</w:t>
      </w:r>
      <w:r w:rsidR="00C91F55">
        <w:t>.</w:t>
      </w:r>
    </w:p>
    <w:p w14:paraId="177F5FB2" w14:textId="0CAD4A9B" w:rsidR="005E3FFC" w:rsidRDefault="004B32B3" w:rsidP="00065C4C">
      <w:pPr>
        <w:spacing w:before="120" w:line="240" w:lineRule="auto"/>
      </w:pPr>
      <w:r>
        <w:t xml:space="preserve">Based on </w:t>
      </w:r>
      <w:r w:rsidR="0018515B">
        <w:t>the information and advice available at the time, the delegate considered that n</w:t>
      </w:r>
      <w:r w:rsidR="00772C7A">
        <w:t xml:space="preserve">itrous oxide did not meet the </w:t>
      </w:r>
      <w:r w:rsidR="00331A39">
        <w:t xml:space="preserve">scheduling </w:t>
      </w:r>
      <w:r w:rsidR="005E3FFC">
        <w:t xml:space="preserve">criteria for </w:t>
      </w:r>
      <w:r w:rsidR="00331A39">
        <w:t>Sche</w:t>
      </w:r>
      <w:r w:rsidR="004615C0">
        <w:t>dule 7 (or above).</w:t>
      </w:r>
      <w:r w:rsidR="00EC333A" w:rsidRPr="00EC333A">
        <w:t xml:space="preserve"> </w:t>
      </w:r>
      <w:r w:rsidR="009E0889">
        <w:t>Further, at that time, the misuse o</w:t>
      </w:r>
      <w:r w:rsidR="0018515B">
        <w:t>f</w:t>
      </w:r>
      <w:r w:rsidR="009E0889">
        <w:t xml:space="preserve"> nitrous oxide predominantly involved 8–10 g bulbs. </w:t>
      </w:r>
      <w:r w:rsidR="005E3FFC">
        <w:t>It was considered that</w:t>
      </w:r>
      <w:r w:rsidR="00235AFA">
        <w:t>,</w:t>
      </w:r>
      <w:r w:rsidR="005E3FFC">
        <w:t xml:space="preserve"> on balance, </w:t>
      </w:r>
      <w:r w:rsidR="005E3FFC" w:rsidRPr="00183582">
        <w:t>creating a Schedule 6 entry for nitrous oxide w</w:t>
      </w:r>
      <w:r w:rsidR="00BC4B34">
        <w:t>ould</w:t>
      </w:r>
      <w:r w:rsidR="005E3FFC" w:rsidRPr="00183582">
        <w:t xml:space="preserve"> contribute positively to public health and safety while enabling continued access </w:t>
      </w:r>
      <w:r w:rsidR="0004798C">
        <w:t>by the public and industry</w:t>
      </w:r>
      <w:r w:rsidR="005E3FFC" w:rsidRPr="00183582">
        <w:t xml:space="preserve"> (hospitality, engineering and scientific research)</w:t>
      </w:r>
      <w:r w:rsidR="005E3FFC">
        <w:t xml:space="preserve"> and the labelling requirement </w:t>
      </w:r>
      <w:r w:rsidR="005E3FFC" w:rsidRPr="00183582">
        <w:t>may directly help mitigate harm</w:t>
      </w:r>
      <w:r w:rsidR="005E3FFC">
        <w:t>. This decision was implemented on 1</w:t>
      </w:r>
      <w:r w:rsidR="00612854">
        <w:t> </w:t>
      </w:r>
      <w:r w:rsidR="005E3FFC">
        <w:t>October 2022.</w:t>
      </w:r>
    </w:p>
    <w:p w14:paraId="4C957DDB" w14:textId="77777777" w:rsidR="009506FA" w:rsidRPr="00C417B6" w:rsidRDefault="00AA13DD">
      <w:pPr>
        <w:pStyle w:val="Heading4"/>
      </w:pPr>
      <w:bookmarkStart w:id="19" w:name="_Toc239763009"/>
      <w:r w:rsidRPr="009F47A0">
        <w:t>Australian</w:t>
      </w:r>
      <w:r w:rsidR="009F47A0" w:rsidRPr="009F47A0">
        <w:t xml:space="preserve"> </w:t>
      </w:r>
      <w:r w:rsidRPr="009F47A0">
        <w:t>regulations</w:t>
      </w:r>
      <w:bookmarkEnd w:id="19"/>
    </w:p>
    <w:p w14:paraId="3B5685D8" w14:textId="1B8CB33B" w:rsidR="00B00854" w:rsidRPr="00065C4C" w:rsidRDefault="00B00854" w:rsidP="00682D89">
      <w:pPr>
        <w:pStyle w:val="ListBullet"/>
        <w:rPr>
          <w:rFonts w:eastAsia="Times New Roman" w:cs="Arial"/>
          <w:lang w:eastAsia="zh-TW"/>
        </w:rPr>
      </w:pPr>
      <w:r w:rsidRPr="00B00854">
        <w:rPr>
          <w:rFonts w:eastAsia="Times New Roman" w:cs="Arial"/>
          <w:lang w:eastAsia="zh-TW"/>
        </w:rPr>
        <w:t>According to the </w:t>
      </w:r>
      <w:hyperlink r:id="rId26" w:tgtFrame="_blank" w:history="1">
        <w:r w:rsidRPr="00B00854">
          <w:rPr>
            <w:rFonts w:eastAsia="Times New Roman" w:cs="Arial"/>
            <w:color w:val="0000FF"/>
            <w:u w:val="single"/>
            <w:lang w:eastAsia="zh-TW"/>
          </w:rPr>
          <w:t>TGA Ingredient Database</w:t>
        </w:r>
      </w:hyperlink>
      <w:r w:rsidRPr="00B00854">
        <w:rPr>
          <w:rFonts w:eastAsia="Times New Roman" w:cs="Arial"/>
          <w:lang w:eastAsia="zh-TW"/>
        </w:rPr>
        <w:t>, </w:t>
      </w:r>
      <w:r w:rsidR="00CE79DA">
        <w:rPr>
          <w:rFonts w:eastAsia="Times New Roman" w:cs="Arial"/>
          <w:lang w:eastAsia="zh-TW"/>
        </w:rPr>
        <w:t>nitrous oxide</w:t>
      </w:r>
      <w:r w:rsidR="00CE79DA" w:rsidRPr="00B00854">
        <w:rPr>
          <w:rFonts w:eastAsia="Times New Roman" w:cs="Arial"/>
          <w:lang w:eastAsia="zh-TW"/>
        </w:rPr>
        <w:t xml:space="preserve"> </w:t>
      </w:r>
      <w:r w:rsidRPr="00B00854">
        <w:rPr>
          <w:rFonts w:eastAsia="Times New Roman" w:cs="Arial"/>
          <w:lang w:eastAsia="zh-TW"/>
        </w:rPr>
        <w:t>is:</w:t>
      </w:r>
    </w:p>
    <w:p w14:paraId="015977EE" w14:textId="77777777" w:rsidR="00B00854" w:rsidRPr="00083054" w:rsidRDefault="00B00854" w:rsidP="00065C4C">
      <w:pPr>
        <w:pStyle w:val="ListBullet2"/>
        <w:spacing w:after="120" w:line="240" w:lineRule="auto"/>
        <w:rPr>
          <w:color w:val="auto"/>
          <w:lang w:eastAsia="zh-TW"/>
        </w:rPr>
      </w:pPr>
      <w:r w:rsidRPr="00083054">
        <w:rPr>
          <w:color w:val="auto"/>
          <w:lang w:eastAsia="zh-TW"/>
        </w:rPr>
        <w:t>available for use as an active ingredient in: Biologicals, Export Only, Prescription Medicines </w:t>
      </w:r>
    </w:p>
    <w:p w14:paraId="605A8B5F" w14:textId="0AD974E7" w:rsidR="00B00854" w:rsidRPr="00083054" w:rsidRDefault="00B00854" w:rsidP="00065C4C">
      <w:pPr>
        <w:pStyle w:val="ListBullet2"/>
        <w:spacing w:after="120" w:line="240" w:lineRule="auto"/>
        <w:rPr>
          <w:color w:val="auto"/>
          <w:lang w:eastAsia="zh-TW"/>
        </w:rPr>
      </w:pPr>
      <w:r w:rsidRPr="00083054">
        <w:rPr>
          <w:color w:val="auto"/>
          <w:lang w:eastAsia="zh-TW"/>
        </w:rPr>
        <w:t>available for use as an Excipient Ingredient in: Biologicals, Devices, Prescription Medicines</w:t>
      </w:r>
    </w:p>
    <w:p w14:paraId="0CA1B846" w14:textId="4279FB6F" w:rsidR="00B00854" w:rsidRPr="00083054" w:rsidRDefault="00B00854" w:rsidP="00065C4C">
      <w:pPr>
        <w:pStyle w:val="ListBullet2"/>
        <w:spacing w:after="120" w:line="240" w:lineRule="auto"/>
        <w:rPr>
          <w:color w:val="auto"/>
          <w:lang w:eastAsia="zh-TW"/>
        </w:rPr>
      </w:pPr>
      <w:r w:rsidRPr="00083054">
        <w:rPr>
          <w:color w:val="auto"/>
          <w:lang w:eastAsia="zh-TW"/>
        </w:rPr>
        <w:t>not available as an Equivalent Ingredient in any application</w:t>
      </w:r>
      <w:r w:rsidR="00065C4C" w:rsidRPr="00083054">
        <w:rPr>
          <w:color w:val="auto"/>
          <w:lang w:eastAsia="zh-TW"/>
        </w:rPr>
        <w:t>.</w:t>
      </w:r>
    </w:p>
    <w:p w14:paraId="3326FE91" w14:textId="7A58E960" w:rsidR="00B00854" w:rsidRPr="00065C4C" w:rsidRDefault="00B00854" w:rsidP="00682D89">
      <w:pPr>
        <w:pStyle w:val="ListBullet"/>
        <w:rPr>
          <w:lang w:eastAsia="zh-TW"/>
        </w:rPr>
      </w:pPr>
      <w:r w:rsidRPr="00FE7E51">
        <w:rPr>
          <w:lang w:eastAsia="zh-TW"/>
        </w:rPr>
        <w:t>As of </w:t>
      </w:r>
      <w:r w:rsidR="00642587" w:rsidRPr="00FE7E51">
        <w:rPr>
          <w:lang w:eastAsia="zh-TW"/>
        </w:rPr>
        <w:t xml:space="preserve">4 </w:t>
      </w:r>
      <w:r w:rsidR="002B1494" w:rsidRPr="00FE7E51">
        <w:rPr>
          <w:lang w:eastAsia="zh-TW"/>
        </w:rPr>
        <w:t>September</w:t>
      </w:r>
      <w:r w:rsidRPr="00FE7E51">
        <w:rPr>
          <w:lang w:eastAsia="zh-TW"/>
        </w:rPr>
        <w:t> 2026, there were 7 medicines currently active on the </w:t>
      </w:r>
      <w:hyperlink r:id="rId27" w:tgtFrame="_blank" w:history="1">
        <w:r w:rsidRPr="00FE7E51">
          <w:rPr>
            <w:color w:val="0000FF"/>
            <w:u w:val="single"/>
            <w:lang w:eastAsia="zh-TW"/>
          </w:rPr>
          <w:t>Australian Register of Therapeutic Goods (ARTG)</w:t>
        </w:r>
      </w:hyperlink>
      <w:r w:rsidRPr="00FE7E51">
        <w:rPr>
          <w:lang w:eastAsia="zh-TW"/>
        </w:rPr>
        <w:t> that contain nitrous oxide as an active ingredient. </w:t>
      </w:r>
      <w:r w:rsidR="00EA450C" w:rsidRPr="00FE7E51">
        <w:rPr>
          <w:lang w:eastAsia="zh-TW"/>
        </w:rPr>
        <w:t xml:space="preserve">These are either pure </w:t>
      </w:r>
      <w:r w:rsidR="00FC3124" w:rsidRPr="00FE7E51">
        <w:rPr>
          <w:lang w:eastAsia="zh-TW"/>
        </w:rPr>
        <w:t xml:space="preserve">nitrous oxide gas or </w:t>
      </w:r>
      <w:r w:rsidR="00FE7E51" w:rsidRPr="00FE7E51">
        <w:rPr>
          <w:lang w:eastAsia="zh-TW"/>
        </w:rPr>
        <w:t>nitrous oxide in mixture with other gases (generally oxygen)</w:t>
      </w:r>
      <w:r w:rsidR="007F3705">
        <w:rPr>
          <w:lang w:eastAsia="zh-TW"/>
        </w:rPr>
        <w:t>.</w:t>
      </w:r>
    </w:p>
    <w:p w14:paraId="7A00CFCC" w14:textId="0CE9648C" w:rsidR="00B00854" w:rsidRPr="00065C4C" w:rsidRDefault="00B00854" w:rsidP="00682D89">
      <w:pPr>
        <w:pStyle w:val="ListBullet"/>
        <w:rPr>
          <w:lang w:eastAsia="zh-TW"/>
        </w:rPr>
      </w:pPr>
      <w:r w:rsidRPr="00FE7E51">
        <w:rPr>
          <w:color w:val="242424"/>
          <w:lang w:eastAsia="zh-TW"/>
        </w:rPr>
        <w:t>There are no warning statements pertaining to</w:t>
      </w:r>
      <w:r w:rsidRPr="00FE7E51">
        <w:rPr>
          <w:lang w:eastAsia="zh-TW"/>
        </w:rPr>
        <w:t> </w:t>
      </w:r>
      <w:r w:rsidR="00CE79DA">
        <w:rPr>
          <w:lang w:eastAsia="zh-TW"/>
        </w:rPr>
        <w:t>nitrous oxide</w:t>
      </w:r>
      <w:r w:rsidR="00CE79DA" w:rsidRPr="00B00854">
        <w:rPr>
          <w:lang w:eastAsia="zh-TW"/>
        </w:rPr>
        <w:t xml:space="preserve"> </w:t>
      </w:r>
      <w:r w:rsidRPr="00FE7E51">
        <w:rPr>
          <w:color w:val="242424"/>
          <w:lang w:eastAsia="zh-TW"/>
        </w:rPr>
        <w:t>in the </w:t>
      </w:r>
      <w:hyperlink r:id="rId28" w:tgtFrame="_blank" w:history="1">
        <w:r w:rsidRPr="00FE7E51">
          <w:rPr>
            <w:color w:val="0000FF"/>
            <w:u w:val="single"/>
            <w:lang w:eastAsia="zh-TW"/>
          </w:rPr>
          <w:t>Therapeutic Goods (Medicines Advisory Statements) Specification 2021</w:t>
        </w:r>
      </w:hyperlink>
      <w:r w:rsidRPr="00FE7E51">
        <w:rPr>
          <w:lang w:eastAsia="zh-TW"/>
        </w:rPr>
        <w:t>.</w:t>
      </w:r>
    </w:p>
    <w:p w14:paraId="0C30BE1F" w14:textId="3F0722E2" w:rsidR="00B00854" w:rsidRPr="00065C4C" w:rsidRDefault="61F1F806" w:rsidP="00682D89">
      <w:pPr>
        <w:pStyle w:val="ListBullet"/>
        <w:rPr>
          <w:lang w:eastAsia="zh-TW"/>
        </w:rPr>
      </w:pPr>
      <w:r w:rsidRPr="4177B705">
        <w:rPr>
          <w:lang w:eastAsia="zh-TW"/>
        </w:rPr>
        <w:t xml:space="preserve">Nitrous oxide </w:t>
      </w:r>
      <w:r w:rsidR="4E5F627F" w:rsidRPr="4177B705">
        <w:rPr>
          <w:lang w:eastAsia="zh-TW"/>
        </w:rPr>
        <w:t>is not permitted to be included in listed medicines as it is not included in the </w:t>
      </w:r>
      <w:hyperlink r:id="rId29">
        <w:r w:rsidR="4E5F627F" w:rsidRPr="4177B705">
          <w:rPr>
            <w:color w:val="0000FF"/>
            <w:u w:val="single"/>
            <w:lang w:eastAsia="zh-TW"/>
          </w:rPr>
          <w:t>Therapeutic Goods (Permissible Ingredients) Determination</w:t>
        </w:r>
      </w:hyperlink>
      <w:r w:rsidR="4E5F627F" w:rsidRPr="4177B705">
        <w:rPr>
          <w:lang w:eastAsia="zh-TW"/>
        </w:rPr>
        <w:t> No. 2 of 2026.  </w:t>
      </w:r>
    </w:p>
    <w:p w14:paraId="44FA6C39" w14:textId="2CACC1D8" w:rsidR="00B00854" w:rsidRDefault="00B00854" w:rsidP="00682D89">
      <w:pPr>
        <w:pStyle w:val="ListBullet"/>
        <w:rPr>
          <w:lang w:eastAsia="zh-TW"/>
        </w:rPr>
      </w:pPr>
      <w:r w:rsidRPr="5C3674D6">
        <w:rPr>
          <w:lang w:eastAsia="zh-TW"/>
        </w:rPr>
        <w:t>Between 1 June 2016 and 9 July 2026, there were 37 reports of adverse events for products containing </w:t>
      </w:r>
      <w:r w:rsidR="00CE79DA" w:rsidRPr="5C3674D6">
        <w:rPr>
          <w:lang w:eastAsia="zh-TW"/>
        </w:rPr>
        <w:t xml:space="preserve">nitrous oxide </w:t>
      </w:r>
      <w:r w:rsidRPr="5C3674D6">
        <w:rPr>
          <w:lang w:eastAsia="zh-TW"/>
        </w:rPr>
        <w:t>as an active ingredient on the </w:t>
      </w:r>
      <w:hyperlink r:id="rId30">
        <w:r w:rsidRPr="5C3674D6">
          <w:rPr>
            <w:color w:val="0000FF"/>
            <w:u w:val="single"/>
            <w:lang w:eastAsia="zh-TW"/>
          </w:rPr>
          <w:t>Database of Adverse Event Notifications (DAEN)</w:t>
        </w:r>
      </w:hyperlink>
      <w:r w:rsidR="001B4ADA">
        <w:rPr>
          <w:rStyle w:val="FootnoteReference"/>
        </w:rPr>
        <w:footnoteReference w:id="13"/>
      </w:r>
      <w:r w:rsidRPr="5C3674D6">
        <w:rPr>
          <w:lang w:eastAsia="zh-TW"/>
        </w:rPr>
        <w:t>, with 19 reports where </w:t>
      </w:r>
      <w:r w:rsidR="00CE79DA" w:rsidRPr="5C3674D6">
        <w:rPr>
          <w:lang w:eastAsia="zh-TW"/>
        </w:rPr>
        <w:t xml:space="preserve">nitrous oxide </w:t>
      </w:r>
      <w:r w:rsidRPr="5C3674D6">
        <w:rPr>
          <w:lang w:eastAsia="zh-TW"/>
        </w:rPr>
        <w:t>was the single suspected medicine. There were 3 reports of deaths associated with these reports of adverse events.</w:t>
      </w:r>
    </w:p>
    <w:p w14:paraId="300E93F1" w14:textId="77777777" w:rsidR="00682D89" w:rsidRDefault="00682D89" w:rsidP="00682D89">
      <w:pPr>
        <w:pStyle w:val="ListBullet"/>
        <w:numPr>
          <w:ilvl w:val="0"/>
          <w:numId w:val="0"/>
        </w:numPr>
        <w:ind w:left="360"/>
        <w:rPr>
          <w:lang w:eastAsia="zh-TW"/>
        </w:rPr>
      </w:pPr>
    </w:p>
    <w:p w14:paraId="66CDCA72" w14:textId="77777777" w:rsidR="00682D89" w:rsidRDefault="00682D89" w:rsidP="00682D89">
      <w:pPr>
        <w:pStyle w:val="ListBullet"/>
        <w:numPr>
          <w:ilvl w:val="0"/>
          <w:numId w:val="0"/>
        </w:numPr>
        <w:ind w:left="360"/>
        <w:rPr>
          <w:lang w:eastAsia="zh-TW"/>
        </w:rPr>
      </w:pPr>
    </w:p>
    <w:p w14:paraId="3746045C" w14:textId="77777777" w:rsidR="00682D89" w:rsidRDefault="00682D89" w:rsidP="00682D89">
      <w:pPr>
        <w:pStyle w:val="ListBullet"/>
        <w:numPr>
          <w:ilvl w:val="0"/>
          <w:numId w:val="0"/>
        </w:numPr>
        <w:ind w:left="360"/>
        <w:rPr>
          <w:lang w:eastAsia="zh-TW"/>
        </w:rPr>
      </w:pPr>
    </w:p>
    <w:p w14:paraId="435F4E30" w14:textId="77777777" w:rsidR="00682D89" w:rsidRPr="00065C4C" w:rsidRDefault="00682D89" w:rsidP="00682D89">
      <w:pPr>
        <w:pStyle w:val="ListBullet"/>
        <w:numPr>
          <w:ilvl w:val="0"/>
          <w:numId w:val="0"/>
        </w:numPr>
        <w:ind w:left="360"/>
        <w:rPr>
          <w:lang w:eastAsia="zh-TW"/>
        </w:rPr>
      </w:pPr>
    </w:p>
    <w:p w14:paraId="5577DE8C" w14:textId="1A7F03BA" w:rsidR="00682D89" w:rsidRPr="00682D89" w:rsidRDefault="00B00854" w:rsidP="00682D89">
      <w:pPr>
        <w:pStyle w:val="ListBullet"/>
        <w:rPr>
          <w:rFonts w:eastAsia="Times New Roman" w:cs="Arial"/>
          <w:lang w:eastAsia="zh-TW"/>
        </w:rPr>
      </w:pPr>
      <w:r w:rsidRPr="00682D89">
        <w:rPr>
          <w:rFonts w:eastAsia="Times New Roman" w:cs="Arial"/>
          <w:lang w:eastAsia="zh-TW"/>
        </w:rPr>
        <w:lastRenderedPageBreak/>
        <w:t>The </w:t>
      </w:r>
      <w:hyperlink r:id="rId31" w:tgtFrame="_blank" w:history="1">
        <w:r w:rsidRPr="00682D89">
          <w:rPr>
            <w:rFonts w:eastAsia="Times New Roman" w:cs="Arial"/>
            <w:color w:val="0000FF"/>
            <w:u w:val="single"/>
            <w:lang w:eastAsia="zh-TW"/>
          </w:rPr>
          <w:t>TGA prescribing medicines in pregnancy database</w:t>
        </w:r>
      </w:hyperlink>
      <w:r w:rsidRPr="00682D89">
        <w:rPr>
          <w:rFonts w:eastAsia="Times New Roman" w:cs="Arial"/>
          <w:lang w:eastAsia="zh-TW"/>
        </w:rPr>
        <w:t> classifies </w:t>
      </w:r>
      <w:r w:rsidR="00CE79DA" w:rsidRPr="00682D89">
        <w:rPr>
          <w:rFonts w:eastAsia="Times New Roman" w:cs="Arial"/>
          <w:lang w:eastAsia="zh-TW"/>
        </w:rPr>
        <w:t xml:space="preserve">nitrous oxide </w:t>
      </w:r>
      <w:r w:rsidRPr="00682D89">
        <w:rPr>
          <w:rFonts w:eastAsia="Times New Roman" w:cs="Arial"/>
          <w:lang w:eastAsia="zh-TW"/>
        </w:rPr>
        <w:t>as:</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980"/>
        <w:gridCol w:w="1785"/>
        <w:gridCol w:w="1785"/>
        <w:gridCol w:w="1800"/>
      </w:tblGrid>
      <w:tr w:rsidR="00B00854" w:rsidRPr="00B00854" w14:paraId="303BDC12" w14:textId="77777777" w:rsidTr="004F129B">
        <w:trPr>
          <w:trHeight w:val="300"/>
        </w:trPr>
        <w:tc>
          <w:tcPr>
            <w:tcW w:w="1695" w:type="dxa"/>
            <w:tcBorders>
              <w:top w:val="single" w:sz="6" w:space="0" w:color="263287"/>
              <w:left w:val="single" w:sz="6" w:space="0" w:color="263287"/>
              <w:bottom w:val="single" w:sz="6" w:space="0" w:color="263287"/>
              <w:right w:val="single" w:sz="6" w:space="0" w:color="263287"/>
            </w:tcBorders>
            <w:shd w:val="clear" w:color="auto" w:fill="B4C6E7"/>
            <w:hideMark/>
          </w:tcPr>
          <w:p w14:paraId="3FDFEC97"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b/>
                <w:color w:val="263287"/>
                <w:lang w:eastAsia="zh-TW"/>
              </w:rPr>
            </w:pPr>
            <w:r w:rsidRPr="00065C4C">
              <w:rPr>
                <w:rFonts w:eastAsia="Times New Roman" w:cs="Arial"/>
                <w:b/>
                <w:color w:val="263287"/>
                <w:lang w:eastAsia="zh-TW"/>
              </w:rPr>
              <w:t>Drug name </w:t>
            </w:r>
          </w:p>
        </w:tc>
        <w:tc>
          <w:tcPr>
            <w:tcW w:w="1980" w:type="dxa"/>
            <w:tcBorders>
              <w:top w:val="single" w:sz="6" w:space="0" w:color="263287"/>
              <w:left w:val="single" w:sz="6" w:space="0" w:color="263287"/>
              <w:bottom w:val="single" w:sz="6" w:space="0" w:color="263287"/>
              <w:right w:val="single" w:sz="6" w:space="0" w:color="263287"/>
            </w:tcBorders>
            <w:shd w:val="clear" w:color="auto" w:fill="B4C6E7"/>
            <w:hideMark/>
          </w:tcPr>
          <w:p w14:paraId="0C8421CB"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b/>
                <w:color w:val="263287"/>
                <w:lang w:eastAsia="zh-TW"/>
              </w:rPr>
            </w:pPr>
            <w:r w:rsidRPr="00065C4C">
              <w:rPr>
                <w:rFonts w:eastAsia="Times New Roman" w:cs="Arial"/>
                <w:b/>
                <w:color w:val="263287"/>
                <w:lang w:eastAsia="zh-TW"/>
              </w:rPr>
              <w:t>Category </w:t>
            </w:r>
          </w:p>
        </w:tc>
        <w:tc>
          <w:tcPr>
            <w:tcW w:w="1785" w:type="dxa"/>
            <w:tcBorders>
              <w:top w:val="single" w:sz="6" w:space="0" w:color="263287"/>
              <w:left w:val="single" w:sz="6" w:space="0" w:color="263287"/>
              <w:bottom w:val="single" w:sz="6" w:space="0" w:color="263287"/>
              <w:right w:val="single" w:sz="6" w:space="0" w:color="263287"/>
            </w:tcBorders>
            <w:shd w:val="clear" w:color="auto" w:fill="B4C6E7"/>
            <w:hideMark/>
          </w:tcPr>
          <w:p w14:paraId="4411206B"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b/>
                <w:color w:val="263287"/>
                <w:lang w:eastAsia="zh-TW"/>
              </w:rPr>
            </w:pPr>
            <w:r w:rsidRPr="00065C4C">
              <w:rPr>
                <w:rFonts w:eastAsia="Times New Roman" w:cs="Arial"/>
                <w:b/>
                <w:color w:val="263287"/>
                <w:lang w:eastAsia="zh-TW"/>
              </w:rPr>
              <w:t>Classification Level 1 </w:t>
            </w:r>
          </w:p>
        </w:tc>
        <w:tc>
          <w:tcPr>
            <w:tcW w:w="1785" w:type="dxa"/>
            <w:tcBorders>
              <w:top w:val="single" w:sz="6" w:space="0" w:color="263287"/>
              <w:left w:val="single" w:sz="6" w:space="0" w:color="263287"/>
              <w:bottom w:val="single" w:sz="6" w:space="0" w:color="263287"/>
              <w:right w:val="single" w:sz="6" w:space="0" w:color="263287"/>
            </w:tcBorders>
            <w:shd w:val="clear" w:color="auto" w:fill="B4C6E7"/>
            <w:hideMark/>
          </w:tcPr>
          <w:p w14:paraId="60158123"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b/>
                <w:color w:val="263287"/>
                <w:lang w:eastAsia="zh-TW"/>
              </w:rPr>
            </w:pPr>
            <w:r w:rsidRPr="00065C4C">
              <w:rPr>
                <w:rFonts w:eastAsia="Times New Roman" w:cs="Arial"/>
                <w:b/>
                <w:color w:val="263287"/>
                <w:lang w:eastAsia="zh-TW"/>
              </w:rPr>
              <w:t>Classification Level 2 </w:t>
            </w:r>
          </w:p>
        </w:tc>
        <w:tc>
          <w:tcPr>
            <w:tcW w:w="1800" w:type="dxa"/>
            <w:tcBorders>
              <w:top w:val="single" w:sz="6" w:space="0" w:color="263287"/>
              <w:left w:val="single" w:sz="6" w:space="0" w:color="263287"/>
              <w:bottom w:val="single" w:sz="6" w:space="0" w:color="263287"/>
              <w:right w:val="single" w:sz="6" w:space="0" w:color="263287"/>
            </w:tcBorders>
            <w:shd w:val="clear" w:color="auto" w:fill="B4C6E7"/>
            <w:hideMark/>
          </w:tcPr>
          <w:p w14:paraId="3407F482"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b/>
                <w:color w:val="263287"/>
                <w:lang w:eastAsia="zh-TW"/>
              </w:rPr>
            </w:pPr>
            <w:r w:rsidRPr="00065C4C">
              <w:rPr>
                <w:rFonts w:eastAsia="Times New Roman" w:cs="Arial"/>
                <w:b/>
                <w:color w:val="263287"/>
                <w:lang w:eastAsia="zh-TW"/>
              </w:rPr>
              <w:t>Classification Level 3 </w:t>
            </w:r>
          </w:p>
        </w:tc>
      </w:tr>
      <w:tr w:rsidR="00B00854" w:rsidRPr="00B00854" w14:paraId="6BC91905" w14:textId="77777777" w:rsidTr="004F129B">
        <w:trPr>
          <w:trHeight w:val="300"/>
        </w:trPr>
        <w:tc>
          <w:tcPr>
            <w:tcW w:w="1695" w:type="dxa"/>
            <w:tcBorders>
              <w:top w:val="single" w:sz="6" w:space="0" w:color="263287"/>
              <w:left w:val="single" w:sz="6" w:space="0" w:color="263287"/>
              <w:bottom w:val="single" w:sz="6" w:space="0" w:color="263287"/>
              <w:right w:val="single" w:sz="6" w:space="0" w:color="263287"/>
            </w:tcBorders>
            <w:shd w:val="clear" w:color="auto" w:fill="FFFFFF"/>
            <w:hideMark/>
          </w:tcPr>
          <w:p w14:paraId="037664E7" w14:textId="7CC66C59" w:rsidR="00B00854" w:rsidRPr="00065C4C" w:rsidRDefault="00C20895" w:rsidP="00065C4C">
            <w:pPr>
              <w:spacing w:before="120" w:line="240" w:lineRule="auto"/>
              <w:ind w:left="105"/>
              <w:textAlignment w:val="baseline"/>
              <w:rPr>
                <w:rFonts w:ascii="Times New Roman" w:eastAsia="Times New Roman" w:hAnsi="Times New Roman" w:cs="Times New Roman"/>
                <w:color w:val="000000"/>
                <w:lang w:eastAsia="zh-TW"/>
              </w:rPr>
            </w:pPr>
            <w:r>
              <w:rPr>
                <w:rFonts w:eastAsia="Times New Roman" w:cs="Arial"/>
                <w:lang w:eastAsia="zh-TW"/>
              </w:rPr>
              <w:t>Nitrous oxide</w:t>
            </w:r>
          </w:p>
        </w:tc>
        <w:tc>
          <w:tcPr>
            <w:tcW w:w="1980" w:type="dxa"/>
            <w:tcBorders>
              <w:top w:val="single" w:sz="6" w:space="0" w:color="263287"/>
              <w:left w:val="single" w:sz="6" w:space="0" w:color="263287"/>
              <w:bottom w:val="single" w:sz="6" w:space="0" w:color="263287"/>
              <w:right w:val="single" w:sz="6" w:space="0" w:color="263287"/>
            </w:tcBorders>
            <w:shd w:val="clear" w:color="auto" w:fill="FFFFFF"/>
            <w:hideMark/>
          </w:tcPr>
          <w:p w14:paraId="70099488"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color w:val="000000"/>
                <w:lang w:eastAsia="zh-TW"/>
              </w:rPr>
            </w:pPr>
            <w:r w:rsidRPr="00065C4C">
              <w:rPr>
                <w:rFonts w:eastAsia="Times New Roman" w:cs="Arial"/>
                <w:color w:val="000000"/>
                <w:lang w:eastAsia="zh-TW"/>
              </w:rPr>
              <w:t>A </w:t>
            </w:r>
          </w:p>
        </w:tc>
        <w:tc>
          <w:tcPr>
            <w:tcW w:w="1785" w:type="dxa"/>
            <w:tcBorders>
              <w:top w:val="single" w:sz="6" w:space="0" w:color="263287"/>
              <w:left w:val="single" w:sz="6" w:space="0" w:color="263287"/>
              <w:bottom w:val="single" w:sz="6" w:space="0" w:color="263287"/>
              <w:right w:val="single" w:sz="6" w:space="0" w:color="263287"/>
            </w:tcBorders>
            <w:shd w:val="clear" w:color="auto" w:fill="FFFFFF"/>
            <w:hideMark/>
          </w:tcPr>
          <w:p w14:paraId="3A942276"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color w:val="000000"/>
                <w:lang w:eastAsia="zh-TW"/>
              </w:rPr>
            </w:pPr>
            <w:r w:rsidRPr="00065C4C">
              <w:rPr>
                <w:rFonts w:eastAsia="Times New Roman" w:cs="Arial"/>
                <w:color w:val="000000"/>
                <w:lang w:eastAsia="zh-TW"/>
              </w:rPr>
              <w:t>Drugs Used in Anaesthesia </w:t>
            </w:r>
          </w:p>
        </w:tc>
        <w:tc>
          <w:tcPr>
            <w:tcW w:w="1785" w:type="dxa"/>
            <w:tcBorders>
              <w:top w:val="single" w:sz="6" w:space="0" w:color="263287"/>
              <w:left w:val="single" w:sz="6" w:space="0" w:color="263287"/>
              <w:bottom w:val="single" w:sz="6" w:space="0" w:color="263287"/>
              <w:right w:val="single" w:sz="6" w:space="0" w:color="263287"/>
            </w:tcBorders>
            <w:shd w:val="clear" w:color="auto" w:fill="FFFFFF"/>
            <w:hideMark/>
          </w:tcPr>
          <w:p w14:paraId="5FFAE8D9"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color w:val="000000"/>
                <w:lang w:eastAsia="zh-TW"/>
              </w:rPr>
            </w:pPr>
            <w:r w:rsidRPr="00065C4C">
              <w:rPr>
                <w:rFonts w:eastAsia="Times New Roman" w:cs="Arial"/>
                <w:color w:val="000000"/>
                <w:lang w:eastAsia="zh-TW"/>
              </w:rPr>
              <w:t>General anaesthetics </w:t>
            </w:r>
          </w:p>
        </w:tc>
        <w:tc>
          <w:tcPr>
            <w:tcW w:w="1800" w:type="dxa"/>
            <w:tcBorders>
              <w:top w:val="single" w:sz="6" w:space="0" w:color="263287"/>
              <w:left w:val="single" w:sz="6" w:space="0" w:color="263287"/>
              <w:bottom w:val="single" w:sz="6" w:space="0" w:color="263287"/>
              <w:right w:val="single" w:sz="6" w:space="0" w:color="263287"/>
            </w:tcBorders>
            <w:shd w:val="clear" w:color="auto" w:fill="FFFFFF"/>
            <w:hideMark/>
          </w:tcPr>
          <w:p w14:paraId="37C3C0D2"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color w:val="000000"/>
                <w:lang w:eastAsia="zh-TW"/>
              </w:rPr>
            </w:pPr>
            <w:r w:rsidRPr="00065C4C">
              <w:rPr>
                <w:rFonts w:eastAsia="Times New Roman" w:cs="Arial"/>
                <w:color w:val="000000"/>
                <w:lang w:eastAsia="zh-TW"/>
              </w:rPr>
              <w:t>– </w:t>
            </w:r>
          </w:p>
        </w:tc>
      </w:tr>
      <w:tr w:rsidR="00B00854" w:rsidRPr="00B00854" w14:paraId="360333E0" w14:textId="77777777" w:rsidTr="004F129B">
        <w:trPr>
          <w:trHeight w:val="300"/>
        </w:trPr>
        <w:tc>
          <w:tcPr>
            <w:tcW w:w="9045" w:type="dxa"/>
            <w:gridSpan w:val="5"/>
            <w:tcBorders>
              <w:top w:val="single" w:sz="6" w:space="0" w:color="263287"/>
              <w:left w:val="single" w:sz="6" w:space="0" w:color="263287"/>
              <w:bottom w:val="single" w:sz="6" w:space="0" w:color="263287"/>
              <w:right w:val="single" w:sz="6" w:space="0" w:color="263287"/>
            </w:tcBorders>
            <w:shd w:val="clear" w:color="auto" w:fill="FFFFFF"/>
            <w:hideMark/>
          </w:tcPr>
          <w:p w14:paraId="1CD1C1C4" w14:textId="77777777" w:rsidR="00B00854" w:rsidRPr="00065C4C" w:rsidRDefault="00B00854" w:rsidP="00065C4C">
            <w:pPr>
              <w:spacing w:before="120" w:line="240" w:lineRule="auto"/>
              <w:ind w:left="105"/>
              <w:textAlignment w:val="baseline"/>
              <w:rPr>
                <w:rFonts w:ascii="Times New Roman" w:eastAsia="Times New Roman" w:hAnsi="Times New Roman" w:cs="Times New Roman"/>
                <w:color w:val="000000"/>
                <w:sz w:val="18"/>
                <w:szCs w:val="18"/>
                <w:lang w:eastAsia="zh-TW"/>
              </w:rPr>
            </w:pPr>
            <w:r w:rsidRPr="00B00854">
              <w:rPr>
                <w:rFonts w:eastAsia="Times New Roman" w:cs="Arial"/>
                <w:b/>
                <w:bCs/>
                <w:color w:val="000000"/>
                <w:sz w:val="18"/>
                <w:szCs w:val="18"/>
                <w:lang w:eastAsia="zh-TW"/>
              </w:rPr>
              <w:t>Safety statement:</w:t>
            </w:r>
            <w:r w:rsidRPr="00B00854">
              <w:rPr>
                <w:rFonts w:eastAsia="Times New Roman" w:cs="Arial"/>
                <w:color w:val="000000"/>
                <w:sz w:val="18"/>
                <w:szCs w:val="18"/>
                <w:lang w:eastAsia="zh-TW"/>
              </w:rPr>
              <w:t> All general anaesthetics carry the potential to produce central nervous system and respiratory depression in the newborn infant. In routine practice this does not appear to be a problem. However, in the compromised </w:t>
            </w:r>
            <w:proofErr w:type="spellStart"/>
            <w:r w:rsidRPr="00B00854">
              <w:rPr>
                <w:rFonts w:eastAsia="Times New Roman" w:cs="Arial"/>
                <w:color w:val="000000"/>
                <w:sz w:val="18"/>
                <w:szCs w:val="18"/>
                <w:lang w:eastAsia="zh-TW"/>
              </w:rPr>
              <w:t>fetus</w:t>
            </w:r>
            <w:proofErr w:type="spellEnd"/>
            <w:r w:rsidRPr="00B00854">
              <w:rPr>
                <w:rFonts w:eastAsia="Times New Roman" w:cs="Arial"/>
                <w:color w:val="000000"/>
                <w:sz w:val="18"/>
                <w:szCs w:val="18"/>
                <w:lang w:eastAsia="zh-TW"/>
              </w:rPr>
              <w:t>, careful consideration should be given to this potential depression and to the selection of </w:t>
            </w:r>
            <w:proofErr w:type="gramStart"/>
            <w:r w:rsidRPr="00B00854">
              <w:rPr>
                <w:rFonts w:eastAsia="Times New Roman" w:cs="Arial"/>
                <w:color w:val="000000"/>
                <w:sz w:val="18"/>
                <w:szCs w:val="18"/>
                <w:lang w:eastAsia="zh-TW"/>
              </w:rPr>
              <w:t>particular anaesthetic</w:t>
            </w:r>
            <w:proofErr w:type="gramEnd"/>
            <w:r w:rsidRPr="00B00854">
              <w:rPr>
                <w:rFonts w:eastAsia="Times New Roman" w:cs="Arial"/>
                <w:color w:val="000000"/>
                <w:sz w:val="18"/>
                <w:szCs w:val="18"/>
                <w:lang w:eastAsia="zh-TW"/>
              </w:rPr>
              <w:t> drugs, doses and techniques. </w:t>
            </w:r>
          </w:p>
        </w:tc>
      </w:tr>
    </w:tbl>
    <w:p w14:paraId="602042B5" w14:textId="2DC0C29C" w:rsidR="004F129B" w:rsidRPr="00065C4C" w:rsidRDefault="004F129B" w:rsidP="00682D89">
      <w:pPr>
        <w:pStyle w:val="ListBullet"/>
        <w:rPr>
          <w:rFonts w:eastAsia="Times New Roman" w:cs="Arial"/>
          <w:lang w:eastAsia="zh-TW"/>
        </w:rPr>
      </w:pPr>
      <w:r>
        <w:rPr>
          <w:rFonts w:eastAsia="Times New Roman" w:cs="Arial"/>
          <w:lang w:eastAsia="zh-TW"/>
        </w:rPr>
        <w:t xml:space="preserve">Nitrous oxide is not listed </w:t>
      </w:r>
      <w:r w:rsidR="0021340F">
        <w:rPr>
          <w:rFonts w:eastAsia="Times New Roman" w:cs="Arial"/>
          <w:lang w:eastAsia="zh-TW"/>
        </w:rPr>
        <w:t xml:space="preserve">on the </w:t>
      </w:r>
      <w:r w:rsidR="003A52E1">
        <w:rPr>
          <w:rFonts w:eastAsia="Times New Roman" w:cs="Arial"/>
          <w:lang w:eastAsia="zh-TW"/>
        </w:rPr>
        <w:t>Australia Pe</w:t>
      </w:r>
      <w:r w:rsidR="00E1516E">
        <w:rPr>
          <w:rFonts w:eastAsia="Times New Roman" w:cs="Arial"/>
          <w:lang w:eastAsia="zh-TW"/>
        </w:rPr>
        <w:t xml:space="preserve">sticide </w:t>
      </w:r>
      <w:r w:rsidR="009A192E">
        <w:rPr>
          <w:rFonts w:eastAsia="Times New Roman" w:cs="Arial"/>
          <w:lang w:eastAsia="zh-TW"/>
        </w:rPr>
        <w:t xml:space="preserve">and Veterinary Medicine Authority </w:t>
      </w:r>
      <w:hyperlink r:id="rId32" w:history="1">
        <w:r w:rsidR="0021340F" w:rsidRPr="00C417B6">
          <w:rPr>
            <w:rStyle w:val="Hyperlink"/>
          </w:rPr>
          <w:t>Public Chemical Registration Information System Search (</w:t>
        </w:r>
        <w:proofErr w:type="spellStart"/>
        <w:r w:rsidR="0021340F" w:rsidRPr="00C417B6">
          <w:rPr>
            <w:rStyle w:val="Hyperlink"/>
          </w:rPr>
          <w:t>PubCRIS</w:t>
        </w:r>
        <w:proofErr w:type="spellEnd"/>
        <w:r w:rsidR="0021340F" w:rsidRPr="00C417B6">
          <w:rPr>
            <w:rStyle w:val="Hyperlink"/>
          </w:rPr>
          <w:t>)</w:t>
        </w:r>
      </w:hyperlink>
      <w:r w:rsidRPr="00FE7E51">
        <w:rPr>
          <w:rFonts w:eastAsia="Times New Roman" w:cs="Arial"/>
          <w:lang w:eastAsia="zh-TW"/>
        </w:rPr>
        <w:t> </w:t>
      </w:r>
      <w:r w:rsidR="00F37543">
        <w:rPr>
          <w:rFonts w:eastAsia="Times New Roman" w:cs="Arial"/>
          <w:lang w:eastAsia="zh-TW"/>
        </w:rPr>
        <w:t xml:space="preserve">or </w:t>
      </w:r>
      <w:r w:rsidR="00F37543">
        <w:t xml:space="preserve">the Australian Industrial Chemicals Introduction Scheme (AICIS) </w:t>
      </w:r>
      <w:hyperlink r:id="rId33" w:history="1">
        <w:r w:rsidR="00F37543" w:rsidRPr="00FD0841">
          <w:rPr>
            <w:rStyle w:val="Hyperlink"/>
          </w:rPr>
          <w:t>Australian Inventory of Industrial Chemicals (Inventory)</w:t>
        </w:r>
      </w:hyperlink>
      <w:r w:rsidR="001B4BFB">
        <w:t>.</w:t>
      </w:r>
    </w:p>
    <w:p w14:paraId="541A1C84" w14:textId="0A748454" w:rsidR="009506FA" w:rsidRPr="00C417B6" w:rsidRDefault="00AA13DD">
      <w:pPr>
        <w:pStyle w:val="Heading4"/>
      </w:pPr>
      <w:bookmarkStart w:id="20" w:name="_Toc239763010"/>
      <w:r w:rsidRPr="00017820">
        <w:t>International</w:t>
      </w:r>
      <w:r w:rsidR="00017820" w:rsidRPr="00017820">
        <w:t xml:space="preserve"> </w:t>
      </w:r>
      <w:r w:rsidRPr="00017820">
        <w:t>regulations</w:t>
      </w:r>
      <w:bookmarkEnd w:id="20"/>
    </w:p>
    <w:p w14:paraId="30C19C5F" w14:textId="0379ABF2" w:rsidR="00B00854" w:rsidRPr="00DB2395" w:rsidRDefault="00AF21D8" w:rsidP="00682D89">
      <w:pPr>
        <w:pStyle w:val="ListBullet"/>
        <w:rPr>
          <w:lang w:eastAsia="zh-TW"/>
        </w:rPr>
      </w:pPr>
      <w:r w:rsidRPr="00DB2395">
        <w:rPr>
          <w:lang w:eastAsia="zh-TW"/>
        </w:rPr>
        <w:t>In Canada</w:t>
      </w:r>
      <w:r w:rsidR="00A659D0" w:rsidRPr="00DB2395">
        <w:rPr>
          <w:lang w:eastAsia="zh-TW"/>
        </w:rPr>
        <w:t>, New Zealand</w:t>
      </w:r>
      <w:r w:rsidR="00B465C4" w:rsidRPr="00DB2395">
        <w:rPr>
          <w:lang w:eastAsia="zh-TW"/>
        </w:rPr>
        <w:t xml:space="preserve">, </w:t>
      </w:r>
      <w:r w:rsidR="00AE09A8" w:rsidRPr="00DB2395">
        <w:rPr>
          <w:lang w:eastAsia="zh-TW"/>
        </w:rPr>
        <w:t>E</w:t>
      </w:r>
      <w:r w:rsidR="00E44D99" w:rsidRPr="00DB2395">
        <w:rPr>
          <w:lang w:eastAsia="zh-TW"/>
        </w:rPr>
        <w:t>ur</w:t>
      </w:r>
      <w:r w:rsidR="00F07C65" w:rsidRPr="00DB2395">
        <w:rPr>
          <w:lang w:eastAsia="zh-TW"/>
        </w:rPr>
        <w:t xml:space="preserve">opean </w:t>
      </w:r>
      <w:r w:rsidR="00AE09A8" w:rsidRPr="00DB2395">
        <w:rPr>
          <w:lang w:eastAsia="zh-TW"/>
        </w:rPr>
        <w:t>U</w:t>
      </w:r>
      <w:r w:rsidR="000B0127" w:rsidRPr="00DB2395">
        <w:rPr>
          <w:lang w:eastAsia="zh-TW"/>
        </w:rPr>
        <w:t>nion</w:t>
      </w:r>
      <w:r w:rsidR="00633518" w:rsidRPr="00DB2395">
        <w:rPr>
          <w:lang w:eastAsia="zh-TW"/>
        </w:rPr>
        <w:t xml:space="preserve">, </w:t>
      </w:r>
      <w:r w:rsidR="00DB2395" w:rsidRPr="00DB2395">
        <w:rPr>
          <w:lang w:eastAsia="zh-TW"/>
        </w:rPr>
        <w:t xml:space="preserve">the United </w:t>
      </w:r>
      <w:r w:rsidR="00AE09A8" w:rsidRPr="00DB2395">
        <w:rPr>
          <w:lang w:eastAsia="zh-TW"/>
        </w:rPr>
        <w:t>K</w:t>
      </w:r>
      <w:r w:rsidR="00DB2395" w:rsidRPr="00DB2395">
        <w:rPr>
          <w:lang w:eastAsia="zh-TW"/>
        </w:rPr>
        <w:t>ingdom (UK)</w:t>
      </w:r>
      <w:r w:rsidR="00AE09A8" w:rsidRPr="00DB2395">
        <w:rPr>
          <w:lang w:eastAsia="zh-TW"/>
        </w:rPr>
        <w:t xml:space="preserve"> and</w:t>
      </w:r>
      <w:r w:rsidR="00A659D0" w:rsidRPr="00DB2395">
        <w:rPr>
          <w:lang w:eastAsia="zh-TW"/>
        </w:rPr>
        <w:t xml:space="preserve"> </w:t>
      </w:r>
      <w:r w:rsidR="00DB2395" w:rsidRPr="00DB2395">
        <w:rPr>
          <w:lang w:eastAsia="zh-TW"/>
        </w:rPr>
        <w:t xml:space="preserve">the </w:t>
      </w:r>
      <w:r w:rsidR="004A7EFB" w:rsidRPr="00DB2395">
        <w:rPr>
          <w:lang w:eastAsia="zh-TW"/>
        </w:rPr>
        <w:t>U</w:t>
      </w:r>
      <w:r w:rsidR="00DB2395" w:rsidRPr="00DB2395">
        <w:rPr>
          <w:lang w:eastAsia="zh-TW"/>
        </w:rPr>
        <w:t>nited States of America (USA),</w:t>
      </w:r>
      <w:r w:rsidR="004A7EFB" w:rsidRPr="00DB2395">
        <w:rPr>
          <w:lang w:eastAsia="zh-TW"/>
        </w:rPr>
        <w:t xml:space="preserve"> all nitrous oxide products</w:t>
      </w:r>
      <w:r w:rsidR="00AE09A8" w:rsidRPr="00DB2395">
        <w:rPr>
          <w:lang w:eastAsia="zh-TW"/>
        </w:rPr>
        <w:t xml:space="preserve"> for </w:t>
      </w:r>
      <w:r w:rsidR="008F6357" w:rsidRPr="00DB2395">
        <w:rPr>
          <w:lang w:eastAsia="zh-TW"/>
        </w:rPr>
        <w:t>medicinal use</w:t>
      </w:r>
      <w:r w:rsidR="00EE2DFC" w:rsidRPr="00DB2395">
        <w:rPr>
          <w:lang w:eastAsia="zh-TW"/>
        </w:rPr>
        <w:t xml:space="preserve"> require a prescription. </w:t>
      </w:r>
      <w:r w:rsidR="00303EC3" w:rsidRPr="00DB2395">
        <w:rPr>
          <w:lang w:eastAsia="zh-TW"/>
        </w:rPr>
        <w:t>Six</w:t>
      </w:r>
      <w:r w:rsidRPr="00DB2395">
        <w:rPr>
          <w:lang w:eastAsia="zh-TW"/>
        </w:rPr>
        <w:t xml:space="preserve"> products </w:t>
      </w:r>
      <w:r w:rsidR="00232D7C" w:rsidRPr="00DB2395">
        <w:rPr>
          <w:lang w:eastAsia="zh-TW"/>
        </w:rPr>
        <w:t xml:space="preserve">are currently marketed </w:t>
      </w:r>
      <w:r w:rsidR="00572C4A" w:rsidRPr="00DB2395">
        <w:rPr>
          <w:lang w:eastAsia="zh-TW"/>
        </w:rPr>
        <w:t xml:space="preserve">in Canada </w:t>
      </w:r>
      <w:r w:rsidR="00303EC3" w:rsidRPr="00DB2395">
        <w:rPr>
          <w:lang w:eastAsia="zh-TW"/>
        </w:rPr>
        <w:t>(</w:t>
      </w:r>
      <w:hyperlink r:id="rId34" w:tgtFrame="_blank" w:history="1">
        <w:r w:rsidR="00303EC3" w:rsidRPr="00DB2395">
          <w:rPr>
            <w:color w:val="0000FF"/>
            <w:u w:val="single"/>
            <w:lang w:eastAsia="zh-TW"/>
          </w:rPr>
          <w:t>Health Canada Drug Product Database</w:t>
        </w:r>
      </w:hyperlink>
      <w:r w:rsidR="00303EC3" w:rsidRPr="00DB2395">
        <w:t xml:space="preserve">) </w:t>
      </w:r>
      <w:r w:rsidR="00572C4A" w:rsidRPr="00DB2395">
        <w:rPr>
          <w:lang w:eastAsia="zh-TW"/>
        </w:rPr>
        <w:t>whereas</w:t>
      </w:r>
      <w:r w:rsidR="00303EC3" w:rsidRPr="00DB2395">
        <w:rPr>
          <w:lang w:eastAsia="zh-TW"/>
        </w:rPr>
        <w:t xml:space="preserve"> 7 products are available in the USA</w:t>
      </w:r>
      <w:r w:rsidR="00A2716D" w:rsidRPr="00DB2395">
        <w:rPr>
          <w:lang w:eastAsia="zh-TW"/>
        </w:rPr>
        <w:t xml:space="preserve"> (</w:t>
      </w:r>
      <w:r w:rsidR="00E441CC" w:rsidRPr="00DB2395">
        <w:rPr>
          <w:lang w:eastAsia="zh-TW"/>
        </w:rPr>
        <w:t xml:space="preserve"> </w:t>
      </w:r>
      <w:hyperlink r:id="rId35" w:history="1">
        <w:r w:rsidR="00E441CC" w:rsidRPr="00DB2395">
          <w:rPr>
            <w:rStyle w:val="Hyperlink"/>
            <w:rFonts w:eastAsia="Times New Roman" w:cs="Arial"/>
            <w:lang w:eastAsia="zh-TW"/>
          </w:rPr>
          <w:t>United States Food and Drug Administration Approved Drug Products Database (</w:t>
        </w:r>
        <w:proofErr w:type="spellStart"/>
        <w:r w:rsidR="00E441CC" w:rsidRPr="00DB2395">
          <w:rPr>
            <w:rStyle w:val="Hyperlink"/>
            <w:rFonts w:eastAsia="Times New Roman" w:cs="Arial"/>
            <w:lang w:eastAsia="zh-TW"/>
          </w:rPr>
          <w:t>Drugs@FDA</w:t>
        </w:r>
        <w:proofErr w:type="spellEnd"/>
      </w:hyperlink>
      <w:r w:rsidR="00E441CC" w:rsidRPr="00DB2395">
        <w:rPr>
          <w:lang w:eastAsia="zh-TW"/>
        </w:rPr>
        <w:t>)</w:t>
      </w:r>
      <w:r w:rsidR="003456E4" w:rsidRPr="00DB2395">
        <w:rPr>
          <w:lang w:eastAsia="zh-TW"/>
        </w:rPr>
        <w:t>.</w:t>
      </w:r>
    </w:p>
    <w:p w14:paraId="583FF911" w14:textId="71FBAA7C" w:rsidR="00E53CCF" w:rsidRDefault="00E53CCF" w:rsidP="00682D89">
      <w:pPr>
        <w:pStyle w:val="ListBullet"/>
        <w:rPr>
          <w:lang w:eastAsia="zh-TW"/>
        </w:rPr>
      </w:pPr>
      <w:r w:rsidRPr="00DB2395">
        <w:rPr>
          <w:lang w:eastAsia="zh-TW"/>
        </w:rPr>
        <w:t xml:space="preserve">In </w:t>
      </w:r>
      <w:r w:rsidR="00DB2395" w:rsidRPr="00DB2395">
        <w:rPr>
          <w:lang w:eastAsia="zh-TW"/>
        </w:rPr>
        <w:t xml:space="preserve">the </w:t>
      </w:r>
      <w:r w:rsidRPr="00DB2395">
        <w:rPr>
          <w:lang w:eastAsia="zh-TW"/>
        </w:rPr>
        <w:t xml:space="preserve">UK, </w:t>
      </w:r>
      <w:r w:rsidR="001A09EB" w:rsidRPr="00DB2395">
        <w:rPr>
          <w:lang w:eastAsia="zh-TW"/>
        </w:rPr>
        <w:t xml:space="preserve">the manufacture and supply of medicinal products containing nitrous oxide is controlled by </w:t>
      </w:r>
      <w:hyperlink r:id="rId36" w:history="1">
        <w:r w:rsidR="001A09EB" w:rsidRPr="00963F1C">
          <w:rPr>
            <w:rStyle w:val="Hyperlink"/>
            <w:rFonts w:eastAsia="Times New Roman" w:cs="Arial"/>
            <w:lang w:eastAsia="zh-TW"/>
          </w:rPr>
          <w:t xml:space="preserve">the </w:t>
        </w:r>
        <w:r w:rsidR="001A09EB" w:rsidRPr="00963F1C">
          <w:rPr>
            <w:rStyle w:val="Hyperlink"/>
            <w:rFonts w:eastAsia="Times New Roman" w:cs="Arial"/>
            <w:i/>
            <w:iCs/>
            <w:lang w:eastAsia="zh-TW"/>
          </w:rPr>
          <w:t>Human Medicines Regulations</w:t>
        </w:r>
        <w:r w:rsidR="005424C1" w:rsidRPr="00963F1C">
          <w:rPr>
            <w:rStyle w:val="Hyperlink"/>
            <w:rFonts w:eastAsia="Times New Roman" w:cs="Arial"/>
            <w:i/>
            <w:iCs/>
            <w:lang w:eastAsia="zh-TW"/>
          </w:rPr>
          <w:t>,</w:t>
        </w:r>
        <w:r w:rsidR="001A09EB" w:rsidRPr="00963F1C">
          <w:rPr>
            <w:rStyle w:val="Hyperlink"/>
            <w:rFonts w:eastAsia="Times New Roman" w:cs="Arial"/>
            <w:i/>
            <w:iCs/>
            <w:lang w:eastAsia="zh-TW"/>
          </w:rPr>
          <w:t xml:space="preserve"> 2012</w:t>
        </w:r>
      </w:hyperlink>
      <w:r w:rsidR="001A09EB" w:rsidRPr="00DB2395">
        <w:rPr>
          <w:lang w:eastAsia="zh-TW"/>
        </w:rPr>
        <w:t xml:space="preserve">. The product requires a marketing authorisation and there are restrictions on who may buy and supply it. </w:t>
      </w:r>
      <w:r w:rsidR="005424C1" w:rsidRPr="00DB2395">
        <w:rPr>
          <w:lang w:eastAsia="zh-TW"/>
        </w:rPr>
        <w:t xml:space="preserve">If cylinders containing nitrous oxide are equipped with valves with an integrated pressure regulator, these device components are controlled according to the </w:t>
      </w:r>
      <w:hyperlink r:id="rId37" w:history="1">
        <w:r w:rsidR="005424C1" w:rsidRPr="00E918BD">
          <w:rPr>
            <w:rStyle w:val="Hyperlink"/>
            <w:rFonts w:eastAsia="Times New Roman" w:cs="Arial"/>
            <w:i/>
            <w:iCs/>
            <w:lang w:eastAsia="zh-TW"/>
          </w:rPr>
          <w:t>European Medical Device Regulation (Regulation (EU) 2017/745)</w:t>
        </w:r>
      </w:hyperlink>
      <w:r w:rsidR="005424C1" w:rsidRPr="00DB2395">
        <w:rPr>
          <w:lang w:eastAsia="zh-TW"/>
        </w:rPr>
        <w:t xml:space="preserve"> and the </w:t>
      </w:r>
      <w:hyperlink r:id="rId38" w:history="1">
        <w:r w:rsidR="005424C1" w:rsidRPr="004E2357">
          <w:rPr>
            <w:rStyle w:val="Hyperlink"/>
            <w:rFonts w:eastAsia="Times New Roman" w:cs="Arial"/>
            <w:i/>
            <w:iCs/>
            <w:lang w:eastAsia="zh-TW"/>
          </w:rPr>
          <w:t>UK Medical Devices Regulations, 2002</w:t>
        </w:r>
      </w:hyperlink>
      <w:r w:rsidR="005424C1" w:rsidRPr="00DB2395">
        <w:rPr>
          <w:lang w:eastAsia="zh-TW"/>
        </w:rPr>
        <w:t>.</w:t>
      </w:r>
    </w:p>
    <w:p w14:paraId="2B8B4978" w14:textId="77777777" w:rsidR="00685E72" w:rsidRPr="00C417B6" w:rsidRDefault="00685E72" w:rsidP="00E74709">
      <w:pPr>
        <w:pStyle w:val="Heading2"/>
      </w:pPr>
      <w:bookmarkStart w:id="21" w:name="_Toc239763011"/>
      <w:r w:rsidRPr="00C417B6">
        <w:t>How to respond</w:t>
      </w:r>
      <w:bookmarkEnd w:id="15"/>
      <w:bookmarkEnd w:id="21"/>
    </w:p>
    <w:p w14:paraId="198E4D19" w14:textId="1EC9C8A6" w:rsidR="00685E72" w:rsidRPr="00C417B6" w:rsidRDefault="00685E72" w:rsidP="00C417B6">
      <w:r w:rsidRPr="00C417B6">
        <w:t xml:space="preserve">Submissions must be provided by the closing date of </w:t>
      </w:r>
      <w:r w:rsidR="000C5945" w:rsidRPr="000C5945">
        <w:rPr>
          <w:b/>
          <w:bCs/>
        </w:rPr>
        <w:t>12</w:t>
      </w:r>
      <w:r w:rsidRPr="000C5945">
        <w:rPr>
          <w:b/>
          <w:bCs/>
        </w:rPr>
        <w:t xml:space="preserve"> </w:t>
      </w:r>
      <w:r w:rsidR="000C5945" w:rsidRPr="000C5945">
        <w:rPr>
          <w:b/>
          <w:bCs/>
        </w:rPr>
        <w:t>October</w:t>
      </w:r>
      <w:r w:rsidRPr="000C5945">
        <w:rPr>
          <w:b/>
          <w:bCs/>
        </w:rPr>
        <w:t xml:space="preserve"> 20</w:t>
      </w:r>
      <w:r w:rsidR="000C5945" w:rsidRPr="000C5945">
        <w:rPr>
          <w:b/>
          <w:bCs/>
        </w:rPr>
        <w:t>26</w:t>
      </w:r>
      <w:r w:rsidRPr="000C5945">
        <w:t xml:space="preserve"> </w:t>
      </w:r>
      <w:r w:rsidRPr="00C417B6">
        <w:t>through our </w:t>
      </w:r>
      <w:hyperlink r:id="rId39" w:history="1">
        <w:r w:rsidRPr="00FB080E">
          <w:rPr>
            <w:rStyle w:val="Hyperlink"/>
          </w:rPr>
          <w:t>consultation hub</w:t>
        </w:r>
      </w:hyperlink>
      <w:r w:rsidRPr="00FB080E">
        <w:t>.</w:t>
      </w:r>
      <w:r w:rsidRPr="00C417B6">
        <w:t xml:space="preserve"> Any submission about any of the proposals to amend the Poisons Standard will be considered at the next </w:t>
      </w:r>
      <w:r w:rsidR="00D0261B">
        <w:t xml:space="preserve">joint </w:t>
      </w:r>
      <w:r w:rsidR="00D0261B" w:rsidRPr="00C417B6">
        <w:t>meeting of the </w:t>
      </w:r>
      <w:hyperlink r:id="rId40" w:history="1">
        <w:r w:rsidR="00D0261B" w:rsidRPr="00C417B6">
          <w:rPr>
            <w:rStyle w:val="Hyperlink"/>
          </w:rPr>
          <w:t>Advisory Committee on Medicines Scheduling (ACMS)</w:t>
        </w:r>
      </w:hyperlink>
      <w:r w:rsidR="00D0261B">
        <w:t xml:space="preserve"> and </w:t>
      </w:r>
      <w:r w:rsidR="00D0261B" w:rsidRPr="00C417B6">
        <w:t>the </w:t>
      </w:r>
      <w:hyperlink r:id="rId41" w:history="1">
        <w:r w:rsidR="00D0261B" w:rsidRPr="00C417B6">
          <w:rPr>
            <w:rStyle w:val="Hyperlink"/>
          </w:rPr>
          <w:t>Advisory Committee on Chemicals Scheduling (ACCS)</w:t>
        </w:r>
      </w:hyperlink>
      <w:r w:rsidR="00792AAD">
        <w:t>.</w:t>
      </w:r>
    </w:p>
    <w:p w14:paraId="03307D05" w14:textId="77777777" w:rsidR="00685E72" w:rsidRPr="00C417B6" w:rsidRDefault="00685E72" w:rsidP="00E74709">
      <w:pPr>
        <w:pStyle w:val="Heading2"/>
      </w:pPr>
      <w:bookmarkStart w:id="22" w:name="_Toc122614250"/>
      <w:bookmarkStart w:id="23" w:name="_Toc239763012"/>
      <w:r w:rsidRPr="00C417B6">
        <w:t>What will happen</w:t>
      </w:r>
      <w:bookmarkEnd w:id="22"/>
      <w:bookmarkEnd w:id="23"/>
    </w:p>
    <w:p w14:paraId="7638E07C" w14:textId="77777777" w:rsidR="00685E72" w:rsidRPr="00C417B6" w:rsidRDefault="00685E72" w:rsidP="00C417B6">
      <w:r w:rsidRPr="00C417B6">
        <w:t xml:space="preserve">All public submissions will be published on the TGA website at </w:t>
      </w:r>
      <w:hyperlink r:id="rId42" w:history="1">
        <w:r w:rsidRPr="00C417B6">
          <w:rPr>
            <w:rStyle w:val="Hyperlink"/>
          </w:rPr>
          <w:t>Public submissions on scheduling matters</w:t>
        </w:r>
      </w:hyperlink>
      <w:r w:rsidRPr="00C417B6">
        <w:t xml:space="preserve">, unless marked confidential or indicated otherwise in the submission coversheet (see </w:t>
      </w:r>
      <w:hyperlink r:id="rId43" w:history="1">
        <w:r w:rsidRPr="00C417B6">
          <w:rPr>
            <w:rStyle w:val="Hyperlink"/>
          </w:rPr>
          <w:t>Privacy</w:t>
        </w:r>
        <w:r w:rsidR="00B90A0A" w:rsidRPr="00C417B6">
          <w:rPr>
            <w:rStyle w:val="Hyperlink"/>
          </w:rPr>
          <w:t> </w:t>
        </w:r>
        <w:r w:rsidRPr="00C417B6">
          <w:rPr>
            <w:rStyle w:val="Hyperlink"/>
          </w:rPr>
          <w:t>information</w:t>
        </w:r>
      </w:hyperlink>
      <w:r w:rsidRPr="00C417B6">
        <w:t>).</w:t>
      </w:r>
    </w:p>
    <w:p w14:paraId="633A6D77" w14:textId="0C8AA8C7" w:rsidR="00F02AEC" w:rsidRDefault="00685E72" w:rsidP="00C417B6">
      <w:r w:rsidRPr="00C417B6">
        <w:t>Following consideration of public submissions received before the closing date and advice from the expert advisory committee/s, decisions on the proposed amendments will be published as interim decisions on the TGA website</w:t>
      </w:r>
      <w:r w:rsidR="001C38B7">
        <w:t xml:space="preserve">: </w:t>
      </w:r>
      <w:hyperlink r:id="rId44" w:history="1">
        <w:r w:rsidR="001C38B7" w:rsidRPr="00C417B6">
          <w:rPr>
            <w:rStyle w:val="Hyperlink"/>
          </w:rPr>
          <w:t>Scheduling delegate's interim decisions &amp; invitations for further comment</w:t>
        </w:r>
      </w:hyperlink>
      <w:r w:rsidR="00E85C5D">
        <w:t>.</w:t>
      </w:r>
    </w:p>
    <w:p w14:paraId="7F08F3AD" w14:textId="77777777" w:rsidR="00F21885" w:rsidRPr="00C417B6" w:rsidRDefault="00F21885" w:rsidP="00C417B6">
      <w:pPr>
        <w:sectPr w:rsidR="00F21885" w:rsidRPr="00C417B6">
          <w:headerReference w:type="default" r:id="rId45"/>
          <w:footerReference w:type="default" r:id="rId46"/>
          <w:pgSz w:w="11906" w:h="16838" w:code="9"/>
          <w:pgMar w:top="1134" w:right="1418" w:bottom="1361" w:left="1418" w:header="573" w:footer="567" w:gutter="0"/>
          <w:cols w:space="708"/>
          <w:docGrid w:linePitch="360"/>
        </w:sectPr>
      </w:pPr>
    </w:p>
    <w:tbl>
      <w:tblPr>
        <w:tblW w:w="9145" w:type="dxa"/>
        <w:jc w:val="center"/>
        <w:tblLayout w:type="fixed"/>
        <w:tblCellMar>
          <w:left w:w="0" w:type="dxa"/>
          <w:right w:w="0" w:type="dxa"/>
        </w:tblCellMar>
        <w:tblLook w:val="04A0" w:firstRow="1" w:lastRow="0" w:firstColumn="1" w:lastColumn="0" w:noHBand="0" w:noVBand="1"/>
      </w:tblPr>
      <w:tblGrid>
        <w:gridCol w:w="9145"/>
      </w:tblGrid>
      <w:tr w:rsidR="00F02AEC" w:rsidRPr="00C417B6" w14:paraId="635C04A9" w14:textId="77777777">
        <w:trPr>
          <w:trHeight w:hRule="exact" w:val="565"/>
          <w:jc w:val="center"/>
        </w:trPr>
        <w:tc>
          <w:tcPr>
            <w:tcW w:w="9145" w:type="dxa"/>
          </w:tcPr>
          <w:p w14:paraId="157923B8" w14:textId="77777777" w:rsidR="00F02AEC" w:rsidRPr="00C417B6" w:rsidRDefault="00F02AEC" w:rsidP="00E74709">
            <w:pPr>
              <w:pStyle w:val="TGASignoff"/>
            </w:pPr>
            <w:r w:rsidRPr="00C417B6">
              <w:lastRenderedPageBreak/>
              <w:t>Therapeutic Goods Administration</w:t>
            </w:r>
          </w:p>
        </w:tc>
      </w:tr>
      <w:tr w:rsidR="00F02AEC" w:rsidRPr="00C417B6" w14:paraId="4E2C8ECE" w14:textId="77777777">
        <w:trPr>
          <w:trHeight w:val="963"/>
          <w:jc w:val="center"/>
        </w:trPr>
        <w:tc>
          <w:tcPr>
            <w:tcW w:w="9145" w:type="dxa"/>
            <w:tcMar>
              <w:top w:w="28" w:type="dxa"/>
            </w:tcMar>
          </w:tcPr>
          <w:p w14:paraId="5C2BB7C9" w14:textId="77777777" w:rsidR="00F02AEC" w:rsidRPr="00C417B6" w:rsidRDefault="00F02AEC" w:rsidP="00E74709">
            <w:pPr>
              <w:pStyle w:val="Address"/>
              <w:jc w:val="center"/>
            </w:pPr>
            <w:r w:rsidRPr="00C417B6">
              <w:t>PO Box 100 Woden ACT 2606 Australia</w:t>
            </w:r>
          </w:p>
          <w:p w14:paraId="1436858B" w14:textId="77777777" w:rsidR="00F02AEC" w:rsidRPr="00C417B6" w:rsidRDefault="00F02AEC" w:rsidP="00E74709">
            <w:pPr>
              <w:pStyle w:val="Address"/>
              <w:jc w:val="center"/>
            </w:pPr>
            <w:r w:rsidRPr="00C417B6">
              <w:t xml:space="preserve">Email: </w:t>
            </w:r>
            <w:hyperlink r:id="rId47" w:history="1">
              <w:r w:rsidRPr="00C417B6">
                <w:rPr>
                  <w:rStyle w:val="Hyperlink"/>
                </w:rPr>
                <w:t>info@tga.gov.au</w:t>
              </w:r>
            </w:hyperlink>
            <w:r w:rsidRPr="00C417B6">
              <w:t xml:space="preserve">  Phone: 1800 020 </w:t>
            </w:r>
            <w:proofErr w:type="gramStart"/>
            <w:r w:rsidRPr="00C417B6">
              <w:t>653  Fax</w:t>
            </w:r>
            <w:proofErr w:type="gramEnd"/>
            <w:r w:rsidRPr="00C417B6">
              <w:t>: 02 6203 1605</w:t>
            </w:r>
          </w:p>
          <w:p w14:paraId="0AADF214" w14:textId="77777777" w:rsidR="00F02AEC" w:rsidRPr="00C417B6" w:rsidRDefault="00F02AEC" w:rsidP="00E74709">
            <w:pPr>
              <w:pStyle w:val="Address"/>
              <w:jc w:val="center"/>
            </w:pPr>
            <w:hyperlink r:id="rId48" w:history="1">
              <w:r w:rsidRPr="00C417B6">
                <w:rPr>
                  <w:rStyle w:val="Hyperlink"/>
                </w:rPr>
                <w:t>https://www.tga.gov.au</w:t>
              </w:r>
            </w:hyperlink>
          </w:p>
        </w:tc>
      </w:tr>
      <w:tr w:rsidR="00F02AEC" w:rsidRPr="00C417B6" w14:paraId="2F2CF464" w14:textId="77777777">
        <w:trPr>
          <w:trHeight w:val="251"/>
          <w:jc w:val="center"/>
        </w:trPr>
        <w:tc>
          <w:tcPr>
            <w:tcW w:w="9145" w:type="dxa"/>
            <w:tcMar>
              <w:top w:w="28" w:type="dxa"/>
            </w:tcMar>
          </w:tcPr>
          <w:p w14:paraId="1E6F4EC1" w14:textId="77777777" w:rsidR="00F02AEC" w:rsidRPr="00C417B6" w:rsidRDefault="00F02AEC" w:rsidP="00C417B6"/>
        </w:tc>
      </w:tr>
      <w:bookmarkEnd w:id="0"/>
    </w:tbl>
    <w:p w14:paraId="6AA87598" w14:textId="77777777" w:rsidR="009506FA" w:rsidRPr="00C417B6" w:rsidRDefault="009506FA" w:rsidP="00C417B6"/>
    <w:sectPr w:rsidR="009506FA" w:rsidRPr="00C417B6">
      <w:headerReference w:type="first" r:id="rId49"/>
      <w:footerReference w:type="first" r:id="rId50"/>
      <w:pgSz w:w="11906" w:h="16838" w:code="9"/>
      <w:pgMar w:top="13571" w:right="1701" w:bottom="567" w:left="1701" w:header="1134" w:footer="7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AC2F7" w14:textId="77777777" w:rsidR="00204F19" w:rsidRDefault="00204F19" w:rsidP="00F02AEC">
      <w:pPr>
        <w:spacing w:after="0" w:line="240" w:lineRule="auto"/>
      </w:pPr>
      <w:r>
        <w:separator/>
      </w:r>
    </w:p>
  </w:endnote>
  <w:endnote w:type="continuationSeparator" w:id="0">
    <w:p w14:paraId="098481BF" w14:textId="77777777" w:rsidR="00204F19" w:rsidRDefault="00204F19" w:rsidP="00F02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Bol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09CE" w14:textId="77777777" w:rsidR="00FD0841" w:rsidRDefault="00FD0841">
    <w:pPr>
      <w:pStyle w:val="Footer"/>
    </w:pPr>
    <w:r>
      <w:rPr>
        <w:noProof/>
      </w:rPr>
      <mc:AlternateContent>
        <mc:Choice Requires="wps">
          <w:drawing>
            <wp:anchor distT="0" distB="0" distL="0" distR="0" simplePos="0" relativeHeight="251658243" behindDoc="0" locked="0" layoutInCell="1" allowOverlap="1" wp14:anchorId="105EE639" wp14:editId="5828947D">
              <wp:simplePos x="635" y="635"/>
              <wp:positionH relativeFrom="page">
                <wp:align>center</wp:align>
              </wp:positionH>
              <wp:positionV relativeFrom="page">
                <wp:align>bottom</wp:align>
              </wp:positionV>
              <wp:extent cx="622300" cy="391160"/>
              <wp:effectExtent l="0" t="0" r="6350" b="0"/>
              <wp:wrapNone/>
              <wp:docPr id="546918426"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BD8C99B"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EE639" id="_x0000_t202" coordsize="21600,21600" o:spt="202" path="m,l,21600r21600,l21600,xe">
              <v:stroke joinstyle="miter"/>
              <v:path gradientshapeok="t" o:connecttype="rect"/>
            </v:shapetype>
            <v:shape id="Text Box 7" o:spid="_x0000_s1029"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2BD8C99B"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360"/>
    </w:tblGrid>
    <w:tr w:rsidR="00F02AEC" w:rsidRPr="00257138" w14:paraId="6648FEC9" w14:textId="77777777">
      <w:trPr>
        <w:trHeight w:val="423"/>
      </w:trPr>
      <w:tc>
        <w:tcPr>
          <w:tcW w:w="4360" w:type="dxa"/>
          <w:tcBorders>
            <w:top w:val="single" w:sz="4" w:space="0" w:color="auto"/>
          </w:tcBorders>
        </w:tcPr>
        <w:p w14:paraId="62DDC69D" w14:textId="77777777" w:rsidR="00F02AEC" w:rsidRDefault="00FD0841">
          <w:pPr>
            <w:pStyle w:val="Footer"/>
          </w:pPr>
          <w:r>
            <w:rPr>
              <w:noProof/>
            </w:rPr>
            <mc:AlternateContent>
              <mc:Choice Requires="wps">
                <w:drawing>
                  <wp:anchor distT="0" distB="0" distL="0" distR="0" simplePos="0" relativeHeight="251658244" behindDoc="0" locked="0" layoutInCell="1" allowOverlap="1" wp14:anchorId="7F7E5471" wp14:editId="597FDB15">
                    <wp:simplePos x="635" y="635"/>
                    <wp:positionH relativeFrom="page">
                      <wp:align>center</wp:align>
                    </wp:positionH>
                    <wp:positionV relativeFrom="page">
                      <wp:align>bottom</wp:align>
                    </wp:positionV>
                    <wp:extent cx="622300" cy="391160"/>
                    <wp:effectExtent l="0" t="0" r="6350" b="0"/>
                    <wp:wrapNone/>
                    <wp:docPr id="1875503501"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3DBE922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7E5471" id="_x0000_t202" coordsize="21600,21600" o:spt="202" path="m,l,21600r21600,l21600,xe">
                    <v:stroke joinstyle="miter"/>
                    <v:path gradientshapeok="t" o:connecttype="rect"/>
                  </v:shapetype>
                  <v:shape id="Text Box 8" o:spid="_x0000_s1030"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3DBE922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p w14:paraId="71195803" w14:textId="77777777" w:rsidR="00F02AEC" w:rsidRPr="00257138" w:rsidRDefault="00F02AEC">
          <w:pPr>
            <w:pStyle w:val="Footer"/>
          </w:pPr>
          <w:r w:rsidRPr="00257138">
            <w:t>Document title</w:t>
          </w:r>
        </w:p>
      </w:tc>
      <w:tc>
        <w:tcPr>
          <w:tcW w:w="4360" w:type="dxa"/>
          <w:tcBorders>
            <w:top w:val="single" w:sz="4" w:space="0" w:color="auto"/>
          </w:tcBorders>
        </w:tcPr>
        <w:sdt>
          <w:sdtPr>
            <w:id w:val="1087729233"/>
            <w:docPartObj>
              <w:docPartGallery w:val="Page Numbers (Top of Page)"/>
              <w:docPartUnique/>
            </w:docPartObj>
          </w:sdtPr>
          <w:sdtEndPr/>
          <w:sdtContent>
            <w:p w14:paraId="74526944" w14:textId="77777777" w:rsidR="00F02AEC" w:rsidRDefault="00F02AEC">
              <w:pPr>
                <w:pStyle w:val="Footer"/>
                <w:jc w:val="right"/>
              </w:pPr>
            </w:p>
            <w:p w14:paraId="189D516A" w14:textId="77777777" w:rsidR="00F02AEC" w:rsidRPr="00257138" w:rsidRDefault="00F02AEC">
              <w:pPr>
                <w:pStyle w:val="Footer"/>
                <w:jc w:val="right"/>
              </w:pPr>
              <w:r w:rsidRPr="00257138">
                <w:t xml:space="preserve">Page </w:t>
              </w:r>
              <w:r>
                <w:fldChar w:fldCharType="begin"/>
              </w:r>
              <w:r>
                <w:instrText xml:space="preserve"> PAGE </w:instrText>
              </w:r>
              <w:r>
                <w:fldChar w:fldCharType="separate"/>
              </w:r>
              <w:r>
                <w:rPr>
                  <w:noProof/>
                </w:rPr>
                <w:t>2</w:t>
              </w:r>
              <w:r>
                <w:rPr>
                  <w:noProof/>
                </w:rPr>
                <w:fldChar w:fldCharType="end"/>
              </w:r>
              <w:r w:rsidRPr="00257138">
                <w:t xml:space="preserve"> of </w:t>
              </w:r>
              <w:r>
                <w:fldChar w:fldCharType="begin"/>
              </w:r>
              <w:r>
                <w:instrText>NUMPAGES</w:instrText>
              </w:r>
              <w:r>
                <w:fldChar w:fldCharType="separate"/>
              </w:r>
              <w:r>
                <w:rPr>
                  <w:noProof/>
                </w:rPr>
                <w:t>2</w:t>
              </w:r>
              <w:r>
                <w:fldChar w:fldCharType="end"/>
              </w:r>
            </w:p>
          </w:sdtContent>
        </w:sdt>
      </w:tc>
    </w:tr>
    <w:tr w:rsidR="00F02AEC" w:rsidRPr="00257138" w14:paraId="6CF19F2A" w14:textId="77777777">
      <w:trPr>
        <w:trHeight w:val="263"/>
      </w:trPr>
      <w:tc>
        <w:tcPr>
          <w:tcW w:w="4360" w:type="dxa"/>
        </w:tcPr>
        <w:p w14:paraId="19635677" w14:textId="77777777" w:rsidR="00F02AEC" w:rsidRPr="00257138" w:rsidRDefault="00F02AEC">
          <w:pPr>
            <w:pStyle w:val="Footer"/>
          </w:pPr>
          <w:r w:rsidRPr="00257138">
            <w:t xml:space="preserve">V1.0 </w:t>
          </w:r>
          <w:r>
            <w:t>Month</w:t>
          </w:r>
          <w:r w:rsidRPr="00257138">
            <w:t xml:space="preserve"> 201</w:t>
          </w:r>
          <w:r>
            <w:t>2</w:t>
          </w:r>
        </w:p>
      </w:tc>
      <w:tc>
        <w:tcPr>
          <w:tcW w:w="4360" w:type="dxa"/>
        </w:tcPr>
        <w:p w14:paraId="12F8C6DC" w14:textId="77777777" w:rsidR="00F02AEC" w:rsidRPr="00257138" w:rsidRDefault="00F02AEC">
          <w:pPr>
            <w:pStyle w:val="Footer"/>
            <w:jc w:val="right"/>
          </w:pPr>
        </w:p>
      </w:tc>
    </w:tr>
  </w:tbl>
  <w:p w14:paraId="0C7405C6" w14:textId="77777777" w:rsidR="00F02AEC" w:rsidRPr="00826007" w:rsidRDefault="00F02AEC">
    <w:pPr>
      <w:pStyle w:val="Footer"/>
      <w:tabs>
        <w:tab w:val="left" w:pos="7620"/>
        <w:tab w:val="right" w:pos="8504"/>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ECA7" w14:textId="5A3C1E81" w:rsidR="00F02AEC" w:rsidRDefault="00F02AEC">
    <w:pPr>
      <w:pStyle w:val="Footer"/>
      <w:ind w:left="-1701"/>
    </w:pPr>
    <w:r w:rsidRPr="002B29B2">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tblCellMar>
      <w:tblLook w:val="04A0" w:firstRow="1" w:lastRow="0" w:firstColumn="1" w:lastColumn="0" w:noHBand="0" w:noVBand="1"/>
    </w:tblPr>
    <w:tblGrid>
      <w:gridCol w:w="7338"/>
      <w:gridCol w:w="1734"/>
    </w:tblGrid>
    <w:tr w:rsidR="00F02AEC" w:rsidRPr="00520CD5" w14:paraId="222432A5" w14:textId="77777777">
      <w:trPr>
        <w:trHeight w:val="423"/>
      </w:trPr>
      <w:tc>
        <w:tcPr>
          <w:tcW w:w="7338" w:type="dxa"/>
          <w:tcBorders>
            <w:top w:val="single" w:sz="4" w:space="0" w:color="auto"/>
          </w:tcBorders>
        </w:tcPr>
        <w:p w14:paraId="6DB37326" w14:textId="7B4498AE" w:rsidR="00F02AEC" w:rsidRPr="00F41EC8" w:rsidRDefault="00F41EC8" w:rsidP="00F41EC8">
          <w:pPr>
            <w:pStyle w:val="Footer"/>
          </w:pPr>
          <w:r w:rsidRPr="00F41EC8">
            <w:t xml:space="preserve">Consultation: Proposed amendments to the Poisons Standard – </w:t>
          </w:r>
          <w:r w:rsidR="00E94158" w:rsidRPr="00E94158">
            <w:t>Joint ACMS-</w:t>
          </w:r>
          <w:r w:rsidRPr="00E94158">
            <w:t>ACCS</w:t>
          </w:r>
          <w:r w:rsidR="00C33F7D" w:rsidRPr="00E94158">
            <w:t xml:space="preserve"> meeting</w:t>
          </w:r>
          <w:r w:rsidRPr="00E94158">
            <w:t xml:space="preserve"> </w:t>
          </w:r>
          <w:r w:rsidRPr="00427354">
            <w:t>#</w:t>
          </w:r>
          <w:r w:rsidR="009C120A">
            <w:t>45</w:t>
          </w:r>
          <w:r w:rsidRPr="00F41EC8">
            <w:t xml:space="preserve">, </w:t>
          </w:r>
          <w:r w:rsidR="00C33F7D" w:rsidRPr="00C33F7D">
            <w:t>November</w:t>
          </w:r>
          <w:r w:rsidRPr="00C33F7D">
            <w:t xml:space="preserve"> 20</w:t>
          </w:r>
          <w:r w:rsidR="00C33F7D" w:rsidRPr="00C33F7D">
            <w:t>26</w:t>
          </w:r>
          <w:r w:rsidR="00F02AEC" w:rsidRPr="00F41EC8">
            <w:t xml:space="preserve"> </w:t>
          </w:r>
          <w:r w:rsidR="00F02AEC" w:rsidRPr="00F41EC8">
            <w:br/>
          </w:r>
        </w:p>
      </w:tc>
      <w:tc>
        <w:tcPr>
          <w:tcW w:w="1734" w:type="dxa"/>
          <w:tcBorders>
            <w:top w:val="single" w:sz="4" w:space="0" w:color="auto"/>
          </w:tcBorders>
        </w:tcPr>
        <w:sdt>
          <w:sdtPr>
            <w:id w:val="11571659"/>
            <w:docPartObj>
              <w:docPartGallery w:val="Page Numbers (Top of Page)"/>
              <w:docPartUnique/>
            </w:docPartObj>
          </w:sdtPr>
          <w:sdtEndPr/>
          <w:sdtContent>
            <w:p w14:paraId="18557989" w14:textId="77777777" w:rsidR="00F02AEC" w:rsidRPr="003575C3" w:rsidRDefault="00F02AEC" w:rsidP="00455705">
              <w:pPr>
                <w:pStyle w:val="Footer"/>
              </w:pPr>
              <w:r w:rsidRPr="003575C3">
                <w:t xml:space="preserve">Page </w:t>
              </w:r>
              <w:r w:rsidRPr="003575C3">
                <w:fldChar w:fldCharType="begin"/>
              </w:r>
              <w:r w:rsidRPr="003575C3">
                <w:instrText xml:space="preserve"> PAGE </w:instrText>
              </w:r>
              <w:r w:rsidRPr="003575C3">
                <w:fldChar w:fldCharType="separate"/>
              </w:r>
              <w:r w:rsidRPr="003575C3">
                <w:t>6</w:t>
              </w:r>
              <w:r w:rsidRPr="003575C3">
                <w:fldChar w:fldCharType="end"/>
              </w:r>
              <w:r w:rsidRPr="003575C3">
                <w:t xml:space="preserve"> of </w:t>
              </w:r>
              <w:r>
                <w:fldChar w:fldCharType="begin"/>
              </w:r>
              <w:r>
                <w:instrText>NUMPAGES</w:instrText>
              </w:r>
              <w:r>
                <w:fldChar w:fldCharType="separate"/>
              </w:r>
              <w:r w:rsidRPr="003575C3">
                <w:t>7</w:t>
              </w:r>
              <w:r>
                <w:fldChar w:fldCharType="end"/>
              </w:r>
            </w:p>
          </w:sdtContent>
        </w:sdt>
      </w:tc>
    </w:tr>
  </w:tbl>
  <w:p w14:paraId="61B7AE6B" w14:textId="77777777" w:rsidR="00F02AEC" w:rsidRPr="00B90A0A" w:rsidRDefault="00F02AEC">
    <w:pPr>
      <w:pStyle w:val="Footer"/>
      <w:tabs>
        <w:tab w:val="left" w:pos="7620"/>
        <w:tab w:val="right" w:pos="8504"/>
      </w:tabs>
      <w:rPr>
        <w:rFonts w:asciiTheme="minorHAnsi" w:hAnsiTheme="minorHAnsi" w:cstheme="minorHAnsi"/>
        <w:sz w:val="18"/>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54055" w14:textId="0748EA8D" w:rsidR="009506FA" w:rsidRPr="008E3C43" w:rsidRDefault="00950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94718" w14:textId="77777777" w:rsidR="00204F19" w:rsidRDefault="00204F19" w:rsidP="00F02AEC">
      <w:pPr>
        <w:spacing w:after="0" w:line="240" w:lineRule="auto"/>
      </w:pPr>
      <w:r>
        <w:separator/>
      </w:r>
    </w:p>
  </w:footnote>
  <w:footnote w:type="continuationSeparator" w:id="0">
    <w:p w14:paraId="36F25709" w14:textId="77777777" w:rsidR="00204F19" w:rsidRDefault="00204F19" w:rsidP="00F02AEC">
      <w:pPr>
        <w:spacing w:after="0" w:line="240" w:lineRule="auto"/>
      </w:pPr>
      <w:r>
        <w:continuationSeparator/>
      </w:r>
    </w:p>
  </w:footnote>
  <w:footnote w:id="1">
    <w:p w14:paraId="3A59017F" w14:textId="03E8C8CB" w:rsidR="00DF17FA" w:rsidRDefault="00DF17FA" w:rsidP="00DE1819">
      <w:pPr>
        <w:pStyle w:val="FootnoteText"/>
        <w:spacing w:before="120" w:after="120" w:line="240" w:lineRule="auto"/>
      </w:pPr>
      <w:r>
        <w:rPr>
          <w:rStyle w:val="FootnoteReference"/>
        </w:rPr>
        <w:footnoteRef/>
      </w:r>
      <w:r>
        <w:t xml:space="preserve"> NSW</w:t>
      </w:r>
      <w:r w:rsidRPr="00DF17FA">
        <w:rPr>
          <w:szCs w:val="16"/>
        </w:rPr>
        <w:t xml:space="preserve"> </w:t>
      </w:r>
      <w:r w:rsidRPr="00DA404E">
        <w:rPr>
          <w:szCs w:val="16"/>
        </w:rPr>
        <w:t>Ministry of Health,</w:t>
      </w:r>
      <w:r>
        <w:t xml:space="preserve"> </w:t>
      </w:r>
      <w:hyperlink r:id="rId1" w:history="1">
        <w:r w:rsidRPr="00DF17FA">
          <w:rPr>
            <w:rStyle w:val="Hyperlink"/>
          </w:rPr>
          <w:t>Nitrous Oxide Reforms Consultation Paper</w:t>
        </w:r>
      </w:hyperlink>
      <w:r>
        <w:t xml:space="preserve"> </w:t>
      </w:r>
      <w:r w:rsidR="0064393D">
        <w:t xml:space="preserve">- </w:t>
      </w:r>
      <w:r>
        <w:t xml:space="preserve">March 2024, </w:t>
      </w:r>
      <w:r w:rsidRPr="00DA404E">
        <w:rPr>
          <w:szCs w:val="16"/>
        </w:rPr>
        <w:t xml:space="preserve">viewed </w:t>
      </w:r>
      <w:r>
        <w:rPr>
          <w:szCs w:val="16"/>
        </w:rPr>
        <w:t>10</w:t>
      </w:r>
      <w:r w:rsidRPr="00DA404E">
        <w:rPr>
          <w:szCs w:val="16"/>
        </w:rPr>
        <w:t xml:space="preserve"> </w:t>
      </w:r>
      <w:r>
        <w:rPr>
          <w:szCs w:val="16"/>
        </w:rPr>
        <w:t>September</w:t>
      </w:r>
      <w:r w:rsidRPr="00DA404E">
        <w:rPr>
          <w:szCs w:val="16"/>
        </w:rPr>
        <w:t xml:space="preserve"> 2026</w:t>
      </w:r>
    </w:p>
  </w:footnote>
  <w:footnote w:id="2">
    <w:p w14:paraId="0042BA2E" w14:textId="77777777" w:rsidR="00E35EA2" w:rsidRPr="00875B7C" w:rsidRDefault="00E35EA2" w:rsidP="00DE1819">
      <w:pPr>
        <w:pStyle w:val="FootnoteText"/>
        <w:spacing w:before="120" w:after="120" w:line="240" w:lineRule="auto"/>
        <w:rPr>
          <w:szCs w:val="16"/>
        </w:rPr>
      </w:pPr>
      <w:r w:rsidRPr="00875B7C">
        <w:rPr>
          <w:rStyle w:val="FootnoteReference"/>
          <w:szCs w:val="16"/>
        </w:rPr>
        <w:footnoteRef/>
      </w:r>
      <w:r w:rsidRPr="00875B7C">
        <w:rPr>
          <w:szCs w:val="16"/>
        </w:rPr>
        <w:t xml:space="preserve"> National Drug &amp; Alcohol Research Centre report: Nitrous oxide product types and sources among people who regularly use ecstasy and/or other illicit stimulants, 2021-2025. Available at </w:t>
      </w:r>
      <w:hyperlink r:id="rId2" w:history="1">
        <w:r w:rsidRPr="00875B7C">
          <w:rPr>
            <w:rStyle w:val="Hyperlink"/>
            <w:szCs w:val="16"/>
          </w:rPr>
          <w:t>www.unsw.edu.au/research/ndarc/resources/nitrous-oxide-product-types-and-sources-edrs-national-2021-2025</w:t>
        </w:r>
      </w:hyperlink>
      <w:r w:rsidRPr="00875B7C">
        <w:rPr>
          <w:szCs w:val="16"/>
        </w:rPr>
        <w:t>; accessed 21 Aug 2026.</w:t>
      </w:r>
    </w:p>
  </w:footnote>
  <w:footnote w:id="3">
    <w:p w14:paraId="6227DE89" w14:textId="77777777" w:rsidR="00F1295C" w:rsidRPr="000742EB" w:rsidRDefault="00F1295C" w:rsidP="00DE1819">
      <w:pPr>
        <w:pStyle w:val="FootnoteText"/>
        <w:spacing w:before="120" w:after="120" w:line="240" w:lineRule="auto"/>
        <w:rPr>
          <w:szCs w:val="16"/>
        </w:rPr>
      </w:pPr>
      <w:r w:rsidRPr="000742EB">
        <w:rPr>
          <w:rStyle w:val="FootnoteReference"/>
          <w:szCs w:val="16"/>
        </w:rPr>
        <w:footnoteRef/>
      </w:r>
      <w:r w:rsidRPr="000742EB">
        <w:rPr>
          <w:szCs w:val="16"/>
        </w:rPr>
        <w:t xml:space="preserve"> Victorian Department of Health, </w:t>
      </w:r>
      <w:hyperlink r:id="rId3" w:history="1">
        <w:r w:rsidRPr="000742EB">
          <w:rPr>
            <w:rStyle w:val="Hyperlink"/>
            <w:szCs w:val="16"/>
          </w:rPr>
          <w:t>Responsible sale of solvents</w:t>
        </w:r>
      </w:hyperlink>
      <w:r w:rsidRPr="000742EB">
        <w:rPr>
          <w:szCs w:val="16"/>
        </w:rPr>
        <w:t>, viewed 20 August 2026</w:t>
      </w:r>
    </w:p>
  </w:footnote>
  <w:footnote w:id="4">
    <w:p w14:paraId="2E910FA1" w14:textId="77777777" w:rsidR="00F1295C" w:rsidRPr="00212B65" w:rsidRDefault="00F1295C" w:rsidP="00DE1819">
      <w:pPr>
        <w:pStyle w:val="FootnoteText"/>
        <w:spacing w:before="120" w:after="120" w:line="240" w:lineRule="auto"/>
        <w:rPr>
          <w:szCs w:val="16"/>
        </w:rPr>
      </w:pPr>
      <w:r w:rsidRPr="00212B65">
        <w:rPr>
          <w:rStyle w:val="FootnoteReference"/>
          <w:szCs w:val="16"/>
        </w:rPr>
        <w:footnoteRef/>
      </w:r>
      <w:r w:rsidRPr="00212B65">
        <w:rPr>
          <w:szCs w:val="16"/>
        </w:rPr>
        <w:t xml:space="preserve"> Legal Services Commission of South Australia, </w:t>
      </w:r>
      <w:hyperlink r:id="rId4" w:history="1">
        <w:r w:rsidRPr="00212B65">
          <w:rPr>
            <w:rStyle w:val="Hyperlink"/>
            <w:szCs w:val="16"/>
          </w:rPr>
          <w:t>Sale or supply of volatile solvents,</w:t>
        </w:r>
      </w:hyperlink>
      <w:r w:rsidRPr="00212B65">
        <w:rPr>
          <w:szCs w:val="16"/>
        </w:rPr>
        <w:t xml:space="preserve"> viewed 20 August 2026</w:t>
      </w:r>
    </w:p>
  </w:footnote>
  <w:footnote w:id="5">
    <w:p w14:paraId="0E114F82" w14:textId="77777777" w:rsidR="00F1295C" w:rsidRDefault="00F1295C" w:rsidP="00DE1819">
      <w:pPr>
        <w:pStyle w:val="FootnoteText"/>
        <w:spacing w:before="120" w:after="120" w:line="240" w:lineRule="auto"/>
      </w:pPr>
      <w:r>
        <w:rPr>
          <w:rStyle w:val="FootnoteReference"/>
        </w:rPr>
        <w:footnoteRef/>
      </w:r>
      <w:r>
        <w:t xml:space="preserve"> </w:t>
      </w:r>
      <w:r w:rsidRPr="00DE1087">
        <w:rPr>
          <w:szCs w:val="16"/>
        </w:rPr>
        <w:t xml:space="preserve">Government of Western Australia Department of Health, </w:t>
      </w:r>
      <w:hyperlink r:id="rId5" w:history="1">
        <w:r w:rsidRPr="00DE1087">
          <w:rPr>
            <w:rStyle w:val="Hyperlink"/>
            <w:szCs w:val="16"/>
          </w:rPr>
          <w:t>Tougher nitrous oxide regulation now in effect</w:t>
        </w:r>
      </w:hyperlink>
      <w:r w:rsidRPr="00DE1087">
        <w:rPr>
          <w:szCs w:val="16"/>
        </w:rPr>
        <w:t>, media release, 31 October 2024, viewed 20 August 2026</w:t>
      </w:r>
    </w:p>
  </w:footnote>
  <w:footnote w:id="6">
    <w:p w14:paraId="4923F4A9" w14:textId="77777777" w:rsidR="00F1295C" w:rsidRPr="00DE1087" w:rsidRDefault="00F1295C" w:rsidP="00DE1819">
      <w:pPr>
        <w:pStyle w:val="FootnoteText"/>
        <w:spacing w:before="120" w:after="120" w:line="240" w:lineRule="auto"/>
        <w:rPr>
          <w:szCs w:val="16"/>
        </w:rPr>
      </w:pPr>
      <w:r w:rsidRPr="00DE1087">
        <w:rPr>
          <w:rStyle w:val="FootnoteReference"/>
          <w:szCs w:val="16"/>
        </w:rPr>
        <w:footnoteRef/>
      </w:r>
      <w:r w:rsidRPr="00DE1087">
        <w:rPr>
          <w:szCs w:val="16"/>
        </w:rPr>
        <w:t xml:space="preserve"> Queensland Government, Minister for Health and Ambulance Services, </w:t>
      </w:r>
      <w:hyperlink r:id="rId6" w:history="1">
        <w:r w:rsidRPr="00DE1087">
          <w:rPr>
            <w:rStyle w:val="Hyperlink"/>
            <w:szCs w:val="16"/>
          </w:rPr>
          <w:t>Nation-leading laws strengthened to target rogue tobacco and vape traders</w:t>
        </w:r>
      </w:hyperlink>
      <w:r w:rsidRPr="00DE1087">
        <w:rPr>
          <w:szCs w:val="16"/>
        </w:rPr>
        <w:t>, Ministerial Media Statement, 20 November 2025, viewed 20 August 2026</w:t>
      </w:r>
    </w:p>
  </w:footnote>
  <w:footnote w:id="7">
    <w:p w14:paraId="036DC759" w14:textId="77777777" w:rsidR="00F1295C" w:rsidRPr="00DA404E" w:rsidRDefault="00F1295C" w:rsidP="00DE1819">
      <w:pPr>
        <w:pStyle w:val="FootnoteText"/>
        <w:spacing w:before="120" w:after="120" w:line="240" w:lineRule="auto"/>
        <w:rPr>
          <w:szCs w:val="16"/>
        </w:rPr>
      </w:pPr>
      <w:r w:rsidRPr="00DA404E">
        <w:rPr>
          <w:rStyle w:val="FootnoteReference"/>
          <w:szCs w:val="16"/>
        </w:rPr>
        <w:footnoteRef/>
      </w:r>
      <w:r w:rsidRPr="00DA404E">
        <w:rPr>
          <w:szCs w:val="16"/>
        </w:rPr>
        <w:t xml:space="preserve"> NSW Ministry of Health, </w:t>
      </w:r>
      <w:hyperlink r:id="rId7" w:history="1">
        <w:r w:rsidRPr="00DA404E">
          <w:rPr>
            <w:rStyle w:val="Hyperlink"/>
            <w:szCs w:val="16"/>
          </w:rPr>
          <w:t>Summary of the Nitrous Oxide Regulatory Reform Process</w:t>
        </w:r>
      </w:hyperlink>
      <w:r w:rsidRPr="00DA404E">
        <w:rPr>
          <w:szCs w:val="16"/>
        </w:rPr>
        <w:t>, July 2026, viewed 20 August 2026</w:t>
      </w:r>
    </w:p>
  </w:footnote>
  <w:footnote w:id="8">
    <w:p w14:paraId="18BE3FBB" w14:textId="77777777" w:rsidR="000837D8" w:rsidRDefault="000837D8" w:rsidP="00065C4C">
      <w:pPr>
        <w:pStyle w:val="FootnoteText"/>
        <w:spacing w:before="120" w:after="120" w:line="240" w:lineRule="auto"/>
      </w:pPr>
      <w:r w:rsidRPr="00713803">
        <w:rPr>
          <w:rStyle w:val="FootnoteReference"/>
          <w:szCs w:val="16"/>
        </w:rPr>
        <w:footnoteRef/>
      </w:r>
      <w:r w:rsidRPr="00713803">
        <w:rPr>
          <w:szCs w:val="16"/>
        </w:rPr>
        <w:t xml:space="preserve"> </w:t>
      </w:r>
      <w:hyperlink r:id="rId8" w:history="1">
        <w:r>
          <w:rPr>
            <w:rStyle w:val="Hyperlink"/>
            <w:szCs w:val="16"/>
          </w:rPr>
          <w:t>UK Home Office, Nitrous oxide: updated harms assessment, UK Government</w:t>
        </w:r>
      </w:hyperlink>
      <w:r w:rsidRPr="00713803">
        <w:rPr>
          <w:rFonts w:ascii="Segoe UI" w:eastAsia="Times New Roman" w:hAnsi="Segoe UI" w:cs="Segoe UI"/>
          <w:sz w:val="21"/>
          <w:szCs w:val="21"/>
        </w:rPr>
        <w:t xml:space="preserve"> </w:t>
      </w:r>
      <w:r w:rsidRPr="00713803">
        <w:rPr>
          <w:szCs w:val="16"/>
        </w:rPr>
        <w:t>viewed 28 July 2026</w:t>
      </w:r>
    </w:p>
  </w:footnote>
  <w:footnote w:id="9">
    <w:p w14:paraId="559FA34D" w14:textId="77777777" w:rsidR="000837D8" w:rsidRPr="0008613C" w:rsidRDefault="000837D8" w:rsidP="00065C4C">
      <w:pPr>
        <w:pStyle w:val="FootnoteText"/>
        <w:spacing w:before="120" w:after="120" w:line="240" w:lineRule="auto"/>
        <w:rPr>
          <w:szCs w:val="16"/>
        </w:rPr>
      </w:pPr>
      <w:r w:rsidRPr="0008613C">
        <w:rPr>
          <w:rStyle w:val="FootnoteReference"/>
          <w:szCs w:val="16"/>
        </w:rPr>
        <w:footnoteRef/>
      </w:r>
      <w:r w:rsidRPr="0008613C">
        <w:rPr>
          <w:szCs w:val="16"/>
        </w:rPr>
        <w:t xml:space="preserve"> </w:t>
      </w:r>
      <w:hyperlink r:id="rId9" w:history="1">
        <w:r w:rsidRPr="0008613C">
          <w:rPr>
            <w:rStyle w:val="Hyperlink"/>
            <w:szCs w:val="16"/>
          </w:rPr>
          <w:t>New Zealand Ministry of Health, Nitrous oxide regulatory changes</w:t>
        </w:r>
      </w:hyperlink>
      <w:r w:rsidRPr="0008613C">
        <w:rPr>
          <w:szCs w:val="16"/>
        </w:rPr>
        <w:t>,</w:t>
      </w:r>
      <w:r>
        <w:rPr>
          <w:szCs w:val="16"/>
        </w:rPr>
        <w:t xml:space="preserve"> </w:t>
      </w:r>
      <w:r w:rsidRPr="0008613C">
        <w:rPr>
          <w:szCs w:val="16"/>
        </w:rPr>
        <w:t>viewed 28 July 2026</w:t>
      </w:r>
    </w:p>
  </w:footnote>
  <w:footnote w:id="10">
    <w:p w14:paraId="19B13ECD" w14:textId="77777777" w:rsidR="00366DAB" w:rsidRPr="00AC251E" w:rsidRDefault="00366DAB" w:rsidP="00366DAB">
      <w:pPr>
        <w:pStyle w:val="FootnoteText"/>
        <w:spacing w:before="120" w:after="120" w:line="240" w:lineRule="auto"/>
        <w:rPr>
          <w:szCs w:val="16"/>
        </w:rPr>
      </w:pPr>
      <w:r w:rsidRPr="00AC251E">
        <w:rPr>
          <w:rStyle w:val="FootnoteReference"/>
          <w:szCs w:val="16"/>
        </w:rPr>
        <w:footnoteRef/>
      </w:r>
      <w:r w:rsidRPr="00AC251E">
        <w:rPr>
          <w:szCs w:val="16"/>
        </w:rPr>
        <w:t xml:space="preserve"> </w:t>
      </w:r>
      <w:hyperlink r:id="rId10" w:history="1">
        <w:r>
          <w:rPr>
            <w:rStyle w:val="Hyperlink"/>
            <w:szCs w:val="16"/>
          </w:rPr>
          <w:t>WA Department of Health, Nitrous oxide (</w:t>
        </w:r>
        <w:r>
          <w:rPr>
            <w:rStyle w:val="Hyperlink"/>
            <w:szCs w:val="16"/>
          </w:rPr>
          <w:t>nangs), Healthy WA, viewed 28 July 2026</w:t>
        </w:r>
      </w:hyperlink>
    </w:p>
  </w:footnote>
  <w:footnote w:id="11">
    <w:p w14:paraId="3FC2F41F" w14:textId="77777777" w:rsidR="00366DAB" w:rsidRPr="00AC251E" w:rsidRDefault="00366DAB" w:rsidP="00366DAB">
      <w:pPr>
        <w:pStyle w:val="FootnoteText"/>
        <w:spacing w:before="120" w:after="120" w:line="240" w:lineRule="auto"/>
        <w:rPr>
          <w:szCs w:val="16"/>
        </w:rPr>
      </w:pPr>
      <w:r w:rsidRPr="00AC251E">
        <w:rPr>
          <w:rStyle w:val="FootnoteReference"/>
          <w:szCs w:val="16"/>
        </w:rPr>
        <w:footnoteRef/>
      </w:r>
      <w:r w:rsidRPr="00AC251E">
        <w:rPr>
          <w:szCs w:val="16"/>
        </w:rPr>
        <w:t xml:space="preserve"> </w:t>
      </w:r>
      <w:hyperlink r:id="rId11" w:history="1">
        <w:r w:rsidRPr="00AC251E">
          <w:rPr>
            <w:rStyle w:val="Hyperlink"/>
            <w:szCs w:val="16"/>
          </w:rPr>
          <w:t>Alcohol and Drug Foundation, Nitrous oxide, viewed 28 July 2026</w:t>
        </w:r>
      </w:hyperlink>
      <w:r w:rsidRPr="00AC251E">
        <w:rPr>
          <w:szCs w:val="16"/>
        </w:rPr>
        <w:t xml:space="preserve"> </w:t>
      </w:r>
    </w:p>
  </w:footnote>
  <w:footnote w:id="12">
    <w:p w14:paraId="7EE4F123" w14:textId="733460A3" w:rsidR="005E3FFC" w:rsidRPr="00182DC3" w:rsidRDefault="005E3FFC" w:rsidP="00DE1819">
      <w:pPr>
        <w:pStyle w:val="FootnoteText"/>
        <w:spacing w:before="120" w:after="120" w:line="240" w:lineRule="auto"/>
        <w:rPr>
          <w:szCs w:val="16"/>
        </w:rPr>
      </w:pPr>
      <w:r w:rsidRPr="00182DC3">
        <w:rPr>
          <w:rStyle w:val="FootnoteReference"/>
          <w:szCs w:val="16"/>
        </w:rPr>
        <w:footnoteRef/>
      </w:r>
      <w:r w:rsidRPr="00182DC3">
        <w:rPr>
          <w:szCs w:val="16"/>
        </w:rPr>
        <w:t xml:space="preserve"> </w:t>
      </w:r>
      <w:hyperlink r:id="rId12" w:history="1">
        <w:r>
          <w:rPr>
            <w:rStyle w:val="Hyperlink"/>
            <w:szCs w:val="16"/>
          </w:rPr>
          <w:t>Notice of final decisions to amend (or not amend) the current Poisons Standard in relation to nitrous oxide</w:t>
        </w:r>
      </w:hyperlink>
      <w:r>
        <w:rPr>
          <w:szCs w:val="16"/>
        </w:rPr>
        <w:t xml:space="preserve"> published</w:t>
      </w:r>
      <w:r w:rsidR="00DE3052">
        <w:rPr>
          <w:szCs w:val="16"/>
        </w:rPr>
        <w:t xml:space="preserve"> </w:t>
      </w:r>
      <w:r>
        <w:rPr>
          <w:szCs w:val="16"/>
        </w:rPr>
        <w:t>8 October 2021</w:t>
      </w:r>
    </w:p>
  </w:footnote>
  <w:footnote w:id="13">
    <w:p w14:paraId="5244D9BD" w14:textId="7C6E407C" w:rsidR="001B4ADA" w:rsidRDefault="001B4ADA" w:rsidP="00DE1819">
      <w:pPr>
        <w:pStyle w:val="FootnoteText"/>
        <w:spacing w:before="120" w:after="120" w:line="240" w:lineRule="auto"/>
      </w:pPr>
      <w:r>
        <w:rPr>
          <w:rStyle w:val="FootnoteReference"/>
        </w:rPr>
        <w:footnoteRef/>
      </w:r>
      <w:r>
        <w:t xml:space="preserve"> </w:t>
      </w:r>
      <w:r w:rsidRPr="001B4ADA">
        <w:t>Anyone can report an adverse event to including members of the public, health professionals and pharmaceutical companies. Adverse event reports reflect the observations of the people submitting them and can be incomplete or inaccurate. Inclusion of a medicine in DAEN does not mean that the adverse event has been confirmed or that it was caused by a medicine or vaccine. The DEAN data also cannot be used on its own to assess the frequency of an adverse event, a product's safety or compare its safety to other products.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1999D" w14:textId="77777777" w:rsidR="00FD0841" w:rsidRDefault="00FD0841">
    <w:pPr>
      <w:pStyle w:val="Header"/>
    </w:pPr>
    <w:r>
      <w:rPr>
        <w:noProof/>
      </w:rPr>
      <mc:AlternateContent>
        <mc:Choice Requires="wps">
          <w:drawing>
            <wp:anchor distT="0" distB="0" distL="0" distR="0" simplePos="0" relativeHeight="251658241" behindDoc="0" locked="0" layoutInCell="1" allowOverlap="1" wp14:anchorId="434A75CE" wp14:editId="790A69AB">
              <wp:simplePos x="635" y="635"/>
              <wp:positionH relativeFrom="page">
                <wp:align>center</wp:align>
              </wp:positionH>
              <wp:positionV relativeFrom="page">
                <wp:align>top</wp:align>
              </wp:positionV>
              <wp:extent cx="622300" cy="391160"/>
              <wp:effectExtent l="0" t="0" r="6350" b="8890"/>
              <wp:wrapNone/>
              <wp:docPr id="2262734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8F2BD84"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4A75CE" id="_x0000_t202" coordsize="21600,21600" o:spt="202" path="m,l,21600r21600,l21600,xe">
              <v:stroke joinstyle="miter"/>
              <v:path gradientshapeok="t" o:connecttype="rect"/>
            </v:shapetype>
            <v:shape id="Text Box 2" o:spid="_x0000_s1027" type="#_x0000_t202" alt="OFFICIAL" style="position:absolute;left:0;text-align:left;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58F2BD84"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F950" w14:textId="77777777" w:rsidR="00F02AEC" w:rsidRPr="00CB0550" w:rsidRDefault="00FD0841" w:rsidP="00CB0550">
    <w:pPr>
      <w:pStyle w:val="Header"/>
      <w:jc w:val="left"/>
    </w:pPr>
    <w:r>
      <w:rPr>
        <w:noProof/>
      </w:rPr>
      <mc:AlternateContent>
        <mc:Choice Requires="wps">
          <w:drawing>
            <wp:anchor distT="0" distB="0" distL="0" distR="0" simplePos="0" relativeHeight="251658242" behindDoc="0" locked="0" layoutInCell="1" allowOverlap="1" wp14:anchorId="5AC40B50" wp14:editId="63724F45">
              <wp:simplePos x="635" y="635"/>
              <wp:positionH relativeFrom="page">
                <wp:align>center</wp:align>
              </wp:positionH>
              <wp:positionV relativeFrom="page">
                <wp:align>top</wp:align>
              </wp:positionV>
              <wp:extent cx="622300" cy="391160"/>
              <wp:effectExtent l="0" t="0" r="6350" b="8890"/>
              <wp:wrapNone/>
              <wp:docPr id="69588769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ED14AF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C40B50" id="_x0000_t202" coordsize="21600,21600" o:spt="202" path="m,l,21600r21600,l21600,xe">
              <v:stroke joinstyle="miter"/>
              <v:path gradientshapeok="t" o:connecttype="rect"/>
            </v:shapetype>
            <v:shape id="Text Box 3" o:spid="_x0000_s1028"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5ED14AF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1" w:rightFromText="181" w:vertAnchor="page" w:horzAnchor="page" w:tblpX="1" w:tblpY="8999"/>
      <w:tblOverlap w:val="never"/>
      <w:tblW w:w="11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64"/>
    </w:tblGrid>
    <w:tr w:rsidR="00F02AEC" w:rsidRPr="002B29B2" w14:paraId="22B1C647" w14:textId="77777777">
      <w:trPr>
        <w:trHeight w:hRule="exact" w:val="8845"/>
      </w:trPr>
      <w:tc>
        <w:tcPr>
          <w:tcW w:w="11964" w:type="dxa"/>
          <w:vAlign w:val="center"/>
        </w:tcPr>
        <w:p w14:paraId="6BC5EA13" w14:textId="5716D2BC" w:rsidR="00F02AEC" w:rsidRPr="002B29B2" w:rsidRDefault="00F02AEC">
          <w:pPr>
            <w:ind w:left="-57"/>
            <w:rPr>
              <w:noProof/>
            </w:rPr>
          </w:pPr>
        </w:p>
      </w:tc>
    </w:tr>
  </w:tbl>
  <w:p w14:paraId="19105083" w14:textId="6394B54B" w:rsidR="00F02AEC" w:rsidRDefault="002C0C6F">
    <w:pPr>
      <w:rPr>
        <w:noProof/>
      </w:rPr>
    </w:pPr>
    <w:r>
      <w:rPr>
        <w:noProof/>
        <w:lang w:eastAsia="en-AU"/>
      </w:rPr>
      <w:drawing>
        <wp:inline distT="0" distB="0" distL="0" distR="0" wp14:anchorId="04BA9BA1" wp14:editId="05F11BDA">
          <wp:extent cx="2676376" cy="554784"/>
          <wp:effectExtent l="0" t="0" r="0" b="0"/>
          <wp:docPr id="914625744"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16799"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676376" cy="554784"/>
                  </a:xfrm>
                  <a:prstGeom prst="rect">
                    <a:avLst/>
                  </a:prstGeom>
                </pic:spPr>
              </pic:pic>
            </a:graphicData>
          </a:graphic>
        </wp:inline>
      </w:drawing>
    </w:r>
    <w:r w:rsidR="00F02AEC" w:rsidRPr="002B29B2">
      <w:rPr>
        <w:noProof/>
        <w:lang w:eastAsia="en-AU"/>
      </w:rPr>
      <w:drawing>
        <wp:anchor distT="0" distB="0" distL="114300" distR="114300" simplePos="0" relativeHeight="251658240" behindDoc="0" locked="0" layoutInCell="0" allowOverlap="1" wp14:anchorId="2FCFED33" wp14:editId="5B0F70E4">
          <wp:simplePos x="0" y="0"/>
          <wp:positionH relativeFrom="page">
            <wp:align>left</wp:align>
          </wp:positionH>
          <wp:positionV relativeFrom="page">
            <wp:posOffset>3239495</wp:posOffset>
          </wp:positionV>
          <wp:extent cx="7663815" cy="4323091"/>
          <wp:effectExtent l="0" t="0" r="0" b="1270"/>
          <wp:wrapNone/>
          <wp:docPr id="894922927" name="Picture 89492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63815" cy="43230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9D061" w14:textId="069F05C4" w:rsidR="00F02AEC" w:rsidRPr="003575C3" w:rsidRDefault="00F02AEC" w:rsidP="003D48E4">
    <w:pPr>
      <w:pStyle w:val="Header"/>
    </w:pPr>
    <w:bookmarkStart w:id="24" w:name="_Hlk139891503"/>
    <w:bookmarkStart w:id="25" w:name="_Hlk139891504"/>
    <w:bookmarkStart w:id="26" w:name="_Hlk139891507"/>
    <w:bookmarkStart w:id="27" w:name="_Hlk139891508"/>
    <w:bookmarkStart w:id="28" w:name="_Hlk139891512"/>
    <w:bookmarkStart w:id="29" w:name="_Hlk139891513"/>
    <w:bookmarkStart w:id="30" w:name="_Hlk139891537"/>
    <w:bookmarkStart w:id="31" w:name="_Hlk139891538"/>
    <w:r w:rsidRPr="003575C3">
      <w:t>Therapeutic Goods Administration</w:t>
    </w:r>
    <w:bookmarkEnd w:id="24"/>
    <w:bookmarkEnd w:id="25"/>
    <w:bookmarkEnd w:id="26"/>
    <w:bookmarkEnd w:id="27"/>
    <w:bookmarkEnd w:id="28"/>
    <w:bookmarkEnd w:id="29"/>
    <w:bookmarkEnd w:id="30"/>
    <w:bookmarkEnd w:id="31"/>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6B51" w14:textId="7D65168D" w:rsidR="009506FA" w:rsidRPr="00FE501F" w:rsidRDefault="009506FA">
    <w:pPr>
      <w:pStyle w:val="Headerno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A3E"/>
    <w:multiLevelType w:val="hybridMultilevel"/>
    <w:tmpl w:val="B9A81880"/>
    <w:lvl w:ilvl="0" w:tplc="7444C0B6">
      <w:start w:val="1"/>
      <w:numFmt w:val="lowerLetter"/>
      <w:pStyle w:val="Legislation-list"/>
      <w:lvlText w:val="(%1)"/>
      <w:lvlJc w:val="left"/>
      <w:pPr>
        <w:ind w:left="72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4D3FEA"/>
    <w:multiLevelType w:val="hybridMultilevel"/>
    <w:tmpl w:val="11042040"/>
    <w:lvl w:ilvl="0" w:tplc="B5EA741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AA12ED"/>
    <w:multiLevelType w:val="hybridMultilevel"/>
    <w:tmpl w:val="93745144"/>
    <w:lvl w:ilvl="0" w:tplc="146024BE">
      <w:start w:val="1"/>
      <w:numFmt w:val="bullet"/>
      <w:lvlText w:val=""/>
      <w:lvlJc w:val="left"/>
      <w:pPr>
        <w:ind w:left="720" w:hanging="360"/>
      </w:pPr>
      <w:rPr>
        <w:rFonts w:ascii="Symbol" w:hAnsi="Symbol"/>
      </w:rPr>
    </w:lvl>
    <w:lvl w:ilvl="1" w:tplc="D800F328">
      <w:start w:val="1"/>
      <w:numFmt w:val="bullet"/>
      <w:lvlText w:val=""/>
      <w:lvlJc w:val="left"/>
      <w:pPr>
        <w:ind w:left="720" w:hanging="360"/>
      </w:pPr>
      <w:rPr>
        <w:rFonts w:ascii="Symbol" w:hAnsi="Symbol"/>
      </w:rPr>
    </w:lvl>
    <w:lvl w:ilvl="2" w:tplc="F47254FE">
      <w:start w:val="1"/>
      <w:numFmt w:val="bullet"/>
      <w:lvlText w:val=""/>
      <w:lvlJc w:val="left"/>
      <w:pPr>
        <w:ind w:left="720" w:hanging="360"/>
      </w:pPr>
      <w:rPr>
        <w:rFonts w:ascii="Symbol" w:hAnsi="Symbol"/>
      </w:rPr>
    </w:lvl>
    <w:lvl w:ilvl="3" w:tplc="F3B4D4DE">
      <w:start w:val="1"/>
      <w:numFmt w:val="bullet"/>
      <w:lvlText w:val=""/>
      <w:lvlJc w:val="left"/>
      <w:pPr>
        <w:ind w:left="720" w:hanging="360"/>
      </w:pPr>
      <w:rPr>
        <w:rFonts w:ascii="Symbol" w:hAnsi="Symbol"/>
      </w:rPr>
    </w:lvl>
    <w:lvl w:ilvl="4" w:tplc="C9822BF4">
      <w:start w:val="1"/>
      <w:numFmt w:val="bullet"/>
      <w:lvlText w:val=""/>
      <w:lvlJc w:val="left"/>
      <w:pPr>
        <w:ind w:left="720" w:hanging="360"/>
      </w:pPr>
      <w:rPr>
        <w:rFonts w:ascii="Symbol" w:hAnsi="Symbol"/>
      </w:rPr>
    </w:lvl>
    <w:lvl w:ilvl="5" w:tplc="85C6A0DE">
      <w:start w:val="1"/>
      <w:numFmt w:val="bullet"/>
      <w:lvlText w:val=""/>
      <w:lvlJc w:val="left"/>
      <w:pPr>
        <w:ind w:left="720" w:hanging="360"/>
      </w:pPr>
      <w:rPr>
        <w:rFonts w:ascii="Symbol" w:hAnsi="Symbol"/>
      </w:rPr>
    </w:lvl>
    <w:lvl w:ilvl="6" w:tplc="D8FA8A2C">
      <w:start w:val="1"/>
      <w:numFmt w:val="bullet"/>
      <w:lvlText w:val=""/>
      <w:lvlJc w:val="left"/>
      <w:pPr>
        <w:ind w:left="720" w:hanging="360"/>
      </w:pPr>
      <w:rPr>
        <w:rFonts w:ascii="Symbol" w:hAnsi="Symbol"/>
      </w:rPr>
    </w:lvl>
    <w:lvl w:ilvl="7" w:tplc="2C1CB020">
      <w:start w:val="1"/>
      <w:numFmt w:val="bullet"/>
      <w:lvlText w:val=""/>
      <w:lvlJc w:val="left"/>
      <w:pPr>
        <w:ind w:left="720" w:hanging="360"/>
      </w:pPr>
      <w:rPr>
        <w:rFonts w:ascii="Symbol" w:hAnsi="Symbol"/>
      </w:rPr>
    </w:lvl>
    <w:lvl w:ilvl="8" w:tplc="6B46F768">
      <w:start w:val="1"/>
      <w:numFmt w:val="bullet"/>
      <w:lvlText w:val=""/>
      <w:lvlJc w:val="left"/>
      <w:pPr>
        <w:ind w:left="720" w:hanging="360"/>
      </w:pPr>
      <w:rPr>
        <w:rFonts w:ascii="Symbol" w:hAnsi="Symbol"/>
      </w:rPr>
    </w:lvl>
  </w:abstractNum>
  <w:abstractNum w:abstractNumId="3" w15:restartNumberingAfterBreak="0">
    <w:nsid w:val="05F40753"/>
    <w:multiLevelType w:val="hybridMultilevel"/>
    <w:tmpl w:val="7CF68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4F37CA"/>
    <w:multiLevelType w:val="multilevel"/>
    <w:tmpl w:val="16A4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53F11"/>
    <w:multiLevelType w:val="multilevel"/>
    <w:tmpl w:val="E58A81F0"/>
    <w:styleLink w:val="NumberBullet"/>
    <w:lvl w:ilvl="0">
      <w:start w:val="1"/>
      <w:numFmt w:val="decimal"/>
      <w:pStyle w:val="Numberbullet0"/>
      <w:lvlText w:val="%1."/>
      <w:lvlJc w:val="left"/>
      <w:pPr>
        <w:ind w:left="360" w:hanging="360"/>
      </w:pPr>
      <w:rPr>
        <w:rFonts w:ascii="Arial" w:hAnsi="Arial" w:hint="default"/>
      </w:rPr>
    </w:lvl>
    <w:lvl w:ilvl="1">
      <w:start w:val="1"/>
      <w:numFmt w:val="lowerLetter"/>
      <w:pStyle w:val="Numberbullet2"/>
      <w:lvlText w:val="%2."/>
      <w:lvlJc w:val="left"/>
      <w:pPr>
        <w:ind w:left="851" w:hanging="426"/>
      </w:pPr>
      <w:rPr>
        <w:rFonts w:hint="default"/>
      </w:rPr>
    </w:lvl>
    <w:lvl w:ilvl="2">
      <w:start w:val="1"/>
      <w:numFmt w:val="lowerRoman"/>
      <w:lvlText w:val="%3."/>
      <w:lvlJc w:val="left"/>
      <w:pPr>
        <w:ind w:left="1276" w:hanging="425"/>
      </w:pPr>
      <w:rPr>
        <w:rFonts w:hint="default"/>
      </w:rPr>
    </w:lvl>
    <w:lvl w:ilvl="3">
      <w:start w:val="1"/>
      <w:numFmt w:val="none"/>
      <w:lvlText w:val=""/>
      <w:lvlJc w:val="left"/>
      <w:pPr>
        <w:ind w:left="1276" w:hanging="425"/>
      </w:pPr>
      <w:rPr>
        <w:rFonts w:hint="default"/>
      </w:rPr>
    </w:lvl>
    <w:lvl w:ilvl="4">
      <w:start w:val="1"/>
      <w:numFmt w:val="none"/>
      <w:lvlText w:val=""/>
      <w:lvlJc w:val="left"/>
      <w:pPr>
        <w:ind w:left="1276" w:hanging="425"/>
      </w:pPr>
      <w:rPr>
        <w:rFonts w:hint="default"/>
      </w:rPr>
    </w:lvl>
    <w:lvl w:ilvl="5">
      <w:start w:val="1"/>
      <w:numFmt w:val="none"/>
      <w:lvlText w:val=""/>
      <w:lvlJc w:val="left"/>
      <w:pPr>
        <w:ind w:left="1276" w:hanging="425"/>
      </w:pPr>
      <w:rPr>
        <w:rFonts w:hint="default"/>
      </w:rPr>
    </w:lvl>
    <w:lvl w:ilvl="6">
      <w:start w:val="1"/>
      <w:numFmt w:val="none"/>
      <w:lvlText w:val="%7"/>
      <w:lvlJc w:val="left"/>
      <w:pPr>
        <w:ind w:left="1276" w:hanging="425"/>
      </w:pPr>
      <w:rPr>
        <w:rFonts w:hint="default"/>
      </w:rPr>
    </w:lvl>
    <w:lvl w:ilvl="7">
      <w:start w:val="1"/>
      <w:numFmt w:val="none"/>
      <w:lvlText w:val=""/>
      <w:lvlJc w:val="left"/>
      <w:pPr>
        <w:ind w:left="1276" w:hanging="425"/>
      </w:pPr>
      <w:rPr>
        <w:rFonts w:hint="default"/>
      </w:rPr>
    </w:lvl>
    <w:lvl w:ilvl="8">
      <w:start w:val="1"/>
      <w:numFmt w:val="none"/>
      <w:lvlText w:val=""/>
      <w:lvlJc w:val="left"/>
      <w:pPr>
        <w:ind w:left="1276" w:hanging="425"/>
      </w:pPr>
      <w:rPr>
        <w:rFonts w:hint="default"/>
      </w:rPr>
    </w:lvl>
  </w:abstractNum>
  <w:abstractNum w:abstractNumId="6" w15:restartNumberingAfterBreak="0">
    <w:nsid w:val="10D60D5B"/>
    <w:multiLevelType w:val="hybridMultilevel"/>
    <w:tmpl w:val="17962574"/>
    <w:lvl w:ilvl="0" w:tplc="4D342CF8">
      <w:start w:val="1"/>
      <w:numFmt w:val="bullet"/>
      <w:lvlText w:val=""/>
      <w:lvlJc w:val="left"/>
      <w:pPr>
        <w:ind w:left="720" w:hanging="360"/>
      </w:pPr>
      <w:rPr>
        <w:rFonts w:ascii="Symbol" w:hAnsi="Symbol"/>
      </w:rPr>
    </w:lvl>
    <w:lvl w:ilvl="1" w:tplc="983E2D0C">
      <w:start w:val="1"/>
      <w:numFmt w:val="bullet"/>
      <w:lvlText w:val=""/>
      <w:lvlJc w:val="left"/>
      <w:pPr>
        <w:ind w:left="720" w:hanging="360"/>
      </w:pPr>
      <w:rPr>
        <w:rFonts w:ascii="Symbol" w:hAnsi="Symbol"/>
      </w:rPr>
    </w:lvl>
    <w:lvl w:ilvl="2" w:tplc="815897B8">
      <w:start w:val="1"/>
      <w:numFmt w:val="bullet"/>
      <w:lvlText w:val=""/>
      <w:lvlJc w:val="left"/>
      <w:pPr>
        <w:ind w:left="720" w:hanging="360"/>
      </w:pPr>
      <w:rPr>
        <w:rFonts w:ascii="Symbol" w:hAnsi="Symbol"/>
      </w:rPr>
    </w:lvl>
    <w:lvl w:ilvl="3" w:tplc="D28843C0">
      <w:start w:val="1"/>
      <w:numFmt w:val="bullet"/>
      <w:lvlText w:val=""/>
      <w:lvlJc w:val="left"/>
      <w:pPr>
        <w:ind w:left="720" w:hanging="360"/>
      </w:pPr>
      <w:rPr>
        <w:rFonts w:ascii="Symbol" w:hAnsi="Symbol"/>
      </w:rPr>
    </w:lvl>
    <w:lvl w:ilvl="4" w:tplc="694E725C">
      <w:start w:val="1"/>
      <w:numFmt w:val="bullet"/>
      <w:lvlText w:val=""/>
      <w:lvlJc w:val="left"/>
      <w:pPr>
        <w:ind w:left="720" w:hanging="360"/>
      </w:pPr>
      <w:rPr>
        <w:rFonts w:ascii="Symbol" w:hAnsi="Symbol"/>
      </w:rPr>
    </w:lvl>
    <w:lvl w:ilvl="5" w:tplc="92B8103A">
      <w:start w:val="1"/>
      <w:numFmt w:val="bullet"/>
      <w:lvlText w:val=""/>
      <w:lvlJc w:val="left"/>
      <w:pPr>
        <w:ind w:left="720" w:hanging="360"/>
      </w:pPr>
      <w:rPr>
        <w:rFonts w:ascii="Symbol" w:hAnsi="Symbol"/>
      </w:rPr>
    </w:lvl>
    <w:lvl w:ilvl="6" w:tplc="E2346C80">
      <w:start w:val="1"/>
      <w:numFmt w:val="bullet"/>
      <w:lvlText w:val=""/>
      <w:lvlJc w:val="left"/>
      <w:pPr>
        <w:ind w:left="720" w:hanging="360"/>
      </w:pPr>
      <w:rPr>
        <w:rFonts w:ascii="Symbol" w:hAnsi="Symbol"/>
      </w:rPr>
    </w:lvl>
    <w:lvl w:ilvl="7" w:tplc="0046B590">
      <w:start w:val="1"/>
      <w:numFmt w:val="bullet"/>
      <w:lvlText w:val=""/>
      <w:lvlJc w:val="left"/>
      <w:pPr>
        <w:ind w:left="720" w:hanging="360"/>
      </w:pPr>
      <w:rPr>
        <w:rFonts w:ascii="Symbol" w:hAnsi="Symbol"/>
      </w:rPr>
    </w:lvl>
    <w:lvl w:ilvl="8" w:tplc="DA4E9B2E">
      <w:start w:val="1"/>
      <w:numFmt w:val="bullet"/>
      <w:lvlText w:val=""/>
      <w:lvlJc w:val="left"/>
      <w:pPr>
        <w:ind w:left="720" w:hanging="360"/>
      </w:pPr>
      <w:rPr>
        <w:rFonts w:ascii="Symbol" w:hAnsi="Symbol"/>
      </w:rPr>
    </w:lvl>
  </w:abstractNum>
  <w:abstractNum w:abstractNumId="7" w15:restartNumberingAfterBreak="0">
    <w:nsid w:val="11175BA0"/>
    <w:multiLevelType w:val="hybridMultilevel"/>
    <w:tmpl w:val="A7C4BB38"/>
    <w:lvl w:ilvl="0" w:tplc="CDDE792E">
      <w:start w:val="1"/>
      <w:numFmt w:val="bullet"/>
      <w:lvlText w:val=""/>
      <w:lvlJc w:val="left"/>
      <w:pPr>
        <w:ind w:left="720" w:hanging="360"/>
      </w:pPr>
      <w:rPr>
        <w:rFonts w:ascii="Symbol" w:hAnsi="Symbol"/>
      </w:rPr>
    </w:lvl>
    <w:lvl w:ilvl="1" w:tplc="46FEE236">
      <w:start w:val="1"/>
      <w:numFmt w:val="bullet"/>
      <w:lvlText w:val=""/>
      <w:lvlJc w:val="left"/>
      <w:pPr>
        <w:ind w:left="720" w:hanging="360"/>
      </w:pPr>
      <w:rPr>
        <w:rFonts w:ascii="Symbol" w:hAnsi="Symbol"/>
      </w:rPr>
    </w:lvl>
    <w:lvl w:ilvl="2" w:tplc="B492B254">
      <w:start w:val="1"/>
      <w:numFmt w:val="bullet"/>
      <w:lvlText w:val=""/>
      <w:lvlJc w:val="left"/>
      <w:pPr>
        <w:ind w:left="720" w:hanging="360"/>
      </w:pPr>
      <w:rPr>
        <w:rFonts w:ascii="Symbol" w:hAnsi="Symbol"/>
      </w:rPr>
    </w:lvl>
    <w:lvl w:ilvl="3" w:tplc="F3B04604">
      <w:start w:val="1"/>
      <w:numFmt w:val="bullet"/>
      <w:lvlText w:val=""/>
      <w:lvlJc w:val="left"/>
      <w:pPr>
        <w:ind w:left="720" w:hanging="360"/>
      </w:pPr>
      <w:rPr>
        <w:rFonts w:ascii="Symbol" w:hAnsi="Symbol"/>
      </w:rPr>
    </w:lvl>
    <w:lvl w:ilvl="4" w:tplc="5D920230">
      <w:start w:val="1"/>
      <w:numFmt w:val="bullet"/>
      <w:lvlText w:val=""/>
      <w:lvlJc w:val="left"/>
      <w:pPr>
        <w:ind w:left="720" w:hanging="360"/>
      </w:pPr>
      <w:rPr>
        <w:rFonts w:ascii="Symbol" w:hAnsi="Symbol"/>
      </w:rPr>
    </w:lvl>
    <w:lvl w:ilvl="5" w:tplc="6BCE3B40">
      <w:start w:val="1"/>
      <w:numFmt w:val="bullet"/>
      <w:lvlText w:val=""/>
      <w:lvlJc w:val="left"/>
      <w:pPr>
        <w:ind w:left="720" w:hanging="360"/>
      </w:pPr>
      <w:rPr>
        <w:rFonts w:ascii="Symbol" w:hAnsi="Symbol"/>
      </w:rPr>
    </w:lvl>
    <w:lvl w:ilvl="6" w:tplc="71D463BE">
      <w:start w:val="1"/>
      <w:numFmt w:val="bullet"/>
      <w:lvlText w:val=""/>
      <w:lvlJc w:val="left"/>
      <w:pPr>
        <w:ind w:left="720" w:hanging="360"/>
      </w:pPr>
      <w:rPr>
        <w:rFonts w:ascii="Symbol" w:hAnsi="Symbol"/>
      </w:rPr>
    </w:lvl>
    <w:lvl w:ilvl="7" w:tplc="DECA9D60">
      <w:start w:val="1"/>
      <w:numFmt w:val="bullet"/>
      <w:lvlText w:val=""/>
      <w:lvlJc w:val="left"/>
      <w:pPr>
        <w:ind w:left="720" w:hanging="360"/>
      </w:pPr>
      <w:rPr>
        <w:rFonts w:ascii="Symbol" w:hAnsi="Symbol"/>
      </w:rPr>
    </w:lvl>
    <w:lvl w:ilvl="8" w:tplc="19680E5C">
      <w:start w:val="1"/>
      <w:numFmt w:val="bullet"/>
      <w:lvlText w:val=""/>
      <w:lvlJc w:val="left"/>
      <w:pPr>
        <w:ind w:left="720" w:hanging="360"/>
      </w:pPr>
      <w:rPr>
        <w:rFonts w:ascii="Symbol" w:hAnsi="Symbol"/>
      </w:rPr>
    </w:lvl>
  </w:abstractNum>
  <w:abstractNum w:abstractNumId="8" w15:restartNumberingAfterBreak="0">
    <w:nsid w:val="13DB7BF8"/>
    <w:multiLevelType w:val="hybridMultilevel"/>
    <w:tmpl w:val="647E8F2E"/>
    <w:lvl w:ilvl="0" w:tplc="4328CFE8">
      <w:start w:val="1"/>
      <w:numFmt w:val="bullet"/>
      <w:lvlText w:val=""/>
      <w:lvlJc w:val="left"/>
      <w:pPr>
        <w:ind w:left="720" w:hanging="360"/>
      </w:pPr>
      <w:rPr>
        <w:rFonts w:ascii="Symbol" w:hAnsi="Symbol"/>
      </w:rPr>
    </w:lvl>
    <w:lvl w:ilvl="1" w:tplc="6F0C884A">
      <w:start w:val="1"/>
      <w:numFmt w:val="bullet"/>
      <w:lvlText w:val=""/>
      <w:lvlJc w:val="left"/>
      <w:pPr>
        <w:ind w:left="720" w:hanging="360"/>
      </w:pPr>
      <w:rPr>
        <w:rFonts w:ascii="Symbol" w:hAnsi="Symbol"/>
      </w:rPr>
    </w:lvl>
    <w:lvl w:ilvl="2" w:tplc="09AAFF02">
      <w:start w:val="1"/>
      <w:numFmt w:val="bullet"/>
      <w:lvlText w:val=""/>
      <w:lvlJc w:val="left"/>
      <w:pPr>
        <w:ind w:left="720" w:hanging="360"/>
      </w:pPr>
      <w:rPr>
        <w:rFonts w:ascii="Symbol" w:hAnsi="Symbol"/>
      </w:rPr>
    </w:lvl>
    <w:lvl w:ilvl="3" w:tplc="A7F4C77A">
      <w:start w:val="1"/>
      <w:numFmt w:val="bullet"/>
      <w:lvlText w:val=""/>
      <w:lvlJc w:val="left"/>
      <w:pPr>
        <w:ind w:left="720" w:hanging="360"/>
      </w:pPr>
      <w:rPr>
        <w:rFonts w:ascii="Symbol" w:hAnsi="Symbol"/>
      </w:rPr>
    </w:lvl>
    <w:lvl w:ilvl="4" w:tplc="469AEF9A">
      <w:start w:val="1"/>
      <w:numFmt w:val="bullet"/>
      <w:lvlText w:val=""/>
      <w:lvlJc w:val="left"/>
      <w:pPr>
        <w:ind w:left="720" w:hanging="360"/>
      </w:pPr>
      <w:rPr>
        <w:rFonts w:ascii="Symbol" w:hAnsi="Symbol"/>
      </w:rPr>
    </w:lvl>
    <w:lvl w:ilvl="5" w:tplc="85C455E0">
      <w:start w:val="1"/>
      <w:numFmt w:val="bullet"/>
      <w:lvlText w:val=""/>
      <w:lvlJc w:val="left"/>
      <w:pPr>
        <w:ind w:left="720" w:hanging="360"/>
      </w:pPr>
      <w:rPr>
        <w:rFonts w:ascii="Symbol" w:hAnsi="Symbol"/>
      </w:rPr>
    </w:lvl>
    <w:lvl w:ilvl="6" w:tplc="075C8D88">
      <w:start w:val="1"/>
      <w:numFmt w:val="bullet"/>
      <w:lvlText w:val=""/>
      <w:lvlJc w:val="left"/>
      <w:pPr>
        <w:ind w:left="720" w:hanging="360"/>
      </w:pPr>
      <w:rPr>
        <w:rFonts w:ascii="Symbol" w:hAnsi="Symbol"/>
      </w:rPr>
    </w:lvl>
    <w:lvl w:ilvl="7" w:tplc="404880B6">
      <w:start w:val="1"/>
      <w:numFmt w:val="bullet"/>
      <w:lvlText w:val=""/>
      <w:lvlJc w:val="left"/>
      <w:pPr>
        <w:ind w:left="720" w:hanging="360"/>
      </w:pPr>
      <w:rPr>
        <w:rFonts w:ascii="Symbol" w:hAnsi="Symbol"/>
      </w:rPr>
    </w:lvl>
    <w:lvl w:ilvl="8" w:tplc="5A086AE0">
      <w:start w:val="1"/>
      <w:numFmt w:val="bullet"/>
      <w:lvlText w:val=""/>
      <w:lvlJc w:val="left"/>
      <w:pPr>
        <w:ind w:left="720" w:hanging="360"/>
      </w:pPr>
      <w:rPr>
        <w:rFonts w:ascii="Symbol" w:hAnsi="Symbol"/>
      </w:rPr>
    </w:lvl>
  </w:abstractNum>
  <w:abstractNum w:abstractNumId="9" w15:restartNumberingAfterBreak="0">
    <w:nsid w:val="163F187C"/>
    <w:multiLevelType w:val="hybridMultilevel"/>
    <w:tmpl w:val="20409048"/>
    <w:lvl w:ilvl="0" w:tplc="669A989C">
      <w:start w:val="4"/>
      <w:numFmt w:val="bullet"/>
      <w:pStyle w:val="ListBullet3"/>
      <w:lvlText w:val="▪"/>
      <w:lvlJc w:val="left"/>
      <w:pPr>
        <w:ind w:left="1571" w:hanging="360"/>
      </w:pPr>
      <w:rPr>
        <w:rFonts w:ascii="Arial" w:eastAsia="Cambria" w:hAnsi="Aria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0" w15:restartNumberingAfterBreak="0">
    <w:nsid w:val="168F13E9"/>
    <w:multiLevelType w:val="multilevel"/>
    <w:tmpl w:val="D5187778"/>
    <w:styleLink w:val="ListBullets"/>
    <w:lvl w:ilvl="0">
      <w:start w:val="4"/>
      <w:numFmt w:val="bullet"/>
      <w:lvlText w:val="•"/>
      <w:lvlJc w:val="left"/>
      <w:pPr>
        <w:ind w:left="360" w:hanging="360"/>
      </w:pPr>
      <w:rPr>
        <w:rFonts w:ascii="Cambria" w:eastAsia="Cambria" w:hAnsi="Cambria" w:hint="default"/>
      </w:rPr>
    </w:lvl>
    <w:lvl w:ilvl="1">
      <w:start w:val="1"/>
      <w:numFmt w:val="bullet"/>
      <w:pStyle w:val="ListBullet2"/>
      <w:lvlText w:val="–"/>
      <w:lvlJc w:val="left"/>
      <w:pPr>
        <w:ind w:left="720" w:hanging="360"/>
      </w:pPr>
      <w:rPr>
        <w:rFonts w:ascii="Arial" w:hAnsi="Arial" w:hint="default"/>
      </w:rPr>
    </w:lvl>
    <w:lvl w:ilvl="2">
      <w:start w:val="1"/>
      <w:numFmt w:val="bullet"/>
      <w:lvlText w:val=""/>
      <w:lvlJc w:val="left"/>
      <w:pPr>
        <w:ind w:left="1080" w:hanging="360"/>
      </w:pPr>
      <w:rPr>
        <w:rFonts w:ascii="Wingdings" w:hAnsi="Wingding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17EE4AB8"/>
    <w:multiLevelType w:val="multilevel"/>
    <w:tmpl w:val="6EB8EB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ABD74D0"/>
    <w:multiLevelType w:val="hybridMultilevel"/>
    <w:tmpl w:val="64BE2784"/>
    <w:lvl w:ilvl="0" w:tplc="4BD20BAA">
      <w:start w:val="1"/>
      <w:numFmt w:val="lowerRoman"/>
      <w:pStyle w:val="ListBulleti"/>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3" w15:restartNumberingAfterBreak="0">
    <w:nsid w:val="1B7B7968"/>
    <w:multiLevelType w:val="hybridMultilevel"/>
    <w:tmpl w:val="C5CE109A"/>
    <w:lvl w:ilvl="0" w:tplc="3704ECDA">
      <w:start w:val="1"/>
      <w:numFmt w:val="bullet"/>
      <w:lvlText w:val=""/>
      <w:lvlJc w:val="left"/>
      <w:pPr>
        <w:ind w:left="720" w:hanging="360"/>
      </w:pPr>
      <w:rPr>
        <w:rFonts w:ascii="Symbol" w:hAnsi="Symbol"/>
      </w:rPr>
    </w:lvl>
    <w:lvl w:ilvl="1" w:tplc="E824347A">
      <w:start w:val="1"/>
      <w:numFmt w:val="bullet"/>
      <w:lvlText w:val=""/>
      <w:lvlJc w:val="left"/>
      <w:pPr>
        <w:ind w:left="720" w:hanging="360"/>
      </w:pPr>
      <w:rPr>
        <w:rFonts w:ascii="Symbol" w:hAnsi="Symbol"/>
      </w:rPr>
    </w:lvl>
    <w:lvl w:ilvl="2" w:tplc="924849DE">
      <w:start w:val="1"/>
      <w:numFmt w:val="bullet"/>
      <w:lvlText w:val=""/>
      <w:lvlJc w:val="left"/>
      <w:pPr>
        <w:ind w:left="720" w:hanging="360"/>
      </w:pPr>
      <w:rPr>
        <w:rFonts w:ascii="Symbol" w:hAnsi="Symbol"/>
      </w:rPr>
    </w:lvl>
    <w:lvl w:ilvl="3" w:tplc="5E76356C">
      <w:start w:val="1"/>
      <w:numFmt w:val="bullet"/>
      <w:lvlText w:val=""/>
      <w:lvlJc w:val="left"/>
      <w:pPr>
        <w:ind w:left="720" w:hanging="360"/>
      </w:pPr>
      <w:rPr>
        <w:rFonts w:ascii="Symbol" w:hAnsi="Symbol"/>
      </w:rPr>
    </w:lvl>
    <w:lvl w:ilvl="4" w:tplc="D97868D0">
      <w:start w:val="1"/>
      <w:numFmt w:val="bullet"/>
      <w:lvlText w:val=""/>
      <w:lvlJc w:val="left"/>
      <w:pPr>
        <w:ind w:left="720" w:hanging="360"/>
      </w:pPr>
      <w:rPr>
        <w:rFonts w:ascii="Symbol" w:hAnsi="Symbol"/>
      </w:rPr>
    </w:lvl>
    <w:lvl w:ilvl="5" w:tplc="6472F708">
      <w:start w:val="1"/>
      <w:numFmt w:val="bullet"/>
      <w:lvlText w:val=""/>
      <w:lvlJc w:val="left"/>
      <w:pPr>
        <w:ind w:left="720" w:hanging="360"/>
      </w:pPr>
      <w:rPr>
        <w:rFonts w:ascii="Symbol" w:hAnsi="Symbol"/>
      </w:rPr>
    </w:lvl>
    <w:lvl w:ilvl="6" w:tplc="AAAAC6F0">
      <w:start w:val="1"/>
      <w:numFmt w:val="bullet"/>
      <w:lvlText w:val=""/>
      <w:lvlJc w:val="left"/>
      <w:pPr>
        <w:ind w:left="720" w:hanging="360"/>
      </w:pPr>
      <w:rPr>
        <w:rFonts w:ascii="Symbol" w:hAnsi="Symbol"/>
      </w:rPr>
    </w:lvl>
    <w:lvl w:ilvl="7" w:tplc="9D3CA482">
      <w:start w:val="1"/>
      <w:numFmt w:val="bullet"/>
      <w:lvlText w:val=""/>
      <w:lvlJc w:val="left"/>
      <w:pPr>
        <w:ind w:left="720" w:hanging="360"/>
      </w:pPr>
      <w:rPr>
        <w:rFonts w:ascii="Symbol" w:hAnsi="Symbol"/>
      </w:rPr>
    </w:lvl>
    <w:lvl w:ilvl="8" w:tplc="9F9EEDFA">
      <w:start w:val="1"/>
      <w:numFmt w:val="bullet"/>
      <w:lvlText w:val=""/>
      <w:lvlJc w:val="left"/>
      <w:pPr>
        <w:ind w:left="720" w:hanging="360"/>
      </w:pPr>
      <w:rPr>
        <w:rFonts w:ascii="Symbol" w:hAnsi="Symbol"/>
      </w:rPr>
    </w:lvl>
  </w:abstractNum>
  <w:abstractNum w:abstractNumId="14" w15:restartNumberingAfterBreak="0">
    <w:nsid w:val="1D0468E0"/>
    <w:multiLevelType w:val="hybridMultilevel"/>
    <w:tmpl w:val="38AEE1D4"/>
    <w:lvl w:ilvl="0" w:tplc="1D1AD068">
      <w:start w:val="1"/>
      <w:numFmt w:val="bullet"/>
      <w:lvlText w:val=""/>
      <w:lvlJc w:val="left"/>
      <w:pPr>
        <w:ind w:left="720" w:hanging="360"/>
      </w:pPr>
      <w:rPr>
        <w:rFonts w:ascii="Symbol" w:hAnsi="Symbol"/>
      </w:rPr>
    </w:lvl>
    <w:lvl w:ilvl="1" w:tplc="D1BCAD4A">
      <w:start w:val="1"/>
      <w:numFmt w:val="bullet"/>
      <w:lvlText w:val=""/>
      <w:lvlJc w:val="left"/>
      <w:pPr>
        <w:ind w:left="720" w:hanging="360"/>
      </w:pPr>
      <w:rPr>
        <w:rFonts w:ascii="Symbol" w:hAnsi="Symbol"/>
      </w:rPr>
    </w:lvl>
    <w:lvl w:ilvl="2" w:tplc="9802F720">
      <w:start w:val="1"/>
      <w:numFmt w:val="bullet"/>
      <w:lvlText w:val=""/>
      <w:lvlJc w:val="left"/>
      <w:pPr>
        <w:ind w:left="720" w:hanging="360"/>
      </w:pPr>
      <w:rPr>
        <w:rFonts w:ascii="Symbol" w:hAnsi="Symbol"/>
      </w:rPr>
    </w:lvl>
    <w:lvl w:ilvl="3" w:tplc="416C4710">
      <w:start w:val="1"/>
      <w:numFmt w:val="bullet"/>
      <w:lvlText w:val=""/>
      <w:lvlJc w:val="left"/>
      <w:pPr>
        <w:ind w:left="720" w:hanging="360"/>
      </w:pPr>
      <w:rPr>
        <w:rFonts w:ascii="Symbol" w:hAnsi="Symbol"/>
      </w:rPr>
    </w:lvl>
    <w:lvl w:ilvl="4" w:tplc="C00C113E">
      <w:start w:val="1"/>
      <w:numFmt w:val="bullet"/>
      <w:lvlText w:val=""/>
      <w:lvlJc w:val="left"/>
      <w:pPr>
        <w:ind w:left="720" w:hanging="360"/>
      </w:pPr>
      <w:rPr>
        <w:rFonts w:ascii="Symbol" w:hAnsi="Symbol"/>
      </w:rPr>
    </w:lvl>
    <w:lvl w:ilvl="5" w:tplc="DA800346">
      <w:start w:val="1"/>
      <w:numFmt w:val="bullet"/>
      <w:lvlText w:val=""/>
      <w:lvlJc w:val="left"/>
      <w:pPr>
        <w:ind w:left="720" w:hanging="360"/>
      </w:pPr>
      <w:rPr>
        <w:rFonts w:ascii="Symbol" w:hAnsi="Symbol"/>
      </w:rPr>
    </w:lvl>
    <w:lvl w:ilvl="6" w:tplc="EB363582">
      <w:start w:val="1"/>
      <w:numFmt w:val="bullet"/>
      <w:lvlText w:val=""/>
      <w:lvlJc w:val="left"/>
      <w:pPr>
        <w:ind w:left="720" w:hanging="360"/>
      </w:pPr>
      <w:rPr>
        <w:rFonts w:ascii="Symbol" w:hAnsi="Symbol"/>
      </w:rPr>
    </w:lvl>
    <w:lvl w:ilvl="7" w:tplc="27D2098A">
      <w:start w:val="1"/>
      <w:numFmt w:val="bullet"/>
      <w:lvlText w:val=""/>
      <w:lvlJc w:val="left"/>
      <w:pPr>
        <w:ind w:left="720" w:hanging="360"/>
      </w:pPr>
      <w:rPr>
        <w:rFonts w:ascii="Symbol" w:hAnsi="Symbol"/>
      </w:rPr>
    </w:lvl>
    <w:lvl w:ilvl="8" w:tplc="33F4A8D8">
      <w:start w:val="1"/>
      <w:numFmt w:val="bullet"/>
      <w:lvlText w:val=""/>
      <w:lvlJc w:val="left"/>
      <w:pPr>
        <w:ind w:left="720" w:hanging="360"/>
      </w:pPr>
      <w:rPr>
        <w:rFonts w:ascii="Symbol" w:hAnsi="Symbol"/>
      </w:rPr>
    </w:lvl>
  </w:abstractNum>
  <w:abstractNum w:abstractNumId="15" w15:restartNumberingAfterBreak="0">
    <w:nsid w:val="223D34ED"/>
    <w:multiLevelType w:val="multilevel"/>
    <w:tmpl w:val="5CB0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D44AD9"/>
    <w:multiLevelType w:val="multilevel"/>
    <w:tmpl w:val="59E0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B336E1"/>
    <w:multiLevelType w:val="hybridMultilevel"/>
    <w:tmpl w:val="0E9482AE"/>
    <w:lvl w:ilvl="0" w:tplc="B798CFB2">
      <w:start w:val="1"/>
      <w:numFmt w:val="bullet"/>
      <w:lvlText w:val=""/>
      <w:lvlJc w:val="left"/>
      <w:pPr>
        <w:ind w:left="720" w:hanging="360"/>
      </w:pPr>
      <w:rPr>
        <w:rFonts w:ascii="Symbol" w:hAnsi="Symbol"/>
      </w:rPr>
    </w:lvl>
    <w:lvl w:ilvl="1" w:tplc="654A312C">
      <w:start w:val="1"/>
      <w:numFmt w:val="bullet"/>
      <w:lvlText w:val=""/>
      <w:lvlJc w:val="left"/>
      <w:pPr>
        <w:ind w:left="720" w:hanging="360"/>
      </w:pPr>
      <w:rPr>
        <w:rFonts w:ascii="Symbol" w:hAnsi="Symbol"/>
      </w:rPr>
    </w:lvl>
    <w:lvl w:ilvl="2" w:tplc="EC04E74C">
      <w:start w:val="1"/>
      <w:numFmt w:val="bullet"/>
      <w:lvlText w:val=""/>
      <w:lvlJc w:val="left"/>
      <w:pPr>
        <w:ind w:left="720" w:hanging="360"/>
      </w:pPr>
      <w:rPr>
        <w:rFonts w:ascii="Symbol" w:hAnsi="Symbol"/>
      </w:rPr>
    </w:lvl>
    <w:lvl w:ilvl="3" w:tplc="E1CE2100">
      <w:start w:val="1"/>
      <w:numFmt w:val="bullet"/>
      <w:lvlText w:val=""/>
      <w:lvlJc w:val="left"/>
      <w:pPr>
        <w:ind w:left="720" w:hanging="360"/>
      </w:pPr>
      <w:rPr>
        <w:rFonts w:ascii="Symbol" w:hAnsi="Symbol"/>
      </w:rPr>
    </w:lvl>
    <w:lvl w:ilvl="4" w:tplc="762E2198">
      <w:start w:val="1"/>
      <w:numFmt w:val="bullet"/>
      <w:lvlText w:val=""/>
      <w:lvlJc w:val="left"/>
      <w:pPr>
        <w:ind w:left="720" w:hanging="360"/>
      </w:pPr>
      <w:rPr>
        <w:rFonts w:ascii="Symbol" w:hAnsi="Symbol"/>
      </w:rPr>
    </w:lvl>
    <w:lvl w:ilvl="5" w:tplc="114E6216">
      <w:start w:val="1"/>
      <w:numFmt w:val="bullet"/>
      <w:lvlText w:val=""/>
      <w:lvlJc w:val="left"/>
      <w:pPr>
        <w:ind w:left="720" w:hanging="360"/>
      </w:pPr>
      <w:rPr>
        <w:rFonts w:ascii="Symbol" w:hAnsi="Symbol"/>
      </w:rPr>
    </w:lvl>
    <w:lvl w:ilvl="6" w:tplc="52F88312">
      <w:start w:val="1"/>
      <w:numFmt w:val="bullet"/>
      <w:lvlText w:val=""/>
      <w:lvlJc w:val="left"/>
      <w:pPr>
        <w:ind w:left="720" w:hanging="360"/>
      </w:pPr>
      <w:rPr>
        <w:rFonts w:ascii="Symbol" w:hAnsi="Symbol"/>
      </w:rPr>
    </w:lvl>
    <w:lvl w:ilvl="7" w:tplc="B70E4284">
      <w:start w:val="1"/>
      <w:numFmt w:val="bullet"/>
      <w:lvlText w:val=""/>
      <w:lvlJc w:val="left"/>
      <w:pPr>
        <w:ind w:left="720" w:hanging="360"/>
      </w:pPr>
      <w:rPr>
        <w:rFonts w:ascii="Symbol" w:hAnsi="Symbol"/>
      </w:rPr>
    </w:lvl>
    <w:lvl w:ilvl="8" w:tplc="2B8CFA1E">
      <w:start w:val="1"/>
      <w:numFmt w:val="bullet"/>
      <w:lvlText w:val=""/>
      <w:lvlJc w:val="left"/>
      <w:pPr>
        <w:ind w:left="720" w:hanging="360"/>
      </w:pPr>
      <w:rPr>
        <w:rFonts w:ascii="Symbol" w:hAnsi="Symbol"/>
      </w:rPr>
    </w:lvl>
  </w:abstractNum>
  <w:abstractNum w:abstractNumId="18" w15:restartNumberingAfterBreak="0">
    <w:nsid w:val="286E3721"/>
    <w:multiLevelType w:val="hybridMultilevel"/>
    <w:tmpl w:val="5304519C"/>
    <w:lvl w:ilvl="0" w:tplc="3C48184C">
      <w:start w:val="1"/>
      <w:numFmt w:val="bullet"/>
      <w:lvlText w:val=""/>
      <w:lvlJc w:val="left"/>
      <w:pPr>
        <w:ind w:left="720" w:hanging="360"/>
      </w:pPr>
      <w:rPr>
        <w:rFonts w:ascii="Symbol" w:hAnsi="Symbol"/>
      </w:rPr>
    </w:lvl>
    <w:lvl w:ilvl="1" w:tplc="A094FEB2">
      <w:start w:val="1"/>
      <w:numFmt w:val="bullet"/>
      <w:lvlText w:val=""/>
      <w:lvlJc w:val="left"/>
      <w:pPr>
        <w:ind w:left="720" w:hanging="360"/>
      </w:pPr>
      <w:rPr>
        <w:rFonts w:ascii="Symbol" w:hAnsi="Symbol"/>
      </w:rPr>
    </w:lvl>
    <w:lvl w:ilvl="2" w:tplc="BC9887C4">
      <w:start w:val="1"/>
      <w:numFmt w:val="bullet"/>
      <w:lvlText w:val=""/>
      <w:lvlJc w:val="left"/>
      <w:pPr>
        <w:ind w:left="720" w:hanging="360"/>
      </w:pPr>
      <w:rPr>
        <w:rFonts w:ascii="Symbol" w:hAnsi="Symbol"/>
      </w:rPr>
    </w:lvl>
    <w:lvl w:ilvl="3" w:tplc="D414C4CC">
      <w:start w:val="1"/>
      <w:numFmt w:val="bullet"/>
      <w:lvlText w:val=""/>
      <w:lvlJc w:val="left"/>
      <w:pPr>
        <w:ind w:left="720" w:hanging="360"/>
      </w:pPr>
      <w:rPr>
        <w:rFonts w:ascii="Symbol" w:hAnsi="Symbol"/>
      </w:rPr>
    </w:lvl>
    <w:lvl w:ilvl="4" w:tplc="56C2BF26">
      <w:start w:val="1"/>
      <w:numFmt w:val="bullet"/>
      <w:lvlText w:val=""/>
      <w:lvlJc w:val="left"/>
      <w:pPr>
        <w:ind w:left="720" w:hanging="360"/>
      </w:pPr>
      <w:rPr>
        <w:rFonts w:ascii="Symbol" w:hAnsi="Symbol"/>
      </w:rPr>
    </w:lvl>
    <w:lvl w:ilvl="5" w:tplc="CBBEE3B0">
      <w:start w:val="1"/>
      <w:numFmt w:val="bullet"/>
      <w:lvlText w:val=""/>
      <w:lvlJc w:val="left"/>
      <w:pPr>
        <w:ind w:left="720" w:hanging="360"/>
      </w:pPr>
      <w:rPr>
        <w:rFonts w:ascii="Symbol" w:hAnsi="Symbol"/>
      </w:rPr>
    </w:lvl>
    <w:lvl w:ilvl="6" w:tplc="56428CDE">
      <w:start w:val="1"/>
      <w:numFmt w:val="bullet"/>
      <w:lvlText w:val=""/>
      <w:lvlJc w:val="left"/>
      <w:pPr>
        <w:ind w:left="720" w:hanging="360"/>
      </w:pPr>
      <w:rPr>
        <w:rFonts w:ascii="Symbol" w:hAnsi="Symbol"/>
      </w:rPr>
    </w:lvl>
    <w:lvl w:ilvl="7" w:tplc="CB90F778">
      <w:start w:val="1"/>
      <w:numFmt w:val="bullet"/>
      <w:lvlText w:val=""/>
      <w:lvlJc w:val="left"/>
      <w:pPr>
        <w:ind w:left="720" w:hanging="360"/>
      </w:pPr>
      <w:rPr>
        <w:rFonts w:ascii="Symbol" w:hAnsi="Symbol"/>
      </w:rPr>
    </w:lvl>
    <w:lvl w:ilvl="8" w:tplc="6D9465C6">
      <w:start w:val="1"/>
      <w:numFmt w:val="bullet"/>
      <w:lvlText w:val=""/>
      <w:lvlJc w:val="left"/>
      <w:pPr>
        <w:ind w:left="720" w:hanging="360"/>
      </w:pPr>
      <w:rPr>
        <w:rFonts w:ascii="Symbol" w:hAnsi="Symbol"/>
      </w:rPr>
    </w:lvl>
  </w:abstractNum>
  <w:abstractNum w:abstractNumId="19" w15:restartNumberingAfterBreak="0">
    <w:nsid w:val="2E594756"/>
    <w:multiLevelType w:val="multilevel"/>
    <w:tmpl w:val="05C830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E924211"/>
    <w:multiLevelType w:val="hybridMultilevel"/>
    <w:tmpl w:val="34C493BE"/>
    <w:lvl w:ilvl="0" w:tplc="5E685644">
      <w:start w:val="1"/>
      <w:numFmt w:val="lowerLetter"/>
      <w:pStyle w:val="ListBulleta"/>
      <w:lvlText w:val="%1)"/>
      <w:lvlJc w:val="left"/>
      <w:pPr>
        <w:ind w:left="1146" w:hanging="360"/>
      </w:p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21" w15:restartNumberingAfterBreak="0">
    <w:nsid w:val="30921C10"/>
    <w:multiLevelType w:val="hybridMultilevel"/>
    <w:tmpl w:val="ABF4243C"/>
    <w:lvl w:ilvl="0" w:tplc="8000F866">
      <w:start w:val="1"/>
      <w:numFmt w:val="bullet"/>
      <w:lvlText w:val=""/>
      <w:lvlJc w:val="left"/>
      <w:pPr>
        <w:ind w:left="720" w:hanging="360"/>
      </w:pPr>
      <w:rPr>
        <w:rFonts w:ascii="Symbol" w:hAnsi="Symbol"/>
      </w:rPr>
    </w:lvl>
    <w:lvl w:ilvl="1" w:tplc="ED626854">
      <w:start w:val="1"/>
      <w:numFmt w:val="bullet"/>
      <w:lvlText w:val=""/>
      <w:lvlJc w:val="left"/>
      <w:pPr>
        <w:ind w:left="720" w:hanging="360"/>
      </w:pPr>
      <w:rPr>
        <w:rFonts w:ascii="Symbol" w:hAnsi="Symbol"/>
      </w:rPr>
    </w:lvl>
    <w:lvl w:ilvl="2" w:tplc="BEF675D2">
      <w:start w:val="1"/>
      <w:numFmt w:val="bullet"/>
      <w:lvlText w:val=""/>
      <w:lvlJc w:val="left"/>
      <w:pPr>
        <w:ind w:left="720" w:hanging="360"/>
      </w:pPr>
      <w:rPr>
        <w:rFonts w:ascii="Symbol" w:hAnsi="Symbol"/>
      </w:rPr>
    </w:lvl>
    <w:lvl w:ilvl="3" w:tplc="86E69764">
      <w:start w:val="1"/>
      <w:numFmt w:val="bullet"/>
      <w:lvlText w:val=""/>
      <w:lvlJc w:val="left"/>
      <w:pPr>
        <w:ind w:left="720" w:hanging="360"/>
      </w:pPr>
      <w:rPr>
        <w:rFonts w:ascii="Symbol" w:hAnsi="Symbol"/>
      </w:rPr>
    </w:lvl>
    <w:lvl w:ilvl="4" w:tplc="3EF46C78">
      <w:start w:val="1"/>
      <w:numFmt w:val="bullet"/>
      <w:lvlText w:val=""/>
      <w:lvlJc w:val="left"/>
      <w:pPr>
        <w:ind w:left="720" w:hanging="360"/>
      </w:pPr>
      <w:rPr>
        <w:rFonts w:ascii="Symbol" w:hAnsi="Symbol"/>
      </w:rPr>
    </w:lvl>
    <w:lvl w:ilvl="5" w:tplc="AC32A850">
      <w:start w:val="1"/>
      <w:numFmt w:val="bullet"/>
      <w:lvlText w:val=""/>
      <w:lvlJc w:val="left"/>
      <w:pPr>
        <w:ind w:left="720" w:hanging="360"/>
      </w:pPr>
      <w:rPr>
        <w:rFonts w:ascii="Symbol" w:hAnsi="Symbol"/>
      </w:rPr>
    </w:lvl>
    <w:lvl w:ilvl="6" w:tplc="70D89BBC">
      <w:start w:val="1"/>
      <w:numFmt w:val="bullet"/>
      <w:lvlText w:val=""/>
      <w:lvlJc w:val="left"/>
      <w:pPr>
        <w:ind w:left="720" w:hanging="360"/>
      </w:pPr>
      <w:rPr>
        <w:rFonts w:ascii="Symbol" w:hAnsi="Symbol"/>
      </w:rPr>
    </w:lvl>
    <w:lvl w:ilvl="7" w:tplc="F1B2D838">
      <w:start w:val="1"/>
      <w:numFmt w:val="bullet"/>
      <w:lvlText w:val=""/>
      <w:lvlJc w:val="left"/>
      <w:pPr>
        <w:ind w:left="720" w:hanging="360"/>
      </w:pPr>
      <w:rPr>
        <w:rFonts w:ascii="Symbol" w:hAnsi="Symbol"/>
      </w:rPr>
    </w:lvl>
    <w:lvl w:ilvl="8" w:tplc="8B025F4A">
      <w:start w:val="1"/>
      <w:numFmt w:val="bullet"/>
      <w:lvlText w:val=""/>
      <w:lvlJc w:val="left"/>
      <w:pPr>
        <w:ind w:left="720" w:hanging="360"/>
      </w:pPr>
      <w:rPr>
        <w:rFonts w:ascii="Symbol" w:hAnsi="Symbol"/>
      </w:rPr>
    </w:lvl>
  </w:abstractNum>
  <w:abstractNum w:abstractNumId="22" w15:restartNumberingAfterBreak="0">
    <w:nsid w:val="334E64D9"/>
    <w:multiLevelType w:val="hybridMultilevel"/>
    <w:tmpl w:val="3FA4FFB0"/>
    <w:lvl w:ilvl="0" w:tplc="C8E45002">
      <w:start w:val="1"/>
      <w:numFmt w:val="bullet"/>
      <w:lvlText w:val=""/>
      <w:lvlJc w:val="left"/>
      <w:pPr>
        <w:ind w:left="720" w:hanging="360"/>
      </w:pPr>
      <w:rPr>
        <w:rFonts w:ascii="Symbol" w:hAnsi="Symbol"/>
      </w:rPr>
    </w:lvl>
    <w:lvl w:ilvl="1" w:tplc="EA0EC7BA">
      <w:start w:val="1"/>
      <w:numFmt w:val="bullet"/>
      <w:lvlText w:val=""/>
      <w:lvlJc w:val="left"/>
      <w:pPr>
        <w:ind w:left="720" w:hanging="360"/>
      </w:pPr>
      <w:rPr>
        <w:rFonts w:ascii="Symbol" w:hAnsi="Symbol"/>
      </w:rPr>
    </w:lvl>
    <w:lvl w:ilvl="2" w:tplc="A09C2202">
      <w:start w:val="1"/>
      <w:numFmt w:val="bullet"/>
      <w:lvlText w:val=""/>
      <w:lvlJc w:val="left"/>
      <w:pPr>
        <w:ind w:left="720" w:hanging="360"/>
      </w:pPr>
      <w:rPr>
        <w:rFonts w:ascii="Symbol" w:hAnsi="Symbol"/>
      </w:rPr>
    </w:lvl>
    <w:lvl w:ilvl="3" w:tplc="223E20CA">
      <w:start w:val="1"/>
      <w:numFmt w:val="bullet"/>
      <w:lvlText w:val=""/>
      <w:lvlJc w:val="left"/>
      <w:pPr>
        <w:ind w:left="720" w:hanging="360"/>
      </w:pPr>
      <w:rPr>
        <w:rFonts w:ascii="Symbol" w:hAnsi="Symbol"/>
      </w:rPr>
    </w:lvl>
    <w:lvl w:ilvl="4" w:tplc="46E8BC8A">
      <w:start w:val="1"/>
      <w:numFmt w:val="bullet"/>
      <w:lvlText w:val=""/>
      <w:lvlJc w:val="left"/>
      <w:pPr>
        <w:ind w:left="720" w:hanging="360"/>
      </w:pPr>
      <w:rPr>
        <w:rFonts w:ascii="Symbol" w:hAnsi="Symbol"/>
      </w:rPr>
    </w:lvl>
    <w:lvl w:ilvl="5" w:tplc="9AB0E1E8">
      <w:start w:val="1"/>
      <w:numFmt w:val="bullet"/>
      <w:lvlText w:val=""/>
      <w:lvlJc w:val="left"/>
      <w:pPr>
        <w:ind w:left="720" w:hanging="360"/>
      </w:pPr>
      <w:rPr>
        <w:rFonts w:ascii="Symbol" w:hAnsi="Symbol"/>
      </w:rPr>
    </w:lvl>
    <w:lvl w:ilvl="6" w:tplc="3830F67A">
      <w:start w:val="1"/>
      <w:numFmt w:val="bullet"/>
      <w:lvlText w:val=""/>
      <w:lvlJc w:val="left"/>
      <w:pPr>
        <w:ind w:left="720" w:hanging="360"/>
      </w:pPr>
      <w:rPr>
        <w:rFonts w:ascii="Symbol" w:hAnsi="Symbol"/>
      </w:rPr>
    </w:lvl>
    <w:lvl w:ilvl="7" w:tplc="3410DB5E">
      <w:start w:val="1"/>
      <w:numFmt w:val="bullet"/>
      <w:lvlText w:val=""/>
      <w:lvlJc w:val="left"/>
      <w:pPr>
        <w:ind w:left="720" w:hanging="360"/>
      </w:pPr>
      <w:rPr>
        <w:rFonts w:ascii="Symbol" w:hAnsi="Symbol"/>
      </w:rPr>
    </w:lvl>
    <w:lvl w:ilvl="8" w:tplc="5ED20668">
      <w:start w:val="1"/>
      <w:numFmt w:val="bullet"/>
      <w:lvlText w:val=""/>
      <w:lvlJc w:val="left"/>
      <w:pPr>
        <w:ind w:left="720" w:hanging="360"/>
      </w:pPr>
      <w:rPr>
        <w:rFonts w:ascii="Symbol" w:hAnsi="Symbol"/>
      </w:rPr>
    </w:lvl>
  </w:abstractNum>
  <w:abstractNum w:abstractNumId="23" w15:restartNumberingAfterBreak="0">
    <w:nsid w:val="35941F7A"/>
    <w:multiLevelType w:val="hybridMultilevel"/>
    <w:tmpl w:val="720EE978"/>
    <w:lvl w:ilvl="0" w:tplc="3A461014">
      <w:start w:val="1"/>
      <w:numFmt w:val="bullet"/>
      <w:lvlText w:val=""/>
      <w:lvlJc w:val="left"/>
      <w:pPr>
        <w:ind w:left="720" w:hanging="360"/>
      </w:pPr>
      <w:rPr>
        <w:rFonts w:ascii="Symbol" w:hAnsi="Symbol"/>
      </w:rPr>
    </w:lvl>
    <w:lvl w:ilvl="1" w:tplc="1A6E5920">
      <w:start w:val="1"/>
      <w:numFmt w:val="bullet"/>
      <w:lvlText w:val=""/>
      <w:lvlJc w:val="left"/>
      <w:pPr>
        <w:ind w:left="720" w:hanging="360"/>
      </w:pPr>
      <w:rPr>
        <w:rFonts w:ascii="Symbol" w:hAnsi="Symbol"/>
      </w:rPr>
    </w:lvl>
    <w:lvl w:ilvl="2" w:tplc="911682B2">
      <w:start w:val="1"/>
      <w:numFmt w:val="bullet"/>
      <w:lvlText w:val=""/>
      <w:lvlJc w:val="left"/>
      <w:pPr>
        <w:ind w:left="720" w:hanging="360"/>
      </w:pPr>
      <w:rPr>
        <w:rFonts w:ascii="Symbol" w:hAnsi="Symbol"/>
      </w:rPr>
    </w:lvl>
    <w:lvl w:ilvl="3" w:tplc="6382D9D8">
      <w:start w:val="1"/>
      <w:numFmt w:val="bullet"/>
      <w:lvlText w:val=""/>
      <w:lvlJc w:val="left"/>
      <w:pPr>
        <w:ind w:left="720" w:hanging="360"/>
      </w:pPr>
      <w:rPr>
        <w:rFonts w:ascii="Symbol" w:hAnsi="Symbol"/>
      </w:rPr>
    </w:lvl>
    <w:lvl w:ilvl="4" w:tplc="EEC47F00">
      <w:start w:val="1"/>
      <w:numFmt w:val="bullet"/>
      <w:lvlText w:val=""/>
      <w:lvlJc w:val="left"/>
      <w:pPr>
        <w:ind w:left="720" w:hanging="360"/>
      </w:pPr>
      <w:rPr>
        <w:rFonts w:ascii="Symbol" w:hAnsi="Symbol"/>
      </w:rPr>
    </w:lvl>
    <w:lvl w:ilvl="5" w:tplc="C3D08162">
      <w:start w:val="1"/>
      <w:numFmt w:val="bullet"/>
      <w:lvlText w:val=""/>
      <w:lvlJc w:val="left"/>
      <w:pPr>
        <w:ind w:left="720" w:hanging="360"/>
      </w:pPr>
      <w:rPr>
        <w:rFonts w:ascii="Symbol" w:hAnsi="Symbol"/>
      </w:rPr>
    </w:lvl>
    <w:lvl w:ilvl="6" w:tplc="17A09F68">
      <w:start w:val="1"/>
      <w:numFmt w:val="bullet"/>
      <w:lvlText w:val=""/>
      <w:lvlJc w:val="left"/>
      <w:pPr>
        <w:ind w:left="720" w:hanging="360"/>
      </w:pPr>
      <w:rPr>
        <w:rFonts w:ascii="Symbol" w:hAnsi="Symbol"/>
      </w:rPr>
    </w:lvl>
    <w:lvl w:ilvl="7" w:tplc="CF4C5640">
      <w:start w:val="1"/>
      <w:numFmt w:val="bullet"/>
      <w:lvlText w:val=""/>
      <w:lvlJc w:val="left"/>
      <w:pPr>
        <w:ind w:left="720" w:hanging="360"/>
      </w:pPr>
      <w:rPr>
        <w:rFonts w:ascii="Symbol" w:hAnsi="Symbol"/>
      </w:rPr>
    </w:lvl>
    <w:lvl w:ilvl="8" w:tplc="40160772">
      <w:start w:val="1"/>
      <w:numFmt w:val="bullet"/>
      <w:lvlText w:val=""/>
      <w:lvlJc w:val="left"/>
      <w:pPr>
        <w:ind w:left="720" w:hanging="360"/>
      </w:pPr>
      <w:rPr>
        <w:rFonts w:ascii="Symbol" w:hAnsi="Symbol"/>
      </w:rPr>
    </w:lvl>
  </w:abstractNum>
  <w:abstractNum w:abstractNumId="24" w15:restartNumberingAfterBreak="0">
    <w:nsid w:val="385D16DB"/>
    <w:multiLevelType w:val="hybridMultilevel"/>
    <w:tmpl w:val="02D87574"/>
    <w:lvl w:ilvl="0" w:tplc="4378DFB4">
      <w:start w:val="1"/>
      <w:numFmt w:val="bullet"/>
      <w:lvlText w:val=""/>
      <w:lvlJc w:val="left"/>
      <w:pPr>
        <w:ind w:left="720" w:hanging="360"/>
      </w:pPr>
      <w:rPr>
        <w:rFonts w:ascii="Symbol" w:hAnsi="Symbol"/>
      </w:rPr>
    </w:lvl>
    <w:lvl w:ilvl="1" w:tplc="84A05C42">
      <w:start w:val="1"/>
      <w:numFmt w:val="bullet"/>
      <w:lvlText w:val=""/>
      <w:lvlJc w:val="left"/>
      <w:pPr>
        <w:ind w:left="720" w:hanging="360"/>
      </w:pPr>
      <w:rPr>
        <w:rFonts w:ascii="Symbol" w:hAnsi="Symbol"/>
      </w:rPr>
    </w:lvl>
    <w:lvl w:ilvl="2" w:tplc="A9AA5F92">
      <w:start w:val="1"/>
      <w:numFmt w:val="bullet"/>
      <w:lvlText w:val=""/>
      <w:lvlJc w:val="left"/>
      <w:pPr>
        <w:ind w:left="720" w:hanging="360"/>
      </w:pPr>
      <w:rPr>
        <w:rFonts w:ascii="Symbol" w:hAnsi="Symbol"/>
      </w:rPr>
    </w:lvl>
    <w:lvl w:ilvl="3" w:tplc="CBE24A28">
      <w:start w:val="1"/>
      <w:numFmt w:val="bullet"/>
      <w:lvlText w:val=""/>
      <w:lvlJc w:val="left"/>
      <w:pPr>
        <w:ind w:left="720" w:hanging="360"/>
      </w:pPr>
      <w:rPr>
        <w:rFonts w:ascii="Symbol" w:hAnsi="Symbol"/>
      </w:rPr>
    </w:lvl>
    <w:lvl w:ilvl="4" w:tplc="5BA89CBC">
      <w:start w:val="1"/>
      <w:numFmt w:val="bullet"/>
      <w:lvlText w:val=""/>
      <w:lvlJc w:val="left"/>
      <w:pPr>
        <w:ind w:left="720" w:hanging="360"/>
      </w:pPr>
      <w:rPr>
        <w:rFonts w:ascii="Symbol" w:hAnsi="Symbol"/>
      </w:rPr>
    </w:lvl>
    <w:lvl w:ilvl="5" w:tplc="89F88398">
      <w:start w:val="1"/>
      <w:numFmt w:val="bullet"/>
      <w:lvlText w:val=""/>
      <w:lvlJc w:val="left"/>
      <w:pPr>
        <w:ind w:left="720" w:hanging="360"/>
      </w:pPr>
      <w:rPr>
        <w:rFonts w:ascii="Symbol" w:hAnsi="Symbol"/>
      </w:rPr>
    </w:lvl>
    <w:lvl w:ilvl="6" w:tplc="F7C4AA64">
      <w:start w:val="1"/>
      <w:numFmt w:val="bullet"/>
      <w:lvlText w:val=""/>
      <w:lvlJc w:val="left"/>
      <w:pPr>
        <w:ind w:left="720" w:hanging="360"/>
      </w:pPr>
      <w:rPr>
        <w:rFonts w:ascii="Symbol" w:hAnsi="Symbol"/>
      </w:rPr>
    </w:lvl>
    <w:lvl w:ilvl="7" w:tplc="4270517E">
      <w:start w:val="1"/>
      <w:numFmt w:val="bullet"/>
      <w:lvlText w:val=""/>
      <w:lvlJc w:val="left"/>
      <w:pPr>
        <w:ind w:left="720" w:hanging="360"/>
      </w:pPr>
      <w:rPr>
        <w:rFonts w:ascii="Symbol" w:hAnsi="Symbol"/>
      </w:rPr>
    </w:lvl>
    <w:lvl w:ilvl="8" w:tplc="C2909C94">
      <w:start w:val="1"/>
      <w:numFmt w:val="bullet"/>
      <w:lvlText w:val=""/>
      <w:lvlJc w:val="left"/>
      <w:pPr>
        <w:ind w:left="720" w:hanging="360"/>
      </w:pPr>
      <w:rPr>
        <w:rFonts w:ascii="Symbol" w:hAnsi="Symbol"/>
      </w:rPr>
    </w:lvl>
  </w:abstractNum>
  <w:abstractNum w:abstractNumId="25" w15:restartNumberingAfterBreak="0">
    <w:nsid w:val="3AE53637"/>
    <w:multiLevelType w:val="hybridMultilevel"/>
    <w:tmpl w:val="214497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E3F2F2C"/>
    <w:multiLevelType w:val="hybridMultilevel"/>
    <w:tmpl w:val="E8883A54"/>
    <w:lvl w:ilvl="0" w:tplc="2E6A118A">
      <w:start w:val="1"/>
      <w:numFmt w:val="bullet"/>
      <w:lvlText w:val=""/>
      <w:lvlJc w:val="left"/>
      <w:pPr>
        <w:ind w:left="720" w:hanging="360"/>
      </w:pPr>
      <w:rPr>
        <w:rFonts w:ascii="Symbol" w:hAnsi="Symbol"/>
      </w:rPr>
    </w:lvl>
    <w:lvl w:ilvl="1" w:tplc="61185F66">
      <w:start w:val="1"/>
      <w:numFmt w:val="bullet"/>
      <w:lvlText w:val=""/>
      <w:lvlJc w:val="left"/>
      <w:pPr>
        <w:ind w:left="720" w:hanging="360"/>
      </w:pPr>
      <w:rPr>
        <w:rFonts w:ascii="Symbol" w:hAnsi="Symbol"/>
      </w:rPr>
    </w:lvl>
    <w:lvl w:ilvl="2" w:tplc="30D82A22">
      <w:start w:val="1"/>
      <w:numFmt w:val="bullet"/>
      <w:lvlText w:val=""/>
      <w:lvlJc w:val="left"/>
      <w:pPr>
        <w:ind w:left="720" w:hanging="360"/>
      </w:pPr>
      <w:rPr>
        <w:rFonts w:ascii="Symbol" w:hAnsi="Symbol"/>
      </w:rPr>
    </w:lvl>
    <w:lvl w:ilvl="3" w:tplc="DAD84B32">
      <w:start w:val="1"/>
      <w:numFmt w:val="bullet"/>
      <w:lvlText w:val=""/>
      <w:lvlJc w:val="left"/>
      <w:pPr>
        <w:ind w:left="720" w:hanging="360"/>
      </w:pPr>
      <w:rPr>
        <w:rFonts w:ascii="Symbol" w:hAnsi="Symbol"/>
      </w:rPr>
    </w:lvl>
    <w:lvl w:ilvl="4" w:tplc="4F783E48">
      <w:start w:val="1"/>
      <w:numFmt w:val="bullet"/>
      <w:lvlText w:val=""/>
      <w:lvlJc w:val="left"/>
      <w:pPr>
        <w:ind w:left="720" w:hanging="360"/>
      </w:pPr>
      <w:rPr>
        <w:rFonts w:ascii="Symbol" w:hAnsi="Symbol"/>
      </w:rPr>
    </w:lvl>
    <w:lvl w:ilvl="5" w:tplc="A5009E9E">
      <w:start w:val="1"/>
      <w:numFmt w:val="bullet"/>
      <w:lvlText w:val=""/>
      <w:lvlJc w:val="left"/>
      <w:pPr>
        <w:ind w:left="720" w:hanging="360"/>
      </w:pPr>
      <w:rPr>
        <w:rFonts w:ascii="Symbol" w:hAnsi="Symbol"/>
      </w:rPr>
    </w:lvl>
    <w:lvl w:ilvl="6" w:tplc="8D36E1DE">
      <w:start w:val="1"/>
      <w:numFmt w:val="bullet"/>
      <w:lvlText w:val=""/>
      <w:lvlJc w:val="left"/>
      <w:pPr>
        <w:ind w:left="720" w:hanging="360"/>
      </w:pPr>
      <w:rPr>
        <w:rFonts w:ascii="Symbol" w:hAnsi="Symbol"/>
      </w:rPr>
    </w:lvl>
    <w:lvl w:ilvl="7" w:tplc="C682060E">
      <w:start w:val="1"/>
      <w:numFmt w:val="bullet"/>
      <w:lvlText w:val=""/>
      <w:lvlJc w:val="left"/>
      <w:pPr>
        <w:ind w:left="720" w:hanging="360"/>
      </w:pPr>
      <w:rPr>
        <w:rFonts w:ascii="Symbol" w:hAnsi="Symbol"/>
      </w:rPr>
    </w:lvl>
    <w:lvl w:ilvl="8" w:tplc="9EEC6C42">
      <w:start w:val="1"/>
      <w:numFmt w:val="bullet"/>
      <w:lvlText w:val=""/>
      <w:lvlJc w:val="left"/>
      <w:pPr>
        <w:ind w:left="720" w:hanging="360"/>
      </w:pPr>
      <w:rPr>
        <w:rFonts w:ascii="Symbol" w:hAnsi="Symbol"/>
      </w:rPr>
    </w:lvl>
  </w:abstractNum>
  <w:abstractNum w:abstractNumId="27" w15:restartNumberingAfterBreak="0">
    <w:nsid w:val="3E7F4834"/>
    <w:multiLevelType w:val="hybridMultilevel"/>
    <w:tmpl w:val="5D0614D2"/>
    <w:lvl w:ilvl="0" w:tplc="0150A116">
      <w:start w:val="1"/>
      <w:numFmt w:val="bullet"/>
      <w:lvlText w:val=""/>
      <w:lvlJc w:val="left"/>
      <w:pPr>
        <w:ind w:left="720" w:hanging="360"/>
      </w:pPr>
      <w:rPr>
        <w:rFonts w:ascii="Symbol" w:hAnsi="Symbol"/>
      </w:rPr>
    </w:lvl>
    <w:lvl w:ilvl="1" w:tplc="65340CE6">
      <w:start w:val="1"/>
      <w:numFmt w:val="bullet"/>
      <w:lvlText w:val=""/>
      <w:lvlJc w:val="left"/>
      <w:pPr>
        <w:ind w:left="720" w:hanging="360"/>
      </w:pPr>
      <w:rPr>
        <w:rFonts w:ascii="Symbol" w:hAnsi="Symbol"/>
      </w:rPr>
    </w:lvl>
    <w:lvl w:ilvl="2" w:tplc="24CE4188">
      <w:start w:val="1"/>
      <w:numFmt w:val="bullet"/>
      <w:lvlText w:val=""/>
      <w:lvlJc w:val="left"/>
      <w:pPr>
        <w:ind w:left="720" w:hanging="360"/>
      </w:pPr>
      <w:rPr>
        <w:rFonts w:ascii="Symbol" w:hAnsi="Symbol"/>
      </w:rPr>
    </w:lvl>
    <w:lvl w:ilvl="3" w:tplc="75C8D322">
      <w:start w:val="1"/>
      <w:numFmt w:val="bullet"/>
      <w:lvlText w:val=""/>
      <w:lvlJc w:val="left"/>
      <w:pPr>
        <w:ind w:left="720" w:hanging="360"/>
      </w:pPr>
      <w:rPr>
        <w:rFonts w:ascii="Symbol" w:hAnsi="Symbol"/>
      </w:rPr>
    </w:lvl>
    <w:lvl w:ilvl="4" w:tplc="689CBC04">
      <w:start w:val="1"/>
      <w:numFmt w:val="bullet"/>
      <w:lvlText w:val=""/>
      <w:lvlJc w:val="left"/>
      <w:pPr>
        <w:ind w:left="720" w:hanging="360"/>
      </w:pPr>
      <w:rPr>
        <w:rFonts w:ascii="Symbol" w:hAnsi="Symbol"/>
      </w:rPr>
    </w:lvl>
    <w:lvl w:ilvl="5" w:tplc="8C46BB7E">
      <w:start w:val="1"/>
      <w:numFmt w:val="bullet"/>
      <w:lvlText w:val=""/>
      <w:lvlJc w:val="left"/>
      <w:pPr>
        <w:ind w:left="720" w:hanging="360"/>
      </w:pPr>
      <w:rPr>
        <w:rFonts w:ascii="Symbol" w:hAnsi="Symbol"/>
      </w:rPr>
    </w:lvl>
    <w:lvl w:ilvl="6" w:tplc="4732CB3A">
      <w:start w:val="1"/>
      <w:numFmt w:val="bullet"/>
      <w:lvlText w:val=""/>
      <w:lvlJc w:val="left"/>
      <w:pPr>
        <w:ind w:left="720" w:hanging="360"/>
      </w:pPr>
      <w:rPr>
        <w:rFonts w:ascii="Symbol" w:hAnsi="Symbol"/>
      </w:rPr>
    </w:lvl>
    <w:lvl w:ilvl="7" w:tplc="1250C31E">
      <w:start w:val="1"/>
      <w:numFmt w:val="bullet"/>
      <w:lvlText w:val=""/>
      <w:lvlJc w:val="left"/>
      <w:pPr>
        <w:ind w:left="720" w:hanging="360"/>
      </w:pPr>
      <w:rPr>
        <w:rFonts w:ascii="Symbol" w:hAnsi="Symbol"/>
      </w:rPr>
    </w:lvl>
    <w:lvl w:ilvl="8" w:tplc="08CCB7A6">
      <w:start w:val="1"/>
      <w:numFmt w:val="bullet"/>
      <w:lvlText w:val=""/>
      <w:lvlJc w:val="left"/>
      <w:pPr>
        <w:ind w:left="720" w:hanging="360"/>
      </w:pPr>
      <w:rPr>
        <w:rFonts w:ascii="Symbol" w:hAnsi="Symbol"/>
      </w:rPr>
    </w:lvl>
  </w:abstractNum>
  <w:abstractNum w:abstractNumId="28" w15:restartNumberingAfterBreak="0">
    <w:nsid w:val="458A7F90"/>
    <w:multiLevelType w:val="hybridMultilevel"/>
    <w:tmpl w:val="88E67824"/>
    <w:lvl w:ilvl="0" w:tplc="86A4A4D0">
      <w:start w:val="1"/>
      <w:numFmt w:val="bullet"/>
      <w:pStyle w:val="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6340063"/>
    <w:multiLevelType w:val="hybridMultilevel"/>
    <w:tmpl w:val="0A105796"/>
    <w:lvl w:ilvl="0" w:tplc="7D602822">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77B74C4"/>
    <w:multiLevelType w:val="hybridMultilevel"/>
    <w:tmpl w:val="A9747058"/>
    <w:lvl w:ilvl="0" w:tplc="6DDE3DDA">
      <w:start w:val="1"/>
      <w:numFmt w:val="bullet"/>
      <w:lvlText w:val=""/>
      <w:lvlJc w:val="left"/>
      <w:pPr>
        <w:ind w:left="720" w:hanging="360"/>
      </w:pPr>
      <w:rPr>
        <w:rFonts w:ascii="Symbol" w:hAnsi="Symbol"/>
      </w:rPr>
    </w:lvl>
    <w:lvl w:ilvl="1" w:tplc="34E6DF92">
      <w:start w:val="1"/>
      <w:numFmt w:val="bullet"/>
      <w:lvlText w:val=""/>
      <w:lvlJc w:val="left"/>
      <w:pPr>
        <w:ind w:left="720" w:hanging="360"/>
      </w:pPr>
      <w:rPr>
        <w:rFonts w:ascii="Symbol" w:hAnsi="Symbol"/>
      </w:rPr>
    </w:lvl>
    <w:lvl w:ilvl="2" w:tplc="84345E84">
      <w:start w:val="1"/>
      <w:numFmt w:val="bullet"/>
      <w:lvlText w:val=""/>
      <w:lvlJc w:val="left"/>
      <w:pPr>
        <w:ind w:left="720" w:hanging="360"/>
      </w:pPr>
      <w:rPr>
        <w:rFonts w:ascii="Symbol" w:hAnsi="Symbol"/>
      </w:rPr>
    </w:lvl>
    <w:lvl w:ilvl="3" w:tplc="841CCA38">
      <w:start w:val="1"/>
      <w:numFmt w:val="bullet"/>
      <w:lvlText w:val=""/>
      <w:lvlJc w:val="left"/>
      <w:pPr>
        <w:ind w:left="720" w:hanging="360"/>
      </w:pPr>
      <w:rPr>
        <w:rFonts w:ascii="Symbol" w:hAnsi="Symbol"/>
      </w:rPr>
    </w:lvl>
    <w:lvl w:ilvl="4" w:tplc="7B304300">
      <w:start w:val="1"/>
      <w:numFmt w:val="bullet"/>
      <w:lvlText w:val=""/>
      <w:lvlJc w:val="left"/>
      <w:pPr>
        <w:ind w:left="720" w:hanging="360"/>
      </w:pPr>
      <w:rPr>
        <w:rFonts w:ascii="Symbol" w:hAnsi="Symbol"/>
      </w:rPr>
    </w:lvl>
    <w:lvl w:ilvl="5" w:tplc="E684FC36">
      <w:start w:val="1"/>
      <w:numFmt w:val="bullet"/>
      <w:lvlText w:val=""/>
      <w:lvlJc w:val="left"/>
      <w:pPr>
        <w:ind w:left="720" w:hanging="360"/>
      </w:pPr>
      <w:rPr>
        <w:rFonts w:ascii="Symbol" w:hAnsi="Symbol"/>
      </w:rPr>
    </w:lvl>
    <w:lvl w:ilvl="6" w:tplc="35A8C34A">
      <w:start w:val="1"/>
      <w:numFmt w:val="bullet"/>
      <w:lvlText w:val=""/>
      <w:lvlJc w:val="left"/>
      <w:pPr>
        <w:ind w:left="720" w:hanging="360"/>
      </w:pPr>
      <w:rPr>
        <w:rFonts w:ascii="Symbol" w:hAnsi="Symbol"/>
      </w:rPr>
    </w:lvl>
    <w:lvl w:ilvl="7" w:tplc="7C286F6E">
      <w:start w:val="1"/>
      <w:numFmt w:val="bullet"/>
      <w:lvlText w:val=""/>
      <w:lvlJc w:val="left"/>
      <w:pPr>
        <w:ind w:left="720" w:hanging="360"/>
      </w:pPr>
      <w:rPr>
        <w:rFonts w:ascii="Symbol" w:hAnsi="Symbol"/>
      </w:rPr>
    </w:lvl>
    <w:lvl w:ilvl="8" w:tplc="466CF45C">
      <w:start w:val="1"/>
      <w:numFmt w:val="bullet"/>
      <w:lvlText w:val=""/>
      <w:lvlJc w:val="left"/>
      <w:pPr>
        <w:ind w:left="720" w:hanging="360"/>
      </w:pPr>
      <w:rPr>
        <w:rFonts w:ascii="Symbol" w:hAnsi="Symbol"/>
      </w:rPr>
    </w:lvl>
  </w:abstractNum>
  <w:abstractNum w:abstractNumId="31" w15:restartNumberingAfterBreak="0">
    <w:nsid w:val="4B10567D"/>
    <w:multiLevelType w:val="multilevel"/>
    <w:tmpl w:val="8D70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4362A1"/>
    <w:multiLevelType w:val="multilevel"/>
    <w:tmpl w:val="1138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DC23F68"/>
    <w:multiLevelType w:val="hybridMultilevel"/>
    <w:tmpl w:val="64FA3974"/>
    <w:lvl w:ilvl="0" w:tplc="A552D6D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0336B0D"/>
    <w:multiLevelType w:val="hybridMultilevel"/>
    <w:tmpl w:val="5D54CD1A"/>
    <w:lvl w:ilvl="0" w:tplc="4EDE096A">
      <w:start w:val="1"/>
      <w:numFmt w:val="lowerRoman"/>
      <w:pStyle w:val="Numberbullet3"/>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0853B72"/>
    <w:multiLevelType w:val="hybridMultilevel"/>
    <w:tmpl w:val="863AEF5E"/>
    <w:lvl w:ilvl="0" w:tplc="9448068E">
      <w:start w:val="1"/>
      <w:numFmt w:val="bullet"/>
      <w:lvlText w:val=""/>
      <w:lvlJc w:val="left"/>
      <w:pPr>
        <w:ind w:left="720" w:hanging="360"/>
      </w:pPr>
      <w:rPr>
        <w:rFonts w:ascii="Symbol" w:hAnsi="Symbol"/>
      </w:rPr>
    </w:lvl>
    <w:lvl w:ilvl="1" w:tplc="EBE8C2A0">
      <w:start w:val="1"/>
      <w:numFmt w:val="bullet"/>
      <w:lvlText w:val=""/>
      <w:lvlJc w:val="left"/>
      <w:pPr>
        <w:ind w:left="720" w:hanging="360"/>
      </w:pPr>
      <w:rPr>
        <w:rFonts w:ascii="Symbol" w:hAnsi="Symbol"/>
      </w:rPr>
    </w:lvl>
    <w:lvl w:ilvl="2" w:tplc="056EAACE">
      <w:start w:val="1"/>
      <w:numFmt w:val="bullet"/>
      <w:lvlText w:val=""/>
      <w:lvlJc w:val="left"/>
      <w:pPr>
        <w:ind w:left="720" w:hanging="360"/>
      </w:pPr>
      <w:rPr>
        <w:rFonts w:ascii="Symbol" w:hAnsi="Symbol"/>
      </w:rPr>
    </w:lvl>
    <w:lvl w:ilvl="3" w:tplc="4622EA58">
      <w:start w:val="1"/>
      <w:numFmt w:val="bullet"/>
      <w:lvlText w:val=""/>
      <w:lvlJc w:val="left"/>
      <w:pPr>
        <w:ind w:left="720" w:hanging="360"/>
      </w:pPr>
      <w:rPr>
        <w:rFonts w:ascii="Symbol" w:hAnsi="Symbol"/>
      </w:rPr>
    </w:lvl>
    <w:lvl w:ilvl="4" w:tplc="CE063168">
      <w:start w:val="1"/>
      <w:numFmt w:val="bullet"/>
      <w:lvlText w:val=""/>
      <w:lvlJc w:val="left"/>
      <w:pPr>
        <w:ind w:left="720" w:hanging="360"/>
      </w:pPr>
      <w:rPr>
        <w:rFonts w:ascii="Symbol" w:hAnsi="Symbol"/>
      </w:rPr>
    </w:lvl>
    <w:lvl w:ilvl="5" w:tplc="C556FC78">
      <w:start w:val="1"/>
      <w:numFmt w:val="bullet"/>
      <w:lvlText w:val=""/>
      <w:lvlJc w:val="left"/>
      <w:pPr>
        <w:ind w:left="720" w:hanging="360"/>
      </w:pPr>
      <w:rPr>
        <w:rFonts w:ascii="Symbol" w:hAnsi="Symbol"/>
      </w:rPr>
    </w:lvl>
    <w:lvl w:ilvl="6" w:tplc="555C1D00">
      <w:start w:val="1"/>
      <w:numFmt w:val="bullet"/>
      <w:lvlText w:val=""/>
      <w:lvlJc w:val="left"/>
      <w:pPr>
        <w:ind w:left="720" w:hanging="360"/>
      </w:pPr>
      <w:rPr>
        <w:rFonts w:ascii="Symbol" w:hAnsi="Symbol"/>
      </w:rPr>
    </w:lvl>
    <w:lvl w:ilvl="7" w:tplc="DC46EE4C">
      <w:start w:val="1"/>
      <w:numFmt w:val="bullet"/>
      <w:lvlText w:val=""/>
      <w:lvlJc w:val="left"/>
      <w:pPr>
        <w:ind w:left="720" w:hanging="360"/>
      </w:pPr>
      <w:rPr>
        <w:rFonts w:ascii="Symbol" w:hAnsi="Symbol"/>
      </w:rPr>
    </w:lvl>
    <w:lvl w:ilvl="8" w:tplc="8A6843AA">
      <w:start w:val="1"/>
      <w:numFmt w:val="bullet"/>
      <w:lvlText w:val=""/>
      <w:lvlJc w:val="left"/>
      <w:pPr>
        <w:ind w:left="720" w:hanging="360"/>
      </w:pPr>
      <w:rPr>
        <w:rFonts w:ascii="Symbol" w:hAnsi="Symbol"/>
      </w:rPr>
    </w:lvl>
  </w:abstractNum>
  <w:abstractNum w:abstractNumId="36" w15:restartNumberingAfterBreak="0">
    <w:nsid w:val="55113885"/>
    <w:multiLevelType w:val="hybridMultilevel"/>
    <w:tmpl w:val="F7CE218E"/>
    <w:lvl w:ilvl="0" w:tplc="94D09322">
      <w:start w:val="1"/>
      <w:numFmt w:val="bullet"/>
      <w:lvlText w:val=""/>
      <w:lvlJc w:val="left"/>
      <w:pPr>
        <w:ind w:left="720" w:hanging="360"/>
      </w:pPr>
      <w:rPr>
        <w:rFonts w:ascii="Symbol" w:hAnsi="Symbol"/>
      </w:rPr>
    </w:lvl>
    <w:lvl w:ilvl="1" w:tplc="228A48C8">
      <w:start w:val="1"/>
      <w:numFmt w:val="bullet"/>
      <w:lvlText w:val=""/>
      <w:lvlJc w:val="left"/>
      <w:pPr>
        <w:ind w:left="720" w:hanging="360"/>
      </w:pPr>
      <w:rPr>
        <w:rFonts w:ascii="Symbol" w:hAnsi="Symbol"/>
      </w:rPr>
    </w:lvl>
    <w:lvl w:ilvl="2" w:tplc="A7889522">
      <w:start w:val="1"/>
      <w:numFmt w:val="bullet"/>
      <w:lvlText w:val=""/>
      <w:lvlJc w:val="left"/>
      <w:pPr>
        <w:ind w:left="720" w:hanging="360"/>
      </w:pPr>
      <w:rPr>
        <w:rFonts w:ascii="Symbol" w:hAnsi="Symbol"/>
      </w:rPr>
    </w:lvl>
    <w:lvl w:ilvl="3" w:tplc="CAA009EE">
      <w:start w:val="1"/>
      <w:numFmt w:val="bullet"/>
      <w:lvlText w:val=""/>
      <w:lvlJc w:val="left"/>
      <w:pPr>
        <w:ind w:left="720" w:hanging="360"/>
      </w:pPr>
      <w:rPr>
        <w:rFonts w:ascii="Symbol" w:hAnsi="Symbol"/>
      </w:rPr>
    </w:lvl>
    <w:lvl w:ilvl="4" w:tplc="634CAF4E">
      <w:start w:val="1"/>
      <w:numFmt w:val="bullet"/>
      <w:lvlText w:val=""/>
      <w:lvlJc w:val="left"/>
      <w:pPr>
        <w:ind w:left="720" w:hanging="360"/>
      </w:pPr>
      <w:rPr>
        <w:rFonts w:ascii="Symbol" w:hAnsi="Symbol"/>
      </w:rPr>
    </w:lvl>
    <w:lvl w:ilvl="5" w:tplc="CE8EB95C">
      <w:start w:val="1"/>
      <w:numFmt w:val="bullet"/>
      <w:lvlText w:val=""/>
      <w:lvlJc w:val="left"/>
      <w:pPr>
        <w:ind w:left="720" w:hanging="360"/>
      </w:pPr>
      <w:rPr>
        <w:rFonts w:ascii="Symbol" w:hAnsi="Symbol"/>
      </w:rPr>
    </w:lvl>
    <w:lvl w:ilvl="6" w:tplc="9C981FBE">
      <w:start w:val="1"/>
      <w:numFmt w:val="bullet"/>
      <w:lvlText w:val=""/>
      <w:lvlJc w:val="left"/>
      <w:pPr>
        <w:ind w:left="720" w:hanging="360"/>
      </w:pPr>
      <w:rPr>
        <w:rFonts w:ascii="Symbol" w:hAnsi="Symbol"/>
      </w:rPr>
    </w:lvl>
    <w:lvl w:ilvl="7" w:tplc="15D2663C">
      <w:start w:val="1"/>
      <w:numFmt w:val="bullet"/>
      <w:lvlText w:val=""/>
      <w:lvlJc w:val="left"/>
      <w:pPr>
        <w:ind w:left="720" w:hanging="360"/>
      </w:pPr>
      <w:rPr>
        <w:rFonts w:ascii="Symbol" w:hAnsi="Symbol"/>
      </w:rPr>
    </w:lvl>
    <w:lvl w:ilvl="8" w:tplc="A3CEBD18">
      <w:start w:val="1"/>
      <w:numFmt w:val="bullet"/>
      <w:lvlText w:val=""/>
      <w:lvlJc w:val="left"/>
      <w:pPr>
        <w:ind w:left="720" w:hanging="360"/>
      </w:pPr>
      <w:rPr>
        <w:rFonts w:ascii="Symbol" w:hAnsi="Symbol"/>
      </w:rPr>
    </w:lvl>
  </w:abstractNum>
  <w:abstractNum w:abstractNumId="37" w15:restartNumberingAfterBreak="0">
    <w:nsid w:val="57E23118"/>
    <w:multiLevelType w:val="multilevel"/>
    <w:tmpl w:val="67E2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F563C3"/>
    <w:multiLevelType w:val="hybridMultilevel"/>
    <w:tmpl w:val="1B563ADC"/>
    <w:lvl w:ilvl="0" w:tplc="8C18060A">
      <w:start w:val="1"/>
      <w:numFmt w:val="bullet"/>
      <w:lvlText w:val=""/>
      <w:lvlJc w:val="left"/>
      <w:pPr>
        <w:ind w:left="720" w:hanging="360"/>
      </w:pPr>
      <w:rPr>
        <w:rFonts w:ascii="Symbol" w:hAnsi="Symbol"/>
      </w:rPr>
    </w:lvl>
    <w:lvl w:ilvl="1" w:tplc="03EA6AF8">
      <w:start w:val="1"/>
      <w:numFmt w:val="bullet"/>
      <w:lvlText w:val=""/>
      <w:lvlJc w:val="left"/>
      <w:pPr>
        <w:ind w:left="720" w:hanging="360"/>
      </w:pPr>
      <w:rPr>
        <w:rFonts w:ascii="Symbol" w:hAnsi="Symbol"/>
      </w:rPr>
    </w:lvl>
    <w:lvl w:ilvl="2" w:tplc="0E38D4CE">
      <w:start w:val="1"/>
      <w:numFmt w:val="bullet"/>
      <w:lvlText w:val=""/>
      <w:lvlJc w:val="left"/>
      <w:pPr>
        <w:ind w:left="720" w:hanging="360"/>
      </w:pPr>
      <w:rPr>
        <w:rFonts w:ascii="Symbol" w:hAnsi="Symbol"/>
      </w:rPr>
    </w:lvl>
    <w:lvl w:ilvl="3" w:tplc="9618B776">
      <w:start w:val="1"/>
      <w:numFmt w:val="bullet"/>
      <w:lvlText w:val=""/>
      <w:lvlJc w:val="left"/>
      <w:pPr>
        <w:ind w:left="720" w:hanging="360"/>
      </w:pPr>
      <w:rPr>
        <w:rFonts w:ascii="Symbol" w:hAnsi="Symbol"/>
      </w:rPr>
    </w:lvl>
    <w:lvl w:ilvl="4" w:tplc="C14E86C8">
      <w:start w:val="1"/>
      <w:numFmt w:val="bullet"/>
      <w:lvlText w:val=""/>
      <w:lvlJc w:val="left"/>
      <w:pPr>
        <w:ind w:left="720" w:hanging="360"/>
      </w:pPr>
      <w:rPr>
        <w:rFonts w:ascii="Symbol" w:hAnsi="Symbol"/>
      </w:rPr>
    </w:lvl>
    <w:lvl w:ilvl="5" w:tplc="14F44760">
      <w:start w:val="1"/>
      <w:numFmt w:val="bullet"/>
      <w:lvlText w:val=""/>
      <w:lvlJc w:val="left"/>
      <w:pPr>
        <w:ind w:left="720" w:hanging="360"/>
      </w:pPr>
      <w:rPr>
        <w:rFonts w:ascii="Symbol" w:hAnsi="Symbol"/>
      </w:rPr>
    </w:lvl>
    <w:lvl w:ilvl="6" w:tplc="BD5017E4">
      <w:start w:val="1"/>
      <w:numFmt w:val="bullet"/>
      <w:lvlText w:val=""/>
      <w:lvlJc w:val="left"/>
      <w:pPr>
        <w:ind w:left="720" w:hanging="360"/>
      </w:pPr>
      <w:rPr>
        <w:rFonts w:ascii="Symbol" w:hAnsi="Symbol"/>
      </w:rPr>
    </w:lvl>
    <w:lvl w:ilvl="7" w:tplc="D01675D6">
      <w:start w:val="1"/>
      <w:numFmt w:val="bullet"/>
      <w:lvlText w:val=""/>
      <w:lvlJc w:val="left"/>
      <w:pPr>
        <w:ind w:left="720" w:hanging="360"/>
      </w:pPr>
      <w:rPr>
        <w:rFonts w:ascii="Symbol" w:hAnsi="Symbol"/>
      </w:rPr>
    </w:lvl>
    <w:lvl w:ilvl="8" w:tplc="064E4066">
      <w:start w:val="1"/>
      <w:numFmt w:val="bullet"/>
      <w:lvlText w:val=""/>
      <w:lvlJc w:val="left"/>
      <w:pPr>
        <w:ind w:left="720" w:hanging="360"/>
      </w:pPr>
      <w:rPr>
        <w:rFonts w:ascii="Symbol" w:hAnsi="Symbol"/>
      </w:rPr>
    </w:lvl>
  </w:abstractNum>
  <w:abstractNum w:abstractNumId="39" w15:restartNumberingAfterBreak="0">
    <w:nsid w:val="625D4B93"/>
    <w:multiLevelType w:val="hybridMultilevel"/>
    <w:tmpl w:val="0B2020C4"/>
    <w:lvl w:ilvl="0" w:tplc="853022B6">
      <w:start w:val="1"/>
      <w:numFmt w:val="bullet"/>
      <w:lvlText w:val=""/>
      <w:lvlJc w:val="left"/>
      <w:pPr>
        <w:ind w:left="720" w:hanging="360"/>
      </w:pPr>
      <w:rPr>
        <w:rFonts w:ascii="Symbol" w:hAnsi="Symbol"/>
      </w:rPr>
    </w:lvl>
    <w:lvl w:ilvl="1" w:tplc="1CFAF548">
      <w:start w:val="1"/>
      <w:numFmt w:val="bullet"/>
      <w:lvlText w:val=""/>
      <w:lvlJc w:val="left"/>
      <w:pPr>
        <w:ind w:left="720" w:hanging="360"/>
      </w:pPr>
      <w:rPr>
        <w:rFonts w:ascii="Symbol" w:hAnsi="Symbol"/>
      </w:rPr>
    </w:lvl>
    <w:lvl w:ilvl="2" w:tplc="6B868878">
      <w:start w:val="1"/>
      <w:numFmt w:val="bullet"/>
      <w:lvlText w:val=""/>
      <w:lvlJc w:val="left"/>
      <w:pPr>
        <w:ind w:left="720" w:hanging="360"/>
      </w:pPr>
      <w:rPr>
        <w:rFonts w:ascii="Symbol" w:hAnsi="Symbol"/>
      </w:rPr>
    </w:lvl>
    <w:lvl w:ilvl="3" w:tplc="E60050B8">
      <w:start w:val="1"/>
      <w:numFmt w:val="bullet"/>
      <w:lvlText w:val=""/>
      <w:lvlJc w:val="left"/>
      <w:pPr>
        <w:ind w:left="720" w:hanging="360"/>
      </w:pPr>
      <w:rPr>
        <w:rFonts w:ascii="Symbol" w:hAnsi="Symbol"/>
      </w:rPr>
    </w:lvl>
    <w:lvl w:ilvl="4" w:tplc="3B023C0C">
      <w:start w:val="1"/>
      <w:numFmt w:val="bullet"/>
      <w:lvlText w:val=""/>
      <w:lvlJc w:val="left"/>
      <w:pPr>
        <w:ind w:left="720" w:hanging="360"/>
      </w:pPr>
      <w:rPr>
        <w:rFonts w:ascii="Symbol" w:hAnsi="Symbol"/>
      </w:rPr>
    </w:lvl>
    <w:lvl w:ilvl="5" w:tplc="F4D085BE">
      <w:start w:val="1"/>
      <w:numFmt w:val="bullet"/>
      <w:lvlText w:val=""/>
      <w:lvlJc w:val="left"/>
      <w:pPr>
        <w:ind w:left="720" w:hanging="360"/>
      </w:pPr>
      <w:rPr>
        <w:rFonts w:ascii="Symbol" w:hAnsi="Symbol"/>
      </w:rPr>
    </w:lvl>
    <w:lvl w:ilvl="6" w:tplc="3F1459F6">
      <w:start w:val="1"/>
      <w:numFmt w:val="bullet"/>
      <w:lvlText w:val=""/>
      <w:lvlJc w:val="left"/>
      <w:pPr>
        <w:ind w:left="720" w:hanging="360"/>
      </w:pPr>
      <w:rPr>
        <w:rFonts w:ascii="Symbol" w:hAnsi="Symbol"/>
      </w:rPr>
    </w:lvl>
    <w:lvl w:ilvl="7" w:tplc="93F6DE68">
      <w:start w:val="1"/>
      <w:numFmt w:val="bullet"/>
      <w:lvlText w:val=""/>
      <w:lvlJc w:val="left"/>
      <w:pPr>
        <w:ind w:left="720" w:hanging="360"/>
      </w:pPr>
      <w:rPr>
        <w:rFonts w:ascii="Symbol" w:hAnsi="Symbol"/>
      </w:rPr>
    </w:lvl>
    <w:lvl w:ilvl="8" w:tplc="BE80AA70">
      <w:start w:val="1"/>
      <w:numFmt w:val="bullet"/>
      <w:lvlText w:val=""/>
      <w:lvlJc w:val="left"/>
      <w:pPr>
        <w:ind w:left="720" w:hanging="360"/>
      </w:pPr>
      <w:rPr>
        <w:rFonts w:ascii="Symbol" w:hAnsi="Symbol"/>
      </w:rPr>
    </w:lvl>
  </w:abstractNum>
  <w:abstractNum w:abstractNumId="40" w15:restartNumberingAfterBreak="0">
    <w:nsid w:val="62C90051"/>
    <w:multiLevelType w:val="hybridMultilevel"/>
    <w:tmpl w:val="B930E2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3BB45F9"/>
    <w:multiLevelType w:val="multilevel"/>
    <w:tmpl w:val="5586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EC252D"/>
    <w:multiLevelType w:val="multilevel"/>
    <w:tmpl w:val="2DF8DB5A"/>
    <w:lvl w:ilvl="0">
      <w:start w:val="1"/>
      <w:numFmt w:val="lowerLetter"/>
      <w:lvlText w:val="%1)"/>
      <w:lvlJc w:val="left"/>
      <w:pPr>
        <w:ind w:left="1004" w:hanging="360"/>
      </w:pPr>
      <w:rPr>
        <w:rFonts w:hint="default"/>
      </w:rPr>
    </w:lvl>
    <w:lvl w:ilvl="1">
      <w:start w:val="1"/>
      <w:numFmt w:val="lowerLetter"/>
      <w:lvlText w:val="%2)"/>
      <w:lvlJc w:val="left"/>
      <w:pPr>
        <w:ind w:left="1364" w:hanging="360"/>
      </w:pPr>
    </w:lvl>
    <w:lvl w:ilvl="2">
      <w:start w:val="1"/>
      <w:numFmt w:val="lowerRoman"/>
      <w:lvlText w:val="%3)"/>
      <w:lvlJc w:val="left"/>
      <w:pPr>
        <w:ind w:left="1724" w:hanging="360"/>
      </w:pPr>
    </w:lvl>
    <w:lvl w:ilvl="3">
      <w:start w:val="1"/>
      <w:numFmt w:val="decimal"/>
      <w:lvlText w:val="(%4)"/>
      <w:lvlJc w:val="left"/>
      <w:pPr>
        <w:ind w:left="2084" w:hanging="360"/>
      </w:pPr>
    </w:lvl>
    <w:lvl w:ilvl="4">
      <w:start w:val="1"/>
      <w:numFmt w:val="lowerLetter"/>
      <w:lvlText w:val="(%5)"/>
      <w:lvlJc w:val="left"/>
      <w:pPr>
        <w:ind w:left="2444" w:hanging="360"/>
      </w:pPr>
    </w:lvl>
    <w:lvl w:ilvl="5">
      <w:start w:val="1"/>
      <w:numFmt w:val="lowerRoman"/>
      <w:lvlText w:val="(%6)"/>
      <w:lvlJc w:val="left"/>
      <w:pPr>
        <w:ind w:left="2804" w:hanging="360"/>
      </w:pPr>
    </w:lvl>
    <w:lvl w:ilvl="6">
      <w:start w:val="1"/>
      <w:numFmt w:val="decimal"/>
      <w:lvlText w:val="%7."/>
      <w:lvlJc w:val="left"/>
      <w:pPr>
        <w:ind w:left="3164" w:hanging="360"/>
      </w:pPr>
    </w:lvl>
    <w:lvl w:ilvl="7">
      <w:start w:val="1"/>
      <w:numFmt w:val="lowerLetter"/>
      <w:lvlText w:val="%8."/>
      <w:lvlJc w:val="left"/>
      <w:pPr>
        <w:ind w:left="3524" w:hanging="360"/>
      </w:pPr>
    </w:lvl>
    <w:lvl w:ilvl="8">
      <w:start w:val="1"/>
      <w:numFmt w:val="lowerRoman"/>
      <w:lvlText w:val="%9."/>
      <w:lvlJc w:val="left"/>
      <w:pPr>
        <w:ind w:left="3884" w:hanging="360"/>
      </w:pPr>
    </w:lvl>
  </w:abstractNum>
  <w:abstractNum w:abstractNumId="43" w15:restartNumberingAfterBreak="0">
    <w:nsid w:val="66075677"/>
    <w:multiLevelType w:val="multilevel"/>
    <w:tmpl w:val="D9F2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34636A"/>
    <w:multiLevelType w:val="hybridMultilevel"/>
    <w:tmpl w:val="2CD06C3E"/>
    <w:lvl w:ilvl="0" w:tplc="28D4A748">
      <w:start w:val="1"/>
      <w:numFmt w:val="bullet"/>
      <w:lvlText w:val=""/>
      <w:lvlJc w:val="left"/>
      <w:pPr>
        <w:ind w:left="720" w:hanging="360"/>
      </w:pPr>
      <w:rPr>
        <w:rFonts w:ascii="Symbol" w:hAnsi="Symbol"/>
      </w:rPr>
    </w:lvl>
    <w:lvl w:ilvl="1" w:tplc="15D4B5AC">
      <w:start w:val="1"/>
      <w:numFmt w:val="bullet"/>
      <w:lvlText w:val=""/>
      <w:lvlJc w:val="left"/>
      <w:pPr>
        <w:ind w:left="720" w:hanging="360"/>
      </w:pPr>
      <w:rPr>
        <w:rFonts w:ascii="Symbol" w:hAnsi="Symbol"/>
      </w:rPr>
    </w:lvl>
    <w:lvl w:ilvl="2" w:tplc="12CEC29E">
      <w:start w:val="1"/>
      <w:numFmt w:val="bullet"/>
      <w:lvlText w:val=""/>
      <w:lvlJc w:val="left"/>
      <w:pPr>
        <w:ind w:left="720" w:hanging="360"/>
      </w:pPr>
      <w:rPr>
        <w:rFonts w:ascii="Symbol" w:hAnsi="Symbol"/>
      </w:rPr>
    </w:lvl>
    <w:lvl w:ilvl="3" w:tplc="9934DAF8">
      <w:start w:val="1"/>
      <w:numFmt w:val="bullet"/>
      <w:lvlText w:val=""/>
      <w:lvlJc w:val="left"/>
      <w:pPr>
        <w:ind w:left="720" w:hanging="360"/>
      </w:pPr>
      <w:rPr>
        <w:rFonts w:ascii="Symbol" w:hAnsi="Symbol"/>
      </w:rPr>
    </w:lvl>
    <w:lvl w:ilvl="4" w:tplc="D5B2A616">
      <w:start w:val="1"/>
      <w:numFmt w:val="bullet"/>
      <w:lvlText w:val=""/>
      <w:lvlJc w:val="left"/>
      <w:pPr>
        <w:ind w:left="720" w:hanging="360"/>
      </w:pPr>
      <w:rPr>
        <w:rFonts w:ascii="Symbol" w:hAnsi="Symbol"/>
      </w:rPr>
    </w:lvl>
    <w:lvl w:ilvl="5" w:tplc="3D928CCC">
      <w:start w:val="1"/>
      <w:numFmt w:val="bullet"/>
      <w:lvlText w:val=""/>
      <w:lvlJc w:val="left"/>
      <w:pPr>
        <w:ind w:left="720" w:hanging="360"/>
      </w:pPr>
      <w:rPr>
        <w:rFonts w:ascii="Symbol" w:hAnsi="Symbol"/>
      </w:rPr>
    </w:lvl>
    <w:lvl w:ilvl="6" w:tplc="1884C1FA">
      <w:start w:val="1"/>
      <w:numFmt w:val="bullet"/>
      <w:lvlText w:val=""/>
      <w:lvlJc w:val="left"/>
      <w:pPr>
        <w:ind w:left="720" w:hanging="360"/>
      </w:pPr>
      <w:rPr>
        <w:rFonts w:ascii="Symbol" w:hAnsi="Symbol"/>
      </w:rPr>
    </w:lvl>
    <w:lvl w:ilvl="7" w:tplc="262852BA">
      <w:start w:val="1"/>
      <w:numFmt w:val="bullet"/>
      <w:lvlText w:val=""/>
      <w:lvlJc w:val="left"/>
      <w:pPr>
        <w:ind w:left="720" w:hanging="360"/>
      </w:pPr>
      <w:rPr>
        <w:rFonts w:ascii="Symbol" w:hAnsi="Symbol"/>
      </w:rPr>
    </w:lvl>
    <w:lvl w:ilvl="8" w:tplc="3C864FF0">
      <w:start w:val="1"/>
      <w:numFmt w:val="bullet"/>
      <w:lvlText w:val=""/>
      <w:lvlJc w:val="left"/>
      <w:pPr>
        <w:ind w:left="720" w:hanging="360"/>
      </w:pPr>
      <w:rPr>
        <w:rFonts w:ascii="Symbol" w:hAnsi="Symbol"/>
      </w:rPr>
    </w:lvl>
  </w:abstractNum>
  <w:abstractNum w:abstractNumId="45" w15:restartNumberingAfterBreak="0">
    <w:nsid w:val="69F76F76"/>
    <w:multiLevelType w:val="hybridMultilevel"/>
    <w:tmpl w:val="67D26630"/>
    <w:lvl w:ilvl="0" w:tplc="964E91D6">
      <w:start w:val="1"/>
      <w:numFmt w:val="lowerLetter"/>
      <w:pStyle w:val="ListParagraph"/>
      <w:lvlText w:val="%1)"/>
      <w:lvlJc w:val="left"/>
      <w:pPr>
        <w:ind w:left="1080" w:hanging="360"/>
      </w:pPr>
      <w:rPr>
        <w:color w:val="00B05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6" w15:restartNumberingAfterBreak="0">
    <w:nsid w:val="6E3E16F0"/>
    <w:multiLevelType w:val="multilevel"/>
    <w:tmpl w:val="5E86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1BD4248"/>
    <w:multiLevelType w:val="hybridMultilevel"/>
    <w:tmpl w:val="F25EC6BC"/>
    <w:lvl w:ilvl="0" w:tplc="C2FCC84A">
      <w:start w:val="1"/>
      <w:numFmt w:val="bullet"/>
      <w:lvlText w:val=""/>
      <w:lvlJc w:val="left"/>
      <w:pPr>
        <w:ind w:left="720" w:hanging="360"/>
      </w:pPr>
      <w:rPr>
        <w:rFonts w:ascii="Symbol" w:hAnsi="Symbol"/>
      </w:rPr>
    </w:lvl>
    <w:lvl w:ilvl="1" w:tplc="446C410A">
      <w:start w:val="1"/>
      <w:numFmt w:val="bullet"/>
      <w:lvlText w:val=""/>
      <w:lvlJc w:val="left"/>
      <w:pPr>
        <w:ind w:left="720" w:hanging="360"/>
      </w:pPr>
      <w:rPr>
        <w:rFonts w:ascii="Symbol" w:hAnsi="Symbol"/>
      </w:rPr>
    </w:lvl>
    <w:lvl w:ilvl="2" w:tplc="A33A77D8">
      <w:start w:val="1"/>
      <w:numFmt w:val="bullet"/>
      <w:lvlText w:val=""/>
      <w:lvlJc w:val="left"/>
      <w:pPr>
        <w:ind w:left="720" w:hanging="360"/>
      </w:pPr>
      <w:rPr>
        <w:rFonts w:ascii="Symbol" w:hAnsi="Symbol"/>
      </w:rPr>
    </w:lvl>
    <w:lvl w:ilvl="3" w:tplc="02A825E8">
      <w:start w:val="1"/>
      <w:numFmt w:val="bullet"/>
      <w:lvlText w:val=""/>
      <w:lvlJc w:val="left"/>
      <w:pPr>
        <w:ind w:left="720" w:hanging="360"/>
      </w:pPr>
      <w:rPr>
        <w:rFonts w:ascii="Symbol" w:hAnsi="Symbol"/>
      </w:rPr>
    </w:lvl>
    <w:lvl w:ilvl="4" w:tplc="AF0CEF70">
      <w:start w:val="1"/>
      <w:numFmt w:val="bullet"/>
      <w:lvlText w:val=""/>
      <w:lvlJc w:val="left"/>
      <w:pPr>
        <w:ind w:left="720" w:hanging="360"/>
      </w:pPr>
      <w:rPr>
        <w:rFonts w:ascii="Symbol" w:hAnsi="Symbol"/>
      </w:rPr>
    </w:lvl>
    <w:lvl w:ilvl="5" w:tplc="349EF0D6">
      <w:start w:val="1"/>
      <w:numFmt w:val="bullet"/>
      <w:lvlText w:val=""/>
      <w:lvlJc w:val="left"/>
      <w:pPr>
        <w:ind w:left="720" w:hanging="360"/>
      </w:pPr>
      <w:rPr>
        <w:rFonts w:ascii="Symbol" w:hAnsi="Symbol"/>
      </w:rPr>
    </w:lvl>
    <w:lvl w:ilvl="6" w:tplc="FB92B22E">
      <w:start w:val="1"/>
      <w:numFmt w:val="bullet"/>
      <w:lvlText w:val=""/>
      <w:lvlJc w:val="left"/>
      <w:pPr>
        <w:ind w:left="720" w:hanging="360"/>
      </w:pPr>
      <w:rPr>
        <w:rFonts w:ascii="Symbol" w:hAnsi="Symbol"/>
      </w:rPr>
    </w:lvl>
    <w:lvl w:ilvl="7" w:tplc="02421C50">
      <w:start w:val="1"/>
      <w:numFmt w:val="bullet"/>
      <w:lvlText w:val=""/>
      <w:lvlJc w:val="left"/>
      <w:pPr>
        <w:ind w:left="720" w:hanging="360"/>
      </w:pPr>
      <w:rPr>
        <w:rFonts w:ascii="Symbol" w:hAnsi="Symbol"/>
      </w:rPr>
    </w:lvl>
    <w:lvl w:ilvl="8" w:tplc="AE8A5F3E">
      <w:start w:val="1"/>
      <w:numFmt w:val="bullet"/>
      <w:lvlText w:val=""/>
      <w:lvlJc w:val="left"/>
      <w:pPr>
        <w:ind w:left="720" w:hanging="360"/>
      </w:pPr>
      <w:rPr>
        <w:rFonts w:ascii="Symbol" w:hAnsi="Symbol"/>
      </w:rPr>
    </w:lvl>
  </w:abstractNum>
  <w:abstractNum w:abstractNumId="48" w15:restartNumberingAfterBreak="0">
    <w:nsid w:val="75FA5A50"/>
    <w:multiLevelType w:val="hybridMultilevel"/>
    <w:tmpl w:val="0FB61DC8"/>
    <w:lvl w:ilvl="0" w:tplc="DCD6A4BC">
      <w:start w:val="1"/>
      <w:numFmt w:val="bullet"/>
      <w:lvlText w:val=""/>
      <w:lvlJc w:val="left"/>
      <w:pPr>
        <w:ind w:left="720" w:hanging="360"/>
      </w:pPr>
      <w:rPr>
        <w:rFonts w:ascii="Symbol" w:hAnsi="Symbol"/>
      </w:rPr>
    </w:lvl>
    <w:lvl w:ilvl="1" w:tplc="5640675A">
      <w:start w:val="1"/>
      <w:numFmt w:val="bullet"/>
      <w:lvlText w:val=""/>
      <w:lvlJc w:val="left"/>
      <w:pPr>
        <w:ind w:left="720" w:hanging="360"/>
      </w:pPr>
      <w:rPr>
        <w:rFonts w:ascii="Symbol" w:hAnsi="Symbol"/>
      </w:rPr>
    </w:lvl>
    <w:lvl w:ilvl="2" w:tplc="5BAEA6EE">
      <w:start w:val="1"/>
      <w:numFmt w:val="bullet"/>
      <w:lvlText w:val=""/>
      <w:lvlJc w:val="left"/>
      <w:pPr>
        <w:ind w:left="720" w:hanging="360"/>
      </w:pPr>
      <w:rPr>
        <w:rFonts w:ascii="Symbol" w:hAnsi="Symbol"/>
      </w:rPr>
    </w:lvl>
    <w:lvl w:ilvl="3" w:tplc="A0822FF8">
      <w:start w:val="1"/>
      <w:numFmt w:val="bullet"/>
      <w:lvlText w:val=""/>
      <w:lvlJc w:val="left"/>
      <w:pPr>
        <w:ind w:left="720" w:hanging="360"/>
      </w:pPr>
      <w:rPr>
        <w:rFonts w:ascii="Symbol" w:hAnsi="Symbol"/>
      </w:rPr>
    </w:lvl>
    <w:lvl w:ilvl="4" w:tplc="B3CC21DC">
      <w:start w:val="1"/>
      <w:numFmt w:val="bullet"/>
      <w:lvlText w:val=""/>
      <w:lvlJc w:val="left"/>
      <w:pPr>
        <w:ind w:left="720" w:hanging="360"/>
      </w:pPr>
      <w:rPr>
        <w:rFonts w:ascii="Symbol" w:hAnsi="Symbol"/>
      </w:rPr>
    </w:lvl>
    <w:lvl w:ilvl="5" w:tplc="3E14CEE8">
      <w:start w:val="1"/>
      <w:numFmt w:val="bullet"/>
      <w:lvlText w:val=""/>
      <w:lvlJc w:val="left"/>
      <w:pPr>
        <w:ind w:left="720" w:hanging="360"/>
      </w:pPr>
      <w:rPr>
        <w:rFonts w:ascii="Symbol" w:hAnsi="Symbol"/>
      </w:rPr>
    </w:lvl>
    <w:lvl w:ilvl="6" w:tplc="1ADA6E04">
      <w:start w:val="1"/>
      <w:numFmt w:val="bullet"/>
      <w:lvlText w:val=""/>
      <w:lvlJc w:val="left"/>
      <w:pPr>
        <w:ind w:left="720" w:hanging="360"/>
      </w:pPr>
      <w:rPr>
        <w:rFonts w:ascii="Symbol" w:hAnsi="Symbol"/>
      </w:rPr>
    </w:lvl>
    <w:lvl w:ilvl="7" w:tplc="17FA3FE6">
      <w:start w:val="1"/>
      <w:numFmt w:val="bullet"/>
      <w:lvlText w:val=""/>
      <w:lvlJc w:val="left"/>
      <w:pPr>
        <w:ind w:left="720" w:hanging="360"/>
      </w:pPr>
      <w:rPr>
        <w:rFonts w:ascii="Symbol" w:hAnsi="Symbol"/>
      </w:rPr>
    </w:lvl>
    <w:lvl w:ilvl="8" w:tplc="E54410DE">
      <w:start w:val="1"/>
      <w:numFmt w:val="bullet"/>
      <w:lvlText w:val=""/>
      <w:lvlJc w:val="left"/>
      <w:pPr>
        <w:ind w:left="720" w:hanging="360"/>
      </w:pPr>
      <w:rPr>
        <w:rFonts w:ascii="Symbol" w:hAnsi="Symbol"/>
      </w:rPr>
    </w:lvl>
  </w:abstractNum>
  <w:abstractNum w:abstractNumId="49" w15:restartNumberingAfterBreak="0">
    <w:nsid w:val="78E83FCB"/>
    <w:multiLevelType w:val="hybridMultilevel"/>
    <w:tmpl w:val="081A145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A2D62A6"/>
    <w:multiLevelType w:val="multilevel"/>
    <w:tmpl w:val="76982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7CB87D8F"/>
    <w:multiLevelType w:val="hybridMultilevel"/>
    <w:tmpl w:val="4EB2872C"/>
    <w:lvl w:ilvl="0" w:tplc="20885778">
      <w:start w:val="1"/>
      <w:numFmt w:val="bullet"/>
      <w:lvlText w:val=""/>
      <w:lvlJc w:val="left"/>
      <w:pPr>
        <w:ind w:left="720" w:hanging="360"/>
      </w:pPr>
      <w:rPr>
        <w:rFonts w:ascii="Symbol" w:hAnsi="Symbol"/>
      </w:rPr>
    </w:lvl>
    <w:lvl w:ilvl="1" w:tplc="096E1990">
      <w:start w:val="1"/>
      <w:numFmt w:val="bullet"/>
      <w:lvlText w:val=""/>
      <w:lvlJc w:val="left"/>
      <w:pPr>
        <w:ind w:left="720" w:hanging="360"/>
      </w:pPr>
      <w:rPr>
        <w:rFonts w:ascii="Symbol" w:hAnsi="Symbol"/>
      </w:rPr>
    </w:lvl>
    <w:lvl w:ilvl="2" w:tplc="1EA4BEA6">
      <w:start w:val="1"/>
      <w:numFmt w:val="bullet"/>
      <w:lvlText w:val=""/>
      <w:lvlJc w:val="left"/>
      <w:pPr>
        <w:ind w:left="720" w:hanging="360"/>
      </w:pPr>
      <w:rPr>
        <w:rFonts w:ascii="Symbol" w:hAnsi="Symbol"/>
      </w:rPr>
    </w:lvl>
    <w:lvl w:ilvl="3" w:tplc="896A22EE">
      <w:start w:val="1"/>
      <w:numFmt w:val="bullet"/>
      <w:lvlText w:val=""/>
      <w:lvlJc w:val="left"/>
      <w:pPr>
        <w:ind w:left="720" w:hanging="360"/>
      </w:pPr>
      <w:rPr>
        <w:rFonts w:ascii="Symbol" w:hAnsi="Symbol"/>
      </w:rPr>
    </w:lvl>
    <w:lvl w:ilvl="4" w:tplc="69CC5076">
      <w:start w:val="1"/>
      <w:numFmt w:val="bullet"/>
      <w:lvlText w:val=""/>
      <w:lvlJc w:val="left"/>
      <w:pPr>
        <w:ind w:left="720" w:hanging="360"/>
      </w:pPr>
      <w:rPr>
        <w:rFonts w:ascii="Symbol" w:hAnsi="Symbol"/>
      </w:rPr>
    </w:lvl>
    <w:lvl w:ilvl="5" w:tplc="4C3AC4CA">
      <w:start w:val="1"/>
      <w:numFmt w:val="bullet"/>
      <w:lvlText w:val=""/>
      <w:lvlJc w:val="left"/>
      <w:pPr>
        <w:ind w:left="720" w:hanging="360"/>
      </w:pPr>
      <w:rPr>
        <w:rFonts w:ascii="Symbol" w:hAnsi="Symbol"/>
      </w:rPr>
    </w:lvl>
    <w:lvl w:ilvl="6" w:tplc="189697AE">
      <w:start w:val="1"/>
      <w:numFmt w:val="bullet"/>
      <w:lvlText w:val=""/>
      <w:lvlJc w:val="left"/>
      <w:pPr>
        <w:ind w:left="720" w:hanging="360"/>
      </w:pPr>
      <w:rPr>
        <w:rFonts w:ascii="Symbol" w:hAnsi="Symbol"/>
      </w:rPr>
    </w:lvl>
    <w:lvl w:ilvl="7" w:tplc="8CEA9144">
      <w:start w:val="1"/>
      <w:numFmt w:val="bullet"/>
      <w:lvlText w:val=""/>
      <w:lvlJc w:val="left"/>
      <w:pPr>
        <w:ind w:left="720" w:hanging="360"/>
      </w:pPr>
      <w:rPr>
        <w:rFonts w:ascii="Symbol" w:hAnsi="Symbol"/>
      </w:rPr>
    </w:lvl>
    <w:lvl w:ilvl="8" w:tplc="6CAEB1C6">
      <w:start w:val="1"/>
      <w:numFmt w:val="bullet"/>
      <w:lvlText w:val=""/>
      <w:lvlJc w:val="left"/>
      <w:pPr>
        <w:ind w:left="720" w:hanging="360"/>
      </w:pPr>
      <w:rPr>
        <w:rFonts w:ascii="Symbol" w:hAnsi="Symbol"/>
      </w:rPr>
    </w:lvl>
  </w:abstractNum>
  <w:num w:numId="1" w16cid:durableId="66651442">
    <w:abstractNumId w:val="5"/>
  </w:num>
  <w:num w:numId="2" w16cid:durableId="429472673">
    <w:abstractNumId w:val="20"/>
  </w:num>
  <w:num w:numId="3" w16cid:durableId="1326128148">
    <w:abstractNumId w:val="12"/>
  </w:num>
  <w:num w:numId="4" w16cid:durableId="332490756">
    <w:abstractNumId w:val="10"/>
  </w:num>
  <w:num w:numId="5" w16cid:durableId="942761491">
    <w:abstractNumId w:val="0"/>
  </w:num>
  <w:num w:numId="6" w16cid:durableId="417361770">
    <w:abstractNumId w:val="9"/>
  </w:num>
  <w:num w:numId="7" w16cid:durableId="587933413">
    <w:abstractNumId w:val="10"/>
  </w:num>
  <w:num w:numId="8" w16cid:durableId="1693071593">
    <w:abstractNumId w:val="34"/>
  </w:num>
  <w:num w:numId="9" w16cid:durableId="1862011606">
    <w:abstractNumId w:val="5"/>
  </w:num>
  <w:num w:numId="10" w16cid:durableId="672489608">
    <w:abstractNumId w:val="13"/>
  </w:num>
  <w:num w:numId="11" w16cid:durableId="373236961">
    <w:abstractNumId w:val="7"/>
  </w:num>
  <w:num w:numId="12" w16cid:durableId="918946899">
    <w:abstractNumId w:val="51"/>
  </w:num>
  <w:num w:numId="13" w16cid:durableId="1773891428">
    <w:abstractNumId w:val="6"/>
  </w:num>
  <w:num w:numId="14" w16cid:durableId="814953752">
    <w:abstractNumId w:val="35"/>
  </w:num>
  <w:num w:numId="15" w16cid:durableId="1059984771">
    <w:abstractNumId w:val="8"/>
  </w:num>
  <w:num w:numId="16" w16cid:durableId="697971121">
    <w:abstractNumId w:val="48"/>
  </w:num>
  <w:num w:numId="17" w16cid:durableId="1905142093">
    <w:abstractNumId w:val="38"/>
  </w:num>
  <w:num w:numId="18" w16cid:durableId="1801722319">
    <w:abstractNumId w:val="18"/>
  </w:num>
  <w:num w:numId="19" w16cid:durableId="508561836">
    <w:abstractNumId w:val="47"/>
  </w:num>
  <w:num w:numId="20" w16cid:durableId="2014606710">
    <w:abstractNumId w:val="23"/>
  </w:num>
  <w:num w:numId="21" w16cid:durableId="51344625">
    <w:abstractNumId w:val="27"/>
  </w:num>
  <w:num w:numId="22" w16cid:durableId="33510228">
    <w:abstractNumId w:val="17"/>
  </w:num>
  <w:num w:numId="23" w16cid:durableId="332728302">
    <w:abstractNumId w:val="39"/>
  </w:num>
  <w:num w:numId="24" w16cid:durableId="1794669449">
    <w:abstractNumId w:val="14"/>
  </w:num>
  <w:num w:numId="25" w16cid:durableId="1086345883">
    <w:abstractNumId w:val="26"/>
  </w:num>
  <w:num w:numId="26" w16cid:durableId="456460322">
    <w:abstractNumId w:val="44"/>
  </w:num>
  <w:num w:numId="27" w16cid:durableId="2134327050">
    <w:abstractNumId w:val="2"/>
  </w:num>
  <w:num w:numId="28" w16cid:durableId="1580407416">
    <w:abstractNumId w:val="36"/>
  </w:num>
  <w:num w:numId="29" w16cid:durableId="29886128">
    <w:abstractNumId w:val="22"/>
  </w:num>
  <w:num w:numId="30" w16cid:durableId="394278283">
    <w:abstractNumId w:val="30"/>
  </w:num>
  <w:num w:numId="31" w16cid:durableId="209191320">
    <w:abstractNumId w:val="21"/>
  </w:num>
  <w:num w:numId="32" w16cid:durableId="886339651">
    <w:abstractNumId w:val="24"/>
  </w:num>
  <w:num w:numId="33" w16cid:durableId="1458644960">
    <w:abstractNumId w:val="1"/>
  </w:num>
  <w:num w:numId="34" w16cid:durableId="90275010">
    <w:abstractNumId w:val="40"/>
  </w:num>
  <w:num w:numId="35" w16cid:durableId="1500078386">
    <w:abstractNumId w:val="32"/>
  </w:num>
  <w:num w:numId="36" w16cid:durableId="791175191">
    <w:abstractNumId w:val="50"/>
  </w:num>
  <w:num w:numId="37" w16cid:durableId="205875181">
    <w:abstractNumId w:val="11"/>
  </w:num>
  <w:num w:numId="38" w16cid:durableId="1129741441">
    <w:abstractNumId w:val="19"/>
  </w:num>
  <w:num w:numId="39" w16cid:durableId="1820263521">
    <w:abstractNumId w:val="15"/>
  </w:num>
  <w:num w:numId="40" w16cid:durableId="604387377">
    <w:abstractNumId w:val="16"/>
  </w:num>
  <w:num w:numId="41" w16cid:durableId="42800008">
    <w:abstractNumId w:val="43"/>
  </w:num>
  <w:num w:numId="42" w16cid:durableId="2021396929">
    <w:abstractNumId w:val="46"/>
  </w:num>
  <w:num w:numId="43" w16cid:durableId="1897425214">
    <w:abstractNumId w:val="31"/>
  </w:num>
  <w:num w:numId="44" w16cid:durableId="69155812">
    <w:abstractNumId w:val="37"/>
  </w:num>
  <w:num w:numId="45" w16cid:durableId="1759789191">
    <w:abstractNumId w:val="41"/>
  </w:num>
  <w:num w:numId="46" w16cid:durableId="1992170033">
    <w:abstractNumId w:val="3"/>
  </w:num>
  <w:num w:numId="47" w16cid:durableId="243688677">
    <w:abstractNumId w:val="42"/>
  </w:num>
  <w:num w:numId="48" w16cid:durableId="722414355">
    <w:abstractNumId w:val="25"/>
  </w:num>
  <w:num w:numId="49" w16cid:durableId="421801925">
    <w:abstractNumId w:val="33"/>
  </w:num>
  <w:num w:numId="50" w16cid:durableId="2129081373">
    <w:abstractNumId w:val="4"/>
  </w:num>
  <w:num w:numId="51" w16cid:durableId="1034649466">
    <w:abstractNumId w:val="29"/>
  </w:num>
  <w:num w:numId="52" w16cid:durableId="1516337433">
    <w:abstractNumId w:val="49"/>
  </w:num>
  <w:num w:numId="53" w16cid:durableId="1860507334">
    <w:abstractNumId w:val="45"/>
  </w:num>
  <w:num w:numId="54" w16cid:durableId="1696690895">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73"/>
    <w:rsid w:val="00000021"/>
    <w:rsid w:val="0000039B"/>
    <w:rsid w:val="00000E5C"/>
    <w:rsid w:val="00006588"/>
    <w:rsid w:val="000069FA"/>
    <w:rsid w:val="000103EC"/>
    <w:rsid w:val="00010995"/>
    <w:rsid w:val="0001113C"/>
    <w:rsid w:val="00012AB6"/>
    <w:rsid w:val="0001380B"/>
    <w:rsid w:val="000140D3"/>
    <w:rsid w:val="0001457D"/>
    <w:rsid w:val="00014655"/>
    <w:rsid w:val="00015431"/>
    <w:rsid w:val="00015476"/>
    <w:rsid w:val="000157ED"/>
    <w:rsid w:val="00017820"/>
    <w:rsid w:val="000204FF"/>
    <w:rsid w:val="00020C14"/>
    <w:rsid w:val="00020DFD"/>
    <w:rsid w:val="00021A19"/>
    <w:rsid w:val="00023056"/>
    <w:rsid w:val="0002343D"/>
    <w:rsid w:val="0002366E"/>
    <w:rsid w:val="00024B80"/>
    <w:rsid w:val="00025034"/>
    <w:rsid w:val="00026887"/>
    <w:rsid w:val="000273B3"/>
    <w:rsid w:val="000318EB"/>
    <w:rsid w:val="0003255C"/>
    <w:rsid w:val="000349B7"/>
    <w:rsid w:val="00035B86"/>
    <w:rsid w:val="000363F5"/>
    <w:rsid w:val="000417BF"/>
    <w:rsid w:val="00043CA6"/>
    <w:rsid w:val="00046C44"/>
    <w:rsid w:val="00047093"/>
    <w:rsid w:val="0004798C"/>
    <w:rsid w:val="000508B8"/>
    <w:rsid w:val="00051E69"/>
    <w:rsid w:val="00053336"/>
    <w:rsid w:val="0005374A"/>
    <w:rsid w:val="00053DB9"/>
    <w:rsid w:val="00055660"/>
    <w:rsid w:val="0005657E"/>
    <w:rsid w:val="00056F6F"/>
    <w:rsid w:val="000621E7"/>
    <w:rsid w:val="00063BF2"/>
    <w:rsid w:val="0006404D"/>
    <w:rsid w:val="00064785"/>
    <w:rsid w:val="000649FF"/>
    <w:rsid w:val="00065519"/>
    <w:rsid w:val="0006566E"/>
    <w:rsid w:val="00065C4C"/>
    <w:rsid w:val="00066DDE"/>
    <w:rsid w:val="00072153"/>
    <w:rsid w:val="00072171"/>
    <w:rsid w:val="00073068"/>
    <w:rsid w:val="00073646"/>
    <w:rsid w:val="0007381E"/>
    <w:rsid w:val="00077F22"/>
    <w:rsid w:val="00077F61"/>
    <w:rsid w:val="00080E6F"/>
    <w:rsid w:val="00081444"/>
    <w:rsid w:val="00082AE3"/>
    <w:rsid w:val="00082C98"/>
    <w:rsid w:val="00083054"/>
    <w:rsid w:val="0008324D"/>
    <w:rsid w:val="000834A6"/>
    <w:rsid w:val="000837D8"/>
    <w:rsid w:val="00083CF4"/>
    <w:rsid w:val="0008462B"/>
    <w:rsid w:val="00084B99"/>
    <w:rsid w:val="0009033E"/>
    <w:rsid w:val="00092FA3"/>
    <w:rsid w:val="000935D0"/>
    <w:rsid w:val="00094B81"/>
    <w:rsid w:val="00094F7B"/>
    <w:rsid w:val="00095B67"/>
    <w:rsid w:val="00097246"/>
    <w:rsid w:val="000A1AA2"/>
    <w:rsid w:val="000A1E65"/>
    <w:rsid w:val="000A33FE"/>
    <w:rsid w:val="000A4915"/>
    <w:rsid w:val="000A5A75"/>
    <w:rsid w:val="000A66A4"/>
    <w:rsid w:val="000A6882"/>
    <w:rsid w:val="000A726B"/>
    <w:rsid w:val="000B0127"/>
    <w:rsid w:val="000B0E78"/>
    <w:rsid w:val="000B1A2C"/>
    <w:rsid w:val="000B20AB"/>
    <w:rsid w:val="000B21F8"/>
    <w:rsid w:val="000B2E7B"/>
    <w:rsid w:val="000B4253"/>
    <w:rsid w:val="000B494F"/>
    <w:rsid w:val="000B5828"/>
    <w:rsid w:val="000B68FA"/>
    <w:rsid w:val="000B78A2"/>
    <w:rsid w:val="000C0D20"/>
    <w:rsid w:val="000C152A"/>
    <w:rsid w:val="000C1833"/>
    <w:rsid w:val="000C19AC"/>
    <w:rsid w:val="000C2DA1"/>
    <w:rsid w:val="000C429F"/>
    <w:rsid w:val="000C5546"/>
    <w:rsid w:val="000C5945"/>
    <w:rsid w:val="000C6193"/>
    <w:rsid w:val="000D0001"/>
    <w:rsid w:val="000D21E3"/>
    <w:rsid w:val="000D294B"/>
    <w:rsid w:val="000D35B5"/>
    <w:rsid w:val="000D689E"/>
    <w:rsid w:val="000D6BB2"/>
    <w:rsid w:val="000D70F3"/>
    <w:rsid w:val="000E0001"/>
    <w:rsid w:val="000E0A08"/>
    <w:rsid w:val="000E0BE7"/>
    <w:rsid w:val="000E2F1D"/>
    <w:rsid w:val="000E549E"/>
    <w:rsid w:val="000E7399"/>
    <w:rsid w:val="000F0515"/>
    <w:rsid w:val="000F0E7B"/>
    <w:rsid w:val="000F1409"/>
    <w:rsid w:val="000F1730"/>
    <w:rsid w:val="000F1B51"/>
    <w:rsid w:val="000F1FE5"/>
    <w:rsid w:val="000F210C"/>
    <w:rsid w:val="000F2A78"/>
    <w:rsid w:val="000F2B99"/>
    <w:rsid w:val="000F3522"/>
    <w:rsid w:val="000F6907"/>
    <w:rsid w:val="000F6F04"/>
    <w:rsid w:val="000F6F5A"/>
    <w:rsid w:val="000F731C"/>
    <w:rsid w:val="001002BF"/>
    <w:rsid w:val="00101427"/>
    <w:rsid w:val="00102402"/>
    <w:rsid w:val="0010649D"/>
    <w:rsid w:val="00106955"/>
    <w:rsid w:val="001101F9"/>
    <w:rsid w:val="0011113C"/>
    <w:rsid w:val="00111747"/>
    <w:rsid w:val="00111D1E"/>
    <w:rsid w:val="00113D06"/>
    <w:rsid w:val="00113D98"/>
    <w:rsid w:val="0011520B"/>
    <w:rsid w:val="00115895"/>
    <w:rsid w:val="001165EF"/>
    <w:rsid w:val="00116B95"/>
    <w:rsid w:val="0011790F"/>
    <w:rsid w:val="00117DF2"/>
    <w:rsid w:val="00117F1A"/>
    <w:rsid w:val="00120420"/>
    <w:rsid w:val="00120966"/>
    <w:rsid w:val="00124066"/>
    <w:rsid w:val="0012473C"/>
    <w:rsid w:val="00124832"/>
    <w:rsid w:val="00124EE3"/>
    <w:rsid w:val="00124F7D"/>
    <w:rsid w:val="00126A48"/>
    <w:rsid w:val="0012777D"/>
    <w:rsid w:val="001302A5"/>
    <w:rsid w:val="00130A08"/>
    <w:rsid w:val="001324B9"/>
    <w:rsid w:val="00134803"/>
    <w:rsid w:val="00135222"/>
    <w:rsid w:val="0013542D"/>
    <w:rsid w:val="001355D5"/>
    <w:rsid w:val="00136430"/>
    <w:rsid w:val="00137623"/>
    <w:rsid w:val="00140B46"/>
    <w:rsid w:val="001413EB"/>
    <w:rsid w:val="00141CA9"/>
    <w:rsid w:val="00141E50"/>
    <w:rsid w:val="00142AB2"/>
    <w:rsid w:val="0014359D"/>
    <w:rsid w:val="00143DCB"/>
    <w:rsid w:val="001448E3"/>
    <w:rsid w:val="00144E13"/>
    <w:rsid w:val="00145209"/>
    <w:rsid w:val="0014545F"/>
    <w:rsid w:val="0014556D"/>
    <w:rsid w:val="00146DEA"/>
    <w:rsid w:val="00152FA3"/>
    <w:rsid w:val="001544DF"/>
    <w:rsid w:val="0015660F"/>
    <w:rsid w:val="00156C4A"/>
    <w:rsid w:val="00160EC3"/>
    <w:rsid w:val="00161726"/>
    <w:rsid w:val="00161C4F"/>
    <w:rsid w:val="0016226B"/>
    <w:rsid w:val="00163719"/>
    <w:rsid w:val="00163FE1"/>
    <w:rsid w:val="00164109"/>
    <w:rsid w:val="001644D7"/>
    <w:rsid w:val="001646A1"/>
    <w:rsid w:val="00165A55"/>
    <w:rsid w:val="00165BD8"/>
    <w:rsid w:val="00166F3D"/>
    <w:rsid w:val="00170180"/>
    <w:rsid w:val="00170EA1"/>
    <w:rsid w:val="00170FB0"/>
    <w:rsid w:val="00171B8D"/>
    <w:rsid w:val="001739F7"/>
    <w:rsid w:val="00174B8B"/>
    <w:rsid w:val="00175CD8"/>
    <w:rsid w:val="00175D2C"/>
    <w:rsid w:val="00176B1E"/>
    <w:rsid w:val="00177A83"/>
    <w:rsid w:val="0018139C"/>
    <w:rsid w:val="00182A39"/>
    <w:rsid w:val="0018326C"/>
    <w:rsid w:val="00183762"/>
    <w:rsid w:val="00183B8C"/>
    <w:rsid w:val="001842EE"/>
    <w:rsid w:val="0018515B"/>
    <w:rsid w:val="00185B11"/>
    <w:rsid w:val="001876D3"/>
    <w:rsid w:val="00187A74"/>
    <w:rsid w:val="00187C42"/>
    <w:rsid w:val="0019007B"/>
    <w:rsid w:val="001903A0"/>
    <w:rsid w:val="0019105E"/>
    <w:rsid w:val="00191A53"/>
    <w:rsid w:val="00191DFB"/>
    <w:rsid w:val="001920D1"/>
    <w:rsid w:val="00192669"/>
    <w:rsid w:val="00193390"/>
    <w:rsid w:val="001938C3"/>
    <w:rsid w:val="00194C06"/>
    <w:rsid w:val="001A09EB"/>
    <w:rsid w:val="001A240B"/>
    <w:rsid w:val="001A24DF"/>
    <w:rsid w:val="001A36BC"/>
    <w:rsid w:val="001A3F5B"/>
    <w:rsid w:val="001B1B84"/>
    <w:rsid w:val="001B1FAB"/>
    <w:rsid w:val="001B34A2"/>
    <w:rsid w:val="001B3BF9"/>
    <w:rsid w:val="001B3FAC"/>
    <w:rsid w:val="001B439B"/>
    <w:rsid w:val="001B4ADA"/>
    <w:rsid w:val="001B4BFB"/>
    <w:rsid w:val="001B4CE5"/>
    <w:rsid w:val="001B561B"/>
    <w:rsid w:val="001B5B5C"/>
    <w:rsid w:val="001C02AE"/>
    <w:rsid w:val="001C1EF6"/>
    <w:rsid w:val="001C2D7A"/>
    <w:rsid w:val="001C2DB1"/>
    <w:rsid w:val="001C2DD4"/>
    <w:rsid w:val="001C2F9D"/>
    <w:rsid w:val="001C38B7"/>
    <w:rsid w:val="001C3A82"/>
    <w:rsid w:val="001C6487"/>
    <w:rsid w:val="001C68C2"/>
    <w:rsid w:val="001C7EB3"/>
    <w:rsid w:val="001C7F68"/>
    <w:rsid w:val="001D07DD"/>
    <w:rsid w:val="001D46A8"/>
    <w:rsid w:val="001D5CA6"/>
    <w:rsid w:val="001D641D"/>
    <w:rsid w:val="001D67E7"/>
    <w:rsid w:val="001D7CD7"/>
    <w:rsid w:val="001E2F80"/>
    <w:rsid w:val="001E3ABB"/>
    <w:rsid w:val="001E611F"/>
    <w:rsid w:val="001E63A3"/>
    <w:rsid w:val="001E6D89"/>
    <w:rsid w:val="001E7414"/>
    <w:rsid w:val="001E766E"/>
    <w:rsid w:val="001E7890"/>
    <w:rsid w:val="001F11F4"/>
    <w:rsid w:val="001F1715"/>
    <w:rsid w:val="001F1C4E"/>
    <w:rsid w:val="001F4D7D"/>
    <w:rsid w:val="001F4DFE"/>
    <w:rsid w:val="001F5CBA"/>
    <w:rsid w:val="001F5E27"/>
    <w:rsid w:val="001F609B"/>
    <w:rsid w:val="001F6A42"/>
    <w:rsid w:val="002003C5"/>
    <w:rsid w:val="0020077B"/>
    <w:rsid w:val="0020077E"/>
    <w:rsid w:val="002016E3"/>
    <w:rsid w:val="00201878"/>
    <w:rsid w:val="002048E8"/>
    <w:rsid w:val="00204F19"/>
    <w:rsid w:val="00205656"/>
    <w:rsid w:val="00205CAE"/>
    <w:rsid w:val="00205D54"/>
    <w:rsid w:val="002065B5"/>
    <w:rsid w:val="0021168B"/>
    <w:rsid w:val="00212407"/>
    <w:rsid w:val="0021340F"/>
    <w:rsid w:val="002143D5"/>
    <w:rsid w:val="002147EB"/>
    <w:rsid w:val="00214AB0"/>
    <w:rsid w:val="002159AD"/>
    <w:rsid w:val="00215D09"/>
    <w:rsid w:val="002176F5"/>
    <w:rsid w:val="00217C3E"/>
    <w:rsid w:val="00223B83"/>
    <w:rsid w:val="00223D47"/>
    <w:rsid w:val="002310F8"/>
    <w:rsid w:val="00231835"/>
    <w:rsid w:val="002327B4"/>
    <w:rsid w:val="00232BF5"/>
    <w:rsid w:val="00232D7C"/>
    <w:rsid w:val="00233517"/>
    <w:rsid w:val="0023379B"/>
    <w:rsid w:val="00233C82"/>
    <w:rsid w:val="00234664"/>
    <w:rsid w:val="00235219"/>
    <w:rsid w:val="002359C1"/>
    <w:rsid w:val="00235AFA"/>
    <w:rsid w:val="00235CAC"/>
    <w:rsid w:val="00235FEB"/>
    <w:rsid w:val="00240D35"/>
    <w:rsid w:val="00241CCB"/>
    <w:rsid w:val="00241F6F"/>
    <w:rsid w:val="00243A25"/>
    <w:rsid w:val="00246196"/>
    <w:rsid w:val="00246212"/>
    <w:rsid w:val="0025044D"/>
    <w:rsid w:val="00250FE4"/>
    <w:rsid w:val="00251423"/>
    <w:rsid w:val="00252257"/>
    <w:rsid w:val="00253BBA"/>
    <w:rsid w:val="002546E6"/>
    <w:rsid w:val="002547F3"/>
    <w:rsid w:val="00257BD5"/>
    <w:rsid w:val="002608EE"/>
    <w:rsid w:val="00261E26"/>
    <w:rsid w:val="00263439"/>
    <w:rsid w:val="00263732"/>
    <w:rsid w:val="00263B5D"/>
    <w:rsid w:val="002646EA"/>
    <w:rsid w:val="00265C99"/>
    <w:rsid w:val="002673C9"/>
    <w:rsid w:val="00267761"/>
    <w:rsid w:val="0027064F"/>
    <w:rsid w:val="00270D3A"/>
    <w:rsid w:val="00271F9C"/>
    <w:rsid w:val="00275350"/>
    <w:rsid w:val="002757D4"/>
    <w:rsid w:val="00277C37"/>
    <w:rsid w:val="00280161"/>
    <w:rsid w:val="00280B57"/>
    <w:rsid w:val="00280CC6"/>
    <w:rsid w:val="002818B6"/>
    <w:rsid w:val="00282B36"/>
    <w:rsid w:val="002839E4"/>
    <w:rsid w:val="00284111"/>
    <w:rsid w:val="00284BD4"/>
    <w:rsid w:val="00285263"/>
    <w:rsid w:val="00285A43"/>
    <w:rsid w:val="0028755E"/>
    <w:rsid w:val="002879C3"/>
    <w:rsid w:val="00287ABB"/>
    <w:rsid w:val="00290E73"/>
    <w:rsid w:val="002913B9"/>
    <w:rsid w:val="00292B5B"/>
    <w:rsid w:val="0029335F"/>
    <w:rsid w:val="00295574"/>
    <w:rsid w:val="00296F3B"/>
    <w:rsid w:val="002A15BE"/>
    <w:rsid w:val="002A636F"/>
    <w:rsid w:val="002A68F5"/>
    <w:rsid w:val="002B0BA5"/>
    <w:rsid w:val="002B1494"/>
    <w:rsid w:val="002B1879"/>
    <w:rsid w:val="002B34F8"/>
    <w:rsid w:val="002B35BD"/>
    <w:rsid w:val="002B3607"/>
    <w:rsid w:val="002B7404"/>
    <w:rsid w:val="002B7655"/>
    <w:rsid w:val="002C0C6F"/>
    <w:rsid w:val="002C1A24"/>
    <w:rsid w:val="002C1C4B"/>
    <w:rsid w:val="002C25F0"/>
    <w:rsid w:val="002C32CE"/>
    <w:rsid w:val="002C43D3"/>
    <w:rsid w:val="002C4600"/>
    <w:rsid w:val="002C5216"/>
    <w:rsid w:val="002C5DCE"/>
    <w:rsid w:val="002C6708"/>
    <w:rsid w:val="002C6D31"/>
    <w:rsid w:val="002D01D7"/>
    <w:rsid w:val="002D0EC6"/>
    <w:rsid w:val="002D5FAB"/>
    <w:rsid w:val="002D734D"/>
    <w:rsid w:val="002E07A6"/>
    <w:rsid w:val="002E0FBA"/>
    <w:rsid w:val="002E1007"/>
    <w:rsid w:val="002E10A3"/>
    <w:rsid w:val="002E25FA"/>
    <w:rsid w:val="002E42AB"/>
    <w:rsid w:val="002E5E9A"/>
    <w:rsid w:val="002E60D3"/>
    <w:rsid w:val="002E6BC7"/>
    <w:rsid w:val="002E763D"/>
    <w:rsid w:val="002F2543"/>
    <w:rsid w:val="002F2594"/>
    <w:rsid w:val="002F7738"/>
    <w:rsid w:val="002F7E6B"/>
    <w:rsid w:val="00300688"/>
    <w:rsid w:val="003008D8"/>
    <w:rsid w:val="00301776"/>
    <w:rsid w:val="00302000"/>
    <w:rsid w:val="00302919"/>
    <w:rsid w:val="00302CB5"/>
    <w:rsid w:val="00302D3C"/>
    <w:rsid w:val="00303E40"/>
    <w:rsid w:val="00303EC3"/>
    <w:rsid w:val="00305341"/>
    <w:rsid w:val="003053F2"/>
    <w:rsid w:val="00307947"/>
    <w:rsid w:val="003079FB"/>
    <w:rsid w:val="00310151"/>
    <w:rsid w:val="00310CBB"/>
    <w:rsid w:val="003125F1"/>
    <w:rsid w:val="00312ED7"/>
    <w:rsid w:val="00313AD2"/>
    <w:rsid w:val="00315684"/>
    <w:rsid w:val="00316696"/>
    <w:rsid w:val="003167EF"/>
    <w:rsid w:val="00316CF0"/>
    <w:rsid w:val="00320564"/>
    <w:rsid w:val="00320A06"/>
    <w:rsid w:val="003234C2"/>
    <w:rsid w:val="0032383D"/>
    <w:rsid w:val="00324302"/>
    <w:rsid w:val="00324436"/>
    <w:rsid w:val="00324860"/>
    <w:rsid w:val="00324B45"/>
    <w:rsid w:val="00326ED5"/>
    <w:rsid w:val="00327F80"/>
    <w:rsid w:val="003316C8"/>
    <w:rsid w:val="00331A39"/>
    <w:rsid w:val="00334867"/>
    <w:rsid w:val="00334AD8"/>
    <w:rsid w:val="00335363"/>
    <w:rsid w:val="00335524"/>
    <w:rsid w:val="0033558C"/>
    <w:rsid w:val="00335F5F"/>
    <w:rsid w:val="00341DA7"/>
    <w:rsid w:val="00342388"/>
    <w:rsid w:val="003430A6"/>
    <w:rsid w:val="00345056"/>
    <w:rsid w:val="003456E4"/>
    <w:rsid w:val="00345796"/>
    <w:rsid w:val="003458B7"/>
    <w:rsid w:val="003508A5"/>
    <w:rsid w:val="00350A7A"/>
    <w:rsid w:val="0035444D"/>
    <w:rsid w:val="00354E51"/>
    <w:rsid w:val="00354EEC"/>
    <w:rsid w:val="0035533B"/>
    <w:rsid w:val="0035582F"/>
    <w:rsid w:val="00356008"/>
    <w:rsid w:val="00356AE1"/>
    <w:rsid w:val="003575C3"/>
    <w:rsid w:val="0035767D"/>
    <w:rsid w:val="00362958"/>
    <w:rsid w:val="00363B4A"/>
    <w:rsid w:val="00364FB3"/>
    <w:rsid w:val="00366DAB"/>
    <w:rsid w:val="00367C46"/>
    <w:rsid w:val="00371395"/>
    <w:rsid w:val="003724E3"/>
    <w:rsid w:val="00372599"/>
    <w:rsid w:val="00376AE6"/>
    <w:rsid w:val="00377060"/>
    <w:rsid w:val="003821BA"/>
    <w:rsid w:val="00382F25"/>
    <w:rsid w:val="00382FD8"/>
    <w:rsid w:val="003853AF"/>
    <w:rsid w:val="0038578D"/>
    <w:rsid w:val="00385FCB"/>
    <w:rsid w:val="00387543"/>
    <w:rsid w:val="00390139"/>
    <w:rsid w:val="003902F3"/>
    <w:rsid w:val="0039179C"/>
    <w:rsid w:val="0039205F"/>
    <w:rsid w:val="00394BE3"/>
    <w:rsid w:val="00395093"/>
    <w:rsid w:val="00395107"/>
    <w:rsid w:val="003966DC"/>
    <w:rsid w:val="003966DF"/>
    <w:rsid w:val="00397348"/>
    <w:rsid w:val="00397B93"/>
    <w:rsid w:val="003A139B"/>
    <w:rsid w:val="003A2234"/>
    <w:rsid w:val="003A2B99"/>
    <w:rsid w:val="003A4A07"/>
    <w:rsid w:val="003A52E1"/>
    <w:rsid w:val="003A6397"/>
    <w:rsid w:val="003A64A0"/>
    <w:rsid w:val="003A7CEA"/>
    <w:rsid w:val="003B02A3"/>
    <w:rsid w:val="003B04C5"/>
    <w:rsid w:val="003B05E6"/>
    <w:rsid w:val="003B360E"/>
    <w:rsid w:val="003B5C76"/>
    <w:rsid w:val="003B6FBA"/>
    <w:rsid w:val="003C01A4"/>
    <w:rsid w:val="003C2F99"/>
    <w:rsid w:val="003C3966"/>
    <w:rsid w:val="003C4920"/>
    <w:rsid w:val="003C5315"/>
    <w:rsid w:val="003C5381"/>
    <w:rsid w:val="003C55E4"/>
    <w:rsid w:val="003C63BD"/>
    <w:rsid w:val="003C698D"/>
    <w:rsid w:val="003C6F67"/>
    <w:rsid w:val="003C7A10"/>
    <w:rsid w:val="003D0370"/>
    <w:rsid w:val="003D1C59"/>
    <w:rsid w:val="003D3A75"/>
    <w:rsid w:val="003D48E4"/>
    <w:rsid w:val="003D51C5"/>
    <w:rsid w:val="003D5569"/>
    <w:rsid w:val="003D75C5"/>
    <w:rsid w:val="003E03FF"/>
    <w:rsid w:val="003E0DE4"/>
    <w:rsid w:val="003E1306"/>
    <w:rsid w:val="003E160D"/>
    <w:rsid w:val="003E326E"/>
    <w:rsid w:val="003E3C98"/>
    <w:rsid w:val="003E4CE9"/>
    <w:rsid w:val="003E608D"/>
    <w:rsid w:val="003E6581"/>
    <w:rsid w:val="003E6E73"/>
    <w:rsid w:val="003E79E8"/>
    <w:rsid w:val="003E7ADB"/>
    <w:rsid w:val="003F1482"/>
    <w:rsid w:val="003F1A7F"/>
    <w:rsid w:val="003F1DA2"/>
    <w:rsid w:val="003F3098"/>
    <w:rsid w:val="003F3320"/>
    <w:rsid w:val="003F54AC"/>
    <w:rsid w:val="003F64E9"/>
    <w:rsid w:val="003F75BE"/>
    <w:rsid w:val="003F77DC"/>
    <w:rsid w:val="00401A16"/>
    <w:rsid w:val="00401D36"/>
    <w:rsid w:val="004024A2"/>
    <w:rsid w:val="00402C25"/>
    <w:rsid w:val="00405328"/>
    <w:rsid w:val="00405CCE"/>
    <w:rsid w:val="00406EBC"/>
    <w:rsid w:val="00410480"/>
    <w:rsid w:val="00410643"/>
    <w:rsid w:val="00410882"/>
    <w:rsid w:val="0041098A"/>
    <w:rsid w:val="00411978"/>
    <w:rsid w:val="00411D99"/>
    <w:rsid w:val="00412170"/>
    <w:rsid w:val="004125E4"/>
    <w:rsid w:val="0041536E"/>
    <w:rsid w:val="0041625A"/>
    <w:rsid w:val="0041721E"/>
    <w:rsid w:val="00420C23"/>
    <w:rsid w:val="00422A91"/>
    <w:rsid w:val="00422BAF"/>
    <w:rsid w:val="00423057"/>
    <w:rsid w:val="004246B8"/>
    <w:rsid w:val="0042525F"/>
    <w:rsid w:val="00426FF7"/>
    <w:rsid w:val="0042710A"/>
    <w:rsid w:val="00427354"/>
    <w:rsid w:val="00427FC9"/>
    <w:rsid w:val="00430007"/>
    <w:rsid w:val="00430943"/>
    <w:rsid w:val="00434210"/>
    <w:rsid w:val="0043472E"/>
    <w:rsid w:val="0043478A"/>
    <w:rsid w:val="0043496D"/>
    <w:rsid w:val="00435CB3"/>
    <w:rsid w:val="00435F38"/>
    <w:rsid w:val="00441CB6"/>
    <w:rsid w:val="0044212B"/>
    <w:rsid w:val="004426F4"/>
    <w:rsid w:val="00442DAF"/>
    <w:rsid w:val="00443677"/>
    <w:rsid w:val="004437E2"/>
    <w:rsid w:val="0044537E"/>
    <w:rsid w:val="0044599A"/>
    <w:rsid w:val="00446F64"/>
    <w:rsid w:val="004474CD"/>
    <w:rsid w:val="00452150"/>
    <w:rsid w:val="0045398D"/>
    <w:rsid w:val="004545A5"/>
    <w:rsid w:val="00454905"/>
    <w:rsid w:val="00455705"/>
    <w:rsid w:val="00455E24"/>
    <w:rsid w:val="0046114F"/>
    <w:rsid w:val="004615C0"/>
    <w:rsid w:val="00462842"/>
    <w:rsid w:val="00462ECF"/>
    <w:rsid w:val="004647AA"/>
    <w:rsid w:val="00464CF3"/>
    <w:rsid w:val="00464CFC"/>
    <w:rsid w:val="00466B54"/>
    <w:rsid w:val="004670D4"/>
    <w:rsid w:val="00467889"/>
    <w:rsid w:val="004706BE"/>
    <w:rsid w:val="00472C80"/>
    <w:rsid w:val="0047768E"/>
    <w:rsid w:val="00477A24"/>
    <w:rsid w:val="00477ACC"/>
    <w:rsid w:val="00481843"/>
    <w:rsid w:val="004820B1"/>
    <w:rsid w:val="004833DF"/>
    <w:rsid w:val="00485B94"/>
    <w:rsid w:val="004860A1"/>
    <w:rsid w:val="00486778"/>
    <w:rsid w:val="0048768C"/>
    <w:rsid w:val="004907E7"/>
    <w:rsid w:val="0049207C"/>
    <w:rsid w:val="00492178"/>
    <w:rsid w:val="00493264"/>
    <w:rsid w:val="004954C0"/>
    <w:rsid w:val="00496AA7"/>
    <w:rsid w:val="00496BC9"/>
    <w:rsid w:val="00497432"/>
    <w:rsid w:val="00497670"/>
    <w:rsid w:val="004A0350"/>
    <w:rsid w:val="004A1F27"/>
    <w:rsid w:val="004A2099"/>
    <w:rsid w:val="004A21E2"/>
    <w:rsid w:val="004A6EC7"/>
    <w:rsid w:val="004A7A1A"/>
    <w:rsid w:val="004A7EFB"/>
    <w:rsid w:val="004B0184"/>
    <w:rsid w:val="004B0E86"/>
    <w:rsid w:val="004B32B3"/>
    <w:rsid w:val="004B486B"/>
    <w:rsid w:val="004B4C3E"/>
    <w:rsid w:val="004B67DB"/>
    <w:rsid w:val="004B6B5A"/>
    <w:rsid w:val="004B76AB"/>
    <w:rsid w:val="004C1F15"/>
    <w:rsid w:val="004C323D"/>
    <w:rsid w:val="004C4E11"/>
    <w:rsid w:val="004C53F0"/>
    <w:rsid w:val="004C560D"/>
    <w:rsid w:val="004C6108"/>
    <w:rsid w:val="004C743A"/>
    <w:rsid w:val="004D19BC"/>
    <w:rsid w:val="004D1A7B"/>
    <w:rsid w:val="004D2E19"/>
    <w:rsid w:val="004D3D71"/>
    <w:rsid w:val="004D3F3B"/>
    <w:rsid w:val="004D49E8"/>
    <w:rsid w:val="004D50D7"/>
    <w:rsid w:val="004D5222"/>
    <w:rsid w:val="004D60CF"/>
    <w:rsid w:val="004D71B3"/>
    <w:rsid w:val="004E21E3"/>
    <w:rsid w:val="004E21F0"/>
    <w:rsid w:val="004E2331"/>
    <w:rsid w:val="004E2357"/>
    <w:rsid w:val="004E4AFC"/>
    <w:rsid w:val="004E5141"/>
    <w:rsid w:val="004E618E"/>
    <w:rsid w:val="004E639C"/>
    <w:rsid w:val="004E640F"/>
    <w:rsid w:val="004E71F3"/>
    <w:rsid w:val="004E795B"/>
    <w:rsid w:val="004F04B2"/>
    <w:rsid w:val="004F129B"/>
    <w:rsid w:val="004F1C44"/>
    <w:rsid w:val="004F2576"/>
    <w:rsid w:val="004F2916"/>
    <w:rsid w:val="004F6B25"/>
    <w:rsid w:val="00500B9B"/>
    <w:rsid w:val="00501853"/>
    <w:rsid w:val="00502729"/>
    <w:rsid w:val="005030F6"/>
    <w:rsid w:val="0050407C"/>
    <w:rsid w:val="00504F0C"/>
    <w:rsid w:val="0050702E"/>
    <w:rsid w:val="0050761D"/>
    <w:rsid w:val="005078BC"/>
    <w:rsid w:val="00510377"/>
    <w:rsid w:val="0051067B"/>
    <w:rsid w:val="00511715"/>
    <w:rsid w:val="00511DB4"/>
    <w:rsid w:val="00512B21"/>
    <w:rsid w:val="00512CBB"/>
    <w:rsid w:val="00512EF2"/>
    <w:rsid w:val="00514DE8"/>
    <w:rsid w:val="0051527E"/>
    <w:rsid w:val="005159BE"/>
    <w:rsid w:val="00515BD1"/>
    <w:rsid w:val="0051661D"/>
    <w:rsid w:val="00516CCE"/>
    <w:rsid w:val="005201CE"/>
    <w:rsid w:val="0052032A"/>
    <w:rsid w:val="00520CD5"/>
    <w:rsid w:val="005210D1"/>
    <w:rsid w:val="005216C2"/>
    <w:rsid w:val="005217A6"/>
    <w:rsid w:val="00522C8B"/>
    <w:rsid w:val="0052576A"/>
    <w:rsid w:val="0052637A"/>
    <w:rsid w:val="00526B6E"/>
    <w:rsid w:val="005277FE"/>
    <w:rsid w:val="0053034C"/>
    <w:rsid w:val="005307FA"/>
    <w:rsid w:val="00531441"/>
    <w:rsid w:val="00531EDF"/>
    <w:rsid w:val="00533EC2"/>
    <w:rsid w:val="00534161"/>
    <w:rsid w:val="005347F3"/>
    <w:rsid w:val="005356B4"/>
    <w:rsid w:val="00536A04"/>
    <w:rsid w:val="005374E6"/>
    <w:rsid w:val="0054128D"/>
    <w:rsid w:val="0054188B"/>
    <w:rsid w:val="00541C84"/>
    <w:rsid w:val="00541CE1"/>
    <w:rsid w:val="005424C1"/>
    <w:rsid w:val="00542C47"/>
    <w:rsid w:val="00545B60"/>
    <w:rsid w:val="00550141"/>
    <w:rsid w:val="005505C0"/>
    <w:rsid w:val="00550B4A"/>
    <w:rsid w:val="00552721"/>
    <w:rsid w:val="00554528"/>
    <w:rsid w:val="00554D35"/>
    <w:rsid w:val="00556322"/>
    <w:rsid w:val="005604BC"/>
    <w:rsid w:val="00562EA3"/>
    <w:rsid w:val="005635CB"/>
    <w:rsid w:val="0056404F"/>
    <w:rsid w:val="005672CE"/>
    <w:rsid w:val="0056777D"/>
    <w:rsid w:val="00570527"/>
    <w:rsid w:val="0057118A"/>
    <w:rsid w:val="005717AA"/>
    <w:rsid w:val="00572C4A"/>
    <w:rsid w:val="00574C4A"/>
    <w:rsid w:val="0057518B"/>
    <w:rsid w:val="0057557A"/>
    <w:rsid w:val="00575F9C"/>
    <w:rsid w:val="00580DAF"/>
    <w:rsid w:val="005812E7"/>
    <w:rsid w:val="005838CD"/>
    <w:rsid w:val="00584407"/>
    <w:rsid w:val="0058491F"/>
    <w:rsid w:val="00584F73"/>
    <w:rsid w:val="005850E3"/>
    <w:rsid w:val="0058537D"/>
    <w:rsid w:val="0058575E"/>
    <w:rsid w:val="00585DC5"/>
    <w:rsid w:val="00585E50"/>
    <w:rsid w:val="00586C2C"/>
    <w:rsid w:val="00590C54"/>
    <w:rsid w:val="00591D74"/>
    <w:rsid w:val="005930A3"/>
    <w:rsid w:val="00593D1E"/>
    <w:rsid w:val="005946FE"/>
    <w:rsid w:val="005A0497"/>
    <w:rsid w:val="005A2279"/>
    <w:rsid w:val="005A3541"/>
    <w:rsid w:val="005A397A"/>
    <w:rsid w:val="005A3A02"/>
    <w:rsid w:val="005A480D"/>
    <w:rsid w:val="005A4E19"/>
    <w:rsid w:val="005A51AF"/>
    <w:rsid w:val="005A5760"/>
    <w:rsid w:val="005B1DA7"/>
    <w:rsid w:val="005B53A8"/>
    <w:rsid w:val="005B5EAE"/>
    <w:rsid w:val="005B615A"/>
    <w:rsid w:val="005C040C"/>
    <w:rsid w:val="005C2129"/>
    <w:rsid w:val="005C2C39"/>
    <w:rsid w:val="005C3982"/>
    <w:rsid w:val="005C468E"/>
    <w:rsid w:val="005C4714"/>
    <w:rsid w:val="005C58C0"/>
    <w:rsid w:val="005C5ECC"/>
    <w:rsid w:val="005C617E"/>
    <w:rsid w:val="005C6C8C"/>
    <w:rsid w:val="005C6F3D"/>
    <w:rsid w:val="005D0540"/>
    <w:rsid w:val="005D10E3"/>
    <w:rsid w:val="005D7883"/>
    <w:rsid w:val="005E0A7B"/>
    <w:rsid w:val="005E0B94"/>
    <w:rsid w:val="005E0D17"/>
    <w:rsid w:val="005E2048"/>
    <w:rsid w:val="005E368A"/>
    <w:rsid w:val="005E37CE"/>
    <w:rsid w:val="005E3DA0"/>
    <w:rsid w:val="005E3FFC"/>
    <w:rsid w:val="005E412F"/>
    <w:rsid w:val="005E4245"/>
    <w:rsid w:val="005E5A98"/>
    <w:rsid w:val="005E6C59"/>
    <w:rsid w:val="005F0500"/>
    <w:rsid w:val="005F2792"/>
    <w:rsid w:val="005F2D2C"/>
    <w:rsid w:val="005F413F"/>
    <w:rsid w:val="005F415A"/>
    <w:rsid w:val="005F42B8"/>
    <w:rsid w:val="005F6A16"/>
    <w:rsid w:val="005F724D"/>
    <w:rsid w:val="006011EF"/>
    <w:rsid w:val="00601569"/>
    <w:rsid w:val="00602612"/>
    <w:rsid w:val="00602C4A"/>
    <w:rsid w:val="006034C8"/>
    <w:rsid w:val="00603BEF"/>
    <w:rsid w:val="00603E28"/>
    <w:rsid w:val="00604653"/>
    <w:rsid w:val="006063BF"/>
    <w:rsid w:val="00606DBD"/>
    <w:rsid w:val="00611240"/>
    <w:rsid w:val="00611C19"/>
    <w:rsid w:val="00612854"/>
    <w:rsid w:val="0061370A"/>
    <w:rsid w:val="006140F5"/>
    <w:rsid w:val="00615277"/>
    <w:rsid w:val="00615FF3"/>
    <w:rsid w:val="00616C72"/>
    <w:rsid w:val="00622146"/>
    <w:rsid w:val="0062240E"/>
    <w:rsid w:val="00622D3A"/>
    <w:rsid w:val="00623333"/>
    <w:rsid w:val="00623E61"/>
    <w:rsid w:val="00624F32"/>
    <w:rsid w:val="00626808"/>
    <w:rsid w:val="00630CA2"/>
    <w:rsid w:val="00631F36"/>
    <w:rsid w:val="00633518"/>
    <w:rsid w:val="00634EC4"/>
    <w:rsid w:val="00634EE5"/>
    <w:rsid w:val="006357AD"/>
    <w:rsid w:val="00636C2D"/>
    <w:rsid w:val="00637696"/>
    <w:rsid w:val="00637832"/>
    <w:rsid w:val="00637D88"/>
    <w:rsid w:val="006423ED"/>
    <w:rsid w:val="00642587"/>
    <w:rsid w:val="00642768"/>
    <w:rsid w:val="0064358F"/>
    <w:rsid w:val="0064393D"/>
    <w:rsid w:val="006439C2"/>
    <w:rsid w:val="00645356"/>
    <w:rsid w:val="0064574C"/>
    <w:rsid w:val="006467C8"/>
    <w:rsid w:val="006474EE"/>
    <w:rsid w:val="00647E08"/>
    <w:rsid w:val="006536CC"/>
    <w:rsid w:val="00656940"/>
    <w:rsid w:val="006570D2"/>
    <w:rsid w:val="00657B2F"/>
    <w:rsid w:val="006649B5"/>
    <w:rsid w:val="00666152"/>
    <w:rsid w:val="006661A9"/>
    <w:rsid w:val="00670E87"/>
    <w:rsid w:val="006717B5"/>
    <w:rsid w:val="00672086"/>
    <w:rsid w:val="00672ADD"/>
    <w:rsid w:val="00672C07"/>
    <w:rsid w:val="00672C3A"/>
    <w:rsid w:val="00672CD0"/>
    <w:rsid w:val="00673478"/>
    <w:rsid w:val="00674ECE"/>
    <w:rsid w:val="00675323"/>
    <w:rsid w:val="00675C63"/>
    <w:rsid w:val="00677DA3"/>
    <w:rsid w:val="00677EBA"/>
    <w:rsid w:val="0068093C"/>
    <w:rsid w:val="00681721"/>
    <w:rsid w:val="006826AB"/>
    <w:rsid w:val="00682D89"/>
    <w:rsid w:val="00683A97"/>
    <w:rsid w:val="00685E72"/>
    <w:rsid w:val="00686017"/>
    <w:rsid w:val="006877CC"/>
    <w:rsid w:val="006906A1"/>
    <w:rsid w:val="00690DFB"/>
    <w:rsid w:val="0069104D"/>
    <w:rsid w:val="006914FF"/>
    <w:rsid w:val="00695554"/>
    <w:rsid w:val="00695A62"/>
    <w:rsid w:val="00695CF6"/>
    <w:rsid w:val="00696160"/>
    <w:rsid w:val="00696A40"/>
    <w:rsid w:val="006971AA"/>
    <w:rsid w:val="006A0EA7"/>
    <w:rsid w:val="006A1F0B"/>
    <w:rsid w:val="006A32C5"/>
    <w:rsid w:val="006A421E"/>
    <w:rsid w:val="006A45ED"/>
    <w:rsid w:val="006A49B9"/>
    <w:rsid w:val="006A4D84"/>
    <w:rsid w:val="006A5699"/>
    <w:rsid w:val="006A5786"/>
    <w:rsid w:val="006A72F1"/>
    <w:rsid w:val="006A7878"/>
    <w:rsid w:val="006B2C12"/>
    <w:rsid w:val="006B2D75"/>
    <w:rsid w:val="006B47E3"/>
    <w:rsid w:val="006B4A31"/>
    <w:rsid w:val="006B4C1C"/>
    <w:rsid w:val="006B5432"/>
    <w:rsid w:val="006B55B9"/>
    <w:rsid w:val="006B5AAD"/>
    <w:rsid w:val="006B698A"/>
    <w:rsid w:val="006C08C8"/>
    <w:rsid w:val="006C107D"/>
    <w:rsid w:val="006C208C"/>
    <w:rsid w:val="006C248C"/>
    <w:rsid w:val="006C3F0F"/>
    <w:rsid w:val="006C42A4"/>
    <w:rsid w:val="006C4EEB"/>
    <w:rsid w:val="006C4FA4"/>
    <w:rsid w:val="006C59DB"/>
    <w:rsid w:val="006C6765"/>
    <w:rsid w:val="006C7241"/>
    <w:rsid w:val="006C7ECC"/>
    <w:rsid w:val="006D0460"/>
    <w:rsid w:val="006D09A8"/>
    <w:rsid w:val="006D1F17"/>
    <w:rsid w:val="006D292E"/>
    <w:rsid w:val="006D3EF1"/>
    <w:rsid w:val="006D5C6C"/>
    <w:rsid w:val="006D5F63"/>
    <w:rsid w:val="006D66F6"/>
    <w:rsid w:val="006D67E4"/>
    <w:rsid w:val="006D6C53"/>
    <w:rsid w:val="006E0122"/>
    <w:rsid w:val="006E04D6"/>
    <w:rsid w:val="006E2612"/>
    <w:rsid w:val="006E3062"/>
    <w:rsid w:val="006E3529"/>
    <w:rsid w:val="006E37D0"/>
    <w:rsid w:val="006E402D"/>
    <w:rsid w:val="006E527A"/>
    <w:rsid w:val="006E666E"/>
    <w:rsid w:val="006E768D"/>
    <w:rsid w:val="006E7DCB"/>
    <w:rsid w:val="006F0471"/>
    <w:rsid w:val="006F1E4E"/>
    <w:rsid w:val="006F2D6C"/>
    <w:rsid w:val="006F3A75"/>
    <w:rsid w:val="006F4E50"/>
    <w:rsid w:val="006F67F5"/>
    <w:rsid w:val="006F6977"/>
    <w:rsid w:val="006F7761"/>
    <w:rsid w:val="006F7892"/>
    <w:rsid w:val="007005D9"/>
    <w:rsid w:val="00700F10"/>
    <w:rsid w:val="007013B1"/>
    <w:rsid w:val="007013C3"/>
    <w:rsid w:val="0070369D"/>
    <w:rsid w:val="00704D7F"/>
    <w:rsid w:val="00706BD5"/>
    <w:rsid w:val="007079EB"/>
    <w:rsid w:val="0071088C"/>
    <w:rsid w:val="00712390"/>
    <w:rsid w:val="00712F40"/>
    <w:rsid w:val="00713EF9"/>
    <w:rsid w:val="00714877"/>
    <w:rsid w:val="0071536A"/>
    <w:rsid w:val="00716935"/>
    <w:rsid w:val="007170BE"/>
    <w:rsid w:val="00720B0A"/>
    <w:rsid w:val="0072100F"/>
    <w:rsid w:val="007219A1"/>
    <w:rsid w:val="00726B37"/>
    <w:rsid w:val="007275D6"/>
    <w:rsid w:val="0073102C"/>
    <w:rsid w:val="0073194F"/>
    <w:rsid w:val="00732DA1"/>
    <w:rsid w:val="00733353"/>
    <w:rsid w:val="007346E4"/>
    <w:rsid w:val="00737DC7"/>
    <w:rsid w:val="0074388E"/>
    <w:rsid w:val="00744413"/>
    <w:rsid w:val="00746005"/>
    <w:rsid w:val="00746827"/>
    <w:rsid w:val="00746990"/>
    <w:rsid w:val="00746E4A"/>
    <w:rsid w:val="00750CED"/>
    <w:rsid w:val="00751440"/>
    <w:rsid w:val="00753352"/>
    <w:rsid w:val="007537CC"/>
    <w:rsid w:val="00754D2D"/>
    <w:rsid w:val="00756FEF"/>
    <w:rsid w:val="00757123"/>
    <w:rsid w:val="007578E2"/>
    <w:rsid w:val="007578F2"/>
    <w:rsid w:val="007611EE"/>
    <w:rsid w:val="007624A4"/>
    <w:rsid w:val="00762DB6"/>
    <w:rsid w:val="00763B7C"/>
    <w:rsid w:val="00763F22"/>
    <w:rsid w:val="00764438"/>
    <w:rsid w:val="00765689"/>
    <w:rsid w:val="00766267"/>
    <w:rsid w:val="00771520"/>
    <w:rsid w:val="00771771"/>
    <w:rsid w:val="00771824"/>
    <w:rsid w:val="00771FAC"/>
    <w:rsid w:val="00772C7A"/>
    <w:rsid w:val="00772CBD"/>
    <w:rsid w:val="00773619"/>
    <w:rsid w:val="007739C2"/>
    <w:rsid w:val="00774429"/>
    <w:rsid w:val="00775815"/>
    <w:rsid w:val="007761C2"/>
    <w:rsid w:val="00776CB8"/>
    <w:rsid w:val="00777568"/>
    <w:rsid w:val="00780601"/>
    <w:rsid w:val="00784310"/>
    <w:rsid w:val="0078619B"/>
    <w:rsid w:val="00790402"/>
    <w:rsid w:val="00791639"/>
    <w:rsid w:val="00791989"/>
    <w:rsid w:val="00791ADA"/>
    <w:rsid w:val="00791DA4"/>
    <w:rsid w:val="00792AAD"/>
    <w:rsid w:val="0079377A"/>
    <w:rsid w:val="00793F57"/>
    <w:rsid w:val="00795E0C"/>
    <w:rsid w:val="0079662C"/>
    <w:rsid w:val="00796F4E"/>
    <w:rsid w:val="007A11A6"/>
    <w:rsid w:val="007A1516"/>
    <w:rsid w:val="007A3E47"/>
    <w:rsid w:val="007A57B1"/>
    <w:rsid w:val="007A5E15"/>
    <w:rsid w:val="007A5E4A"/>
    <w:rsid w:val="007A6CFA"/>
    <w:rsid w:val="007B23BF"/>
    <w:rsid w:val="007B2C2C"/>
    <w:rsid w:val="007B4A41"/>
    <w:rsid w:val="007B60B4"/>
    <w:rsid w:val="007B60BF"/>
    <w:rsid w:val="007B6260"/>
    <w:rsid w:val="007B77F8"/>
    <w:rsid w:val="007C1879"/>
    <w:rsid w:val="007C2FD5"/>
    <w:rsid w:val="007C3D6D"/>
    <w:rsid w:val="007C54E4"/>
    <w:rsid w:val="007C7024"/>
    <w:rsid w:val="007C7DF8"/>
    <w:rsid w:val="007C7F43"/>
    <w:rsid w:val="007D12FF"/>
    <w:rsid w:val="007D2199"/>
    <w:rsid w:val="007D4104"/>
    <w:rsid w:val="007D492E"/>
    <w:rsid w:val="007D4C5D"/>
    <w:rsid w:val="007D4DD0"/>
    <w:rsid w:val="007D6042"/>
    <w:rsid w:val="007D6FA1"/>
    <w:rsid w:val="007D7BA2"/>
    <w:rsid w:val="007E0204"/>
    <w:rsid w:val="007E1E6E"/>
    <w:rsid w:val="007E2CEF"/>
    <w:rsid w:val="007E3633"/>
    <w:rsid w:val="007E5EF1"/>
    <w:rsid w:val="007E7552"/>
    <w:rsid w:val="007F000E"/>
    <w:rsid w:val="007F0A77"/>
    <w:rsid w:val="007F2502"/>
    <w:rsid w:val="007F33E0"/>
    <w:rsid w:val="007F3705"/>
    <w:rsid w:val="008007EB"/>
    <w:rsid w:val="00800A49"/>
    <w:rsid w:val="00802B5D"/>
    <w:rsid w:val="00803A71"/>
    <w:rsid w:val="008049B3"/>
    <w:rsid w:val="00805228"/>
    <w:rsid w:val="0080569F"/>
    <w:rsid w:val="00805896"/>
    <w:rsid w:val="00806427"/>
    <w:rsid w:val="00806CC1"/>
    <w:rsid w:val="008075AB"/>
    <w:rsid w:val="008104F3"/>
    <w:rsid w:val="00811592"/>
    <w:rsid w:val="008116BC"/>
    <w:rsid w:val="008120C7"/>
    <w:rsid w:val="008122B9"/>
    <w:rsid w:val="008122DE"/>
    <w:rsid w:val="00812713"/>
    <w:rsid w:val="00813234"/>
    <w:rsid w:val="0081406D"/>
    <w:rsid w:val="00814859"/>
    <w:rsid w:val="00815A0E"/>
    <w:rsid w:val="00815CD3"/>
    <w:rsid w:val="00816339"/>
    <w:rsid w:val="008165E4"/>
    <w:rsid w:val="0081763A"/>
    <w:rsid w:val="00820AEC"/>
    <w:rsid w:val="00820F3B"/>
    <w:rsid w:val="00822019"/>
    <w:rsid w:val="0082270F"/>
    <w:rsid w:val="00822865"/>
    <w:rsid w:val="008310FF"/>
    <w:rsid w:val="008317AA"/>
    <w:rsid w:val="00831DAC"/>
    <w:rsid w:val="00832951"/>
    <w:rsid w:val="008329DB"/>
    <w:rsid w:val="00832AEF"/>
    <w:rsid w:val="00833B8E"/>
    <w:rsid w:val="00837959"/>
    <w:rsid w:val="00840D4C"/>
    <w:rsid w:val="00840FB6"/>
    <w:rsid w:val="00844D3F"/>
    <w:rsid w:val="0084665A"/>
    <w:rsid w:val="008466A8"/>
    <w:rsid w:val="0084678B"/>
    <w:rsid w:val="00847CB5"/>
    <w:rsid w:val="00847F19"/>
    <w:rsid w:val="00850F55"/>
    <w:rsid w:val="0085117F"/>
    <w:rsid w:val="00851984"/>
    <w:rsid w:val="00852F64"/>
    <w:rsid w:val="00853393"/>
    <w:rsid w:val="008534CE"/>
    <w:rsid w:val="00854E19"/>
    <w:rsid w:val="00856A0C"/>
    <w:rsid w:val="00856CFB"/>
    <w:rsid w:val="00857A98"/>
    <w:rsid w:val="0086216D"/>
    <w:rsid w:val="008631F9"/>
    <w:rsid w:val="00864D3A"/>
    <w:rsid w:val="00865515"/>
    <w:rsid w:val="00865E8C"/>
    <w:rsid w:val="00865F8B"/>
    <w:rsid w:val="00866AAC"/>
    <w:rsid w:val="00867D39"/>
    <w:rsid w:val="00871455"/>
    <w:rsid w:val="00871ABF"/>
    <w:rsid w:val="00872AC5"/>
    <w:rsid w:val="0087390E"/>
    <w:rsid w:val="008741AB"/>
    <w:rsid w:val="00880E44"/>
    <w:rsid w:val="00880F22"/>
    <w:rsid w:val="0088167A"/>
    <w:rsid w:val="008826CB"/>
    <w:rsid w:val="008828AA"/>
    <w:rsid w:val="0088292E"/>
    <w:rsid w:val="00882EA2"/>
    <w:rsid w:val="00883230"/>
    <w:rsid w:val="0088657D"/>
    <w:rsid w:val="00886C6B"/>
    <w:rsid w:val="00887B0A"/>
    <w:rsid w:val="00890135"/>
    <w:rsid w:val="008903BB"/>
    <w:rsid w:val="00890DE2"/>
    <w:rsid w:val="0089157E"/>
    <w:rsid w:val="00891D65"/>
    <w:rsid w:val="008937D1"/>
    <w:rsid w:val="00893F70"/>
    <w:rsid w:val="0089418B"/>
    <w:rsid w:val="008941DE"/>
    <w:rsid w:val="00894915"/>
    <w:rsid w:val="00896D5C"/>
    <w:rsid w:val="008970FC"/>
    <w:rsid w:val="00897347"/>
    <w:rsid w:val="0089790C"/>
    <w:rsid w:val="00897D43"/>
    <w:rsid w:val="008A2131"/>
    <w:rsid w:val="008A2397"/>
    <w:rsid w:val="008A2F52"/>
    <w:rsid w:val="008A6E99"/>
    <w:rsid w:val="008B3984"/>
    <w:rsid w:val="008B42D3"/>
    <w:rsid w:val="008B477D"/>
    <w:rsid w:val="008B4F88"/>
    <w:rsid w:val="008B564D"/>
    <w:rsid w:val="008C0C56"/>
    <w:rsid w:val="008C14D8"/>
    <w:rsid w:val="008C1EA9"/>
    <w:rsid w:val="008C2253"/>
    <w:rsid w:val="008C3D7E"/>
    <w:rsid w:val="008C4CD1"/>
    <w:rsid w:val="008C660C"/>
    <w:rsid w:val="008C6DCC"/>
    <w:rsid w:val="008C755F"/>
    <w:rsid w:val="008D2A9E"/>
    <w:rsid w:val="008D37A3"/>
    <w:rsid w:val="008D526B"/>
    <w:rsid w:val="008D64FE"/>
    <w:rsid w:val="008D6A79"/>
    <w:rsid w:val="008D7EC0"/>
    <w:rsid w:val="008E0902"/>
    <w:rsid w:val="008E1A4B"/>
    <w:rsid w:val="008E202B"/>
    <w:rsid w:val="008E2D99"/>
    <w:rsid w:val="008E43C6"/>
    <w:rsid w:val="008E507C"/>
    <w:rsid w:val="008E5444"/>
    <w:rsid w:val="008E633E"/>
    <w:rsid w:val="008E639F"/>
    <w:rsid w:val="008E70FD"/>
    <w:rsid w:val="008E7D4E"/>
    <w:rsid w:val="008F03F0"/>
    <w:rsid w:val="008F2B33"/>
    <w:rsid w:val="008F4E71"/>
    <w:rsid w:val="008F590E"/>
    <w:rsid w:val="008F5D9B"/>
    <w:rsid w:val="008F6357"/>
    <w:rsid w:val="008F63A2"/>
    <w:rsid w:val="008F6897"/>
    <w:rsid w:val="009011A6"/>
    <w:rsid w:val="009013B4"/>
    <w:rsid w:val="00903293"/>
    <w:rsid w:val="009059E7"/>
    <w:rsid w:val="00912C06"/>
    <w:rsid w:val="009137D7"/>
    <w:rsid w:val="00914012"/>
    <w:rsid w:val="00914CD9"/>
    <w:rsid w:val="0091620D"/>
    <w:rsid w:val="00916919"/>
    <w:rsid w:val="00921B7A"/>
    <w:rsid w:val="00922240"/>
    <w:rsid w:val="00922D0C"/>
    <w:rsid w:val="0092392C"/>
    <w:rsid w:val="009267B2"/>
    <w:rsid w:val="00926D99"/>
    <w:rsid w:val="009300F8"/>
    <w:rsid w:val="0093015A"/>
    <w:rsid w:val="00930D58"/>
    <w:rsid w:val="00930DE2"/>
    <w:rsid w:val="00931A43"/>
    <w:rsid w:val="00931BBE"/>
    <w:rsid w:val="00932441"/>
    <w:rsid w:val="009329FD"/>
    <w:rsid w:val="00933D54"/>
    <w:rsid w:val="00933D79"/>
    <w:rsid w:val="00935786"/>
    <w:rsid w:val="009366B6"/>
    <w:rsid w:val="009403D9"/>
    <w:rsid w:val="009408D3"/>
    <w:rsid w:val="00943F93"/>
    <w:rsid w:val="00943FB0"/>
    <w:rsid w:val="0094617B"/>
    <w:rsid w:val="00947EAE"/>
    <w:rsid w:val="009503C0"/>
    <w:rsid w:val="009506FA"/>
    <w:rsid w:val="0095299A"/>
    <w:rsid w:val="0095320C"/>
    <w:rsid w:val="00953CBD"/>
    <w:rsid w:val="00955BE7"/>
    <w:rsid w:val="0095658D"/>
    <w:rsid w:val="00961370"/>
    <w:rsid w:val="00963310"/>
    <w:rsid w:val="00963F1C"/>
    <w:rsid w:val="00964D93"/>
    <w:rsid w:val="00964F94"/>
    <w:rsid w:val="00966696"/>
    <w:rsid w:val="00966E05"/>
    <w:rsid w:val="00966E2B"/>
    <w:rsid w:val="009702F9"/>
    <w:rsid w:val="00970F3F"/>
    <w:rsid w:val="00973407"/>
    <w:rsid w:val="00974747"/>
    <w:rsid w:val="009756B9"/>
    <w:rsid w:val="0097633B"/>
    <w:rsid w:val="00976839"/>
    <w:rsid w:val="00976B11"/>
    <w:rsid w:val="00980A45"/>
    <w:rsid w:val="00980CCF"/>
    <w:rsid w:val="009828A0"/>
    <w:rsid w:val="00983F47"/>
    <w:rsid w:val="00984683"/>
    <w:rsid w:val="00985610"/>
    <w:rsid w:val="00986DCB"/>
    <w:rsid w:val="00987715"/>
    <w:rsid w:val="00990A04"/>
    <w:rsid w:val="0099152D"/>
    <w:rsid w:val="00991BF7"/>
    <w:rsid w:val="00993519"/>
    <w:rsid w:val="00993D18"/>
    <w:rsid w:val="00994742"/>
    <w:rsid w:val="009958E2"/>
    <w:rsid w:val="0099737C"/>
    <w:rsid w:val="009974DF"/>
    <w:rsid w:val="009A0193"/>
    <w:rsid w:val="009A01F5"/>
    <w:rsid w:val="009A142A"/>
    <w:rsid w:val="009A1588"/>
    <w:rsid w:val="009A192E"/>
    <w:rsid w:val="009A3484"/>
    <w:rsid w:val="009A48E3"/>
    <w:rsid w:val="009A7EF4"/>
    <w:rsid w:val="009B03C6"/>
    <w:rsid w:val="009B04E3"/>
    <w:rsid w:val="009B0F52"/>
    <w:rsid w:val="009B21AF"/>
    <w:rsid w:val="009B398D"/>
    <w:rsid w:val="009B3E87"/>
    <w:rsid w:val="009B3F9A"/>
    <w:rsid w:val="009B44A0"/>
    <w:rsid w:val="009B45C2"/>
    <w:rsid w:val="009B50CF"/>
    <w:rsid w:val="009B70B6"/>
    <w:rsid w:val="009B7200"/>
    <w:rsid w:val="009C0086"/>
    <w:rsid w:val="009C061C"/>
    <w:rsid w:val="009C120A"/>
    <w:rsid w:val="009C1675"/>
    <w:rsid w:val="009C1E2D"/>
    <w:rsid w:val="009C2593"/>
    <w:rsid w:val="009C2A32"/>
    <w:rsid w:val="009C3C0E"/>
    <w:rsid w:val="009C41CB"/>
    <w:rsid w:val="009C4217"/>
    <w:rsid w:val="009C75BB"/>
    <w:rsid w:val="009D065C"/>
    <w:rsid w:val="009D13CF"/>
    <w:rsid w:val="009D190C"/>
    <w:rsid w:val="009D49B9"/>
    <w:rsid w:val="009D61E4"/>
    <w:rsid w:val="009D6BE8"/>
    <w:rsid w:val="009D72B0"/>
    <w:rsid w:val="009D79E5"/>
    <w:rsid w:val="009E0889"/>
    <w:rsid w:val="009E18EA"/>
    <w:rsid w:val="009E1B91"/>
    <w:rsid w:val="009E2F4C"/>
    <w:rsid w:val="009E36AB"/>
    <w:rsid w:val="009E5607"/>
    <w:rsid w:val="009E5BD0"/>
    <w:rsid w:val="009E5F0C"/>
    <w:rsid w:val="009E723B"/>
    <w:rsid w:val="009F000E"/>
    <w:rsid w:val="009F0C50"/>
    <w:rsid w:val="009F1469"/>
    <w:rsid w:val="009F3365"/>
    <w:rsid w:val="009F47A0"/>
    <w:rsid w:val="009F4856"/>
    <w:rsid w:val="009F6264"/>
    <w:rsid w:val="009F6501"/>
    <w:rsid w:val="009F6662"/>
    <w:rsid w:val="009F6D56"/>
    <w:rsid w:val="009F798E"/>
    <w:rsid w:val="00A0007F"/>
    <w:rsid w:val="00A001FB"/>
    <w:rsid w:val="00A00D4A"/>
    <w:rsid w:val="00A020FB"/>
    <w:rsid w:val="00A025E8"/>
    <w:rsid w:val="00A034CA"/>
    <w:rsid w:val="00A040A4"/>
    <w:rsid w:val="00A05EB8"/>
    <w:rsid w:val="00A0616B"/>
    <w:rsid w:val="00A0680A"/>
    <w:rsid w:val="00A06AD7"/>
    <w:rsid w:val="00A10A94"/>
    <w:rsid w:val="00A14358"/>
    <w:rsid w:val="00A14DB2"/>
    <w:rsid w:val="00A14E7B"/>
    <w:rsid w:val="00A213DB"/>
    <w:rsid w:val="00A220E8"/>
    <w:rsid w:val="00A22FDE"/>
    <w:rsid w:val="00A24711"/>
    <w:rsid w:val="00A24D80"/>
    <w:rsid w:val="00A2578C"/>
    <w:rsid w:val="00A2607E"/>
    <w:rsid w:val="00A26457"/>
    <w:rsid w:val="00A2716D"/>
    <w:rsid w:val="00A3170C"/>
    <w:rsid w:val="00A344BA"/>
    <w:rsid w:val="00A364C3"/>
    <w:rsid w:val="00A40FF6"/>
    <w:rsid w:val="00A4403C"/>
    <w:rsid w:val="00A4441B"/>
    <w:rsid w:val="00A44E75"/>
    <w:rsid w:val="00A45999"/>
    <w:rsid w:val="00A46474"/>
    <w:rsid w:val="00A46EE4"/>
    <w:rsid w:val="00A53F67"/>
    <w:rsid w:val="00A566B7"/>
    <w:rsid w:val="00A56E6D"/>
    <w:rsid w:val="00A610A3"/>
    <w:rsid w:val="00A6119F"/>
    <w:rsid w:val="00A62B23"/>
    <w:rsid w:val="00A63EDF"/>
    <w:rsid w:val="00A6506A"/>
    <w:rsid w:val="00A659D0"/>
    <w:rsid w:val="00A708A4"/>
    <w:rsid w:val="00A72EC8"/>
    <w:rsid w:val="00A72FA5"/>
    <w:rsid w:val="00A7333A"/>
    <w:rsid w:val="00A7462D"/>
    <w:rsid w:val="00A74BBF"/>
    <w:rsid w:val="00A759E4"/>
    <w:rsid w:val="00A7613E"/>
    <w:rsid w:val="00A77362"/>
    <w:rsid w:val="00A777A6"/>
    <w:rsid w:val="00A77997"/>
    <w:rsid w:val="00A80973"/>
    <w:rsid w:val="00A817D8"/>
    <w:rsid w:val="00A81C03"/>
    <w:rsid w:val="00A82057"/>
    <w:rsid w:val="00A831F7"/>
    <w:rsid w:val="00A8397C"/>
    <w:rsid w:val="00A83FFF"/>
    <w:rsid w:val="00A84B5D"/>
    <w:rsid w:val="00A857B8"/>
    <w:rsid w:val="00A8697D"/>
    <w:rsid w:val="00A8771C"/>
    <w:rsid w:val="00A87AC7"/>
    <w:rsid w:val="00A87BB5"/>
    <w:rsid w:val="00A90DEF"/>
    <w:rsid w:val="00A91DA3"/>
    <w:rsid w:val="00A93D69"/>
    <w:rsid w:val="00A93DF9"/>
    <w:rsid w:val="00A93FED"/>
    <w:rsid w:val="00A94A6B"/>
    <w:rsid w:val="00A96DC4"/>
    <w:rsid w:val="00AA09AF"/>
    <w:rsid w:val="00AA0EA2"/>
    <w:rsid w:val="00AA13DD"/>
    <w:rsid w:val="00AA208D"/>
    <w:rsid w:val="00AA24CD"/>
    <w:rsid w:val="00AA5539"/>
    <w:rsid w:val="00AA5673"/>
    <w:rsid w:val="00AA5F61"/>
    <w:rsid w:val="00AA650B"/>
    <w:rsid w:val="00AA74C6"/>
    <w:rsid w:val="00AA7E09"/>
    <w:rsid w:val="00AB00E6"/>
    <w:rsid w:val="00AB0299"/>
    <w:rsid w:val="00AB0A36"/>
    <w:rsid w:val="00AB158C"/>
    <w:rsid w:val="00AB16C3"/>
    <w:rsid w:val="00AB2780"/>
    <w:rsid w:val="00AB3041"/>
    <w:rsid w:val="00AB5323"/>
    <w:rsid w:val="00AB6D1C"/>
    <w:rsid w:val="00AB6F96"/>
    <w:rsid w:val="00AB7CBF"/>
    <w:rsid w:val="00AC0E8E"/>
    <w:rsid w:val="00AC0F78"/>
    <w:rsid w:val="00AC22D4"/>
    <w:rsid w:val="00AC296D"/>
    <w:rsid w:val="00AC316B"/>
    <w:rsid w:val="00AC3357"/>
    <w:rsid w:val="00AC3C49"/>
    <w:rsid w:val="00AC3C92"/>
    <w:rsid w:val="00AC4B69"/>
    <w:rsid w:val="00AC5102"/>
    <w:rsid w:val="00AC596B"/>
    <w:rsid w:val="00AC6435"/>
    <w:rsid w:val="00AD025D"/>
    <w:rsid w:val="00AD0B8C"/>
    <w:rsid w:val="00AD1D5E"/>
    <w:rsid w:val="00AD301C"/>
    <w:rsid w:val="00AD311D"/>
    <w:rsid w:val="00AD3EC5"/>
    <w:rsid w:val="00AD70DB"/>
    <w:rsid w:val="00AD78B2"/>
    <w:rsid w:val="00AE09A8"/>
    <w:rsid w:val="00AE1B3A"/>
    <w:rsid w:val="00AE2EFF"/>
    <w:rsid w:val="00AE3ECC"/>
    <w:rsid w:val="00AE3F5E"/>
    <w:rsid w:val="00AE4558"/>
    <w:rsid w:val="00AE4636"/>
    <w:rsid w:val="00AE5DA5"/>
    <w:rsid w:val="00AE76E4"/>
    <w:rsid w:val="00AF0194"/>
    <w:rsid w:val="00AF0539"/>
    <w:rsid w:val="00AF1242"/>
    <w:rsid w:val="00AF21D8"/>
    <w:rsid w:val="00AF24E6"/>
    <w:rsid w:val="00AF35C4"/>
    <w:rsid w:val="00AF5C39"/>
    <w:rsid w:val="00AF6EAD"/>
    <w:rsid w:val="00AF7BFC"/>
    <w:rsid w:val="00B00002"/>
    <w:rsid w:val="00B00854"/>
    <w:rsid w:val="00B016CA"/>
    <w:rsid w:val="00B01E6C"/>
    <w:rsid w:val="00B030A7"/>
    <w:rsid w:val="00B034A7"/>
    <w:rsid w:val="00B037C6"/>
    <w:rsid w:val="00B03EAA"/>
    <w:rsid w:val="00B0687F"/>
    <w:rsid w:val="00B120DC"/>
    <w:rsid w:val="00B138CB"/>
    <w:rsid w:val="00B14ADF"/>
    <w:rsid w:val="00B14F1E"/>
    <w:rsid w:val="00B15003"/>
    <w:rsid w:val="00B17DD8"/>
    <w:rsid w:val="00B22881"/>
    <w:rsid w:val="00B22B58"/>
    <w:rsid w:val="00B22C47"/>
    <w:rsid w:val="00B236E9"/>
    <w:rsid w:val="00B25735"/>
    <w:rsid w:val="00B26521"/>
    <w:rsid w:val="00B2672C"/>
    <w:rsid w:val="00B27735"/>
    <w:rsid w:val="00B32985"/>
    <w:rsid w:val="00B33D16"/>
    <w:rsid w:val="00B3547F"/>
    <w:rsid w:val="00B359B8"/>
    <w:rsid w:val="00B35C04"/>
    <w:rsid w:val="00B35D3A"/>
    <w:rsid w:val="00B3630B"/>
    <w:rsid w:val="00B372C8"/>
    <w:rsid w:val="00B43D3E"/>
    <w:rsid w:val="00B4497B"/>
    <w:rsid w:val="00B44C47"/>
    <w:rsid w:val="00B45EEE"/>
    <w:rsid w:val="00B465C4"/>
    <w:rsid w:val="00B46BC0"/>
    <w:rsid w:val="00B46EC4"/>
    <w:rsid w:val="00B47765"/>
    <w:rsid w:val="00B477EA"/>
    <w:rsid w:val="00B518CA"/>
    <w:rsid w:val="00B546E7"/>
    <w:rsid w:val="00B55963"/>
    <w:rsid w:val="00B56409"/>
    <w:rsid w:val="00B56EB1"/>
    <w:rsid w:val="00B57679"/>
    <w:rsid w:val="00B6175B"/>
    <w:rsid w:val="00B61839"/>
    <w:rsid w:val="00B61BB2"/>
    <w:rsid w:val="00B61E08"/>
    <w:rsid w:val="00B6319B"/>
    <w:rsid w:val="00B64416"/>
    <w:rsid w:val="00B6454A"/>
    <w:rsid w:val="00B67845"/>
    <w:rsid w:val="00B704B0"/>
    <w:rsid w:val="00B723D8"/>
    <w:rsid w:val="00B725DA"/>
    <w:rsid w:val="00B72AF3"/>
    <w:rsid w:val="00B72DFD"/>
    <w:rsid w:val="00B72E4E"/>
    <w:rsid w:val="00B738DA"/>
    <w:rsid w:val="00B756C0"/>
    <w:rsid w:val="00B75830"/>
    <w:rsid w:val="00B775A2"/>
    <w:rsid w:val="00B801AE"/>
    <w:rsid w:val="00B81DEA"/>
    <w:rsid w:val="00B828B7"/>
    <w:rsid w:val="00B8582B"/>
    <w:rsid w:val="00B858ED"/>
    <w:rsid w:val="00B86E32"/>
    <w:rsid w:val="00B90A0A"/>
    <w:rsid w:val="00B91E72"/>
    <w:rsid w:val="00B93BD7"/>
    <w:rsid w:val="00B95CF1"/>
    <w:rsid w:val="00B96912"/>
    <w:rsid w:val="00B970FA"/>
    <w:rsid w:val="00BA09D3"/>
    <w:rsid w:val="00BA1780"/>
    <w:rsid w:val="00BA22D7"/>
    <w:rsid w:val="00BA42CC"/>
    <w:rsid w:val="00BA436E"/>
    <w:rsid w:val="00BA5B72"/>
    <w:rsid w:val="00BA7774"/>
    <w:rsid w:val="00BA78DD"/>
    <w:rsid w:val="00BA7D4F"/>
    <w:rsid w:val="00BB0CB7"/>
    <w:rsid w:val="00BB11E4"/>
    <w:rsid w:val="00BB1463"/>
    <w:rsid w:val="00BB182B"/>
    <w:rsid w:val="00BB1FCF"/>
    <w:rsid w:val="00BB2B43"/>
    <w:rsid w:val="00BB2DFF"/>
    <w:rsid w:val="00BB3316"/>
    <w:rsid w:val="00BB3462"/>
    <w:rsid w:val="00BB4300"/>
    <w:rsid w:val="00BB714E"/>
    <w:rsid w:val="00BC1CAE"/>
    <w:rsid w:val="00BC3ABA"/>
    <w:rsid w:val="00BC3F68"/>
    <w:rsid w:val="00BC41D8"/>
    <w:rsid w:val="00BC4B34"/>
    <w:rsid w:val="00BC514F"/>
    <w:rsid w:val="00BC59CF"/>
    <w:rsid w:val="00BC639B"/>
    <w:rsid w:val="00BC718F"/>
    <w:rsid w:val="00BC7686"/>
    <w:rsid w:val="00BD0116"/>
    <w:rsid w:val="00BD1BA7"/>
    <w:rsid w:val="00BD1E2C"/>
    <w:rsid w:val="00BD316F"/>
    <w:rsid w:val="00BD397B"/>
    <w:rsid w:val="00BD561B"/>
    <w:rsid w:val="00BD62C3"/>
    <w:rsid w:val="00BD6376"/>
    <w:rsid w:val="00BE3E43"/>
    <w:rsid w:val="00BE43D7"/>
    <w:rsid w:val="00BF0362"/>
    <w:rsid w:val="00BF04DD"/>
    <w:rsid w:val="00BF12C1"/>
    <w:rsid w:val="00BF1EE8"/>
    <w:rsid w:val="00BF2400"/>
    <w:rsid w:val="00BF2A87"/>
    <w:rsid w:val="00BF2FE0"/>
    <w:rsid w:val="00BF4183"/>
    <w:rsid w:val="00BF48F6"/>
    <w:rsid w:val="00BF66C1"/>
    <w:rsid w:val="00BF6D89"/>
    <w:rsid w:val="00C010E7"/>
    <w:rsid w:val="00C017D1"/>
    <w:rsid w:val="00C0376C"/>
    <w:rsid w:val="00C03D59"/>
    <w:rsid w:val="00C054DB"/>
    <w:rsid w:val="00C062AE"/>
    <w:rsid w:val="00C06F88"/>
    <w:rsid w:val="00C119A0"/>
    <w:rsid w:val="00C11E48"/>
    <w:rsid w:val="00C14676"/>
    <w:rsid w:val="00C1476A"/>
    <w:rsid w:val="00C14805"/>
    <w:rsid w:val="00C1655E"/>
    <w:rsid w:val="00C16566"/>
    <w:rsid w:val="00C20895"/>
    <w:rsid w:val="00C21FBA"/>
    <w:rsid w:val="00C22C79"/>
    <w:rsid w:val="00C250BF"/>
    <w:rsid w:val="00C25167"/>
    <w:rsid w:val="00C26E5D"/>
    <w:rsid w:val="00C27C24"/>
    <w:rsid w:val="00C27C6D"/>
    <w:rsid w:val="00C3192E"/>
    <w:rsid w:val="00C3266B"/>
    <w:rsid w:val="00C3308D"/>
    <w:rsid w:val="00C331EA"/>
    <w:rsid w:val="00C33F7D"/>
    <w:rsid w:val="00C341A7"/>
    <w:rsid w:val="00C34FD1"/>
    <w:rsid w:val="00C35A01"/>
    <w:rsid w:val="00C37895"/>
    <w:rsid w:val="00C417B6"/>
    <w:rsid w:val="00C420FE"/>
    <w:rsid w:val="00C4434D"/>
    <w:rsid w:val="00C45827"/>
    <w:rsid w:val="00C45946"/>
    <w:rsid w:val="00C46CC7"/>
    <w:rsid w:val="00C47D7C"/>
    <w:rsid w:val="00C51BDF"/>
    <w:rsid w:val="00C5247F"/>
    <w:rsid w:val="00C52502"/>
    <w:rsid w:val="00C5255A"/>
    <w:rsid w:val="00C52EC8"/>
    <w:rsid w:val="00C53564"/>
    <w:rsid w:val="00C554B2"/>
    <w:rsid w:val="00C554F4"/>
    <w:rsid w:val="00C55727"/>
    <w:rsid w:val="00C562AC"/>
    <w:rsid w:val="00C57B94"/>
    <w:rsid w:val="00C600A3"/>
    <w:rsid w:val="00C6443F"/>
    <w:rsid w:val="00C64BEA"/>
    <w:rsid w:val="00C651F8"/>
    <w:rsid w:val="00C6664C"/>
    <w:rsid w:val="00C71AE1"/>
    <w:rsid w:val="00C72180"/>
    <w:rsid w:val="00C721F7"/>
    <w:rsid w:val="00C72579"/>
    <w:rsid w:val="00C72B0F"/>
    <w:rsid w:val="00C72ECD"/>
    <w:rsid w:val="00C73209"/>
    <w:rsid w:val="00C74631"/>
    <w:rsid w:val="00C7582A"/>
    <w:rsid w:val="00C75F55"/>
    <w:rsid w:val="00C76AF5"/>
    <w:rsid w:val="00C773D5"/>
    <w:rsid w:val="00C77EC4"/>
    <w:rsid w:val="00C80F7B"/>
    <w:rsid w:val="00C81917"/>
    <w:rsid w:val="00C81E69"/>
    <w:rsid w:val="00C82968"/>
    <w:rsid w:val="00C82B8A"/>
    <w:rsid w:val="00C844CC"/>
    <w:rsid w:val="00C85AB4"/>
    <w:rsid w:val="00C85B7F"/>
    <w:rsid w:val="00C8644A"/>
    <w:rsid w:val="00C86806"/>
    <w:rsid w:val="00C86927"/>
    <w:rsid w:val="00C90003"/>
    <w:rsid w:val="00C90C81"/>
    <w:rsid w:val="00C90D97"/>
    <w:rsid w:val="00C90E75"/>
    <w:rsid w:val="00C915F2"/>
    <w:rsid w:val="00C91F55"/>
    <w:rsid w:val="00C92C56"/>
    <w:rsid w:val="00C93E61"/>
    <w:rsid w:val="00C94CD1"/>
    <w:rsid w:val="00C9613A"/>
    <w:rsid w:val="00C963E7"/>
    <w:rsid w:val="00CA0877"/>
    <w:rsid w:val="00CA0E57"/>
    <w:rsid w:val="00CA158E"/>
    <w:rsid w:val="00CA1A3E"/>
    <w:rsid w:val="00CA1A85"/>
    <w:rsid w:val="00CA5829"/>
    <w:rsid w:val="00CA6201"/>
    <w:rsid w:val="00CA6BEF"/>
    <w:rsid w:val="00CB0371"/>
    <w:rsid w:val="00CB03C3"/>
    <w:rsid w:val="00CB0550"/>
    <w:rsid w:val="00CB1C75"/>
    <w:rsid w:val="00CB1F06"/>
    <w:rsid w:val="00CB5DE5"/>
    <w:rsid w:val="00CB63A9"/>
    <w:rsid w:val="00CB63ED"/>
    <w:rsid w:val="00CB69B2"/>
    <w:rsid w:val="00CB6E5E"/>
    <w:rsid w:val="00CC0085"/>
    <w:rsid w:val="00CC17EF"/>
    <w:rsid w:val="00CC1CC5"/>
    <w:rsid w:val="00CC1ED9"/>
    <w:rsid w:val="00CC265A"/>
    <w:rsid w:val="00CC2A5F"/>
    <w:rsid w:val="00CC2C57"/>
    <w:rsid w:val="00CC324E"/>
    <w:rsid w:val="00CC42F2"/>
    <w:rsid w:val="00CC5FC1"/>
    <w:rsid w:val="00CC70DE"/>
    <w:rsid w:val="00CD0225"/>
    <w:rsid w:val="00CD067A"/>
    <w:rsid w:val="00CD098A"/>
    <w:rsid w:val="00CD5150"/>
    <w:rsid w:val="00CD562A"/>
    <w:rsid w:val="00CD5830"/>
    <w:rsid w:val="00CD59C0"/>
    <w:rsid w:val="00CD6A8B"/>
    <w:rsid w:val="00CE540C"/>
    <w:rsid w:val="00CE6538"/>
    <w:rsid w:val="00CE79DA"/>
    <w:rsid w:val="00CF1838"/>
    <w:rsid w:val="00CF1E2F"/>
    <w:rsid w:val="00CF20D6"/>
    <w:rsid w:val="00CF39C9"/>
    <w:rsid w:val="00CF3CAE"/>
    <w:rsid w:val="00CF479F"/>
    <w:rsid w:val="00CF55F5"/>
    <w:rsid w:val="00CF5D5B"/>
    <w:rsid w:val="00CF5ED1"/>
    <w:rsid w:val="00CF655B"/>
    <w:rsid w:val="00D00CD5"/>
    <w:rsid w:val="00D0130D"/>
    <w:rsid w:val="00D0261B"/>
    <w:rsid w:val="00D02BDE"/>
    <w:rsid w:val="00D0329D"/>
    <w:rsid w:val="00D04045"/>
    <w:rsid w:val="00D078BE"/>
    <w:rsid w:val="00D10FD9"/>
    <w:rsid w:val="00D121C2"/>
    <w:rsid w:val="00D13F8A"/>
    <w:rsid w:val="00D149A2"/>
    <w:rsid w:val="00D165C5"/>
    <w:rsid w:val="00D2050E"/>
    <w:rsid w:val="00D23153"/>
    <w:rsid w:val="00D23594"/>
    <w:rsid w:val="00D23C0C"/>
    <w:rsid w:val="00D23ECD"/>
    <w:rsid w:val="00D256B6"/>
    <w:rsid w:val="00D2592D"/>
    <w:rsid w:val="00D27432"/>
    <w:rsid w:val="00D32584"/>
    <w:rsid w:val="00D35C24"/>
    <w:rsid w:val="00D37F62"/>
    <w:rsid w:val="00D40974"/>
    <w:rsid w:val="00D41021"/>
    <w:rsid w:val="00D411E3"/>
    <w:rsid w:val="00D4218F"/>
    <w:rsid w:val="00D4275F"/>
    <w:rsid w:val="00D42B4F"/>
    <w:rsid w:val="00D44D5C"/>
    <w:rsid w:val="00D46578"/>
    <w:rsid w:val="00D46FDB"/>
    <w:rsid w:val="00D47A6C"/>
    <w:rsid w:val="00D501F1"/>
    <w:rsid w:val="00D5120C"/>
    <w:rsid w:val="00D52008"/>
    <w:rsid w:val="00D52903"/>
    <w:rsid w:val="00D52E2A"/>
    <w:rsid w:val="00D52E50"/>
    <w:rsid w:val="00D53976"/>
    <w:rsid w:val="00D5572E"/>
    <w:rsid w:val="00D55A8E"/>
    <w:rsid w:val="00D5697E"/>
    <w:rsid w:val="00D56D4F"/>
    <w:rsid w:val="00D570AF"/>
    <w:rsid w:val="00D610CE"/>
    <w:rsid w:val="00D6337C"/>
    <w:rsid w:val="00D6340B"/>
    <w:rsid w:val="00D636CD"/>
    <w:rsid w:val="00D63E03"/>
    <w:rsid w:val="00D65608"/>
    <w:rsid w:val="00D7049B"/>
    <w:rsid w:val="00D7063B"/>
    <w:rsid w:val="00D71686"/>
    <w:rsid w:val="00D73440"/>
    <w:rsid w:val="00D7356A"/>
    <w:rsid w:val="00D73B12"/>
    <w:rsid w:val="00D7580E"/>
    <w:rsid w:val="00D769FB"/>
    <w:rsid w:val="00D80B99"/>
    <w:rsid w:val="00D811A9"/>
    <w:rsid w:val="00D81900"/>
    <w:rsid w:val="00D850D6"/>
    <w:rsid w:val="00D87C79"/>
    <w:rsid w:val="00D90303"/>
    <w:rsid w:val="00D9177D"/>
    <w:rsid w:val="00D918D5"/>
    <w:rsid w:val="00D933FC"/>
    <w:rsid w:val="00D94172"/>
    <w:rsid w:val="00D94204"/>
    <w:rsid w:val="00D9426B"/>
    <w:rsid w:val="00D96904"/>
    <w:rsid w:val="00D976E7"/>
    <w:rsid w:val="00DA048D"/>
    <w:rsid w:val="00DA09FD"/>
    <w:rsid w:val="00DA1A4E"/>
    <w:rsid w:val="00DA2234"/>
    <w:rsid w:val="00DA4AEE"/>
    <w:rsid w:val="00DA5667"/>
    <w:rsid w:val="00DA56F5"/>
    <w:rsid w:val="00DA5D31"/>
    <w:rsid w:val="00DA6977"/>
    <w:rsid w:val="00DB02B5"/>
    <w:rsid w:val="00DB209A"/>
    <w:rsid w:val="00DB2395"/>
    <w:rsid w:val="00DB47F8"/>
    <w:rsid w:val="00DB529D"/>
    <w:rsid w:val="00DB6576"/>
    <w:rsid w:val="00DB7798"/>
    <w:rsid w:val="00DC171C"/>
    <w:rsid w:val="00DC24BB"/>
    <w:rsid w:val="00DC294D"/>
    <w:rsid w:val="00DC2D3B"/>
    <w:rsid w:val="00DC36C4"/>
    <w:rsid w:val="00DC424D"/>
    <w:rsid w:val="00DC4C04"/>
    <w:rsid w:val="00DC6795"/>
    <w:rsid w:val="00DC6D58"/>
    <w:rsid w:val="00DC6F19"/>
    <w:rsid w:val="00DC70E7"/>
    <w:rsid w:val="00DC7967"/>
    <w:rsid w:val="00DD032C"/>
    <w:rsid w:val="00DD0380"/>
    <w:rsid w:val="00DD088A"/>
    <w:rsid w:val="00DD17D4"/>
    <w:rsid w:val="00DD2620"/>
    <w:rsid w:val="00DD2783"/>
    <w:rsid w:val="00DD307E"/>
    <w:rsid w:val="00DD4107"/>
    <w:rsid w:val="00DD4A78"/>
    <w:rsid w:val="00DD4E6A"/>
    <w:rsid w:val="00DD6499"/>
    <w:rsid w:val="00DD74C7"/>
    <w:rsid w:val="00DD7A36"/>
    <w:rsid w:val="00DD7ADA"/>
    <w:rsid w:val="00DE0DFB"/>
    <w:rsid w:val="00DE1819"/>
    <w:rsid w:val="00DE1845"/>
    <w:rsid w:val="00DE216C"/>
    <w:rsid w:val="00DE2CD6"/>
    <w:rsid w:val="00DE3052"/>
    <w:rsid w:val="00DE312C"/>
    <w:rsid w:val="00DE38A9"/>
    <w:rsid w:val="00DE41A0"/>
    <w:rsid w:val="00DE6165"/>
    <w:rsid w:val="00DE73F8"/>
    <w:rsid w:val="00DE7591"/>
    <w:rsid w:val="00DE7782"/>
    <w:rsid w:val="00DF10CA"/>
    <w:rsid w:val="00DF17FA"/>
    <w:rsid w:val="00DF3A7B"/>
    <w:rsid w:val="00DF414F"/>
    <w:rsid w:val="00DF4A18"/>
    <w:rsid w:val="00DF4B5A"/>
    <w:rsid w:val="00DF58EE"/>
    <w:rsid w:val="00E018A2"/>
    <w:rsid w:val="00E02DD5"/>
    <w:rsid w:val="00E05AEA"/>
    <w:rsid w:val="00E05CA6"/>
    <w:rsid w:val="00E07623"/>
    <w:rsid w:val="00E110A1"/>
    <w:rsid w:val="00E1516E"/>
    <w:rsid w:val="00E21992"/>
    <w:rsid w:val="00E21BD7"/>
    <w:rsid w:val="00E21D31"/>
    <w:rsid w:val="00E24699"/>
    <w:rsid w:val="00E2559F"/>
    <w:rsid w:val="00E25D9F"/>
    <w:rsid w:val="00E26421"/>
    <w:rsid w:val="00E2752D"/>
    <w:rsid w:val="00E27709"/>
    <w:rsid w:val="00E27747"/>
    <w:rsid w:val="00E32511"/>
    <w:rsid w:val="00E33133"/>
    <w:rsid w:val="00E333E4"/>
    <w:rsid w:val="00E33B83"/>
    <w:rsid w:val="00E34B01"/>
    <w:rsid w:val="00E35EA2"/>
    <w:rsid w:val="00E36630"/>
    <w:rsid w:val="00E366D5"/>
    <w:rsid w:val="00E37E3E"/>
    <w:rsid w:val="00E40997"/>
    <w:rsid w:val="00E41A58"/>
    <w:rsid w:val="00E44157"/>
    <w:rsid w:val="00E441CC"/>
    <w:rsid w:val="00E44D99"/>
    <w:rsid w:val="00E45057"/>
    <w:rsid w:val="00E5015B"/>
    <w:rsid w:val="00E505C8"/>
    <w:rsid w:val="00E510F5"/>
    <w:rsid w:val="00E51535"/>
    <w:rsid w:val="00E51AA2"/>
    <w:rsid w:val="00E5291E"/>
    <w:rsid w:val="00E530B1"/>
    <w:rsid w:val="00E53562"/>
    <w:rsid w:val="00E53CCF"/>
    <w:rsid w:val="00E53D3F"/>
    <w:rsid w:val="00E5768A"/>
    <w:rsid w:val="00E60315"/>
    <w:rsid w:val="00E61DAC"/>
    <w:rsid w:val="00E6228C"/>
    <w:rsid w:val="00E622A1"/>
    <w:rsid w:val="00E63F88"/>
    <w:rsid w:val="00E647E0"/>
    <w:rsid w:val="00E64EAE"/>
    <w:rsid w:val="00E6515C"/>
    <w:rsid w:val="00E658B1"/>
    <w:rsid w:val="00E65CE6"/>
    <w:rsid w:val="00E665E1"/>
    <w:rsid w:val="00E66DE9"/>
    <w:rsid w:val="00E706FE"/>
    <w:rsid w:val="00E74709"/>
    <w:rsid w:val="00E75266"/>
    <w:rsid w:val="00E75672"/>
    <w:rsid w:val="00E764EA"/>
    <w:rsid w:val="00E7677E"/>
    <w:rsid w:val="00E81299"/>
    <w:rsid w:val="00E8226F"/>
    <w:rsid w:val="00E822BD"/>
    <w:rsid w:val="00E82BB6"/>
    <w:rsid w:val="00E84145"/>
    <w:rsid w:val="00E84731"/>
    <w:rsid w:val="00E8538A"/>
    <w:rsid w:val="00E85C5D"/>
    <w:rsid w:val="00E8681C"/>
    <w:rsid w:val="00E87819"/>
    <w:rsid w:val="00E9074A"/>
    <w:rsid w:val="00E90EDB"/>
    <w:rsid w:val="00E918BD"/>
    <w:rsid w:val="00E92779"/>
    <w:rsid w:val="00E94158"/>
    <w:rsid w:val="00E954A7"/>
    <w:rsid w:val="00E96B8D"/>
    <w:rsid w:val="00E97380"/>
    <w:rsid w:val="00EA1354"/>
    <w:rsid w:val="00EA1600"/>
    <w:rsid w:val="00EA1631"/>
    <w:rsid w:val="00EA1BBE"/>
    <w:rsid w:val="00EA29D5"/>
    <w:rsid w:val="00EA2DF0"/>
    <w:rsid w:val="00EA450C"/>
    <w:rsid w:val="00EA56C8"/>
    <w:rsid w:val="00EA774C"/>
    <w:rsid w:val="00EB0DD2"/>
    <w:rsid w:val="00EB3036"/>
    <w:rsid w:val="00EB3BDC"/>
    <w:rsid w:val="00EB4553"/>
    <w:rsid w:val="00EB4F0E"/>
    <w:rsid w:val="00EB567A"/>
    <w:rsid w:val="00EB6166"/>
    <w:rsid w:val="00EC0B5B"/>
    <w:rsid w:val="00EC1463"/>
    <w:rsid w:val="00EC333A"/>
    <w:rsid w:val="00EC3A43"/>
    <w:rsid w:val="00EC4CA1"/>
    <w:rsid w:val="00EC4F58"/>
    <w:rsid w:val="00EC72AF"/>
    <w:rsid w:val="00ED03A9"/>
    <w:rsid w:val="00ED0A06"/>
    <w:rsid w:val="00ED2239"/>
    <w:rsid w:val="00ED2AFF"/>
    <w:rsid w:val="00ED3CDB"/>
    <w:rsid w:val="00ED6D57"/>
    <w:rsid w:val="00EE0277"/>
    <w:rsid w:val="00EE0414"/>
    <w:rsid w:val="00EE0454"/>
    <w:rsid w:val="00EE0498"/>
    <w:rsid w:val="00EE14DC"/>
    <w:rsid w:val="00EE26F3"/>
    <w:rsid w:val="00EE2BE3"/>
    <w:rsid w:val="00EE2DFC"/>
    <w:rsid w:val="00EE2ED2"/>
    <w:rsid w:val="00EE49B0"/>
    <w:rsid w:val="00EE691F"/>
    <w:rsid w:val="00EE69C6"/>
    <w:rsid w:val="00EE6CE6"/>
    <w:rsid w:val="00EF0F41"/>
    <w:rsid w:val="00EF2AC4"/>
    <w:rsid w:val="00EF3679"/>
    <w:rsid w:val="00EF3EE3"/>
    <w:rsid w:val="00EF4532"/>
    <w:rsid w:val="00EF5DED"/>
    <w:rsid w:val="00EF6612"/>
    <w:rsid w:val="00EF7E5C"/>
    <w:rsid w:val="00F005F7"/>
    <w:rsid w:val="00F0110E"/>
    <w:rsid w:val="00F02AEC"/>
    <w:rsid w:val="00F048CA"/>
    <w:rsid w:val="00F04B78"/>
    <w:rsid w:val="00F04F6A"/>
    <w:rsid w:val="00F0568A"/>
    <w:rsid w:val="00F05FDD"/>
    <w:rsid w:val="00F07C65"/>
    <w:rsid w:val="00F10A0A"/>
    <w:rsid w:val="00F10B85"/>
    <w:rsid w:val="00F10DCD"/>
    <w:rsid w:val="00F122C1"/>
    <w:rsid w:val="00F1295C"/>
    <w:rsid w:val="00F12F60"/>
    <w:rsid w:val="00F15374"/>
    <w:rsid w:val="00F1649D"/>
    <w:rsid w:val="00F16742"/>
    <w:rsid w:val="00F168E5"/>
    <w:rsid w:val="00F16FBA"/>
    <w:rsid w:val="00F17069"/>
    <w:rsid w:val="00F204A9"/>
    <w:rsid w:val="00F21885"/>
    <w:rsid w:val="00F21D5E"/>
    <w:rsid w:val="00F234DB"/>
    <w:rsid w:val="00F23E66"/>
    <w:rsid w:val="00F258A8"/>
    <w:rsid w:val="00F2661D"/>
    <w:rsid w:val="00F26AAC"/>
    <w:rsid w:val="00F2705D"/>
    <w:rsid w:val="00F30341"/>
    <w:rsid w:val="00F30817"/>
    <w:rsid w:val="00F30960"/>
    <w:rsid w:val="00F30B56"/>
    <w:rsid w:val="00F30E0C"/>
    <w:rsid w:val="00F35EFA"/>
    <w:rsid w:val="00F36464"/>
    <w:rsid w:val="00F37079"/>
    <w:rsid w:val="00F37543"/>
    <w:rsid w:val="00F40B93"/>
    <w:rsid w:val="00F41933"/>
    <w:rsid w:val="00F41EC8"/>
    <w:rsid w:val="00F41EFF"/>
    <w:rsid w:val="00F420D7"/>
    <w:rsid w:val="00F4325C"/>
    <w:rsid w:val="00F44E10"/>
    <w:rsid w:val="00F478BF"/>
    <w:rsid w:val="00F5245E"/>
    <w:rsid w:val="00F52AFB"/>
    <w:rsid w:val="00F52C50"/>
    <w:rsid w:val="00F53253"/>
    <w:rsid w:val="00F53761"/>
    <w:rsid w:val="00F53DAE"/>
    <w:rsid w:val="00F554F2"/>
    <w:rsid w:val="00F56FAA"/>
    <w:rsid w:val="00F57320"/>
    <w:rsid w:val="00F57812"/>
    <w:rsid w:val="00F60CEE"/>
    <w:rsid w:val="00F6107A"/>
    <w:rsid w:val="00F6142D"/>
    <w:rsid w:val="00F61537"/>
    <w:rsid w:val="00F62AC9"/>
    <w:rsid w:val="00F62AF9"/>
    <w:rsid w:val="00F63507"/>
    <w:rsid w:val="00F650B3"/>
    <w:rsid w:val="00F65F57"/>
    <w:rsid w:val="00F65FF6"/>
    <w:rsid w:val="00F66613"/>
    <w:rsid w:val="00F70D0A"/>
    <w:rsid w:val="00F70F88"/>
    <w:rsid w:val="00F71641"/>
    <w:rsid w:val="00F71DA9"/>
    <w:rsid w:val="00F71F50"/>
    <w:rsid w:val="00F72B6D"/>
    <w:rsid w:val="00F738EB"/>
    <w:rsid w:val="00F741F1"/>
    <w:rsid w:val="00F75045"/>
    <w:rsid w:val="00F75766"/>
    <w:rsid w:val="00F75DFB"/>
    <w:rsid w:val="00F76CDD"/>
    <w:rsid w:val="00F77F59"/>
    <w:rsid w:val="00F803F9"/>
    <w:rsid w:val="00F82DDA"/>
    <w:rsid w:val="00F835B1"/>
    <w:rsid w:val="00F83FA2"/>
    <w:rsid w:val="00F8443C"/>
    <w:rsid w:val="00F8540C"/>
    <w:rsid w:val="00F85469"/>
    <w:rsid w:val="00F8601B"/>
    <w:rsid w:val="00F87156"/>
    <w:rsid w:val="00F874B2"/>
    <w:rsid w:val="00F87661"/>
    <w:rsid w:val="00F8793E"/>
    <w:rsid w:val="00F87DDD"/>
    <w:rsid w:val="00F87F15"/>
    <w:rsid w:val="00F912B8"/>
    <w:rsid w:val="00F94A30"/>
    <w:rsid w:val="00F94CCC"/>
    <w:rsid w:val="00F97002"/>
    <w:rsid w:val="00F97626"/>
    <w:rsid w:val="00F97D8F"/>
    <w:rsid w:val="00FA0701"/>
    <w:rsid w:val="00FA0F40"/>
    <w:rsid w:val="00FA0F97"/>
    <w:rsid w:val="00FA1613"/>
    <w:rsid w:val="00FA1BC1"/>
    <w:rsid w:val="00FA49C3"/>
    <w:rsid w:val="00FA7CAE"/>
    <w:rsid w:val="00FB080E"/>
    <w:rsid w:val="00FB1BA1"/>
    <w:rsid w:val="00FB316C"/>
    <w:rsid w:val="00FB4185"/>
    <w:rsid w:val="00FB440B"/>
    <w:rsid w:val="00FB5EAA"/>
    <w:rsid w:val="00FB6804"/>
    <w:rsid w:val="00FB7AD5"/>
    <w:rsid w:val="00FB7B05"/>
    <w:rsid w:val="00FC06D8"/>
    <w:rsid w:val="00FC0D24"/>
    <w:rsid w:val="00FC0E7C"/>
    <w:rsid w:val="00FC1A95"/>
    <w:rsid w:val="00FC2F84"/>
    <w:rsid w:val="00FC3124"/>
    <w:rsid w:val="00FC565A"/>
    <w:rsid w:val="00FC6388"/>
    <w:rsid w:val="00FC7CDD"/>
    <w:rsid w:val="00FD0841"/>
    <w:rsid w:val="00FD1A6B"/>
    <w:rsid w:val="00FD28FA"/>
    <w:rsid w:val="00FD3559"/>
    <w:rsid w:val="00FD4320"/>
    <w:rsid w:val="00FD5138"/>
    <w:rsid w:val="00FD6833"/>
    <w:rsid w:val="00FE0409"/>
    <w:rsid w:val="00FE66A9"/>
    <w:rsid w:val="00FE7B6E"/>
    <w:rsid w:val="00FE7E51"/>
    <w:rsid w:val="00FF089A"/>
    <w:rsid w:val="00FF0F83"/>
    <w:rsid w:val="00FF12A4"/>
    <w:rsid w:val="00FF19F7"/>
    <w:rsid w:val="00FF24E9"/>
    <w:rsid w:val="00FF2DF0"/>
    <w:rsid w:val="00FF2E2E"/>
    <w:rsid w:val="00FF3915"/>
    <w:rsid w:val="00FF3E41"/>
    <w:rsid w:val="00FF4DA8"/>
    <w:rsid w:val="00FF4E5D"/>
    <w:rsid w:val="01E38306"/>
    <w:rsid w:val="052CAA34"/>
    <w:rsid w:val="0729C42A"/>
    <w:rsid w:val="07AEE613"/>
    <w:rsid w:val="090AE6A3"/>
    <w:rsid w:val="0C8F36C8"/>
    <w:rsid w:val="0F0A4159"/>
    <w:rsid w:val="0F3D5074"/>
    <w:rsid w:val="117B244B"/>
    <w:rsid w:val="157C50AE"/>
    <w:rsid w:val="158B477C"/>
    <w:rsid w:val="18303425"/>
    <w:rsid w:val="198E1340"/>
    <w:rsid w:val="1CE109A1"/>
    <w:rsid w:val="1E1F2D71"/>
    <w:rsid w:val="1FFD3978"/>
    <w:rsid w:val="20525E82"/>
    <w:rsid w:val="246104AA"/>
    <w:rsid w:val="2CFBF43D"/>
    <w:rsid w:val="2CFEEC82"/>
    <w:rsid w:val="2D06EAD0"/>
    <w:rsid w:val="2DC12E29"/>
    <w:rsid w:val="2E00E3D9"/>
    <w:rsid w:val="2E62B802"/>
    <w:rsid w:val="2FBF3FF6"/>
    <w:rsid w:val="30218A3B"/>
    <w:rsid w:val="31178DA8"/>
    <w:rsid w:val="34507AE1"/>
    <w:rsid w:val="3B0E9B8D"/>
    <w:rsid w:val="3B24DF5A"/>
    <w:rsid w:val="3B350248"/>
    <w:rsid w:val="3E50FC58"/>
    <w:rsid w:val="400E8A12"/>
    <w:rsid w:val="4177B705"/>
    <w:rsid w:val="43CC9228"/>
    <w:rsid w:val="458A7C39"/>
    <w:rsid w:val="45AEF35E"/>
    <w:rsid w:val="46012AD3"/>
    <w:rsid w:val="46355722"/>
    <w:rsid w:val="48DC3448"/>
    <w:rsid w:val="4BDFD883"/>
    <w:rsid w:val="4DABEA24"/>
    <w:rsid w:val="4E5F627F"/>
    <w:rsid w:val="4E98CCDE"/>
    <w:rsid w:val="5265DD6B"/>
    <w:rsid w:val="52966B92"/>
    <w:rsid w:val="52B4BFA1"/>
    <w:rsid w:val="52C4FF8F"/>
    <w:rsid w:val="542EB0A2"/>
    <w:rsid w:val="54D4D1A1"/>
    <w:rsid w:val="552F5222"/>
    <w:rsid w:val="585099C2"/>
    <w:rsid w:val="5A5807A3"/>
    <w:rsid w:val="5B460C33"/>
    <w:rsid w:val="5B885EE6"/>
    <w:rsid w:val="5C3674D6"/>
    <w:rsid w:val="5D0848B1"/>
    <w:rsid w:val="61F1F806"/>
    <w:rsid w:val="6455D28A"/>
    <w:rsid w:val="6473F969"/>
    <w:rsid w:val="66155001"/>
    <w:rsid w:val="6A21E5AC"/>
    <w:rsid w:val="6B6EEF9E"/>
    <w:rsid w:val="6DF5DA3D"/>
    <w:rsid w:val="6EB7DBE6"/>
    <w:rsid w:val="7435FCDF"/>
    <w:rsid w:val="7446B16F"/>
    <w:rsid w:val="776DBC8F"/>
    <w:rsid w:val="7B1676F7"/>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B0EC1"/>
  <w15:chartTrackingRefBased/>
  <w15:docId w15:val="{17431969-0FBA-430B-B9CB-D3BDA49E0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U"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C39"/>
    <w:rPr>
      <w:rFonts w:ascii="Arial" w:hAnsi="Arial"/>
    </w:rPr>
  </w:style>
  <w:style w:type="paragraph" w:styleId="Heading1">
    <w:name w:val="heading 1"/>
    <w:basedOn w:val="Normal"/>
    <w:next w:val="Normal"/>
    <w:link w:val="Heading1Char"/>
    <w:uiPriority w:val="9"/>
    <w:qFormat/>
    <w:rsid w:val="004647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647AA"/>
    <w:pPr>
      <w:keepNext/>
      <w:keepLines/>
      <w:spacing w:before="480" w:line="240" w:lineRule="atLeast"/>
      <w:outlineLvl w:val="1"/>
    </w:pPr>
    <w:rPr>
      <w:rFonts w:eastAsia="Times New Roman" w:cs="Times New Roman"/>
      <w:b/>
      <w:bCs/>
      <w:color w:val="001871"/>
      <w:sz w:val="38"/>
      <w:szCs w:val="38"/>
    </w:rPr>
  </w:style>
  <w:style w:type="paragraph" w:styleId="Heading3">
    <w:name w:val="heading 3"/>
    <w:basedOn w:val="Normal"/>
    <w:next w:val="Normal"/>
    <w:link w:val="Heading3Char"/>
    <w:autoRedefine/>
    <w:qFormat/>
    <w:rsid w:val="004647AA"/>
    <w:pPr>
      <w:keepNext/>
      <w:keepLines/>
      <w:spacing w:before="480" w:line="240" w:lineRule="atLeast"/>
      <w:outlineLvl w:val="2"/>
    </w:pPr>
    <w:rPr>
      <w:rFonts w:eastAsia="Times New Roman" w:cs="Times New Roman"/>
      <w:b/>
      <w:bCs/>
      <w:color w:val="001871"/>
      <w:sz w:val="32"/>
      <w:szCs w:val="32"/>
    </w:rPr>
  </w:style>
  <w:style w:type="paragraph" w:styleId="Heading4">
    <w:name w:val="heading 4"/>
    <w:basedOn w:val="Normal"/>
    <w:next w:val="Normal"/>
    <w:link w:val="Heading4Char"/>
    <w:autoRedefine/>
    <w:qFormat/>
    <w:rsid w:val="004647AA"/>
    <w:pPr>
      <w:keepNext/>
      <w:keepLines/>
      <w:spacing w:before="360" w:line="240" w:lineRule="atLeast"/>
      <w:outlineLvl w:val="3"/>
    </w:pPr>
    <w:rPr>
      <w:rFonts w:eastAsia="Cambria" w:cs="Times New Roman"/>
      <w:bCs/>
      <w:color w:val="001871"/>
      <w:sz w:val="28"/>
      <w:szCs w:val="26"/>
    </w:rPr>
  </w:style>
  <w:style w:type="paragraph" w:styleId="Heading5">
    <w:name w:val="heading 5"/>
    <w:basedOn w:val="Normal"/>
    <w:next w:val="Normal"/>
    <w:link w:val="Heading5Char"/>
    <w:autoRedefine/>
    <w:uiPriority w:val="9"/>
    <w:rsid w:val="004647AA"/>
    <w:pPr>
      <w:keepNext/>
      <w:keepLines/>
      <w:spacing w:before="240" w:line="240" w:lineRule="atLeast"/>
      <w:outlineLvl w:val="4"/>
    </w:pPr>
    <w:rPr>
      <w:rFonts w:eastAsia="Times New Roman" w:cs="Times New Roman"/>
      <w:bCs/>
      <w:i/>
      <w:color w:val="001871"/>
      <w:sz w:val="26"/>
      <w:szCs w:val="26"/>
    </w:rPr>
  </w:style>
  <w:style w:type="paragraph" w:styleId="Heading6">
    <w:name w:val="heading 6"/>
    <w:basedOn w:val="Normal"/>
    <w:next w:val="Normal"/>
    <w:link w:val="Heading6Char"/>
    <w:autoRedefine/>
    <w:uiPriority w:val="9"/>
    <w:rsid w:val="004647AA"/>
    <w:pPr>
      <w:keepNext/>
      <w:keepLines/>
      <w:spacing w:before="240" w:line="240" w:lineRule="atLeast"/>
      <w:outlineLvl w:val="5"/>
    </w:pPr>
    <w:rPr>
      <w:rFonts w:eastAsia="Times New Roman" w:cs="Times New Roman"/>
      <w:bCs/>
      <w:color w:val="001871"/>
      <w:sz w:val="24"/>
      <w:szCs w:val="21"/>
    </w:rPr>
  </w:style>
  <w:style w:type="paragraph" w:styleId="Heading7">
    <w:name w:val="heading 7"/>
    <w:basedOn w:val="Normal"/>
    <w:next w:val="Normal"/>
    <w:link w:val="Heading7Char"/>
    <w:uiPriority w:val="9"/>
    <w:rsid w:val="00685E72"/>
    <w:pPr>
      <w:keepNext/>
      <w:keepLines/>
      <w:spacing w:before="240" w:after="60" w:line="180" w:lineRule="atLeast"/>
      <w:ind w:left="1296" w:hanging="1296"/>
      <w:outlineLvl w:val="6"/>
    </w:pPr>
    <w:rPr>
      <w:rFonts w:ascii="Cambria" w:eastAsia="Times New Roman" w:hAnsi="Cambria" w:cs="Times New Roman"/>
      <w:bCs/>
      <w:i/>
      <w:szCs w:val="22"/>
    </w:rPr>
  </w:style>
  <w:style w:type="paragraph" w:styleId="Heading8">
    <w:name w:val="heading 8"/>
    <w:basedOn w:val="Normal"/>
    <w:next w:val="Normal"/>
    <w:link w:val="Heading8Char"/>
    <w:autoRedefine/>
    <w:uiPriority w:val="9"/>
    <w:semiHidden/>
    <w:unhideWhenUsed/>
    <w:qFormat/>
    <w:rsid w:val="00520CD5"/>
    <w:pPr>
      <w:keepNext/>
      <w:keepLines/>
      <w:spacing w:before="200" w:after="0" w:line="240" w:lineRule="atLeast"/>
      <w:ind w:left="1440" w:hanging="1440"/>
      <w:outlineLvl w:val="7"/>
    </w:pPr>
    <w:rPr>
      <w:rFonts w:eastAsiaTheme="majorEastAsia" w:cstheme="majorBidi"/>
    </w:rPr>
  </w:style>
  <w:style w:type="paragraph" w:styleId="Heading9">
    <w:name w:val="heading 9"/>
    <w:basedOn w:val="Normal"/>
    <w:next w:val="Normal"/>
    <w:link w:val="Heading9Char"/>
    <w:uiPriority w:val="9"/>
    <w:semiHidden/>
    <w:unhideWhenUsed/>
    <w:qFormat/>
    <w:rsid w:val="00685E72"/>
    <w:pPr>
      <w:keepNext/>
      <w:keepLines/>
      <w:spacing w:before="200" w:after="0" w:line="240" w:lineRule="atLeast"/>
      <w:ind w:left="1584" w:hanging="1584"/>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TGAblue2023">
    <w:name w:val="Table TGA blue 2023"/>
    <w:basedOn w:val="TableNormal"/>
    <w:uiPriority w:val="99"/>
    <w:qFormat/>
    <w:rsid w:val="004647AA"/>
    <w:pPr>
      <w:spacing w:before="80" w:after="40" w:line="264" w:lineRule="auto"/>
      <w:ind w:left="113"/>
    </w:pPr>
    <w:rPr>
      <w:rFonts w:ascii="Arial" w:eastAsia="Cambria" w:hAnsi="Arial" w:cs="Times New Roman"/>
      <w:color w:val="000000"/>
      <w:sz w:val="18"/>
      <w:szCs w:val="21"/>
      <w:lang w:eastAsia="en-AU"/>
    </w:rPr>
    <w:tblPr>
      <w:tblBorders>
        <w:top w:val="single" w:sz="4" w:space="0" w:color="263287"/>
        <w:left w:val="single" w:sz="4" w:space="0" w:color="263287"/>
        <w:bottom w:val="single" w:sz="4" w:space="0" w:color="263287"/>
        <w:right w:val="single" w:sz="4" w:space="0" w:color="263287"/>
        <w:insideH w:val="single" w:sz="4" w:space="0" w:color="263287"/>
        <w:insideV w:val="single" w:sz="4" w:space="0" w:color="263287"/>
      </w:tblBorders>
    </w:tblPr>
    <w:tcPr>
      <w:shd w:val="clear" w:color="auto" w:fill="FFFFFF" w:themeFill="background1"/>
    </w:tcPr>
    <w:tblStylePr w:type="firstRow">
      <w:pPr>
        <w:keepNext/>
        <w:wordWrap/>
      </w:pPr>
      <w:rPr>
        <w:rFonts w:ascii="Arial" w:hAnsi="Arial"/>
        <w:b/>
        <w:color w:val="263287"/>
        <w:sz w:val="22"/>
      </w:rPr>
      <w:tblPr/>
      <w:trPr>
        <w:tblHeader/>
      </w:trPr>
      <w:tcPr>
        <w:shd w:val="clear" w:color="auto" w:fill="B8CCEA"/>
      </w:tcPr>
    </w:tblStylePr>
    <w:tblStylePr w:type="firstCol">
      <w:pPr>
        <w:keepNext w:val="0"/>
        <w:wordWrap/>
      </w:pPr>
    </w:tblStylePr>
  </w:style>
  <w:style w:type="character" w:customStyle="1" w:styleId="Heading2Char">
    <w:name w:val="Heading 2 Char"/>
    <w:basedOn w:val="DefaultParagraphFont"/>
    <w:link w:val="Heading2"/>
    <w:rsid w:val="004647AA"/>
    <w:rPr>
      <w:rFonts w:ascii="Arial" w:eastAsia="Times New Roman" w:hAnsi="Arial" w:cs="Times New Roman"/>
      <w:b/>
      <w:bCs/>
      <w:color w:val="001871"/>
      <w:sz w:val="38"/>
      <w:szCs w:val="38"/>
    </w:rPr>
  </w:style>
  <w:style w:type="character" w:customStyle="1" w:styleId="Heading3Char">
    <w:name w:val="Heading 3 Char"/>
    <w:basedOn w:val="DefaultParagraphFont"/>
    <w:link w:val="Heading3"/>
    <w:rsid w:val="004647AA"/>
    <w:rPr>
      <w:rFonts w:ascii="Arial" w:eastAsia="Times New Roman" w:hAnsi="Arial" w:cs="Times New Roman"/>
      <w:b/>
      <w:bCs/>
      <w:color w:val="001871"/>
      <w:sz w:val="32"/>
      <w:szCs w:val="32"/>
    </w:rPr>
  </w:style>
  <w:style w:type="character" w:customStyle="1" w:styleId="Heading4Char">
    <w:name w:val="Heading 4 Char"/>
    <w:basedOn w:val="DefaultParagraphFont"/>
    <w:link w:val="Heading4"/>
    <w:rsid w:val="004647AA"/>
    <w:rPr>
      <w:rFonts w:ascii="Arial" w:eastAsia="Cambria" w:hAnsi="Arial" w:cs="Times New Roman"/>
      <w:bCs/>
      <w:color w:val="001871"/>
      <w:sz w:val="28"/>
      <w:szCs w:val="26"/>
    </w:rPr>
  </w:style>
  <w:style w:type="character" w:customStyle="1" w:styleId="Heading5Char">
    <w:name w:val="Heading 5 Char"/>
    <w:basedOn w:val="DefaultParagraphFont"/>
    <w:link w:val="Heading5"/>
    <w:uiPriority w:val="9"/>
    <w:rsid w:val="004647AA"/>
    <w:rPr>
      <w:rFonts w:ascii="Arial" w:eastAsia="Times New Roman" w:hAnsi="Arial" w:cs="Times New Roman"/>
      <w:bCs/>
      <w:i/>
      <w:color w:val="001871"/>
      <w:sz w:val="26"/>
      <w:szCs w:val="26"/>
    </w:rPr>
  </w:style>
  <w:style w:type="character" w:customStyle="1" w:styleId="Heading6Char">
    <w:name w:val="Heading 6 Char"/>
    <w:basedOn w:val="DefaultParagraphFont"/>
    <w:link w:val="Heading6"/>
    <w:uiPriority w:val="9"/>
    <w:rsid w:val="004647AA"/>
    <w:rPr>
      <w:rFonts w:ascii="Arial" w:eastAsia="Times New Roman" w:hAnsi="Arial" w:cs="Times New Roman"/>
      <w:bCs/>
      <w:color w:val="001871"/>
      <w:sz w:val="24"/>
      <w:szCs w:val="21"/>
    </w:rPr>
  </w:style>
  <w:style w:type="paragraph" w:styleId="Date">
    <w:name w:val="Date"/>
    <w:basedOn w:val="Normal"/>
    <w:next w:val="Normal"/>
    <w:link w:val="DateChar"/>
    <w:uiPriority w:val="99"/>
    <w:rsid w:val="004647AA"/>
    <w:pPr>
      <w:spacing w:before="120" w:after="0" w:line="240" w:lineRule="atLeast"/>
    </w:pPr>
    <w:rPr>
      <w:rFonts w:eastAsia="Cambria" w:cs="Times New Roman"/>
      <w:color w:val="333F4A"/>
      <w:sz w:val="28"/>
    </w:rPr>
  </w:style>
  <w:style w:type="character" w:customStyle="1" w:styleId="DateChar">
    <w:name w:val="Date Char"/>
    <w:basedOn w:val="DefaultParagraphFont"/>
    <w:link w:val="Date"/>
    <w:uiPriority w:val="99"/>
    <w:rsid w:val="004647AA"/>
    <w:rPr>
      <w:rFonts w:ascii="Arial" w:eastAsia="Cambria" w:hAnsi="Arial" w:cs="Times New Roman"/>
      <w:color w:val="333F4A"/>
      <w:sz w:val="28"/>
    </w:rPr>
  </w:style>
  <w:style w:type="paragraph" w:styleId="Footer">
    <w:name w:val="footer"/>
    <w:basedOn w:val="Normal"/>
    <w:link w:val="FooterChar"/>
    <w:uiPriority w:val="99"/>
    <w:rsid w:val="004647AA"/>
    <w:pPr>
      <w:tabs>
        <w:tab w:val="center" w:pos="4513"/>
        <w:tab w:val="right" w:pos="9026"/>
      </w:tabs>
      <w:spacing w:after="0" w:line="240" w:lineRule="auto"/>
    </w:pPr>
    <w:rPr>
      <w:rFonts w:eastAsia="Cambria" w:cs="Times New Roman"/>
      <w:color w:val="333F4A"/>
      <w:sz w:val="17"/>
    </w:rPr>
  </w:style>
  <w:style w:type="character" w:customStyle="1" w:styleId="FooterChar">
    <w:name w:val="Footer Char"/>
    <w:basedOn w:val="DefaultParagraphFont"/>
    <w:link w:val="Footer"/>
    <w:uiPriority w:val="99"/>
    <w:rsid w:val="004647AA"/>
    <w:rPr>
      <w:rFonts w:ascii="Arial" w:eastAsia="Cambria" w:hAnsi="Arial" w:cs="Times New Roman"/>
      <w:color w:val="333F4A"/>
      <w:sz w:val="17"/>
    </w:rPr>
  </w:style>
  <w:style w:type="paragraph" w:styleId="Header">
    <w:name w:val="header"/>
    <w:basedOn w:val="Normal"/>
    <w:link w:val="HeaderChar"/>
    <w:uiPriority w:val="99"/>
    <w:rsid w:val="004647AA"/>
    <w:pPr>
      <w:pBdr>
        <w:bottom w:val="single" w:sz="4" w:space="3" w:color="auto"/>
      </w:pBdr>
      <w:tabs>
        <w:tab w:val="center" w:pos="4513"/>
        <w:tab w:val="right" w:pos="9026"/>
      </w:tabs>
      <w:spacing w:after="0" w:line="240" w:lineRule="auto"/>
      <w:jc w:val="right"/>
    </w:pPr>
    <w:rPr>
      <w:rFonts w:eastAsia="Cambria" w:cs="Times New Roman"/>
      <w:color w:val="333F4A"/>
      <w:sz w:val="17"/>
    </w:rPr>
  </w:style>
  <w:style w:type="character" w:customStyle="1" w:styleId="HeaderChar">
    <w:name w:val="Header Char"/>
    <w:basedOn w:val="DefaultParagraphFont"/>
    <w:link w:val="Header"/>
    <w:uiPriority w:val="99"/>
    <w:rsid w:val="004647AA"/>
    <w:rPr>
      <w:rFonts w:ascii="Arial" w:eastAsia="Cambria" w:hAnsi="Arial" w:cs="Times New Roman"/>
      <w:color w:val="333F4A"/>
      <w:sz w:val="17"/>
    </w:rPr>
  </w:style>
  <w:style w:type="character" w:styleId="Hyperlink">
    <w:name w:val="Hyperlink"/>
    <w:aliases w:val="OECD Hyperlink"/>
    <w:basedOn w:val="DefaultParagraphFont"/>
    <w:uiPriority w:val="99"/>
    <w:unhideWhenUsed/>
    <w:rsid w:val="004647AA"/>
    <w:rPr>
      <w:rFonts w:ascii="Arial" w:hAnsi="Arial"/>
      <w:color w:val="0000FF"/>
      <w:u w:val="single"/>
    </w:rPr>
  </w:style>
  <w:style w:type="paragraph" w:customStyle="1" w:styleId="LegalCopy">
    <w:name w:val="Legal Copy"/>
    <w:basedOn w:val="Footer"/>
    <w:rsid w:val="004647AA"/>
  </w:style>
  <w:style w:type="paragraph" w:customStyle="1" w:styleId="LegalSubheading">
    <w:name w:val="Legal Subheading"/>
    <w:basedOn w:val="Normal"/>
    <w:rsid w:val="004647AA"/>
    <w:pPr>
      <w:outlineLvl w:val="1"/>
    </w:pPr>
    <w:rPr>
      <w:sz w:val="17"/>
    </w:rPr>
  </w:style>
  <w:style w:type="paragraph" w:styleId="ListBullet">
    <w:name w:val="List Bullet"/>
    <w:basedOn w:val="Normal"/>
    <w:autoRedefine/>
    <w:uiPriority w:val="99"/>
    <w:qFormat/>
    <w:rsid w:val="00682D89"/>
    <w:pPr>
      <w:numPr>
        <w:numId w:val="54"/>
      </w:numPr>
      <w:spacing w:before="120" w:line="240" w:lineRule="auto"/>
    </w:pPr>
    <w:rPr>
      <w:rFonts w:eastAsia="Cambria" w:cs="Times New Roman"/>
    </w:rPr>
  </w:style>
  <w:style w:type="paragraph" w:styleId="ListBullet2">
    <w:name w:val="List Bullet 2"/>
    <w:basedOn w:val="Normal"/>
    <w:uiPriority w:val="2"/>
    <w:qFormat/>
    <w:rsid w:val="004647AA"/>
    <w:pPr>
      <w:numPr>
        <w:ilvl w:val="1"/>
        <w:numId w:val="7"/>
      </w:numPr>
      <w:spacing w:before="120" w:after="180" w:line="240" w:lineRule="atLeast"/>
    </w:pPr>
    <w:rPr>
      <w:rFonts w:eastAsia="Cambria" w:cs="Times New Roman"/>
      <w:color w:val="333F48"/>
    </w:rPr>
  </w:style>
  <w:style w:type="paragraph" w:styleId="ListBullet3">
    <w:name w:val="List Bullet 3"/>
    <w:basedOn w:val="Normal"/>
    <w:uiPriority w:val="2"/>
    <w:qFormat/>
    <w:rsid w:val="004647AA"/>
    <w:pPr>
      <w:numPr>
        <w:numId w:val="6"/>
      </w:numPr>
      <w:spacing w:before="120" w:after="180" w:line="240" w:lineRule="atLeast"/>
    </w:pPr>
    <w:rPr>
      <w:rFonts w:eastAsia="Cambria" w:cs="Times New Roman"/>
      <w:color w:val="333F48"/>
    </w:rPr>
  </w:style>
  <w:style w:type="numbering" w:customStyle="1" w:styleId="ListBullets">
    <w:name w:val="ListBullets"/>
    <w:uiPriority w:val="99"/>
    <w:locked/>
    <w:rsid w:val="004647AA"/>
    <w:pPr>
      <w:numPr>
        <w:numId w:val="4"/>
      </w:numPr>
    </w:pPr>
  </w:style>
  <w:style w:type="paragraph" w:customStyle="1" w:styleId="Numberbullet0">
    <w:name w:val="Number bullet"/>
    <w:basedOn w:val="ListBullet"/>
    <w:uiPriority w:val="3"/>
    <w:qFormat/>
    <w:rsid w:val="004647AA"/>
    <w:pPr>
      <w:numPr>
        <w:numId w:val="9"/>
      </w:numPr>
    </w:pPr>
  </w:style>
  <w:style w:type="paragraph" w:customStyle="1" w:styleId="Numberbullet2">
    <w:name w:val="Number bullet 2"/>
    <w:basedOn w:val="ListBullet2"/>
    <w:uiPriority w:val="3"/>
    <w:qFormat/>
    <w:rsid w:val="004647AA"/>
    <w:pPr>
      <w:numPr>
        <w:numId w:val="9"/>
      </w:numPr>
    </w:pPr>
  </w:style>
  <w:style w:type="paragraph" w:customStyle="1" w:styleId="Numberbullet3">
    <w:name w:val="Number bullet 3"/>
    <w:basedOn w:val="Normal"/>
    <w:uiPriority w:val="3"/>
    <w:qFormat/>
    <w:rsid w:val="004647AA"/>
    <w:pPr>
      <w:numPr>
        <w:numId w:val="8"/>
      </w:numPr>
      <w:spacing w:before="120" w:after="180" w:line="240" w:lineRule="atLeast"/>
    </w:pPr>
    <w:rPr>
      <w:rFonts w:eastAsia="Cambria" w:cs="Times New Roman"/>
      <w:color w:val="333F48"/>
    </w:rPr>
  </w:style>
  <w:style w:type="numbering" w:customStyle="1" w:styleId="NumberBullet">
    <w:name w:val="NumberBullet"/>
    <w:uiPriority w:val="99"/>
    <w:locked/>
    <w:rsid w:val="004647AA"/>
    <w:pPr>
      <w:numPr>
        <w:numId w:val="1"/>
      </w:numPr>
    </w:pPr>
  </w:style>
  <w:style w:type="paragraph" w:styleId="Subtitle">
    <w:name w:val="Subtitle"/>
    <w:basedOn w:val="Normal"/>
    <w:link w:val="SubtitleChar"/>
    <w:uiPriority w:val="11"/>
    <w:rsid w:val="004647AA"/>
    <w:pPr>
      <w:numPr>
        <w:ilvl w:val="1"/>
      </w:numPr>
      <w:spacing w:after="0" w:line="240" w:lineRule="atLeast"/>
      <w:ind w:left="170"/>
    </w:pPr>
    <w:rPr>
      <w:rFonts w:eastAsia="Times New Roman" w:cs="Times New Roman"/>
      <w:bCs/>
      <w:iCs/>
      <w:color w:val="006BA6"/>
      <w:sz w:val="40"/>
      <w:szCs w:val="24"/>
    </w:rPr>
  </w:style>
  <w:style w:type="character" w:customStyle="1" w:styleId="SubtitleChar">
    <w:name w:val="Subtitle Char"/>
    <w:basedOn w:val="DefaultParagraphFont"/>
    <w:link w:val="Subtitle"/>
    <w:uiPriority w:val="11"/>
    <w:rsid w:val="004647AA"/>
    <w:rPr>
      <w:rFonts w:ascii="Arial" w:eastAsia="Times New Roman" w:hAnsi="Arial" w:cs="Times New Roman"/>
      <w:bCs/>
      <w:iCs/>
      <w:color w:val="006BA6"/>
      <w:sz w:val="40"/>
      <w:szCs w:val="24"/>
    </w:rPr>
  </w:style>
  <w:style w:type="table" w:styleId="TableGrid">
    <w:name w:val="Table Grid"/>
    <w:basedOn w:val="TableNormal"/>
    <w:uiPriority w:val="59"/>
    <w:rsid w:val="004647AA"/>
    <w:pPr>
      <w:spacing w:after="0" w:line="240" w:lineRule="auto"/>
    </w:pPr>
    <w:rPr>
      <w:rFonts w:ascii="Cambria" w:eastAsia="Cambria" w:hAnsi="Cambria" w:cs="Times New Roman"/>
      <w:sz w:val="21"/>
      <w:szCs w:val="21"/>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GASignoff">
    <w:name w:val="TGA Signoff"/>
    <w:basedOn w:val="Normal"/>
    <w:rsid w:val="004647AA"/>
    <w:pPr>
      <w:spacing w:before="120" w:after="360" w:line="240" w:lineRule="atLeast"/>
      <w:jc w:val="center"/>
    </w:pPr>
    <w:rPr>
      <w:rFonts w:eastAsia="Cambria" w:cs="Times New Roman"/>
      <w:b/>
      <w:color w:val="333F48"/>
      <w:sz w:val="28"/>
    </w:rPr>
  </w:style>
  <w:style w:type="paragraph" w:styleId="Title">
    <w:name w:val="Title"/>
    <w:link w:val="TitleChar"/>
    <w:uiPriority w:val="10"/>
    <w:rsid w:val="004647AA"/>
    <w:pPr>
      <w:spacing w:line="240" w:lineRule="auto"/>
      <w:contextualSpacing/>
      <w:outlineLvl w:val="0"/>
    </w:pPr>
    <w:rPr>
      <w:rFonts w:ascii="Arial" w:eastAsia="Times New Roman" w:hAnsi="Arial" w:cs="Times New Roman"/>
      <w:color w:val="001871"/>
      <w:spacing w:val="5"/>
      <w:kern w:val="28"/>
      <w:sz w:val="52"/>
      <w:szCs w:val="52"/>
    </w:rPr>
  </w:style>
  <w:style w:type="character" w:customStyle="1" w:styleId="TitleChar">
    <w:name w:val="Title Char"/>
    <w:basedOn w:val="DefaultParagraphFont"/>
    <w:link w:val="Title"/>
    <w:uiPriority w:val="10"/>
    <w:rsid w:val="004647AA"/>
    <w:rPr>
      <w:rFonts w:ascii="Arial" w:eastAsia="Times New Roman" w:hAnsi="Arial" w:cs="Times New Roman"/>
      <w:color w:val="001871"/>
      <w:spacing w:val="5"/>
      <w:kern w:val="28"/>
      <w:sz w:val="52"/>
      <w:szCs w:val="52"/>
    </w:rPr>
  </w:style>
  <w:style w:type="paragraph" w:styleId="TOC1">
    <w:name w:val="toc 1"/>
    <w:basedOn w:val="Normal"/>
    <w:next w:val="Normal"/>
    <w:autoRedefine/>
    <w:uiPriority w:val="39"/>
    <w:unhideWhenUsed/>
    <w:rsid w:val="004647AA"/>
    <w:pPr>
      <w:keepNext/>
      <w:keepLines/>
      <w:tabs>
        <w:tab w:val="right" w:leader="underscore" w:pos="8505"/>
      </w:tabs>
      <w:spacing w:before="240" w:after="0" w:line="240" w:lineRule="atLeast"/>
    </w:pPr>
    <w:rPr>
      <w:rFonts w:eastAsia="Cambria" w:cs="Times New Roman"/>
      <w:b/>
      <w:color w:val="333F48"/>
      <w:sz w:val="32"/>
    </w:rPr>
  </w:style>
  <w:style w:type="paragraph" w:styleId="TOC2">
    <w:name w:val="toc 2"/>
    <w:basedOn w:val="Normal"/>
    <w:next w:val="Normal"/>
    <w:autoRedefine/>
    <w:uiPriority w:val="39"/>
    <w:unhideWhenUsed/>
    <w:rsid w:val="004647AA"/>
    <w:pPr>
      <w:keepNext/>
      <w:keepLines/>
      <w:tabs>
        <w:tab w:val="right" w:leader="underscore" w:pos="8505"/>
      </w:tabs>
      <w:spacing w:before="60" w:after="0" w:line="240" w:lineRule="atLeast"/>
      <w:ind w:left="425"/>
    </w:pPr>
    <w:rPr>
      <w:rFonts w:eastAsia="Cambria" w:cs="Times New Roman"/>
      <w:color w:val="333F48"/>
      <w:sz w:val="24"/>
    </w:rPr>
  </w:style>
  <w:style w:type="paragraph" w:styleId="TOC3">
    <w:name w:val="toc 3"/>
    <w:basedOn w:val="Normal"/>
    <w:next w:val="Normal"/>
    <w:autoRedefine/>
    <w:uiPriority w:val="39"/>
    <w:unhideWhenUsed/>
    <w:rsid w:val="004647AA"/>
    <w:pPr>
      <w:keepNext/>
      <w:keepLines/>
      <w:tabs>
        <w:tab w:val="right" w:leader="hyphen" w:pos="8505"/>
      </w:tabs>
      <w:spacing w:before="60" w:after="0" w:line="240" w:lineRule="atLeast"/>
      <w:ind w:left="851"/>
    </w:pPr>
    <w:rPr>
      <w:rFonts w:eastAsia="Cambria" w:cs="Times New Roman"/>
      <w:color w:val="333F48"/>
      <w:sz w:val="22"/>
    </w:rPr>
  </w:style>
  <w:style w:type="paragraph" w:styleId="FootnoteText">
    <w:name w:val="footnote text"/>
    <w:basedOn w:val="Normal"/>
    <w:link w:val="FootnoteTextChar"/>
    <w:rsid w:val="004647AA"/>
    <w:pPr>
      <w:keepLines/>
      <w:spacing w:after="0" w:line="240" w:lineRule="atLeast"/>
    </w:pPr>
    <w:rPr>
      <w:rFonts w:eastAsia="Cambria" w:cs="Times New Roman"/>
      <w:color w:val="333F48"/>
      <w:sz w:val="16"/>
    </w:rPr>
  </w:style>
  <w:style w:type="character" w:customStyle="1" w:styleId="FootnoteTextChar">
    <w:name w:val="Footnote Text Char"/>
    <w:basedOn w:val="DefaultParagraphFont"/>
    <w:link w:val="FootnoteText"/>
    <w:rsid w:val="004647AA"/>
    <w:rPr>
      <w:rFonts w:ascii="Arial" w:eastAsia="Cambria" w:hAnsi="Arial" w:cs="Times New Roman"/>
      <w:color w:val="333F48"/>
      <w:sz w:val="16"/>
    </w:rPr>
  </w:style>
  <w:style w:type="character" w:styleId="FootnoteReference">
    <w:name w:val="footnote reference"/>
    <w:basedOn w:val="DefaultParagraphFont"/>
    <w:uiPriority w:val="99"/>
    <w:unhideWhenUsed/>
    <w:rsid w:val="004647AA"/>
    <w:rPr>
      <w:vertAlign w:val="superscript"/>
    </w:rPr>
  </w:style>
  <w:style w:type="paragraph" w:customStyle="1" w:styleId="NonTOCheading2">
    <w:name w:val="Non TOC heading 2"/>
    <w:basedOn w:val="Normal"/>
    <w:next w:val="Normal"/>
    <w:rsid w:val="004647AA"/>
    <w:pPr>
      <w:keepNext/>
      <w:keepLines/>
      <w:pageBreakBefore/>
      <w:spacing w:after="180" w:line="240" w:lineRule="atLeast"/>
      <w:outlineLvl w:val="1"/>
    </w:pPr>
    <w:rPr>
      <w:rFonts w:eastAsia="Cambria" w:cs="Times New Roman"/>
      <w:b/>
      <w:color w:val="001871"/>
      <w:sz w:val="38"/>
    </w:rPr>
  </w:style>
  <w:style w:type="paragraph" w:customStyle="1" w:styleId="Headernoline">
    <w:name w:val="Header no line"/>
    <w:basedOn w:val="Header"/>
    <w:rsid w:val="004647AA"/>
    <w:pPr>
      <w:pBdr>
        <w:bottom w:val="none" w:sz="0" w:space="0" w:color="auto"/>
      </w:pBdr>
      <w:spacing w:line="240" w:lineRule="atLeast"/>
    </w:pPr>
  </w:style>
  <w:style w:type="paragraph" w:customStyle="1" w:styleId="Tabledescription">
    <w:name w:val="Table description"/>
    <w:basedOn w:val="Normal"/>
    <w:next w:val="Normal"/>
    <w:rsid w:val="004647AA"/>
    <w:pPr>
      <w:spacing w:before="120" w:after="240" w:line="180" w:lineRule="atLeast"/>
    </w:pPr>
    <w:rPr>
      <w:rFonts w:eastAsia="Cambria" w:cs="Times New Roman"/>
      <w:color w:val="333F48"/>
      <w:sz w:val="18"/>
    </w:rPr>
  </w:style>
  <w:style w:type="paragraph" w:customStyle="1" w:styleId="Tabletitle">
    <w:name w:val="Table title"/>
    <w:basedOn w:val="Normal"/>
    <w:next w:val="Normal"/>
    <w:rsid w:val="004647AA"/>
    <w:pPr>
      <w:keepNext/>
      <w:spacing w:before="120" w:after="180" w:line="240" w:lineRule="atLeast"/>
    </w:pPr>
    <w:rPr>
      <w:rFonts w:eastAsia="Cambria" w:cs="Times New Roman"/>
      <w:b/>
      <w:color w:val="333F48"/>
    </w:rPr>
  </w:style>
  <w:style w:type="paragraph" w:customStyle="1" w:styleId="Address">
    <w:name w:val="Address"/>
    <w:basedOn w:val="Normal"/>
    <w:rsid w:val="004647AA"/>
    <w:pPr>
      <w:spacing w:after="0" w:line="240" w:lineRule="auto"/>
    </w:pPr>
    <w:rPr>
      <w:rFonts w:eastAsia="Cambria" w:cs="Times New Roman"/>
      <w:color w:val="333F48"/>
      <w:sz w:val="21"/>
    </w:rPr>
  </w:style>
  <w:style w:type="paragraph" w:customStyle="1" w:styleId="ListBullet-dotick">
    <w:name w:val="List Bullet - do (tick)"/>
    <w:basedOn w:val="ListBullet"/>
    <w:autoRedefine/>
    <w:uiPriority w:val="1"/>
    <w:qFormat/>
    <w:rsid w:val="004647AA"/>
    <w:pPr>
      <w:tabs>
        <w:tab w:val="left" w:pos="425"/>
      </w:tabs>
    </w:pPr>
  </w:style>
  <w:style w:type="paragraph" w:customStyle="1" w:styleId="ListBullet-donotcross">
    <w:name w:val="List Bullet - do not (cross)"/>
    <w:basedOn w:val="ListBullet"/>
    <w:autoRedefine/>
    <w:uiPriority w:val="1"/>
    <w:qFormat/>
    <w:rsid w:val="004647AA"/>
    <w:pPr>
      <w:ind w:left="357" w:hanging="357"/>
    </w:pPr>
    <w:rPr>
      <w:rFonts w:eastAsiaTheme="minorHAnsi" w:cstheme="minorBidi"/>
      <w:szCs w:val="22"/>
    </w:rPr>
  </w:style>
  <w:style w:type="table" w:customStyle="1" w:styleId="TGABlack2023">
    <w:name w:val="TGA Black 2023"/>
    <w:basedOn w:val="TableTGAblue2023"/>
    <w:uiPriority w:val="99"/>
    <w:rsid w:val="004647AA"/>
    <w:pPr>
      <w:spacing w:line="240" w:lineRule="auto"/>
    </w:pPr>
    <w:tblPr>
      <w:tbl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insideH w:val="single" w:sz="4" w:space="0" w:color="0D0D0D" w:themeColor="text1" w:themeTint="F2"/>
        <w:insideV w:val="single" w:sz="4" w:space="0" w:color="0D0D0D" w:themeColor="text1" w:themeTint="F2"/>
      </w:tblBorders>
    </w:tblPr>
    <w:tblStylePr w:type="firstRow">
      <w:pPr>
        <w:keepNext/>
        <w:wordWrap/>
      </w:pPr>
      <w:rPr>
        <w:rFonts w:ascii="Arial" w:hAnsi="Arial"/>
        <w:b/>
        <w:color w:val="FFFFFF" w:themeColor="background1"/>
        <w:sz w:val="22"/>
      </w:rPr>
      <w:tblPr/>
      <w:trPr>
        <w:tblHeader/>
      </w:trPr>
      <w:tcPr>
        <w:shd w:val="clear" w:color="auto" w:fill="171717" w:themeFill="background2" w:themeFillShade="1A"/>
      </w:tcPr>
    </w:tblStylePr>
    <w:tblStylePr w:type="firstCol">
      <w:pPr>
        <w:keepNext w:val="0"/>
        <w:wordWrap/>
      </w:pPr>
    </w:tblStylePr>
  </w:style>
  <w:style w:type="character" w:customStyle="1" w:styleId="Heading1Char">
    <w:name w:val="Heading 1 Char"/>
    <w:basedOn w:val="DefaultParagraphFont"/>
    <w:link w:val="Heading1"/>
    <w:uiPriority w:val="9"/>
    <w:rsid w:val="004647AA"/>
    <w:rPr>
      <w:rFonts w:asciiTheme="majorHAnsi" w:eastAsiaTheme="majorEastAsia" w:hAnsiTheme="majorHAnsi" w:cstheme="majorBidi"/>
      <w:color w:val="2F5496" w:themeColor="accent1" w:themeShade="BF"/>
      <w:sz w:val="32"/>
      <w:szCs w:val="32"/>
    </w:rPr>
  </w:style>
  <w:style w:type="character" w:customStyle="1" w:styleId="Heading7Char">
    <w:name w:val="Heading 7 Char"/>
    <w:basedOn w:val="DefaultParagraphFont"/>
    <w:link w:val="Heading7"/>
    <w:uiPriority w:val="9"/>
    <w:rsid w:val="00685E72"/>
    <w:rPr>
      <w:rFonts w:ascii="Cambria" w:eastAsia="Times New Roman" w:hAnsi="Cambria" w:cs="Times New Roman"/>
      <w:bCs/>
      <w:i/>
      <w:sz w:val="22"/>
      <w:szCs w:val="22"/>
    </w:rPr>
  </w:style>
  <w:style w:type="character" w:customStyle="1" w:styleId="Heading8Char">
    <w:name w:val="Heading 8 Char"/>
    <w:basedOn w:val="DefaultParagraphFont"/>
    <w:link w:val="Heading8"/>
    <w:uiPriority w:val="9"/>
    <w:semiHidden/>
    <w:rsid w:val="00520CD5"/>
    <w:rPr>
      <w:rFonts w:ascii="Arial" w:eastAsiaTheme="majorEastAsia" w:hAnsi="Arial" w:cstheme="majorBidi"/>
      <w:color w:val="000000" w:themeColor="text1"/>
      <w:sz w:val="22"/>
    </w:rPr>
  </w:style>
  <w:style w:type="character" w:customStyle="1" w:styleId="Heading9Char">
    <w:name w:val="Heading 9 Char"/>
    <w:basedOn w:val="DefaultParagraphFont"/>
    <w:link w:val="Heading9"/>
    <w:uiPriority w:val="9"/>
    <w:semiHidden/>
    <w:rsid w:val="00685E72"/>
    <w:rPr>
      <w:rFonts w:asciiTheme="majorHAnsi" w:eastAsiaTheme="majorEastAsia" w:hAnsiTheme="majorHAnsi" w:cstheme="majorBidi"/>
      <w:i/>
      <w:iCs/>
      <w:color w:val="404040" w:themeColor="text1" w:themeTint="BF"/>
    </w:rPr>
  </w:style>
  <w:style w:type="paragraph" w:styleId="DocumentMap">
    <w:name w:val="Document Map"/>
    <w:basedOn w:val="Normal"/>
    <w:link w:val="DocumentMapChar"/>
    <w:uiPriority w:val="99"/>
    <w:semiHidden/>
    <w:unhideWhenUsed/>
    <w:rsid w:val="00685E72"/>
    <w:pPr>
      <w:spacing w:after="0" w:line="240" w:lineRule="auto"/>
    </w:pPr>
    <w:rPr>
      <w:rFonts w:ascii="Tahoma" w:eastAsia="Cambria" w:hAnsi="Tahoma" w:cs="Tahoma"/>
      <w:sz w:val="16"/>
      <w:szCs w:val="16"/>
    </w:rPr>
  </w:style>
  <w:style w:type="character" w:customStyle="1" w:styleId="DocumentMapChar">
    <w:name w:val="Document Map Char"/>
    <w:basedOn w:val="DefaultParagraphFont"/>
    <w:link w:val="DocumentMap"/>
    <w:uiPriority w:val="99"/>
    <w:semiHidden/>
    <w:rsid w:val="00685E72"/>
    <w:rPr>
      <w:rFonts w:ascii="Tahoma" w:eastAsia="Cambria" w:hAnsi="Tahoma" w:cs="Tahoma"/>
      <w:sz w:val="16"/>
      <w:szCs w:val="16"/>
    </w:rPr>
  </w:style>
  <w:style w:type="paragraph" w:styleId="BalloonText">
    <w:name w:val="Balloon Text"/>
    <w:basedOn w:val="Normal"/>
    <w:link w:val="BalloonTextChar"/>
    <w:uiPriority w:val="99"/>
    <w:semiHidden/>
    <w:unhideWhenUsed/>
    <w:rsid w:val="00685E72"/>
    <w:pPr>
      <w:spacing w:before="120" w:after="0" w:line="240" w:lineRule="atLeast"/>
    </w:pPr>
    <w:rPr>
      <w:rFonts w:ascii="Tahoma" w:eastAsia="Cambria" w:hAnsi="Tahoma" w:cs="Tahoma"/>
      <w:sz w:val="16"/>
      <w:szCs w:val="16"/>
    </w:rPr>
  </w:style>
  <w:style w:type="character" w:customStyle="1" w:styleId="BalloonTextChar">
    <w:name w:val="Balloon Text Char"/>
    <w:basedOn w:val="DefaultParagraphFont"/>
    <w:link w:val="BalloonText"/>
    <w:uiPriority w:val="99"/>
    <w:semiHidden/>
    <w:rsid w:val="00685E72"/>
    <w:rPr>
      <w:rFonts w:ascii="Tahoma" w:eastAsia="Cambria" w:hAnsi="Tahoma" w:cs="Tahoma"/>
      <w:sz w:val="16"/>
      <w:szCs w:val="16"/>
    </w:rPr>
  </w:style>
  <w:style w:type="paragraph" w:styleId="TOC4">
    <w:name w:val="toc 4"/>
    <w:basedOn w:val="Normal"/>
    <w:next w:val="Normal"/>
    <w:autoRedefine/>
    <w:uiPriority w:val="39"/>
    <w:semiHidden/>
    <w:unhideWhenUsed/>
    <w:rsid w:val="00685E72"/>
    <w:pPr>
      <w:tabs>
        <w:tab w:val="right" w:leader="hyphen" w:pos="8505"/>
      </w:tabs>
      <w:spacing w:before="120" w:after="100" w:line="240" w:lineRule="atLeast"/>
      <w:ind w:left="1276"/>
    </w:pPr>
    <w:rPr>
      <w:rFonts w:ascii="Cambria" w:eastAsia="Cambria" w:hAnsi="Cambria" w:cs="Times New Roman"/>
    </w:rPr>
  </w:style>
  <w:style w:type="paragraph" w:styleId="TOC5">
    <w:name w:val="toc 5"/>
    <w:basedOn w:val="Normal"/>
    <w:next w:val="Normal"/>
    <w:autoRedefine/>
    <w:uiPriority w:val="39"/>
    <w:semiHidden/>
    <w:unhideWhenUsed/>
    <w:rsid w:val="00685E72"/>
    <w:pPr>
      <w:tabs>
        <w:tab w:val="right" w:leader="dot" w:pos="8505"/>
      </w:tabs>
      <w:spacing w:before="120" w:after="100" w:line="240" w:lineRule="atLeast"/>
      <w:ind w:left="1701"/>
    </w:pPr>
    <w:rPr>
      <w:rFonts w:ascii="Cambria" w:eastAsia="Cambria" w:hAnsi="Cambria" w:cs="Times New Roman"/>
      <w:noProof/>
    </w:rPr>
  </w:style>
  <w:style w:type="paragraph" w:styleId="TOC6">
    <w:name w:val="toc 6"/>
    <w:basedOn w:val="Normal"/>
    <w:next w:val="Normal"/>
    <w:autoRedefine/>
    <w:uiPriority w:val="39"/>
    <w:semiHidden/>
    <w:unhideWhenUsed/>
    <w:rsid w:val="00685E72"/>
    <w:pPr>
      <w:tabs>
        <w:tab w:val="right" w:pos="8505"/>
      </w:tabs>
      <w:spacing w:before="120" w:after="100" w:line="240" w:lineRule="atLeast"/>
      <w:ind w:left="2126"/>
    </w:pPr>
    <w:rPr>
      <w:rFonts w:ascii="Cambria" w:eastAsia="Cambria" w:hAnsi="Cambria" w:cs="Times New Roman"/>
    </w:rPr>
  </w:style>
  <w:style w:type="paragraph" w:styleId="TOC7">
    <w:name w:val="toc 7"/>
    <w:basedOn w:val="Normal"/>
    <w:next w:val="Normal"/>
    <w:autoRedefine/>
    <w:uiPriority w:val="39"/>
    <w:semiHidden/>
    <w:unhideWhenUsed/>
    <w:rsid w:val="00685E72"/>
    <w:pPr>
      <w:spacing w:before="120" w:after="100" w:line="240" w:lineRule="atLeast"/>
      <w:ind w:left="2211"/>
    </w:pPr>
    <w:rPr>
      <w:rFonts w:ascii="Cambria" w:eastAsia="Cambria" w:hAnsi="Cambria" w:cs="Times New Roman"/>
    </w:rPr>
  </w:style>
  <w:style w:type="character" w:styleId="FollowedHyperlink">
    <w:name w:val="FollowedHyperlink"/>
    <w:basedOn w:val="DefaultParagraphFont"/>
    <w:semiHidden/>
    <w:unhideWhenUsed/>
    <w:rsid w:val="00685E72"/>
    <w:rPr>
      <w:color w:val="800080"/>
      <w:u w:val="single"/>
    </w:rPr>
  </w:style>
  <w:style w:type="paragraph" w:customStyle="1" w:styleId="HeaderNoLine0">
    <w:name w:val="Header No Line"/>
    <w:basedOn w:val="Header"/>
    <w:rsid w:val="00685E72"/>
    <w:pPr>
      <w:pBdr>
        <w:bottom w:val="none" w:sz="0" w:space="0" w:color="auto"/>
      </w:pBdr>
    </w:pPr>
    <w:rPr>
      <w:rFonts w:ascii="Cambria" w:hAnsi="Cambria"/>
      <w:color w:val="auto"/>
    </w:rPr>
  </w:style>
  <w:style w:type="table" w:styleId="LightShading-Accent2">
    <w:name w:val="Light Shading Accent 2"/>
    <w:basedOn w:val="TableNormal"/>
    <w:uiPriority w:val="60"/>
    <w:rsid w:val="00685E72"/>
    <w:pPr>
      <w:spacing w:after="0" w:line="240" w:lineRule="auto"/>
    </w:pPr>
    <w:rPr>
      <w:rFonts w:ascii="Cambria" w:eastAsia="Calibri" w:hAnsi="Cambria" w:cs="Times New Roman"/>
      <w:color w:val="943634"/>
      <w:sz w:val="21"/>
      <w:szCs w:val="21"/>
      <w:lang w:eastAsia="en-A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Grid2-Accent5">
    <w:name w:val="Medium Grid 2 Accent 5"/>
    <w:basedOn w:val="TableNormal"/>
    <w:uiPriority w:val="68"/>
    <w:rsid w:val="00685E72"/>
    <w:pPr>
      <w:spacing w:after="0" w:line="240" w:lineRule="auto"/>
    </w:pPr>
    <w:rPr>
      <w:rFonts w:ascii="Cambria" w:eastAsia="Times New Roman" w:hAnsi="Cambria" w:cs="Times New Roman"/>
      <w:color w:val="000000"/>
      <w:sz w:val="21"/>
      <w:szCs w:val="21"/>
      <w:lang w:eastAsia="en-A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character" w:styleId="PlaceholderText">
    <w:name w:val="Placeholder Text"/>
    <w:basedOn w:val="DefaultParagraphFont"/>
    <w:uiPriority w:val="99"/>
    <w:semiHidden/>
    <w:rsid w:val="004647AA"/>
    <w:rPr>
      <w:color w:val="808080"/>
    </w:rPr>
  </w:style>
  <w:style w:type="paragraph" w:customStyle="1" w:styleId="Reference">
    <w:name w:val="Reference"/>
    <w:basedOn w:val="Normal"/>
    <w:rsid w:val="00685E72"/>
    <w:pPr>
      <w:spacing w:before="40" w:after="0" w:line="240" w:lineRule="atLeast"/>
      <w:ind w:left="170" w:hanging="170"/>
    </w:pPr>
    <w:rPr>
      <w:rFonts w:ascii="Cambria" w:eastAsia="Cambria" w:hAnsi="Cambria" w:cs="Times New Roman"/>
      <w:sz w:val="19"/>
    </w:rPr>
  </w:style>
  <w:style w:type="paragraph" w:styleId="EndnoteText">
    <w:name w:val="endnote text"/>
    <w:basedOn w:val="FootnoteText"/>
    <w:link w:val="EndnoteTextChar"/>
    <w:semiHidden/>
    <w:unhideWhenUsed/>
    <w:rsid w:val="00685E72"/>
    <w:rPr>
      <w:rFonts w:asciiTheme="minorHAnsi" w:hAnsiTheme="minorHAnsi" w:cstheme="minorBidi"/>
      <w:color w:val="auto"/>
      <w:szCs w:val="22"/>
    </w:rPr>
  </w:style>
  <w:style w:type="character" w:customStyle="1" w:styleId="EndnoteTextChar">
    <w:name w:val="Endnote Text Char"/>
    <w:basedOn w:val="DefaultParagraphFont"/>
    <w:link w:val="EndnoteText"/>
    <w:semiHidden/>
    <w:rsid w:val="00685E72"/>
    <w:rPr>
      <w:rFonts w:eastAsia="Cambria"/>
      <w:szCs w:val="22"/>
    </w:rPr>
  </w:style>
  <w:style w:type="table" w:customStyle="1" w:styleId="TableTGAblue">
    <w:name w:val="Table TGA blue"/>
    <w:basedOn w:val="TableNormal"/>
    <w:uiPriority w:val="99"/>
    <w:qFormat/>
    <w:rsid w:val="00685E72"/>
    <w:pPr>
      <w:spacing w:after="0" w:line="240" w:lineRule="auto"/>
    </w:pPr>
    <w:rPr>
      <w:rFonts w:ascii="Cambria" w:eastAsia="Cambria" w:hAnsi="Cambria" w:cs="Times New Roman"/>
      <w:color w:val="000000"/>
      <w:sz w:val="22"/>
      <w:szCs w:val="21"/>
      <w:lang w:eastAsia="en-AU"/>
    </w:rPr>
    <w:tblPr>
      <w:tblBorders>
        <w:top w:val="single" w:sz="8" w:space="0" w:color="002C47"/>
        <w:left w:val="single" w:sz="8" w:space="0" w:color="002C47"/>
        <w:bottom w:val="single" w:sz="8" w:space="0" w:color="002C47"/>
        <w:right w:val="single" w:sz="8" w:space="0" w:color="002C47"/>
        <w:insideH w:val="single" w:sz="8" w:space="0" w:color="002C47"/>
        <w:insideV w:val="single" w:sz="8" w:space="0" w:color="002C47"/>
      </w:tblBorders>
    </w:tblPr>
    <w:trPr>
      <w:cantSplit/>
    </w:trPr>
    <w:tcPr>
      <w:shd w:val="clear" w:color="auto" w:fill="auto"/>
    </w:tcPr>
    <w:tblStylePr w:type="firstRow">
      <w:pPr>
        <w:keepNext/>
        <w:wordWrap/>
      </w:pPr>
      <w:rPr>
        <w:rFonts w:ascii="Cambria-Bold" w:hAnsi="Cambria-Bold"/>
        <w:b/>
        <w:color w:val="FFFFFF"/>
        <w:sz w:val="22"/>
      </w:rPr>
      <w:tblPr/>
      <w:tcPr>
        <w:tcBorders>
          <w:top w:val="single" w:sz="8" w:space="0" w:color="002C47"/>
          <w:left w:val="single" w:sz="8" w:space="0" w:color="002C47"/>
          <w:bottom w:val="single" w:sz="8" w:space="0" w:color="002C47"/>
          <w:right w:val="single" w:sz="8" w:space="0" w:color="002C47"/>
          <w:insideH w:val="nil"/>
          <w:insideV w:val="nil"/>
          <w:tl2br w:val="nil"/>
          <w:tr2bl w:val="nil"/>
        </w:tcBorders>
        <w:shd w:val="clear" w:color="auto" w:fill="006DA7"/>
      </w:tcPr>
    </w:tblStylePr>
    <w:tblStylePr w:type="firstCol">
      <w:pPr>
        <w:keepNext w:val="0"/>
        <w:wordWrap/>
      </w:pPr>
    </w:tblStylePr>
  </w:style>
  <w:style w:type="table" w:customStyle="1" w:styleId="TableTGAblack">
    <w:name w:val="Table TGA black"/>
    <w:basedOn w:val="TableNormal"/>
    <w:uiPriority w:val="99"/>
    <w:rsid w:val="00685E72"/>
    <w:pPr>
      <w:spacing w:before="60" w:after="0" w:line="240" w:lineRule="auto"/>
    </w:pPr>
    <w:rPr>
      <w:rFonts w:ascii="Cambria" w:eastAsia="Cambria" w:hAnsi="Cambria" w:cs="Times New Roman"/>
      <w:color w:val="000000"/>
      <w:sz w:val="22"/>
      <w:szCs w:val="21"/>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cantSplit/>
    </w:trPr>
    <w:tcPr>
      <w:shd w:val="clear" w:color="auto" w:fill="auto"/>
    </w:tcPr>
    <w:tblStylePr w:type="firstRow">
      <w:pPr>
        <w:keepNext/>
        <w:wordWrap/>
      </w:pPr>
      <w:rPr>
        <w:rFonts w:ascii="Cambria-Bold" w:hAnsi="Cambria-Bold"/>
        <w:b/>
        <w:color w:val="FFFFFF"/>
        <w:sz w:val="22"/>
      </w:rPr>
      <w:tblPr/>
      <w:tcPr>
        <w:shd w:val="clear" w:color="auto" w:fill="000000"/>
      </w:tcPr>
    </w:tblStylePr>
    <w:tblStylePr w:type="lastRow">
      <w:rPr>
        <w:b w:val="0"/>
      </w:rPr>
    </w:tblStylePr>
    <w:tblStylePr w:type="firstCol">
      <w:pPr>
        <w:keepNext w:val="0"/>
        <w:wordWrap/>
      </w:pPr>
    </w:tblStylePr>
    <w:tblStylePr w:type="neCell">
      <w:rPr>
        <w:b w:val="0"/>
        <w:i w:val="0"/>
      </w:rPr>
    </w:tblStylePr>
    <w:tblStylePr w:type="nwCell">
      <w:rPr>
        <w:rFonts w:ascii="Cambria-Bold" w:hAnsi="Cambria-Bold"/>
        <w:b/>
        <w:i w:val="0"/>
        <w:color w:val="FFFFFF"/>
        <w:sz w:val="22"/>
      </w:rPr>
    </w:tblStylePr>
  </w:style>
  <w:style w:type="paragraph" w:styleId="TOCHeading">
    <w:name w:val="TOC Heading"/>
    <w:basedOn w:val="Heading1"/>
    <w:next w:val="Normal"/>
    <w:uiPriority w:val="39"/>
    <w:unhideWhenUsed/>
    <w:qFormat/>
    <w:rsid w:val="004647AA"/>
    <w:pPr>
      <w:outlineLvl w:val="9"/>
    </w:pPr>
    <w:rPr>
      <w:lang w:val="en-US"/>
    </w:rPr>
  </w:style>
  <w:style w:type="numbering" w:customStyle="1" w:styleId="NumberBullet1">
    <w:name w:val="NumberBullet1"/>
    <w:uiPriority w:val="99"/>
    <w:rsid w:val="00685E72"/>
  </w:style>
  <w:style w:type="numbering" w:customStyle="1" w:styleId="ListBullets1">
    <w:name w:val="ListBullets1"/>
    <w:uiPriority w:val="99"/>
    <w:rsid w:val="00685E72"/>
  </w:style>
  <w:style w:type="character" w:styleId="EndnoteReference">
    <w:name w:val="endnote reference"/>
    <w:basedOn w:val="DefaultParagraphFont"/>
    <w:uiPriority w:val="99"/>
    <w:semiHidden/>
    <w:unhideWhenUsed/>
    <w:rsid w:val="00685E72"/>
    <w:rPr>
      <w:vertAlign w:val="superscript"/>
    </w:rPr>
  </w:style>
  <w:style w:type="table" w:customStyle="1" w:styleId="LightShading1">
    <w:name w:val="Light Shading1"/>
    <w:basedOn w:val="TableNormal"/>
    <w:uiPriority w:val="60"/>
    <w:rsid w:val="00685E72"/>
    <w:pPr>
      <w:spacing w:after="0" w:line="240" w:lineRule="auto"/>
    </w:pPr>
    <w:rPr>
      <w:rFonts w:ascii="Cambria" w:eastAsia="Cambria" w:hAnsi="Cambria" w:cs="Times New Roman"/>
      <w:color w:val="000000" w:themeColor="text1" w:themeShade="BF"/>
      <w:lang w:eastAsia="en-AU"/>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uotation">
    <w:name w:val="Quotation"/>
    <w:basedOn w:val="Normal"/>
    <w:next w:val="Normal"/>
    <w:autoRedefine/>
    <w:uiPriority w:val="4"/>
    <w:qFormat/>
    <w:rsid w:val="00B90A0A"/>
    <w:pPr>
      <w:spacing w:before="120" w:after="180" w:line="240" w:lineRule="atLeast"/>
      <w:ind w:left="425"/>
    </w:pPr>
    <w:rPr>
      <w:rFonts w:eastAsia="Cambria" w:cs="Times New Roman"/>
    </w:rPr>
  </w:style>
  <w:style w:type="character" w:styleId="CommentReference">
    <w:name w:val="annotation reference"/>
    <w:basedOn w:val="DefaultParagraphFont"/>
    <w:uiPriority w:val="99"/>
    <w:semiHidden/>
    <w:unhideWhenUsed/>
    <w:rsid w:val="00685E72"/>
    <w:rPr>
      <w:sz w:val="16"/>
      <w:szCs w:val="16"/>
    </w:rPr>
  </w:style>
  <w:style w:type="paragraph" w:styleId="CommentText">
    <w:name w:val="annotation text"/>
    <w:basedOn w:val="Normal"/>
    <w:link w:val="CommentTextChar"/>
    <w:uiPriority w:val="99"/>
    <w:unhideWhenUsed/>
    <w:rsid w:val="00685E72"/>
    <w:pPr>
      <w:spacing w:before="120" w:after="180" w:line="240" w:lineRule="auto"/>
    </w:pPr>
    <w:rPr>
      <w:rFonts w:ascii="Cambria" w:eastAsia="Cambria" w:hAnsi="Cambria" w:cs="Times New Roman"/>
    </w:rPr>
  </w:style>
  <w:style w:type="character" w:customStyle="1" w:styleId="CommentTextChar">
    <w:name w:val="Comment Text Char"/>
    <w:basedOn w:val="DefaultParagraphFont"/>
    <w:link w:val="CommentText"/>
    <w:uiPriority w:val="99"/>
    <w:rsid w:val="00685E72"/>
    <w:rPr>
      <w:rFonts w:ascii="Cambria" w:eastAsia="Cambria" w:hAnsi="Cambria" w:cs="Times New Roman"/>
    </w:rPr>
  </w:style>
  <w:style w:type="paragraph" w:styleId="CommentSubject">
    <w:name w:val="annotation subject"/>
    <w:basedOn w:val="CommentText"/>
    <w:next w:val="CommentText"/>
    <w:link w:val="CommentSubjectChar"/>
    <w:uiPriority w:val="99"/>
    <w:semiHidden/>
    <w:unhideWhenUsed/>
    <w:rsid w:val="00685E72"/>
    <w:rPr>
      <w:b/>
      <w:bCs/>
    </w:rPr>
  </w:style>
  <w:style w:type="character" w:customStyle="1" w:styleId="CommentSubjectChar">
    <w:name w:val="Comment Subject Char"/>
    <w:basedOn w:val="CommentTextChar"/>
    <w:link w:val="CommentSubject"/>
    <w:uiPriority w:val="99"/>
    <w:semiHidden/>
    <w:rsid w:val="00685E72"/>
    <w:rPr>
      <w:rFonts w:ascii="Cambria" w:eastAsia="Cambria" w:hAnsi="Cambria" w:cs="Times New Roman"/>
      <w:b/>
      <w:bCs/>
    </w:rPr>
  </w:style>
  <w:style w:type="paragraph" w:styleId="ListParagraph">
    <w:name w:val="List Paragraph"/>
    <w:basedOn w:val="ListBullet"/>
    <w:autoRedefine/>
    <w:uiPriority w:val="34"/>
    <w:qFormat/>
    <w:rsid w:val="00240D35"/>
    <w:pPr>
      <w:numPr>
        <w:numId w:val="53"/>
      </w:numPr>
      <w:contextualSpacing/>
    </w:pPr>
  </w:style>
  <w:style w:type="table" w:styleId="LightList-Accent1">
    <w:name w:val="Light List Accent 1"/>
    <w:basedOn w:val="TableNormal"/>
    <w:uiPriority w:val="61"/>
    <w:rsid w:val="00685E72"/>
    <w:pPr>
      <w:spacing w:after="0" w:line="240" w:lineRule="auto"/>
    </w:pPr>
    <w:rPr>
      <w:rFonts w:eastAsiaTheme="minorEastAsia"/>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OC9">
    <w:name w:val="toc 9"/>
    <w:basedOn w:val="Normal"/>
    <w:next w:val="Normal"/>
    <w:autoRedefine/>
    <w:uiPriority w:val="39"/>
    <w:semiHidden/>
    <w:unhideWhenUsed/>
    <w:rsid w:val="00685E72"/>
    <w:pPr>
      <w:spacing w:before="120" w:after="100" w:line="240" w:lineRule="atLeast"/>
      <w:ind w:left="1760"/>
    </w:pPr>
    <w:rPr>
      <w:rFonts w:ascii="Cambria" w:eastAsia="Cambria" w:hAnsi="Cambria" w:cs="Times New Roman"/>
    </w:rPr>
  </w:style>
  <w:style w:type="paragraph" w:customStyle="1" w:styleId="TableTitle0">
    <w:name w:val="Table Title"/>
    <w:basedOn w:val="Normal"/>
    <w:next w:val="Normal"/>
    <w:autoRedefine/>
    <w:qFormat/>
    <w:rsid w:val="00B90A0A"/>
    <w:pPr>
      <w:spacing w:before="180" w:after="180" w:line="240" w:lineRule="atLeast"/>
    </w:pPr>
    <w:rPr>
      <w:rFonts w:eastAsia="Cambria" w:cs="Times New Roman"/>
      <w:b/>
    </w:rPr>
  </w:style>
  <w:style w:type="character" w:styleId="Strong">
    <w:name w:val="Strong"/>
    <w:basedOn w:val="DefaultParagraphFont"/>
    <w:uiPriority w:val="22"/>
    <w:qFormat/>
    <w:rsid w:val="00520CD5"/>
    <w:rPr>
      <w:rFonts w:ascii="Arial" w:hAnsi="Arial"/>
      <w:b/>
      <w:bCs/>
      <w:color w:val="000000" w:themeColor="text1"/>
    </w:rPr>
  </w:style>
  <w:style w:type="paragraph" w:customStyle="1" w:styleId="Default">
    <w:name w:val="Default"/>
    <w:rsid w:val="00685E72"/>
    <w:pPr>
      <w:autoSpaceDE w:val="0"/>
      <w:autoSpaceDN w:val="0"/>
      <w:adjustRightInd w:val="0"/>
      <w:spacing w:after="0" w:line="240" w:lineRule="auto"/>
    </w:pPr>
    <w:rPr>
      <w:rFonts w:ascii="Times New Roman" w:eastAsia="Cambria" w:hAnsi="Times New Roman" w:cs="Times New Roman"/>
      <w:color w:val="000000"/>
      <w:sz w:val="24"/>
      <w:szCs w:val="24"/>
      <w:lang w:eastAsia="en-AU"/>
    </w:rPr>
  </w:style>
  <w:style w:type="character" w:customStyle="1" w:styleId="fontstyle01">
    <w:name w:val="fontstyle01"/>
    <w:basedOn w:val="DefaultParagraphFont"/>
    <w:rsid w:val="00685E72"/>
    <w:rPr>
      <w:rFonts w:ascii="Cambria" w:hAnsi="Cambria" w:hint="default"/>
      <w:b w:val="0"/>
      <w:bCs w:val="0"/>
      <w:i w:val="0"/>
      <w:iCs w:val="0"/>
      <w:color w:val="000000"/>
      <w:sz w:val="22"/>
      <w:szCs w:val="22"/>
    </w:rPr>
  </w:style>
  <w:style w:type="character" w:customStyle="1" w:styleId="fontstyle21">
    <w:name w:val="fontstyle21"/>
    <w:basedOn w:val="DefaultParagraphFont"/>
    <w:rsid w:val="00685E72"/>
    <w:rPr>
      <w:rFonts w:ascii="Cambria-Bold" w:hAnsi="Cambria-Bold" w:hint="default"/>
      <w:b/>
      <w:bCs/>
      <w:i w:val="0"/>
      <w:iCs w:val="0"/>
      <w:color w:val="000000"/>
      <w:sz w:val="22"/>
      <w:szCs w:val="22"/>
    </w:rPr>
  </w:style>
  <w:style w:type="paragraph" w:styleId="Revision">
    <w:name w:val="Revision"/>
    <w:hidden/>
    <w:uiPriority w:val="99"/>
    <w:semiHidden/>
    <w:rsid w:val="00685E72"/>
    <w:pPr>
      <w:spacing w:after="0" w:line="240" w:lineRule="auto"/>
    </w:pPr>
    <w:rPr>
      <w:rFonts w:ascii="Cambria" w:eastAsia="Cambria" w:hAnsi="Cambria" w:cs="Times New Roman"/>
      <w:sz w:val="22"/>
    </w:rPr>
  </w:style>
  <w:style w:type="paragraph" w:customStyle="1" w:styleId="ListBulleta">
    <w:name w:val="List Bullet a)"/>
    <w:basedOn w:val="ListBullet"/>
    <w:autoRedefine/>
    <w:uiPriority w:val="1"/>
    <w:qFormat/>
    <w:rsid w:val="00520CD5"/>
    <w:pPr>
      <w:numPr>
        <w:numId w:val="2"/>
      </w:numPr>
    </w:pPr>
  </w:style>
  <w:style w:type="paragraph" w:customStyle="1" w:styleId="ListBulleti">
    <w:name w:val="List Bullet i)"/>
    <w:basedOn w:val="ListBullet"/>
    <w:autoRedefine/>
    <w:uiPriority w:val="1"/>
    <w:qFormat/>
    <w:rsid w:val="00520CD5"/>
    <w:pPr>
      <w:numPr>
        <w:numId w:val="3"/>
      </w:numPr>
    </w:pPr>
  </w:style>
  <w:style w:type="character" w:customStyle="1" w:styleId="Style1">
    <w:name w:val="Style1"/>
    <w:basedOn w:val="DefaultParagraphFont"/>
    <w:uiPriority w:val="1"/>
    <w:rsid w:val="00685E72"/>
    <w:rPr>
      <w:rFonts w:ascii="Cambria" w:hAnsi="Cambria"/>
      <w:sz w:val="22"/>
    </w:rPr>
  </w:style>
  <w:style w:type="paragraph" w:styleId="NormalWeb">
    <w:name w:val="Normal (Web)"/>
    <w:basedOn w:val="Normal"/>
    <w:uiPriority w:val="99"/>
    <w:semiHidden/>
    <w:unhideWhenUsed/>
    <w:rsid w:val="00685E7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685E72"/>
    <w:rPr>
      <w:color w:val="605E5C"/>
      <w:shd w:val="clear" w:color="auto" w:fill="E1DFDD"/>
    </w:rPr>
  </w:style>
  <w:style w:type="paragraph" w:styleId="NoSpacing">
    <w:name w:val="No Spacing"/>
    <w:autoRedefine/>
    <w:uiPriority w:val="1"/>
    <w:qFormat/>
    <w:rsid w:val="00520CD5"/>
    <w:pPr>
      <w:spacing w:after="0" w:line="240" w:lineRule="auto"/>
    </w:pPr>
    <w:rPr>
      <w:rFonts w:ascii="Arial" w:hAnsi="Arial"/>
      <w:color w:val="000000" w:themeColor="text1"/>
      <w:sz w:val="22"/>
    </w:rPr>
  </w:style>
  <w:style w:type="character" w:styleId="SubtleReference">
    <w:name w:val="Subtle Reference"/>
    <w:basedOn w:val="DefaultParagraphFont"/>
    <w:uiPriority w:val="31"/>
    <w:qFormat/>
    <w:rsid w:val="00520CD5"/>
    <w:rPr>
      <w:rFonts w:ascii="Arial" w:hAnsi="Arial"/>
      <w:smallCaps/>
      <w:color w:val="0D0D0D" w:themeColor="text1" w:themeTint="F2"/>
    </w:rPr>
  </w:style>
  <w:style w:type="paragraph" w:styleId="Quote">
    <w:name w:val="Quote"/>
    <w:basedOn w:val="Normal"/>
    <w:next w:val="Normal"/>
    <w:link w:val="QuoteChar"/>
    <w:autoRedefine/>
    <w:uiPriority w:val="29"/>
    <w:qFormat/>
    <w:rsid w:val="00E530B1"/>
    <w:pPr>
      <w:spacing w:before="200" w:after="160"/>
      <w:ind w:left="864" w:right="864"/>
      <w:jc w:val="center"/>
    </w:pPr>
    <w:rPr>
      <w:i/>
      <w:iCs/>
    </w:rPr>
  </w:style>
  <w:style w:type="character" w:customStyle="1" w:styleId="QuoteChar">
    <w:name w:val="Quote Char"/>
    <w:basedOn w:val="DefaultParagraphFont"/>
    <w:link w:val="Quote"/>
    <w:uiPriority w:val="29"/>
    <w:rsid w:val="00E530B1"/>
    <w:rPr>
      <w:i/>
      <w:iCs/>
      <w:color w:val="000000" w:themeColor="text1"/>
      <w:sz w:val="22"/>
    </w:rPr>
  </w:style>
  <w:style w:type="character" w:styleId="SubtleEmphasis">
    <w:name w:val="Subtle Emphasis"/>
    <w:basedOn w:val="DefaultParagraphFont"/>
    <w:uiPriority w:val="19"/>
    <w:qFormat/>
    <w:rsid w:val="00520CD5"/>
    <w:rPr>
      <w:rFonts w:ascii="Arial" w:hAnsi="Arial"/>
      <w:i/>
      <w:iCs/>
      <w:color w:val="000000" w:themeColor="text1"/>
    </w:rPr>
  </w:style>
  <w:style w:type="character" w:styleId="IntenseEmphasis">
    <w:name w:val="Intense Emphasis"/>
    <w:basedOn w:val="DefaultParagraphFont"/>
    <w:uiPriority w:val="21"/>
    <w:qFormat/>
    <w:rsid w:val="00520CD5"/>
    <w:rPr>
      <w:rFonts w:ascii="Arial" w:hAnsi="Arial"/>
      <w:i/>
      <w:iCs/>
      <w:color w:val="auto"/>
    </w:rPr>
  </w:style>
  <w:style w:type="character" w:styleId="Emphasis">
    <w:name w:val="Emphasis"/>
    <w:basedOn w:val="DefaultParagraphFont"/>
    <w:uiPriority w:val="20"/>
    <w:qFormat/>
    <w:rsid w:val="00520CD5"/>
    <w:rPr>
      <w:rFonts w:ascii="Arial" w:hAnsi="Arial"/>
      <w:i/>
      <w:iCs/>
    </w:rPr>
  </w:style>
  <w:style w:type="character" w:styleId="IntenseReference">
    <w:name w:val="Intense Reference"/>
    <w:basedOn w:val="DefaultParagraphFont"/>
    <w:uiPriority w:val="32"/>
    <w:qFormat/>
    <w:rsid w:val="00520CD5"/>
    <w:rPr>
      <w:rFonts w:ascii="Arial" w:hAnsi="Arial"/>
      <w:b/>
      <w:bCs/>
      <w:smallCaps/>
      <w:color w:val="1F3864" w:themeColor="accent1" w:themeShade="80"/>
      <w:spacing w:val="5"/>
    </w:rPr>
  </w:style>
  <w:style w:type="character" w:styleId="BookTitle">
    <w:name w:val="Book Title"/>
    <w:basedOn w:val="DefaultParagraphFont"/>
    <w:uiPriority w:val="33"/>
    <w:qFormat/>
    <w:rsid w:val="00520CD5"/>
    <w:rPr>
      <w:rFonts w:ascii="Arial" w:hAnsi="Arial"/>
      <w:b/>
      <w:bCs/>
      <w:i/>
      <w:iCs/>
      <w:spacing w:val="5"/>
    </w:rPr>
  </w:style>
  <w:style w:type="paragraph" w:customStyle="1" w:styleId="Legislation">
    <w:name w:val="Legislation"/>
    <w:basedOn w:val="Normal"/>
    <w:qFormat/>
    <w:rsid w:val="004647AA"/>
    <w:pPr>
      <w:jc w:val="center"/>
    </w:pPr>
    <w:rPr>
      <w:i/>
      <w:color w:val="333F48"/>
    </w:rPr>
  </w:style>
  <w:style w:type="paragraph" w:customStyle="1" w:styleId="Legislation-list">
    <w:name w:val="Legislation-list"/>
    <w:basedOn w:val="Numberbullet0"/>
    <w:rsid w:val="004647AA"/>
    <w:pPr>
      <w:numPr>
        <w:numId w:val="5"/>
      </w:numPr>
      <w:jc w:val="center"/>
    </w:pPr>
    <w:rPr>
      <w:i/>
    </w:rPr>
  </w:style>
  <w:style w:type="character" w:styleId="Mention">
    <w:name w:val="Mention"/>
    <w:basedOn w:val="DefaultParagraphFont"/>
    <w:uiPriority w:val="99"/>
    <w:unhideWhenUsed/>
    <w:rsid w:val="00603BE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219203">
      <w:bodyDiv w:val="1"/>
      <w:marLeft w:val="0"/>
      <w:marRight w:val="0"/>
      <w:marTop w:val="0"/>
      <w:marBottom w:val="0"/>
      <w:divBdr>
        <w:top w:val="none" w:sz="0" w:space="0" w:color="auto"/>
        <w:left w:val="none" w:sz="0" w:space="0" w:color="auto"/>
        <w:bottom w:val="none" w:sz="0" w:space="0" w:color="auto"/>
        <w:right w:val="none" w:sz="0" w:space="0" w:color="auto"/>
      </w:divBdr>
    </w:div>
    <w:div w:id="1207181011">
      <w:bodyDiv w:val="1"/>
      <w:marLeft w:val="0"/>
      <w:marRight w:val="0"/>
      <w:marTop w:val="0"/>
      <w:marBottom w:val="0"/>
      <w:divBdr>
        <w:top w:val="none" w:sz="0" w:space="0" w:color="auto"/>
        <w:left w:val="none" w:sz="0" w:space="0" w:color="auto"/>
        <w:bottom w:val="none" w:sz="0" w:space="0" w:color="auto"/>
        <w:right w:val="none" w:sz="0" w:space="0" w:color="auto"/>
      </w:divBdr>
    </w:div>
    <w:div w:id="1619141667">
      <w:bodyDiv w:val="1"/>
      <w:marLeft w:val="0"/>
      <w:marRight w:val="0"/>
      <w:marTop w:val="0"/>
      <w:marBottom w:val="0"/>
      <w:divBdr>
        <w:top w:val="none" w:sz="0" w:space="0" w:color="auto"/>
        <w:left w:val="none" w:sz="0" w:space="0" w:color="auto"/>
        <w:bottom w:val="none" w:sz="0" w:space="0" w:color="auto"/>
        <w:right w:val="none" w:sz="0" w:space="0" w:color="auto"/>
      </w:divBdr>
    </w:div>
    <w:div w:id="214211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consultations.tga.gov.au/tga" TargetMode="External"/><Relationship Id="rId26" Type="http://schemas.openxmlformats.org/officeDocument/2006/relationships/hyperlink" Target="https://www.ebs.tga.gov.au/ebs/PublicHTML/pdfstore.nsf/TemplateEngineIngredientPDF?OpenAgent&amp;ingredientid=54885&amp;docid=52866494FF52D270CA2577DD0000E40D" TargetMode="External"/><Relationship Id="rId39" Type="http://schemas.openxmlformats.org/officeDocument/2006/relationships/hyperlink" Target="https://consultations.tga.gov.au/tga/scheduling-pre-meeting-notice-no-nov-2026" TargetMode="External"/><Relationship Id="rId21" Type="http://schemas.openxmlformats.org/officeDocument/2006/relationships/hyperlink" Target="mailto:medicines.scheduling@health.gov.au" TargetMode="External"/><Relationship Id="rId34" Type="http://schemas.openxmlformats.org/officeDocument/2006/relationships/hyperlink" Target="https://health-products.canada.ca/dpd-bdpp/" TargetMode="External"/><Relationship Id="rId42" Type="http://schemas.openxmlformats.org/officeDocument/2006/relationships/hyperlink" Target="https://www.tga.gov.au/resources/publication/scheduling-submissions" TargetMode="External"/><Relationship Id="rId47" Type="http://schemas.openxmlformats.org/officeDocument/2006/relationships/hyperlink" Target="mailto:info@tga.gov.au" TargetMode="External"/><Relationship Id="rId50"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legislation.gov.au/Search/Therapeutic%20Goods%20$LB$Permissible%20Ingredients$RB$%20Determination" TargetMode="External"/><Relationship Id="rId11" Type="http://schemas.openxmlformats.org/officeDocument/2006/relationships/header" Target="header1.xml"/><Relationship Id="rId24" Type="http://schemas.openxmlformats.org/officeDocument/2006/relationships/hyperlink" Target="https://www.tga.gov.au/committee/advisory-committee-chemicals-scheduling-accs" TargetMode="External"/><Relationship Id="rId32" Type="http://schemas.openxmlformats.org/officeDocument/2006/relationships/hyperlink" Target="https://portal.apvma.gov.au/pubcris" TargetMode="External"/><Relationship Id="rId37" Type="http://schemas.openxmlformats.org/officeDocument/2006/relationships/hyperlink" Target="https://eur-lex.europa.eu/legal-content/EN/TXT/?uri=CELEX%3A02017R0745-20260719" TargetMode="External"/><Relationship Id="rId40" Type="http://schemas.openxmlformats.org/officeDocument/2006/relationships/hyperlink" Target="https://www.tga.gov.au/about-tga/advisory-bodies-and-committees/advisory-committee-medicines-scheduling-acms" TargetMode="External"/><Relationship Id="rId45"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tga.gov.au/committee/advisory-committee-medicines-scheduling-acms" TargetMode="External"/><Relationship Id="rId28" Type="http://schemas.openxmlformats.org/officeDocument/2006/relationships/hyperlink" Target="https://www.legislation.gov.au/Details/F2021L01888" TargetMode="External"/><Relationship Id="rId36" Type="http://schemas.openxmlformats.org/officeDocument/2006/relationships/hyperlink" Target="https://www.legislation.gov.uk/uksi/2012/1916/contents" TargetMode="External"/><Relationship Id="rId49"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tga.gov.au/committee/advisory-committee-medicines-scheduling-acms" TargetMode="External"/><Relationship Id="rId31" Type="http://schemas.openxmlformats.org/officeDocument/2006/relationships/hyperlink" Target="https://www.tga.gov.au/prescribing-medicines-pregnancy-database" TargetMode="External"/><Relationship Id="rId44" Type="http://schemas.openxmlformats.org/officeDocument/2006/relationships/hyperlink" Target="https://www.tga.gov.au/resources/publication/scheduling-decisions-interi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consultations.tga.gov.au/tga" TargetMode="External"/><Relationship Id="rId27" Type="http://schemas.openxmlformats.org/officeDocument/2006/relationships/hyperlink" Target="https://compliance.health.gov.au/artg/" TargetMode="External"/><Relationship Id="rId30" Type="http://schemas.openxmlformats.org/officeDocument/2006/relationships/hyperlink" Target="https://aems.tga.gov.au/daen-medicines-terms-condition/" TargetMode="External"/><Relationship Id="rId35" Type="http://schemas.openxmlformats.org/officeDocument/2006/relationships/hyperlink" Target="https://www.accessdata.fda.gov/scripts/cder/daf/" TargetMode="External"/><Relationship Id="rId43" Type="http://schemas.openxmlformats.org/officeDocument/2006/relationships/hyperlink" Target="https://www.tga.gov.au/resources/resource/forms/scheduling-consultation-coversheets" TargetMode="External"/><Relationship Id="rId48" Type="http://schemas.openxmlformats.org/officeDocument/2006/relationships/hyperlink" Target="https://www.tga.gov.au"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mailto:tga.copyright@tga.gov.au" TargetMode="External"/><Relationship Id="rId25" Type="http://schemas.openxmlformats.org/officeDocument/2006/relationships/hyperlink" Target="mailto:medicines.scheduling@health.gov.au" TargetMode="External"/><Relationship Id="rId33" Type="http://schemas.openxmlformats.org/officeDocument/2006/relationships/hyperlink" Target="https://services.industrialchemicals.gov.au/search-inventory/" TargetMode="External"/><Relationship Id="rId38" Type="http://schemas.openxmlformats.org/officeDocument/2006/relationships/hyperlink" Target="https://www.legislation.gov.uk/uksi/2002/618/contents" TargetMode="External"/><Relationship Id="rId46" Type="http://schemas.openxmlformats.org/officeDocument/2006/relationships/footer" Target="footer4.xml"/><Relationship Id="rId20" Type="http://schemas.openxmlformats.org/officeDocument/2006/relationships/hyperlink" Target="https://www.tga.gov.au/committee/advisory-committee-chemicals-scheduling-accs" TargetMode="External"/><Relationship Id="rId41" Type="http://schemas.openxmlformats.org/officeDocument/2006/relationships/hyperlink" Target="https://www.tga.gov.au/about-tga/advisory-bodies-and-committees/advisory-committee-chemicals-scheduling-accs"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nitrous-oxide-updated-harms-assessment/nitrous-oxide-updated-harms-assessment-accessible" TargetMode="External"/><Relationship Id="rId3" Type="http://schemas.openxmlformats.org/officeDocument/2006/relationships/hyperlink" Target="https://www.health.vic.gov.au/aod-treatment-services/responsible-sale-of-solvents" TargetMode="External"/><Relationship Id="rId7" Type="http://schemas.openxmlformats.org/officeDocument/2006/relationships/hyperlink" Target="https://www.health.nsw.gov.au/aod/Publications/nitrous_oxide_regulation_summary.pdf" TargetMode="External"/><Relationship Id="rId12" Type="http://schemas.openxmlformats.org/officeDocument/2006/relationships/hyperlink" Target="https://www.tga.gov.au/resources/publication/scheduling-decisions-final/notice-final-decisions-amend-or-not-amend-current-poisons-standard-relation-nitrous-oxide" TargetMode="External"/><Relationship Id="rId2" Type="http://schemas.openxmlformats.org/officeDocument/2006/relationships/hyperlink" Target="https://www.unsw.edu.au/content/dam/pdfs/medicine-health/ndarc/research-reports/2026-06-ndarc/2026-06-national-edrs-bulletin-nitrous-oxide-product.pdf" TargetMode="External"/><Relationship Id="rId1" Type="http://schemas.openxmlformats.org/officeDocument/2006/relationships/hyperlink" Target="https://hdp-au-prod-app-nsw-haveyoursay-files.s3.ap-southeast-2.amazonaws.com/1117/1107/6044/Nitrous_Oxide_Reforms_Consultation_Paper.pdf" TargetMode="External"/><Relationship Id="rId6" Type="http://schemas.openxmlformats.org/officeDocument/2006/relationships/hyperlink" Target="https://statements.qld.gov.au/statements/103979" TargetMode="External"/><Relationship Id="rId11" Type="http://schemas.openxmlformats.org/officeDocument/2006/relationships/hyperlink" Target="https://adf.org.au/drug-facts/nitrous-oxide/" TargetMode="External"/><Relationship Id="rId5" Type="http://schemas.openxmlformats.org/officeDocument/2006/relationships/hyperlink" Target="https://www.health.wa.gov.au/News/2024/Tougher-nitrous-oxide-regulations-now-in-effect" TargetMode="External"/><Relationship Id="rId10" Type="http://schemas.openxmlformats.org/officeDocument/2006/relationships/hyperlink" Target="https://www.healthywa.wa.gov.au/Articles/N_R/Nitrous-oxide-nangs" TargetMode="External"/><Relationship Id="rId4" Type="http://schemas.openxmlformats.org/officeDocument/2006/relationships/hyperlink" Target="https://lsc.sa.gov.au/dsh/ch12s16.php" TargetMode="External"/><Relationship Id="rId9" Type="http://schemas.openxmlformats.org/officeDocument/2006/relationships/hyperlink" Target="https://www.health.govt.nz/regulation-legislation/psychoactive-substances/nitrous-oxide/nitrous-oxide-regulatory-changes"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WE\OneDrive%20-%20Department%20of%20Health\July%202026\PMPN\Template%20-%20Pre-meeting%20public%20notice%20-%20May%20202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E0E35EFD4F464680E6AF1C0D13EB20" ma:contentTypeVersion="17" ma:contentTypeDescription="Create a new document." ma:contentTypeScope="" ma:versionID="63445b0f5962617af566cb45de4dbe26">
  <xsd:schema xmlns:xsd="http://www.w3.org/2001/XMLSchema" xmlns:xs="http://www.w3.org/2001/XMLSchema" xmlns:p="http://schemas.microsoft.com/office/2006/metadata/properties" xmlns:ns2="f482729e-2cfb-42d6-a767-262eef245714" xmlns:ns3="2410a292-e042-440d-aef8-ab5a9bd10e41" targetNamespace="http://schemas.microsoft.com/office/2006/metadata/properties" ma:root="true" ma:fieldsID="7b06c7d5b72df4158dfdbec0f239ccff" ns2:_="" ns3:_="">
    <xsd:import namespace="f482729e-2cfb-42d6-a767-262eef245714"/>
    <xsd:import namespace="2410a292-e042-440d-aef8-ab5a9bd10e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82729e-2cfb-42d6-a767-262eef2457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Flow_SignoffStatus" ma:index="22" nillable="true" ma:displayName="Sign-off status" ma:internalName="Sign_x002d_off_x0020_status">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10a292-e042-440d-aef8-ab5a9bd10e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62ffbc-183f-4805-a010-07f79be95aa9}" ma:internalName="TaxCatchAll" ma:showField="CatchAllData" ma:web="2410a292-e042-440d-aef8-ab5a9bd10e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10a292-e042-440d-aef8-ab5a9bd10e41" xsi:nil="true"/>
    <_Flow_SignoffStatus xmlns="f482729e-2cfb-42d6-a767-262eef245714" xsi:nil="true"/>
    <lcf76f155ced4ddcb4097134ff3c332f xmlns="f482729e-2cfb-42d6-a767-262eef2457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E67D1-EF9E-4085-A589-39B918B69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82729e-2cfb-42d6-a767-262eef245714"/>
    <ds:schemaRef ds:uri="2410a292-e042-440d-aef8-ab5a9bd10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DF7F2-94C7-41E1-B13E-79CF2FC733EB}">
  <ds:schemaRefs>
    <ds:schemaRef ds:uri="http://schemas.microsoft.com/sharepoint/v3/contenttype/forms"/>
  </ds:schemaRefs>
</ds:datastoreItem>
</file>

<file path=customXml/itemProps3.xml><?xml version="1.0" encoding="utf-8"?>
<ds:datastoreItem xmlns:ds="http://schemas.openxmlformats.org/officeDocument/2006/customXml" ds:itemID="{706287FB-3B8B-4F93-AACA-4113D939D711}">
  <ds:schemaRefs>
    <ds:schemaRef ds:uri="http://schemas.microsoft.com/office/2006/metadata/properties"/>
    <ds:schemaRef ds:uri="http://schemas.microsoft.com/office/infopath/2007/PartnerControls"/>
    <ds:schemaRef ds:uri="2410a292-e042-440d-aef8-ab5a9bd10e41"/>
    <ds:schemaRef ds:uri="f482729e-2cfb-42d6-a767-262eef245714"/>
  </ds:schemaRefs>
</ds:datastoreItem>
</file>

<file path=customXml/itemProps4.xml><?xml version="1.0" encoding="utf-8"?>
<ds:datastoreItem xmlns:ds="http://schemas.openxmlformats.org/officeDocument/2006/customXml" ds:itemID="{269A8CBC-B2FD-424B-98E3-6D5776608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 Pre-meeting public notice - May 2024.DOTM</Template>
  <TotalTime>0</TotalTime>
  <Pages>12</Pages>
  <Words>4638</Words>
  <Characters>25467</Characters>
  <Application>Microsoft Office Word</Application>
  <DocSecurity>4</DocSecurity>
  <Lines>424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29919</CharactersWithSpaces>
  <SharedDoc>false</SharedDoc>
  <HLinks>
    <vt:vector size="264" baseType="variant">
      <vt:variant>
        <vt:i4>3473445</vt:i4>
      </vt:variant>
      <vt:variant>
        <vt:i4>120</vt:i4>
      </vt:variant>
      <vt:variant>
        <vt:i4>0</vt:i4>
      </vt:variant>
      <vt:variant>
        <vt:i4>5</vt:i4>
      </vt:variant>
      <vt:variant>
        <vt:lpwstr>https://www.tga.gov.au/</vt:lpwstr>
      </vt:variant>
      <vt:variant>
        <vt:lpwstr/>
      </vt:variant>
      <vt:variant>
        <vt:i4>5242926</vt:i4>
      </vt:variant>
      <vt:variant>
        <vt:i4>117</vt:i4>
      </vt:variant>
      <vt:variant>
        <vt:i4>0</vt:i4>
      </vt:variant>
      <vt:variant>
        <vt:i4>5</vt:i4>
      </vt:variant>
      <vt:variant>
        <vt:lpwstr>mailto:info@tga.gov.au</vt:lpwstr>
      </vt:variant>
      <vt:variant>
        <vt:lpwstr/>
      </vt:variant>
      <vt:variant>
        <vt:i4>5767180</vt:i4>
      </vt:variant>
      <vt:variant>
        <vt:i4>114</vt:i4>
      </vt:variant>
      <vt:variant>
        <vt:i4>0</vt:i4>
      </vt:variant>
      <vt:variant>
        <vt:i4>5</vt:i4>
      </vt:variant>
      <vt:variant>
        <vt:lpwstr>https://www.tga.gov.au/resources/publication/scheduling-decisions-interim</vt:lpwstr>
      </vt:variant>
      <vt:variant>
        <vt:lpwstr/>
      </vt:variant>
      <vt:variant>
        <vt:i4>7012462</vt:i4>
      </vt:variant>
      <vt:variant>
        <vt:i4>111</vt:i4>
      </vt:variant>
      <vt:variant>
        <vt:i4>0</vt:i4>
      </vt:variant>
      <vt:variant>
        <vt:i4>5</vt:i4>
      </vt:variant>
      <vt:variant>
        <vt:lpwstr>https://www.tga.gov.au/resources/resource/forms/scheduling-consultation-coversheets</vt:lpwstr>
      </vt:variant>
      <vt:variant>
        <vt:lpwstr/>
      </vt:variant>
      <vt:variant>
        <vt:i4>7340143</vt:i4>
      </vt:variant>
      <vt:variant>
        <vt:i4>108</vt:i4>
      </vt:variant>
      <vt:variant>
        <vt:i4>0</vt:i4>
      </vt:variant>
      <vt:variant>
        <vt:i4>5</vt:i4>
      </vt:variant>
      <vt:variant>
        <vt:lpwstr>https://www.tga.gov.au/resources/publication/scheduling-submissions</vt:lpwstr>
      </vt:variant>
      <vt:variant>
        <vt:lpwstr/>
      </vt:variant>
      <vt:variant>
        <vt:i4>1572947</vt:i4>
      </vt:variant>
      <vt:variant>
        <vt:i4>105</vt:i4>
      </vt:variant>
      <vt:variant>
        <vt:i4>0</vt:i4>
      </vt:variant>
      <vt:variant>
        <vt:i4>5</vt:i4>
      </vt:variant>
      <vt:variant>
        <vt:lpwstr>https://www.tga.gov.au/about-tga/advisory-bodies-and-committees/advisory-committee-chemicals-scheduling-accs</vt:lpwstr>
      </vt:variant>
      <vt:variant>
        <vt:lpwstr/>
      </vt:variant>
      <vt:variant>
        <vt:i4>1179735</vt:i4>
      </vt:variant>
      <vt:variant>
        <vt:i4>102</vt:i4>
      </vt:variant>
      <vt:variant>
        <vt:i4>0</vt:i4>
      </vt:variant>
      <vt:variant>
        <vt:i4>5</vt:i4>
      </vt:variant>
      <vt:variant>
        <vt:lpwstr>https://www.tga.gov.au/about-tga/advisory-bodies-and-committees/advisory-committee-medicines-scheduling-acms</vt:lpwstr>
      </vt:variant>
      <vt:variant>
        <vt:lpwstr/>
      </vt:variant>
      <vt:variant>
        <vt:i4>5111872</vt:i4>
      </vt:variant>
      <vt:variant>
        <vt:i4>99</vt:i4>
      </vt:variant>
      <vt:variant>
        <vt:i4>0</vt:i4>
      </vt:variant>
      <vt:variant>
        <vt:i4>5</vt:i4>
      </vt:variant>
      <vt:variant>
        <vt:lpwstr>https://www.accessdata.fda.gov/scripts/cder/daf/</vt:lpwstr>
      </vt:variant>
      <vt:variant>
        <vt:lpwstr/>
      </vt:variant>
      <vt:variant>
        <vt:i4>2359330</vt:i4>
      </vt:variant>
      <vt:variant>
        <vt:i4>96</vt:i4>
      </vt:variant>
      <vt:variant>
        <vt:i4>0</vt:i4>
      </vt:variant>
      <vt:variant>
        <vt:i4>5</vt:i4>
      </vt:variant>
      <vt:variant>
        <vt:lpwstr>https://health-products.canada.ca/dpd-bdpp/</vt:lpwstr>
      </vt:variant>
      <vt:variant>
        <vt:lpwstr/>
      </vt:variant>
      <vt:variant>
        <vt:i4>4522056</vt:i4>
      </vt:variant>
      <vt:variant>
        <vt:i4>93</vt:i4>
      </vt:variant>
      <vt:variant>
        <vt:i4>0</vt:i4>
      </vt:variant>
      <vt:variant>
        <vt:i4>5</vt:i4>
      </vt:variant>
      <vt:variant>
        <vt:lpwstr>https://services.industrialchemicals.gov.au/search-inventory/</vt:lpwstr>
      </vt:variant>
      <vt:variant>
        <vt:lpwstr/>
      </vt:variant>
      <vt:variant>
        <vt:i4>3145834</vt:i4>
      </vt:variant>
      <vt:variant>
        <vt:i4>90</vt:i4>
      </vt:variant>
      <vt:variant>
        <vt:i4>0</vt:i4>
      </vt:variant>
      <vt:variant>
        <vt:i4>5</vt:i4>
      </vt:variant>
      <vt:variant>
        <vt:lpwstr>https://portal.apvma.gov.au/pubcris</vt:lpwstr>
      </vt:variant>
      <vt:variant>
        <vt:lpwstr/>
      </vt:variant>
      <vt:variant>
        <vt:i4>4063278</vt:i4>
      </vt:variant>
      <vt:variant>
        <vt:i4>87</vt:i4>
      </vt:variant>
      <vt:variant>
        <vt:i4>0</vt:i4>
      </vt:variant>
      <vt:variant>
        <vt:i4>5</vt:i4>
      </vt:variant>
      <vt:variant>
        <vt:lpwstr>https://www.tga.gov.au/prescribing-medicines-pregnancy-database</vt:lpwstr>
      </vt:variant>
      <vt:variant>
        <vt:lpwstr/>
      </vt:variant>
      <vt:variant>
        <vt:i4>2293803</vt:i4>
      </vt:variant>
      <vt:variant>
        <vt:i4>84</vt:i4>
      </vt:variant>
      <vt:variant>
        <vt:i4>0</vt:i4>
      </vt:variant>
      <vt:variant>
        <vt:i4>5</vt:i4>
      </vt:variant>
      <vt:variant>
        <vt:lpwstr>https://aems.tga.gov.au/daen-medicines-terms-condition/</vt:lpwstr>
      </vt:variant>
      <vt:variant>
        <vt:lpwstr/>
      </vt:variant>
      <vt:variant>
        <vt:i4>720916</vt:i4>
      </vt:variant>
      <vt:variant>
        <vt:i4>81</vt:i4>
      </vt:variant>
      <vt:variant>
        <vt:i4>0</vt:i4>
      </vt:variant>
      <vt:variant>
        <vt:i4>5</vt:i4>
      </vt:variant>
      <vt:variant>
        <vt:lpwstr>https://www.legislation.gov.au/Search/Therapeutic Goods $LB$Permissible Ingredients$RB$ Determination</vt:lpwstr>
      </vt:variant>
      <vt:variant>
        <vt:lpwstr/>
      </vt:variant>
      <vt:variant>
        <vt:i4>7602211</vt:i4>
      </vt:variant>
      <vt:variant>
        <vt:i4>78</vt:i4>
      </vt:variant>
      <vt:variant>
        <vt:i4>0</vt:i4>
      </vt:variant>
      <vt:variant>
        <vt:i4>5</vt:i4>
      </vt:variant>
      <vt:variant>
        <vt:lpwstr>https://www.legislation.gov.au/Details/F2021L01888</vt:lpwstr>
      </vt:variant>
      <vt:variant>
        <vt:lpwstr/>
      </vt:variant>
      <vt:variant>
        <vt:i4>3211301</vt:i4>
      </vt:variant>
      <vt:variant>
        <vt:i4>75</vt:i4>
      </vt:variant>
      <vt:variant>
        <vt:i4>0</vt:i4>
      </vt:variant>
      <vt:variant>
        <vt:i4>5</vt:i4>
      </vt:variant>
      <vt:variant>
        <vt:lpwstr>https://compliance.health.gov.au/artg/</vt:lpwstr>
      </vt:variant>
      <vt:variant>
        <vt:lpwstr/>
      </vt:variant>
      <vt:variant>
        <vt:i4>6946850</vt:i4>
      </vt:variant>
      <vt:variant>
        <vt:i4>72</vt:i4>
      </vt:variant>
      <vt:variant>
        <vt:i4>0</vt:i4>
      </vt:variant>
      <vt:variant>
        <vt:i4>5</vt:i4>
      </vt:variant>
      <vt:variant>
        <vt:lpwstr>https://www.ebs.tga.gov.au/ebs/PublicHTML/pdfstore.nsf/TemplateEngineIngredientPDF?OpenAgent&amp;ingredientid=54885&amp;docid=52866494FF52D270CA2577DD0000E40D</vt:lpwstr>
      </vt:variant>
      <vt:variant>
        <vt:lpwstr/>
      </vt:variant>
      <vt:variant>
        <vt:i4>1114173</vt:i4>
      </vt:variant>
      <vt:variant>
        <vt:i4>65</vt:i4>
      </vt:variant>
      <vt:variant>
        <vt:i4>0</vt:i4>
      </vt:variant>
      <vt:variant>
        <vt:i4>5</vt:i4>
      </vt:variant>
      <vt:variant>
        <vt:lpwstr/>
      </vt:variant>
      <vt:variant>
        <vt:lpwstr>_Toc239763012</vt:lpwstr>
      </vt:variant>
      <vt:variant>
        <vt:i4>1114173</vt:i4>
      </vt:variant>
      <vt:variant>
        <vt:i4>59</vt:i4>
      </vt:variant>
      <vt:variant>
        <vt:i4>0</vt:i4>
      </vt:variant>
      <vt:variant>
        <vt:i4>5</vt:i4>
      </vt:variant>
      <vt:variant>
        <vt:lpwstr/>
      </vt:variant>
      <vt:variant>
        <vt:lpwstr>_Toc239763011</vt:lpwstr>
      </vt:variant>
      <vt:variant>
        <vt:i4>1114173</vt:i4>
      </vt:variant>
      <vt:variant>
        <vt:i4>53</vt:i4>
      </vt:variant>
      <vt:variant>
        <vt:i4>0</vt:i4>
      </vt:variant>
      <vt:variant>
        <vt:i4>5</vt:i4>
      </vt:variant>
      <vt:variant>
        <vt:lpwstr/>
      </vt:variant>
      <vt:variant>
        <vt:lpwstr>_Toc239763010</vt:lpwstr>
      </vt:variant>
      <vt:variant>
        <vt:i4>1048637</vt:i4>
      </vt:variant>
      <vt:variant>
        <vt:i4>47</vt:i4>
      </vt:variant>
      <vt:variant>
        <vt:i4>0</vt:i4>
      </vt:variant>
      <vt:variant>
        <vt:i4>5</vt:i4>
      </vt:variant>
      <vt:variant>
        <vt:lpwstr/>
      </vt:variant>
      <vt:variant>
        <vt:lpwstr>_Toc239763009</vt:lpwstr>
      </vt:variant>
      <vt:variant>
        <vt:i4>1048637</vt:i4>
      </vt:variant>
      <vt:variant>
        <vt:i4>41</vt:i4>
      </vt:variant>
      <vt:variant>
        <vt:i4>0</vt:i4>
      </vt:variant>
      <vt:variant>
        <vt:i4>5</vt:i4>
      </vt:variant>
      <vt:variant>
        <vt:lpwstr/>
      </vt:variant>
      <vt:variant>
        <vt:lpwstr>_Toc239763008</vt:lpwstr>
      </vt:variant>
      <vt:variant>
        <vt:i4>1048637</vt:i4>
      </vt:variant>
      <vt:variant>
        <vt:i4>35</vt:i4>
      </vt:variant>
      <vt:variant>
        <vt:i4>0</vt:i4>
      </vt:variant>
      <vt:variant>
        <vt:i4>5</vt:i4>
      </vt:variant>
      <vt:variant>
        <vt:lpwstr/>
      </vt:variant>
      <vt:variant>
        <vt:lpwstr>_Toc239763007</vt:lpwstr>
      </vt:variant>
      <vt:variant>
        <vt:i4>1048637</vt:i4>
      </vt:variant>
      <vt:variant>
        <vt:i4>29</vt:i4>
      </vt:variant>
      <vt:variant>
        <vt:i4>0</vt:i4>
      </vt:variant>
      <vt:variant>
        <vt:i4>5</vt:i4>
      </vt:variant>
      <vt:variant>
        <vt:lpwstr/>
      </vt:variant>
      <vt:variant>
        <vt:lpwstr>_Toc239763006</vt:lpwstr>
      </vt:variant>
      <vt:variant>
        <vt:i4>1048637</vt:i4>
      </vt:variant>
      <vt:variant>
        <vt:i4>23</vt:i4>
      </vt:variant>
      <vt:variant>
        <vt:i4>0</vt:i4>
      </vt:variant>
      <vt:variant>
        <vt:i4>5</vt:i4>
      </vt:variant>
      <vt:variant>
        <vt:lpwstr/>
      </vt:variant>
      <vt:variant>
        <vt:lpwstr>_Toc239763005</vt:lpwstr>
      </vt:variant>
      <vt:variant>
        <vt:i4>1048637</vt:i4>
      </vt:variant>
      <vt:variant>
        <vt:i4>17</vt:i4>
      </vt:variant>
      <vt:variant>
        <vt:i4>0</vt:i4>
      </vt:variant>
      <vt:variant>
        <vt:i4>5</vt:i4>
      </vt:variant>
      <vt:variant>
        <vt:lpwstr/>
      </vt:variant>
      <vt:variant>
        <vt:lpwstr>_Toc239763004</vt:lpwstr>
      </vt:variant>
      <vt:variant>
        <vt:i4>1048637</vt:i4>
      </vt:variant>
      <vt:variant>
        <vt:i4>11</vt:i4>
      </vt:variant>
      <vt:variant>
        <vt:i4>0</vt:i4>
      </vt:variant>
      <vt:variant>
        <vt:i4>5</vt:i4>
      </vt:variant>
      <vt:variant>
        <vt:lpwstr/>
      </vt:variant>
      <vt:variant>
        <vt:lpwstr>_Toc239763003</vt:lpwstr>
      </vt:variant>
      <vt:variant>
        <vt:i4>1048637</vt:i4>
      </vt:variant>
      <vt:variant>
        <vt:i4>5</vt:i4>
      </vt:variant>
      <vt:variant>
        <vt:i4>0</vt:i4>
      </vt:variant>
      <vt:variant>
        <vt:i4>5</vt:i4>
      </vt:variant>
      <vt:variant>
        <vt:lpwstr/>
      </vt:variant>
      <vt:variant>
        <vt:lpwstr>_Toc239763002</vt:lpwstr>
      </vt:variant>
      <vt:variant>
        <vt:i4>6291548</vt:i4>
      </vt:variant>
      <vt:variant>
        <vt:i4>0</vt:i4>
      </vt:variant>
      <vt:variant>
        <vt:i4>0</vt:i4>
      </vt:variant>
      <vt:variant>
        <vt:i4>5</vt:i4>
      </vt:variant>
      <vt:variant>
        <vt:lpwstr>mailto:tga.copyright@tga.gov.au</vt:lpwstr>
      </vt:variant>
      <vt:variant>
        <vt:lpwstr/>
      </vt:variant>
      <vt:variant>
        <vt:i4>5177433</vt:i4>
      </vt:variant>
      <vt:variant>
        <vt:i4>30</vt:i4>
      </vt:variant>
      <vt:variant>
        <vt:i4>0</vt:i4>
      </vt:variant>
      <vt:variant>
        <vt:i4>5</vt:i4>
      </vt:variant>
      <vt:variant>
        <vt:lpwstr>https://www.tga.gov.au/resources/publication/scheduling-decisions-final/notice-final-decisions-amend-or-not-amend-current-poisons-standard-relation-nitrous-oxide</vt:lpwstr>
      </vt:variant>
      <vt:variant>
        <vt:lpwstr/>
      </vt:variant>
      <vt:variant>
        <vt:i4>262151</vt:i4>
      </vt:variant>
      <vt:variant>
        <vt:i4>27</vt:i4>
      </vt:variant>
      <vt:variant>
        <vt:i4>0</vt:i4>
      </vt:variant>
      <vt:variant>
        <vt:i4>5</vt:i4>
      </vt:variant>
      <vt:variant>
        <vt:lpwstr>https://adf.org.au/drug-facts/nitrous-oxide/</vt:lpwstr>
      </vt:variant>
      <vt:variant>
        <vt:lpwstr/>
      </vt:variant>
      <vt:variant>
        <vt:i4>4194416</vt:i4>
      </vt:variant>
      <vt:variant>
        <vt:i4>24</vt:i4>
      </vt:variant>
      <vt:variant>
        <vt:i4>0</vt:i4>
      </vt:variant>
      <vt:variant>
        <vt:i4>5</vt:i4>
      </vt:variant>
      <vt:variant>
        <vt:lpwstr>https://www.healthywa.wa.gov.au/Articles/N_R/Nitrous-oxide-nangs</vt:lpwstr>
      </vt:variant>
      <vt:variant>
        <vt:lpwstr/>
      </vt:variant>
      <vt:variant>
        <vt:i4>5570632</vt:i4>
      </vt:variant>
      <vt:variant>
        <vt:i4>21</vt:i4>
      </vt:variant>
      <vt:variant>
        <vt:i4>0</vt:i4>
      </vt:variant>
      <vt:variant>
        <vt:i4>5</vt:i4>
      </vt:variant>
      <vt:variant>
        <vt:lpwstr>https://www.health.govt.nz/regulation-legislation/psychoactive-substances/nitrous-oxide/nitrous-oxide-regulatory-changes</vt:lpwstr>
      </vt:variant>
      <vt:variant>
        <vt:lpwstr/>
      </vt:variant>
      <vt:variant>
        <vt:i4>7667815</vt:i4>
      </vt:variant>
      <vt:variant>
        <vt:i4>18</vt:i4>
      </vt:variant>
      <vt:variant>
        <vt:i4>0</vt:i4>
      </vt:variant>
      <vt:variant>
        <vt:i4>5</vt:i4>
      </vt:variant>
      <vt:variant>
        <vt:lpwstr>https://www.gov.uk/government/publications/nitrous-oxide-updated-harms-assessment/nitrous-oxide-updated-harms-assessment-accessible</vt:lpwstr>
      </vt:variant>
      <vt:variant>
        <vt:lpwstr/>
      </vt:variant>
      <vt:variant>
        <vt:i4>4522047</vt:i4>
      </vt:variant>
      <vt:variant>
        <vt:i4>15</vt:i4>
      </vt:variant>
      <vt:variant>
        <vt:i4>0</vt:i4>
      </vt:variant>
      <vt:variant>
        <vt:i4>5</vt:i4>
      </vt:variant>
      <vt:variant>
        <vt:lpwstr>https://www.health.nsw.gov.au/aod/Publications/nitrous_oxide_regulation_summary.pdf</vt:lpwstr>
      </vt:variant>
      <vt:variant>
        <vt:lpwstr/>
      </vt:variant>
      <vt:variant>
        <vt:i4>7209022</vt:i4>
      </vt:variant>
      <vt:variant>
        <vt:i4>12</vt:i4>
      </vt:variant>
      <vt:variant>
        <vt:i4>0</vt:i4>
      </vt:variant>
      <vt:variant>
        <vt:i4>5</vt:i4>
      </vt:variant>
      <vt:variant>
        <vt:lpwstr>https://statements.qld.gov.au/statements/103979</vt:lpwstr>
      </vt:variant>
      <vt:variant>
        <vt:lpwstr/>
      </vt:variant>
      <vt:variant>
        <vt:i4>3342385</vt:i4>
      </vt:variant>
      <vt:variant>
        <vt:i4>9</vt:i4>
      </vt:variant>
      <vt:variant>
        <vt:i4>0</vt:i4>
      </vt:variant>
      <vt:variant>
        <vt:i4>5</vt:i4>
      </vt:variant>
      <vt:variant>
        <vt:lpwstr>https://www.health.wa.gov.au/News/2024/Tougher-nitrous-oxide-regulations-now-in-effect</vt:lpwstr>
      </vt:variant>
      <vt:variant>
        <vt:lpwstr/>
      </vt:variant>
      <vt:variant>
        <vt:i4>196685</vt:i4>
      </vt:variant>
      <vt:variant>
        <vt:i4>6</vt:i4>
      </vt:variant>
      <vt:variant>
        <vt:i4>0</vt:i4>
      </vt:variant>
      <vt:variant>
        <vt:i4>5</vt:i4>
      </vt:variant>
      <vt:variant>
        <vt:lpwstr>https://lsc.sa.gov.au/dsh/ch12s16.php</vt:lpwstr>
      </vt:variant>
      <vt:variant>
        <vt:lpwstr/>
      </vt:variant>
      <vt:variant>
        <vt:i4>6226001</vt:i4>
      </vt:variant>
      <vt:variant>
        <vt:i4>3</vt:i4>
      </vt:variant>
      <vt:variant>
        <vt:i4>0</vt:i4>
      </vt:variant>
      <vt:variant>
        <vt:i4>5</vt:i4>
      </vt:variant>
      <vt:variant>
        <vt:lpwstr>https://www.health.vic.gov.au/aod-treatment-services/responsible-sale-of-solvents</vt:lpwstr>
      </vt:variant>
      <vt:variant>
        <vt:lpwstr/>
      </vt:variant>
      <vt:variant>
        <vt:i4>3145769</vt:i4>
      </vt:variant>
      <vt:variant>
        <vt:i4>0</vt:i4>
      </vt:variant>
      <vt:variant>
        <vt:i4>0</vt:i4>
      </vt:variant>
      <vt:variant>
        <vt:i4>5</vt:i4>
      </vt:variant>
      <vt:variant>
        <vt:lpwstr>https://www.unsw.edu.au/content/dam/pdfs/medicine-health/ndarc/research-reports/2026-06-ndarc/2026-06-national-edrs-bulletin-nitrous-oxide-product.pdf</vt:lpwstr>
      </vt:variant>
      <vt:variant>
        <vt:lpwstr/>
      </vt:variant>
      <vt:variant>
        <vt:i4>3735563</vt:i4>
      </vt:variant>
      <vt:variant>
        <vt:i4>9</vt:i4>
      </vt:variant>
      <vt:variant>
        <vt:i4>0</vt:i4>
      </vt:variant>
      <vt:variant>
        <vt:i4>5</vt:i4>
      </vt:variant>
      <vt:variant>
        <vt:lpwstr>mailto:medicines.scheduling@health.gov.au</vt:lpwstr>
      </vt:variant>
      <vt:variant>
        <vt:lpwstr/>
      </vt:variant>
      <vt:variant>
        <vt:i4>1966101</vt:i4>
      </vt:variant>
      <vt:variant>
        <vt:i4>6</vt:i4>
      </vt:variant>
      <vt:variant>
        <vt:i4>0</vt:i4>
      </vt:variant>
      <vt:variant>
        <vt:i4>5</vt:i4>
      </vt:variant>
      <vt:variant>
        <vt:lpwstr>https://www.tga.gov.au/committee/advisory-committee-chemicals-scheduling-accs</vt:lpwstr>
      </vt:variant>
      <vt:variant>
        <vt:lpwstr/>
      </vt:variant>
      <vt:variant>
        <vt:i4>1703967</vt:i4>
      </vt:variant>
      <vt:variant>
        <vt:i4>3</vt:i4>
      </vt:variant>
      <vt:variant>
        <vt:i4>0</vt:i4>
      </vt:variant>
      <vt:variant>
        <vt:i4>5</vt:i4>
      </vt:variant>
      <vt:variant>
        <vt:lpwstr>https://www.tga.gov.au/committee/advisory-committee-medicines-scheduling-acms</vt:lpwstr>
      </vt:variant>
      <vt:variant>
        <vt:lpwstr/>
      </vt:variant>
      <vt:variant>
        <vt:i4>4259849</vt:i4>
      </vt:variant>
      <vt:variant>
        <vt:i4>0</vt:i4>
      </vt:variant>
      <vt:variant>
        <vt:i4>0</vt:i4>
      </vt:variant>
      <vt:variant>
        <vt:i4>5</vt:i4>
      </vt:variant>
      <vt:variant>
        <vt:lpwstr>https://consultations.tga.gov.au/tga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 Vivi</dc:creator>
  <cp:keywords/>
  <dc:description/>
  <cp:lastModifiedBy>CHANG, Vivi</cp:lastModifiedBy>
  <cp:revision>2</cp:revision>
  <dcterms:created xsi:type="dcterms:W3CDTF">2026-09-10T23:14:00Z</dcterms:created>
  <dcterms:modified xsi:type="dcterms:W3CDTF">2026-09-10T23:14:00Z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69e909bb,d7ca87d,297a6753,22d011b9,6d41b1b3</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4a0019cc,2099501a,6fc9e98d,204e41f1,41c5844</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2025-12-18T03:42:46Z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92f55ec8-0538-448a-b48c-962024cf906f</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y fmtid="{D5CDD505-2E9C-101B-9397-08002B2CF9AE}" pid="16" name="ContentTypeId">
    <vt:lpwstr>0x010100EFE0E35EFD4F464680E6AF1C0D13EB20</vt:lpwstr>
  </property>
  <property fmtid="{D5CDD505-2E9C-101B-9397-08002B2CF9AE}" pid="17" name="docLang">
    <vt:lpwstr>en</vt:lpwstr>
  </property>
  <property fmtid="{D5CDD505-2E9C-101B-9397-08002B2CF9AE}" pid="18" name="MediaServiceImageTags">
    <vt:lpwstr/>
  </property>
</Properties>
</file>