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F02AEC" w:rsidRPr="00215D48" w14:paraId="77ED98E2" w14:textId="77777777" w:rsidTr="00AC5E26">
        <w:tc>
          <w:tcPr>
            <w:tcW w:w="8720" w:type="dxa"/>
          </w:tcPr>
          <w:p w14:paraId="1F256056" w14:textId="693D11FF" w:rsidR="00F02AEC" w:rsidRPr="00215D48" w:rsidRDefault="00685E72" w:rsidP="00AC5E26">
            <w:pPr>
              <w:pStyle w:val="Title"/>
            </w:pPr>
            <w:bookmarkStart w:id="0" w:name="_Hlk139891401"/>
            <w:r>
              <w:t xml:space="preserve">Consultation: Proposed amendments to the Poisons Standard – ACMS, ACCS and </w:t>
            </w:r>
            <w:r w:rsidR="00586A6E">
              <w:t>J</w:t>
            </w:r>
            <w:r>
              <w:t>oint ACMS-ACCS</w:t>
            </w:r>
            <w:r w:rsidR="002327B4">
              <w:t xml:space="preserve"> </w:t>
            </w:r>
            <w:r>
              <w:t xml:space="preserve">meetings, </w:t>
            </w:r>
            <w:r w:rsidR="00586A6E">
              <w:t>November 2023</w:t>
            </w:r>
          </w:p>
        </w:tc>
      </w:tr>
      <w:tr w:rsidR="00F02AEC" w:rsidRPr="00215D48" w14:paraId="68A139A2" w14:textId="77777777" w:rsidTr="00AC5E26">
        <w:trPr>
          <w:trHeight w:val="1916"/>
        </w:trPr>
        <w:tc>
          <w:tcPr>
            <w:tcW w:w="8720" w:type="dxa"/>
          </w:tcPr>
          <w:p w14:paraId="710F078A" w14:textId="79BF0437" w:rsidR="00F02AEC" w:rsidRPr="00215D48" w:rsidRDefault="00A83DFC" w:rsidP="00AC5E26">
            <w:pPr>
              <w:pStyle w:val="Subtitle"/>
              <w:ind w:left="0"/>
            </w:pPr>
            <w:r>
              <w:t>1 September 2023</w:t>
            </w:r>
          </w:p>
        </w:tc>
      </w:tr>
      <w:tr w:rsidR="00F02AEC" w:rsidRPr="00215D48" w14:paraId="320596D5" w14:textId="77777777" w:rsidTr="00AC5E26">
        <w:tc>
          <w:tcPr>
            <w:tcW w:w="8720" w:type="dxa"/>
          </w:tcPr>
          <w:p w14:paraId="0C2CE97A" w14:textId="5A673381" w:rsidR="00F02AEC" w:rsidRPr="00215D48" w:rsidRDefault="00F02AEC" w:rsidP="00AC5E26">
            <w:pPr>
              <w:pStyle w:val="Date"/>
            </w:pPr>
          </w:p>
        </w:tc>
      </w:tr>
      <w:bookmarkEnd w:id="0"/>
    </w:tbl>
    <w:p w14:paraId="1B7834FC" w14:textId="77777777" w:rsidR="00F02AEC" w:rsidRPr="00215D48" w:rsidRDefault="00F02AEC" w:rsidP="00EE4793">
      <w:pPr>
        <w:pStyle w:val="ListBullet"/>
        <w:numPr>
          <w:ilvl w:val="0"/>
          <w:numId w:val="0"/>
        </w:numPr>
        <w:sectPr w:rsidR="00F02AEC" w:rsidRPr="00215D48" w:rsidSect="00CB0550">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p>
    <w:p w14:paraId="6D956596" w14:textId="77777777" w:rsidR="00F02AEC" w:rsidRPr="00796620" w:rsidRDefault="00F02AEC" w:rsidP="0088292E">
      <w:pPr>
        <w:rPr>
          <w:rFonts w:cstheme="minorHAnsi"/>
          <w:b/>
          <w:bCs/>
          <w:sz w:val="17"/>
          <w:szCs w:val="17"/>
        </w:rPr>
      </w:pPr>
      <w:bookmarkStart w:id="1" w:name="_Hlk139891783"/>
      <w:r w:rsidRPr="00796620">
        <w:rPr>
          <w:rFonts w:cstheme="minorHAnsi"/>
          <w:b/>
          <w:bCs/>
          <w:sz w:val="17"/>
          <w:szCs w:val="17"/>
        </w:rPr>
        <w:lastRenderedPageBreak/>
        <w:t>Copyright</w:t>
      </w:r>
    </w:p>
    <w:p w14:paraId="1767149F" w14:textId="457C1A8E" w:rsidR="00930D58" w:rsidRPr="00087545" w:rsidRDefault="00F02AEC" w:rsidP="0088292E">
      <w:pPr>
        <w:rPr>
          <w:rFonts w:cstheme="minorHAnsi"/>
          <w:sz w:val="17"/>
          <w:szCs w:val="17"/>
        </w:rPr>
      </w:pPr>
      <w:r w:rsidRPr="00DF0A9C">
        <w:rPr>
          <w:rFonts w:cstheme="minorHAnsi"/>
          <w:sz w:val="17"/>
          <w:szCs w:val="17"/>
        </w:rPr>
        <w:t>© Commonwealth of Australia 202</w:t>
      </w:r>
      <w:r w:rsidR="00357751">
        <w:rPr>
          <w:rFonts w:cstheme="minorHAnsi"/>
          <w:sz w:val="17"/>
          <w:szCs w:val="17"/>
        </w:rPr>
        <w:t>3</w:t>
      </w:r>
      <w:r w:rsidRPr="00DF0A9C">
        <w:rPr>
          <w:rFonts w:cstheme="minorHAnsi"/>
          <w:sz w:val="17"/>
          <w:szCs w:val="17"/>
        </w:rPr>
        <w:br/>
        <w:t xml:space="preserve">This work is copyright. You may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DF0A9C">
        <w:rPr>
          <w:rFonts w:cstheme="minorHAnsi"/>
          <w:i/>
          <w:sz w:val="17"/>
          <w:szCs w:val="17"/>
        </w:rPr>
        <w:t>Copyright Act 1968</w:t>
      </w:r>
      <w:r w:rsidRPr="00DF0A9C">
        <w:rPr>
          <w:rFonts w:cstheme="minorHAnsi"/>
          <w:sz w:val="17"/>
          <w:szCs w:val="17"/>
        </w:rPr>
        <w:t xml:space="preserve"> or allowed by this copyright notice, all other rights are reserved and you are not allowed to reproduce the whole or any part of this work in any way (electronic or otherwise) without first being given specific written permission from the Commonwealth to do so. Requests and inquiries concerning reproduction and rights are to be sent to the TGA Copyright Officer, Therapeutic Goods Administration, PO Box 100, Woden ACT 2606 or emailed to &lt;</w:t>
      </w:r>
      <w:hyperlink r:id="rId12" w:history="1">
        <w:r w:rsidRPr="0072362E">
          <w:rPr>
            <w:rStyle w:val="Hyperlink"/>
            <w:rFonts w:asciiTheme="minorHAnsi" w:hAnsiTheme="minorHAnsi" w:cstheme="minorHAnsi"/>
            <w:sz w:val="17"/>
            <w:szCs w:val="17"/>
          </w:rPr>
          <w:t>tga.copyright@tga.gov.au</w:t>
        </w:r>
      </w:hyperlink>
      <w:r w:rsidRPr="00087545">
        <w:rPr>
          <w:rFonts w:cstheme="minorHAnsi"/>
          <w:sz w:val="17"/>
          <w:szCs w:val="17"/>
        </w:rPr>
        <w:t>&gt;.</w:t>
      </w:r>
    </w:p>
    <w:p w14:paraId="688EC53E" w14:textId="1FA81A84" w:rsidR="00175CD8" w:rsidRPr="00796620" w:rsidRDefault="00175CD8" w:rsidP="00175CD8">
      <w:pPr>
        <w:rPr>
          <w:rFonts w:cstheme="minorHAnsi"/>
        </w:rPr>
      </w:pPr>
    </w:p>
    <w:p w14:paraId="698AB6EA" w14:textId="77777777" w:rsidR="0088292E" w:rsidRPr="00796620" w:rsidRDefault="0088292E" w:rsidP="0088292E">
      <w:pPr>
        <w:rPr>
          <w:rFonts w:cstheme="minorHAnsi"/>
          <w:b/>
          <w:sz w:val="17"/>
          <w:szCs w:val="17"/>
        </w:rPr>
      </w:pPr>
      <w:bookmarkStart w:id="2" w:name="_Hlk139901247"/>
      <w:r w:rsidRPr="00796620">
        <w:rPr>
          <w:rFonts w:cstheme="minorHAnsi"/>
          <w:b/>
          <w:sz w:val="17"/>
          <w:szCs w:val="17"/>
        </w:rPr>
        <w:t>Confidentiality</w:t>
      </w:r>
    </w:p>
    <w:p w14:paraId="09981FEE" w14:textId="77777777" w:rsidR="0088292E" w:rsidRPr="00796620" w:rsidRDefault="0088292E" w:rsidP="0088292E">
      <w:pPr>
        <w:rPr>
          <w:rFonts w:cstheme="minorHAnsi"/>
          <w:sz w:val="17"/>
          <w:szCs w:val="17"/>
        </w:rPr>
      </w:pPr>
      <w:r w:rsidRPr="00796620">
        <w:rPr>
          <w:rFonts w:cstheme="minorHAnsi"/>
          <w:sz w:val="17"/>
          <w:szCs w:val="17"/>
        </w:rPr>
        <w:t>All submissions received will be placed on the TGA’s Internet site, unless marked confidential. Any confidential material contained within your submission should be provided under a separate cover and clearly marked “IN CONFIDENCE”. Reasons for a claim to confidentiality must be included in the space provided on the TGA submission form. For submission made by individuals, all personal details, other than your name, will be removed from your submission before it is published on the TGA’s Internet site. In addition, a list of parties making submissions will be published. If you do not wish to be identified with your submission you must specifically request this in the space provided on the submission form.</w:t>
      </w:r>
    </w:p>
    <w:bookmarkEnd w:id="2"/>
    <w:p w14:paraId="0F0DF0BB" w14:textId="5798723F" w:rsidR="0088292E" w:rsidRPr="00FA49C3" w:rsidRDefault="0088292E" w:rsidP="00175CD8"/>
    <w:bookmarkEnd w:id="1" w:displacedByCustomXml="next"/>
    <w:bookmarkStart w:id="3" w:name="_Hlk139892237" w:displacedByCustomXml="next"/>
    <w:sdt>
      <w:sdtPr>
        <w:rPr>
          <w:rFonts w:ascii="Cambria" w:eastAsiaTheme="minorHAnsi" w:hAnsi="Cambria" w:cstheme="minorBidi"/>
          <w:b w:val="0"/>
          <w:color w:val="auto"/>
          <w:sz w:val="22"/>
          <w:szCs w:val="22"/>
        </w:rPr>
        <w:id w:val="21514769"/>
        <w:docPartObj>
          <w:docPartGallery w:val="Table of Contents"/>
          <w:docPartUnique/>
        </w:docPartObj>
      </w:sdtPr>
      <w:sdtEndPr>
        <w:rPr>
          <w:rFonts w:asciiTheme="minorHAnsi" w:hAnsiTheme="minorHAnsi"/>
          <w:szCs w:val="20"/>
        </w:rPr>
      </w:sdtEndPr>
      <w:sdtContent>
        <w:p w14:paraId="4831BF2E" w14:textId="77777777" w:rsidR="00F02AEC" w:rsidRPr="00215D48" w:rsidRDefault="00F02AEC" w:rsidP="00AC5E26">
          <w:pPr>
            <w:pStyle w:val="NonTOCheading2"/>
          </w:pPr>
          <w:r w:rsidRPr="00215D48">
            <w:t>Contents</w:t>
          </w:r>
        </w:p>
        <w:p w14:paraId="178C4E14" w14:textId="5420DE41" w:rsidR="004C7298" w:rsidRDefault="00F02AEC">
          <w:pPr>
            <w:pStyle w:val="TOC1"/>
            <w:rPr>
              <w:rFonts w:asciiTheme="minorHAnsi" w:eastAsiaTheme="minorEastAsia" w:hAnsiTheme="minorHAnsi" w:cstheme="minorBidi"/>
              <w:b w:val="0"/>
              <w:noProof/>
              <w:color w:val="auto"/>
              <w:sz w:val="22"/>
              <w:szCs w:val="22"/>
              <w:lang w:eastAsia="en-AU"/>
            </w:rPr>
          </w:pPr>
          <w:r w:rsidRPr="00710D2F">
            <w:rPr>
              <w:color w:val="auto"/>
            </w:rPr>
            <w:fldChar w:fldCharType="begin"/>
          </w:r>
          <w:r w:rsidRPr="00710D2F">
            <w:rPr>
              <w:color w:val="auto"/>
            </w:rPr>
            <w:instrText xml:space="preserve"> TOC \h \z \u \t "Heading 2,1,Heading 3,2,Heading 4,3" </w:instrText>
          </w:r>
          <w:r w:rsidRPr="00710D2F">
            <w:rPr>
              <w:color w:val="auto"/>
            </w:rPr>
            <w:fldChar w:fldCharType="separate"/>
          </w:r>
          <w:hyperlink w:anchor="_Toc144110828" w:history="1">
            <w:r w:rsidR="004C7298" w:rsidRPr="006D24F3">
              <w:rPr>
                <w:rStyle w:val="Hyperlink"/>
                <w:noProof/>
              </w:rPr>
              <w:t>About this consultation</w:t>
            </w:r>
            <w:r w:rsidR="004C7298">
              <w:rPr>
                <w:noProof/>
                <w:webHidden/>
              </w:rPr>
              <w:tab/>
            </w:r>
            <w:r w:rsidR="004C7298">
              <w:rPr>
                <w:noProof/>
                <w:webHidden/>
              </w:rPr>
              <w:fldChar w:fldCharType="begin"/>
            </w:r>
            <w:r w:rsidR="004C7298">
              <w:rPr>
                <w:noProof/>
                <w:webHidden/>
              </w:rPr>
              <w:instrText xml:space="preserve"> PAGEREF _Toc144110828 \h </w:instrText>
            </w:r>
            <w:r w:rsidR="004C7298">
              <w:rPr>
                <w:noProof/>
                <w:webHidden/>
              </w:rPr>
            </w:r>
            <w:r w:rsidR="004C7298">
              <w:rPr>
                <w:noProof/>
                <w:webHidden/>
              </w:rPr>
              <w:fldChar w:fldCharType="separate"/>
            </w:r>
            <w:r w:rsidR="004C7298">
              <w:rPr>
                <w:noProof/>
                <w:webHidden/>
              </w:rPr>
              <w:t>8</w:t>
            </w:r>
            <w:r w:rsidR="004C7298">
              <w:rPr>
                <w:noProof/>
                <w:webHidden/>
              </w:rPr>
              <w:fldChar w:fldCharType="end"/>
            </w:r>
          </w:hyperlink>
        </w:p>
        <w:p w14:paraId="7C9C0A89" w14:textId="49F785DD" w:rsidR="004C7298" w:rsidRDefault="00013F20">
          <w:pPr>
            <w:pStyle w:val="TOC1"/>
            <w:tabs>
              <w:tab w:val="left" w:pos="425"/>
            </w:tabs>
            <w:rPr>
              <w:rFonts w:asciiTheme="minorHAnsi" w:eastAsiaTheme="minorEastAsia" w:hAnsiTheme="minorHAnsi" w:cstheme="minorBidi"/>
              <w:b w:val="0"/>
              <w:noProof/>
              <w:color w:val="auto"/>
              <w:sz w:val="22"/>
              <w:szCs w:val="22"/>
              <w:lang w:eastAsia="en-AU"/>
            </w:rPr>
          </w:pPr>
          <w:hyperlink w:anchor="_Toc144110829" w:history="1">
            <w:r w:rsidR="004C7298" w:rsidRPr="006D24F3">
              <w:rPr>
                <w:rStyle w:val="Hyperlink"/>
                <w:noProof/>
              </w:rPr>
              <w:t>1</w:t>
            </w:r>
            <w:r w:rsidR="004C7298">
              <w:rPr>
                <w:rFonts w:asciiTheme="minorHAnsi" w:eastAsiaTheme="minorEastAsia" w:hAnsiTheme="minorHAnsi" w:cstheme="minorBidi"/>
                <w:b w:val="0"/>
                <w:noProof/>
                <w:color w:val="auto"/>
                <w:sz w:val="22"/>
                <w:szCs w:val="22"/>
                <w:lang w:eastAsia="en-AU"/>
              </w:rPr>
              <w:tab/>
            </w:r>
            <w:r w:rsidR="004C7298" w:rsidRPr="006D24F3">
              <w:rPr>
                <w:rStyle w:val="Hyperlink"/>
                <w:noProof/>
              </w:rPr>
              <w:t>Proposed amendments referred for scheduling advice to ACMS meeting #43, November 2023</w:t>
            </w:r>
            <w:r w:rsidR="004C7298">
              <w:rPr>
                <w:noProof/>
                <w:webHidden/>
              </w:rPr>
              <w:tab/>
            </w:r>
            <w:r w:rsidR="004C7298">
              <w:rPr>
                <w:noProof/>
                <w:webHidden/>
              </w:rPr>
              <w:fldChar w:fldCharType="begin"/>
            </w:r>
            <w:r w:rsidR="004C7298">
              <w:rPr>
                <w:noProof/>
                <w:webHidden/>
              </w:rPr>
              <w:instrText xml:space="preserve"> PAGEREF _Toc144110829 \h </w:instrText>
            </w:r>
            <w:r w:rsidR="004C7298">
              <w:rPr>
                <w:noProof/>
                <w:webHidden/>
              </w:rPr>
            </w:r>
            <w:r w:rsidR="004C7298">
              <w:rPr>
                <w:noProof/>
                <w:webHidden/>
              </w:rPr>
              <w:fldChar w:fldCharType="separate"/>
            </w:r>
            <w:r w:rsidR="004C7298">
              <w:rPr>
                <w:noProof/>
                <w:webHidden/>
              </w:rPr>
              <w:t>9</w:t>
            </w:r>
            <w:r w:rsidR="004C7298">
              <w:rPr>
                <w:noProof/>
                <w:webHidden/>
              </w:rPr>
              <w:fldChar w:fldCharType="end"/>
            </w:r>
          </w:hyperlink>
        </w:p>
        <w:p w14:paraId="094D2F98" w14:textId="360D1A7C" w:rsidR="004C7298" w:rsidRDefault="00013F20">
          <w:pPr>
            <w:pStyle w:val="TOC2"/>
            <w:tabs>
              <w:tab w:val="left" w:pos="1276"/>
            </w:tabs>
            <w:rPr>
              <w:rFonts w:asciiTheme="minorHAnsi" w:eastAsiaTheme="minorEastAsia" w:hAnsiTheme="minorHAnsi" w:cstheme="minorBidi"/>
              <w:b w:val="0"/>
              <w:noProof/>
              <w:color w:val="auto"/>
              <w:sz w:val="22"/>
              <w:szCs w:val="22"/>
              <w:lang w:eastAsia="en-AU"/>
            </w:rPr>
          </w:pPr>
          <w:hyperlink w:anchor="_Toc144110830" w:history="1">
            <w:r w:rsidR="004C7298" w:rsidRPr="006D24F3">
              <w:rPr>
                <w:rStyle w:val="Hyperlink"/>
                <w:noProof/>
              </w:rPr>
              <w:t>1.1</w:t>
            </w:r>
            <w:r w:rsidR="004C7298">
              <w:rPr>
                <w:rFonts w:asciiTheme="minorHAnsi" w:eastAsiaTheme="minorEastAsia" w:hAnsiTheme="minorHAnsi" w:cstheme="minorBidi"/>
                <w:b w:val="0"/>
                <w:noProof/>
                <w:color w:val="auto"/>
                <w:sz w:val="22"/>
                <w:szCs w:val="22"/>
                <w:lang w:eastAsia="en-AU"/>
              </w:rPr>
              <w:tab/>
            </w:r>
            <w:r w:rsidR="004C7298" w:rsidRPr="006D24F3">
              <w:rPr>
                <w:rStyle w:val="Hyperlink"/>
                <w:noProof/>
              </w:rPr>
              <w:t>Astodrimer sodium</w:t>
            </w:r>
            <w:r w:rsidR="004C7298">
              <w:rPr>
                <w:noProof/>
                <w:webHidden/>
              </w:rPr>
              <w:tab/>
            </w:r>
            <w:r w:rsidR="004C7298">
              <w:rPr>
                <w:noProof/>
                <w:webHidden/>
              </w:rPr>
              <w:fldChar w:fldCharType="begin"/>
            </w:r>
            <w:r w:rsidR="004C7298">
              <w:rPr>
                <w:noProof/>
                <w:webHidden/>
              </w:rPr>
              <w:instrText xml:space="preserve"> PAGEREF _Toc144110830 \h </w:instrText>
            </w:r>
            <w:r w:rsidR="004C7298">
              <w:rPr>
                <w:noProof/>
                <w:webHidden/>
              </w:rPr>
            </w:r>
            <w:r w:rsidR="004C7298">
              <w:rPr>
                <w:noProof/>
                <w:webHidden/>
              </w:rPr>
              <w:fldChar w:fldCharType="separate"/>
            </w:r>
            <w:r w:rsidR="004C7298">
              <w:rPr>
                <w:noProof/>
                <w:webHidden/>
              </w:rPr>
              <w:t>9</w:t>
            </w:r>
            <w:r w:rsidR="004C7298">
              <w:rPr>
                <w:noProof/>
                <w:webHidden/>
              </w:rPr>
              <w:fldChar w:fldCharType="end"/>
            </w:r>
          </w:hyperlink>
        </w:p>
        <w:p w14:paraId="71279D94" w14:textId="7E4E2A79" w:rsidR="004C7298" w:rsidRDefault="00013F20">
          <w:pPr>
            <w:pStyle w:val="TOC3"/>
            <w:rPr>
              <w:rFonts w:asciiTheme="minorHAnsi" w:eastAsiaTheme="minorEastAsia" w:hAnsiTheme="minorHAnsi" w:cstheme="minorBidi"/>
              <w:b w:val="0"/>
              <w:noProof/>
              <w:color w:val="auto"/>
              <w:szCs w:val="22"/>
              <w:lang w:eastAsia="en-AU"/>
            </w:rPr>
          </w:pPr>
          <w:hyperlink w:anchor="_Toc144110831" w:history="1">
            <w:r w:rsidR="004C7298" w:rsidRPr="006D24F3">
              <w:rPr>
                <w:rStyle w:val="Hyperlink"/>
                <w:noProof/>
              </w:rPr>
              <w:t>Proposal</w:t>
            </w:r>
            <w:r w:rsidR="004C7298">
              <w:rPr>
                <w:noProof/>
                <w:webHidden/>
              </w:rPr>
              <w:tab/>
            </w:r>
            <w:r w:rsidR="004C7298">
              <w:rPr>
                <w:noProof/>
                <w:webHidden/>
              </w:rPr>
              <w:fldChar w:fldCharType="begin"/>
            </w:r>
            <w:r w:rsidR="004C7298">
              <w:rPr>
                <w:noProof/>
                <w:webHidden/>
              </w:rPr>
              <w:instrText xml:space="preserve"> PAGEREF _Toc144110831 \h </w:instrText>
            </w:r>
            <w:r w:rsidR="004C7298">
              <w:rPr>
                <w:noProof/>
                <w:webHidden/>
              </w:rPr>
            </w:r>
            <w:r w:rsidR="004C7298">
              <w:rPr>
                <w:noProof/>
                <w:webHidden/>
              </w:rPr>
              <w:fldChar w:fldCharType="separate"/>
            </w:r>
            <w:r w:rsidR="004C7298">
              <w:rPr>
                <w:noProof/>
                <w:webHidden/>
              </w:rPr>
              <w:t>9</w:t>
            </w:r>
            <w:r w:rsidR="004C7298">
              <w:rPr>
                <w:noProof/>
                <w:webHidden/>
              </w:rPr>
              <w:fldChar w:fldCharType="end"/>
            </w:r>
          </w:hyperlink>
        </w:p>
        <w:p w14:paraId="17D51BEC" w14:textId="2E9B66E7" w:rsidR="004C7298" w:rsidRDefault="00013F20">
          <w:pPr>
            <w:pStyle w:val="TOC3"/>
            <w:rPr>
              <w:rFonts w:asciiTheme="minorHAnsi" w:eastAsiaTheme="minorEastAsia" w:hAnsiTheme="minorHAnsi" w:cstheme="minorBidi"/>
              <w:b w:val="0"/>
              <w:noProof/>
              <w:color w:val="auto"/>
              <w:szCs w:val="22"/>
              <w:lang w:eastAsia="en-AU"/>
            </w:rPr>
          </w:pPr>
          <w:hyperlink w:anchor="_Toc144110832" w:history="1">
            <w:r w:rsidR="004C7298" w:rsidRPr="006D24F3">
              <w:rPr>
                <w:rStyle w:val="Hyperlink"/>
                <w:noProof/>
              </w:rPr>
              <w:t>CAS number</w:t>
            </w:r>
            <w:r w:rsidR="004C7298">
              <w:rPr>
                <w:noProof/>
                <w:webHidden/>
              </w:rPr>
              <w:tab/>
            </w:r>
            <w:r w:rsidR="004C7298">
              <w:rPr>
                <w:noProof/>
                <w:webHidden/>
              </w:rPr>
              <w:fldChar w:fldCharType="begin"/>
            </w:r>
            <w:r w:rsidR="004C7298">
              <w:rPr>
                <w:noProof/>
                <w:webHidden/>
              </w:rPr>
              <w:instrText xml:space="preserve"> PAGEREF _Toc144110832 \h </w:instrText>
            </w:r>
            <w:r w:rsidR="004C7298">
              <w:rPr>
                <w:noProof/>
                <w:webHidden/>
              </w:rPr>
            </w:r>
            <w:r w:rsidR="004C7298">
              <w:rPr>
                <w:noProof/>
                <w:webHidden/>
              </w:rPr>
              <w:fldChar w:fldCharType="separate"/>
            </w:r>
            <w:r w:rsidR="004C7298">
              <w:rPr>
                <w:noProof/>
                <w:webHidden/>
              </w:rPr>
              <w:t>9</w:t>
            </w:r>
            <w:r w:rsidR="004C7298">
              <w:rPr>
                <w:noProof/>
                <w:webHidden/>
              </w:rPr>
              <w:fldChar w:fldCharType="end"/>
            </w:r>
          </w:hyperlink>
        </w:p>
        <w:p w14:paraId="659CE89A" w14:textId="079BD347" w:rsidR="004C7298" w:rsidRDefault="00013F20">
          <w:pPr>
            <w:pStyle w:val="TOC3"/>
            <w:rPr>
              <w:rFonts w:asciiTheme="minorHAnsi" w:eastAsiaTheme="minorEastAsia" w:hAnsiTheme="minorHAnsi" w:cstheme="minorBidi"/>
              <w:b w:val="0"/>
              <w:noProof/>
              <w:color w:val="auto"/>
              <w:szCs w:val="22"/>
              <w:lang w:eastAsia="en-AU"/>
            </w:rPr>
          </w:pPr>
          <w:hyperlink w:anchor="_Toc144110833" w:history="1">
            <w:r w:rsidR="004C7298" w:rsidRPr="006D24F3">
              <w:rPr>
                <w:rStyle w:val="Hyperlink"/>
                <w:noProof/>
              </w:rPr>
              <w:t>Alternative names</w:t>
            </w:r>
            <w:r w:rsidR="004C7298">
              <w:rPr>
                <w:noProof/>
                <w:webHidden/>
              </w:rPr>
              <w:tab/>
            </w:r>
            <w:r w:rsidR="004C7298">
              <w:rPr>
                <w:noProof/>
                <w:webHidden/>
              </w:rPr>
              <w:fldChar w:fldCharType="begin"/>
            </w:r>
            <w:r w:rsidR="004C7298">
              <w:rPr>
                <w:noProof/>
                <w:webHidden/>
              </w:rPr>
              <w:instrText xml:space="preserve"> PAGEREF _Toc144110833 \h </w:instrText>
            </w:r>
            <w:r w:rsidR="004C7298">
              <w:rPr>
                <w:noProof/>
                <w:webHidden/>
              </w:rPr>
            </w:r>
            <w:r w:rsidR="004C7298">
              <w:rPr>
                <w:noProof/>
                <w:webHidden/>
              </w:rPr>
              <w:fldChar w:fldCharType="separate"/>
            </w:r>
            <w:r w:rsidR="004C7298">
              <w:rPr>
                <w:noProof/>
                <w:webHidden/>
              </w:rPr>
              <w:t>9</w:t>
            </w:r>
            <w:r w:rsidR="004C7298">
              <w:rPr>
                <w:noProof/>
                <w:webHidden/>
              </w:rPr>
              <w:fldChar w:fldCharType="end"/>
            </w:r>
          </w:hyperlink>
        </w:p>
        <w:p w14:paraId="4F943ACE" w14:textId="5B0CB25C" w:rsidR="004C7298" w:rsidRDefault="00013F20">
          <w:pPr>
            <w:pStyle w:val="TOC3"/>
            <w:rPr>
              <w:rFonts w:asciiTheme="minorHAnsi" w:eastAsiaTheme="minorEastAsia" w:hAnsiTheme="minorHAnsi" w:cstheme="minorBidi"/>
              <w:b w:val="0"/>
              <w:noProof/>
              <w:color w:val="auto"/>
              <w:szCs w:val="22"/>
              <w:lang w:eastAsia="en-AU"/>
            </w:rPr>
          </w:pPr>
          <w:hyperlink w:anchor="_Toc144110834" w:history="1">
            <w:r w:rsidR="004C7298" w:rsidRPr="006D24F3">
              <w:rPr>
                <w:rStyle w:val="Hyperlink"/>
                <w:noProof/>
              </w:rPr>
              <w:t>Applicant</w:t>
            </w:r>
            <w:r w:rsidR="004C7298">
              <w:rPr>
                <w:noProof/>
                <w:webHidden/>
              </w:rPr>
              <w:tab/>
            </w:r>
            <w:r w:rsidR="004C7298">
              <w:rPr>
                <w:noProof/>
                <w:webHidden/>
              </w:rPr>
              <w:fldChar w:fldCharType="begin"/>
            </w:r>
            <w:r w:rsidR="004C7298">
              <w:rPr>
                <w:noProof/>
                <w:webHidden/>
              </w:rPr>
              <w:instrText xml:space="preserve"> PAGEREF _Toc144110834 \h </w:instrText>
            </w:r>
            <w:r w:rsidR="004C7298">
              <w:rPr>
                <w:noProof/>
                <w:webHidden/>
              </w:rPr>
            </w:r>
            <w:r w:rsidR="004C7298">
              <w:rPr>
                <w:noProof/>
                <w:webHidden/>
              </w:rPr>
              <w:fldChar w:fldCharType="separate"/>
            </w:r>
            <w:r w:rsidR="004C7298">
              <w:rPr>
                <w:noProof/>
                <w:webHidden/>
              </w:rPr>
              <w:t>9</w:t>
            </w:r>
            <w:r w:rsidR="004C7298">
              <w:rPr>
                <w:noProof/>
                <w:webHidden/>
              </w:rPr>
              <w:fldChar w:fldCharType="end"/>
            </w:r>
          </w:hyperlink>
        </w:p>
        <w:p w14:paraId="04A0C908" w14:textId="1722AFC5" w:rsidR="004C7298" w:rsidRDefault="00013F20">
          <w:pPr>
            <w:pStyle w:val="TOC3"/>
            <w:rPr>
              <w:rFonts w:asciiTheme="minorHAnsi" w:eastAsiaTheme="minorEastAsia" w:hAnsiTheme="minorHAnsi" w:cstheme="minorBidi"/>
              <w:b w:val="0"/>
              <w:noProof/>
              <w:color w:val="auto"/>
              <w:szCs w:val="22"/>
              <w:lang w:eastAsia="en-AU"/>
            </w:rPr>
          </w:pPr>
          <w:hyperlink w:anchor="_Toc144110835" w:history="1">
            <w:r w:rsidR="004C7298" w:rsidRPr="006D24F3">
              <w:rPr>
                <w:rStyle w:val="Hyperlink"/>
                <w:noProof/>
              </w:rPr>
              <w:t>Proposed Scheduling</w:t>
            </w:r>
            <w:r w:rsidR="004C7298">
              <w:rPr>
                <w:noProof/>
                <w:webHidden/>
              </w:rPr>
              <w:tab/>
            </w:r>
            <w:r w:rsidR="004C7298">
              <w:rPr>
                <w:noProof/>
                <w:webHidden/>
              </w:rPr>
              <w:fldChar w:fldCharType="begin"/>
            </w:r>
            <w:r w:rsidR="004C7298">
              <w:rPr>
                <w:noProof/>
                <w:webHidden/>
              </w:rPr>
              <w:instrText xml:space="preserve"> PAGEREF _Toc144110835 \h </w:instrText>
            </w:r>
            <w:r w:rsidR="004C7298">
              <w:rPr>
                <w:noProof/>
                <w:webHidden/>
              </w:rPr>
            </w:r>
            <w:r w:rsidR="004C7298">
              <w:rPr>
                <w:noProof/>
                <w:webHidden/>
              </w:rPr>
              <w:fldChar w:fldCharType="separate"/>
            </w:r>
            <w:r w:rsidR="004C7298">
              <w:rPr>
                <w:noProof/>
                <w:webHidden/>
              </w:rPr>
              <w:t>9</w:t>
            </w:r>
            <w:r w:rsidR="004C7298">
              <w:rPr>
                <w:noProof/>
                <w:webHidden/>
              </w:rPr>
              <w:fldChar w:fldCharType="end"/>
            </w:r>
          </w:hyperlink>
        </w:p>
        <w:p w14:paraId="274CE35E" w14:textId="7F0806DF" w:rsidR="004C7298" w:rsidRDefault="00013F20">
          <w:pPr>
            <w:pStyle w:val="TOC3"/>
            <w:rPr>
              <w:rFonts w:asciiTheme="minorHAnsi" w:eastAsiaTheme="minorEastAsia" w:hAnsiTheme="minorHAnsi" w:cstheme="minorBidi"/>
              <w:b w:val="0"/>
              <w:noProof/>
              <w:color w:val="auto"/>
              <w:szCs w:val="22"/>
              <w:lang w:eastAsia="en-AU"/>
            </w:rPr>
          </w:pPr>
          <w:hyperlink w:anchor="_Toc144110836" w:history="1">
            <w:r w:rsidR="004C7298" w:rsidRPr="006D24F3">
              <w:rPr>
                <w:rStyle w:val="Hyperlink"/>
                <w:noProof/>
              </w:rPr>
              <w:t>Background</w:t>
            </w:r>
            <w:r w:rsidR="004C7298">
              <w:rPr>
                <w:noProof/>
                <w:webHidden/>
              </w:rPr>
              <w:tab/>
            </w:r>
            <w:r w:rsidR="004C7298">
              <w:rPr>
                <w:noProof/>
                <w:webHidden/>
              </w:rPr>
              <w:fldChar w:fldCharType="begin"/>
            </w:r>
            <w:r w:rsidR="004C7298">
              <w:rPr>
                <w:noProof/>
                <w:webHidden/>
              </w:rPr>
              <w:instrText xml:space="preserve"> PAGEREF _Toc144110836 \h </w:instrText>
            </w:r>
            <w:r w:rsidR="004C7298">
              <w:rPr>
                <w:noProof/>
                <w:webHidden/>
              </w:rPr>
            </w:r>
            <w:r w:rsidR="004C7298">
              <w:rPr>
                <w:noProof/>
                <w:webHidden/>
              </w:rPr>
              <w:fldChar w:fldCharType="separate"/>
            </w:r>
            <w:r w:rsidR="004C7298">
              <w:rPr>
                <w:noProof/>
                <w:webHidden/>
              </w:rPr>
              <w:t>10</w:t>
            </w:r>
            <w:r w:rsidR="004C7298">
              <w:rPr>
                <w:noProof/>
                <w:webHidden/>
              </w:rPr>
              <w:fldChar w:fldCharType="end"/>
            </w:r>
          </w:hyperlink>
        </w:p>
        <w:p w14:paraId="4BBB4E1C" w14:textId="62862EC1" w:rsidR="004C7298" w:rsidRDefault="00013F20">
          <w:pPr>
            <w:pStyle w:val="TOC3"/>
            <w:rPr>
              <w:rFonts w:asciiTheme="minorHAnsi" w:eastAsiaTheme="minorEastAsia" w:hAnsiTheme="minorHAnsi" w:cstheme="minorBidi"/>
              <w:b w:val="0"/>
              <w:noProof/>
              <w:color w:val="auto"/>
              <w:szCs w:val="22"/>
              <w:lang w:eastAsia="en-AU"/>
            </w:rPr>
          </w:pPr>
          <w:hyperlink w:anchor="_Toc144110837" w:history="1">
            <w:r w:rsidR="004C7298" w:rsidRPr="006D24F3">
              <w:rPr>
                <w:rStyle w:val="Hyperlink"/>
                <w:noProof/>
              </w:rPr>
              <w:t>Summary of applicant’s reasons for the proposal</w:t>
            </w:r>
            <w:r w:rsidR="004C7298">
              <w:rPr>
                <w:noProof/>
                <w:webHidden/>
              </w:rPr>
              <w:tab/>
            </w:r>
            <w:r w:rsidR="004C7298">
              <w:rPr>
                <w:noProof/>
                <w:webHidden/>
              </w:rPr>
              <w:fldChar w:fldCharType="begin"/>
            </w:r>
            <w:r w:rsidR="004C7298">
              <w:rPr>
                <w:noProof/>
                <w:webHidden/>
              </w:rPr>
              <w:instrText xml:space="preserve"> PAGEREF _Toc144110837 \h </w:instrText>
            </w:r>
            <w:r w:rsidR="004C7298">
              <w:rPr>
                <w:noProof/>
                <w:webHidden/>
              </w:rPr>
            </w:r>
            <w:r w:rsidR="004C7298">
              <w:rPr>
                <w:noProof/>
                <w:webHidden/>
              </w:rPr>
              <w:fldChar w:fldCharType="separate"/>
            </w:r>
            <w:r w:rsidR="004C7298">
              <w:rPr>
                <w:noProof/>
                <w:webHidden/>
              </w:rPr>
              <w:t>11</w:t>
            </w:r>
            <w:r w:rsidR="004C7298">
              <w:rPr>
                <w:noProof/>
                <w:webHidden/>
              </w:rPr>
              <w:fldChar w:fldCharType="end"/>
            </w:r>
          </w:hyperlink>
        </w:p>
        <w:p w14:paraId="6BB07484" w14:textId="1FA85C4E" w:rsidR="004C7298" w:rsidRDefault="00013F20">
          <w:pPr>
            <w:pStyle w:val="TOC3"/>
            <w:rPr>
              <w:rFonts w:asciiTheme="minorHAnsi" w:eastAsiaTheme="minorEastAsia" w:hAnsiTheme="minorHAnsi" w:cstheme="minorBidi"/>
              <w:b w:val="0"/>
              <w:noProof/>
              <w:color w:val="auto"/>
              <w:szCs w:val="22"/>
              <w:lang w:eastAsia="en-AU"/>
            </w:rPr>
          </w:pPr>
          <w:hyperlink w:anchor="_Toc144110838" w:history="1">
            <w:r w:rsidR="004C7298" w:rsidRPr="006D24F3">
              <w:rPr>
                <w:rStyle w:val="Hyperlink"/>
                <w:noProof/>
              </w:rPr>
              <w:t>Key uses / expected use</w:t>
            </w:r>
            <w:r w:rsidR="004C7298">
              <w:rPr>
                <w:noProof/>
                <w:webHidden/>
              </w:rPr>
              <w:tab/>
            </w:r>
            <w:r w:rsidR="004C7298">
              <w:rPr>
                <w:noProof/>
                <w:webHidden/>
              </w:rPr>
              <w:fldChar w:fldCharType="begin"/>
            </w:r>
            <w:r w:rsidR="004C7298">
              <w:rPr>
                <w:noProof/>
                <w:webHidden/>
              </w:rPr>
              <w:instrText xml:space="preserve"> PAGEREF _Toc144110838 \h </w:instrText>
            </w:r>
            <w:r w:rsidR="004C7298">
              <w:rPr>
                <w:noProof/>
                <w:webHidden/>
              </w:rPr>
            </w:r>
            <w:r w:rsidR="004C7298">
              <w:rPr>
                <w:noProof/>
                <w:webHidden/>
              </w:rPr>
              <w:fldChar w:fldCharType="separate"/>
            </w:r>
            <w:r w:rsidR="004C7298">
              <w:rPr>
                <w:noProof/>
                <w:webHidden/>
              </w:rPr>
              <w:t>11</w:t>
            </w:r>
            <w:r w:rsidR="004C7298">
              <w:rPr>
                <w:noProof/>
                <w:webHidden/>
              </w:rPr>
              <w:fldChar w:fldCharType="end"/>
            </w:r>
          </w:hyperlink>
        </w:p>
        <w:p w14:paraId="6B72DED1" w14:textId="6504BB8F" w:rsidR="004C7298" w:rsidRDefault="00013F20">
          <w:pPr>
            <w:pStyle w:val="TOC3"/>
            <w:rPr>
              <w:rFonts w:asciiTheme="minorHAnsi" w:eastAsiaTheme="minorEastAsia" w:hAnsiTheme="minorHAnsi" w:cstheme="minorBidi"/>
              <w:b w:val="0"/>
              <w:noProof/>
              <w:color w:val="auto"/>
              <w:szCs w:val="22"/>
              <w:lang w:eastAsia="en-AU"/>
            </w:rPr>
          </w:pPr>
          <w:hyperlink w:anchor="_Toc144110839" w:history="1">
            <w:r w:rsidR="004C7298" w:rsidRPr="006D24F3">
              <w:rPr>
                <w:rStyle w:val="Hyperlink"/>
                <w:noProof/>
              </w:rPr>
              <w:t>Australian regulations</w:t>
            </w:r>
            <w:r w:rsidR="004C7298">
              <w:rPr>
                <w:noProof/>
                <w:webHidden/>
              </w:rPr>
              <w:tab/>
            </w:r>
            <w:r w:rsidR="004C7298">
              <w:rPr>
                <w:noProof/>
                <w:webHidden/>
              </w:rPr>
              <w:fldChar w:fldCharType="begin"/>
            </w:r>
            <w:r w:rsidR="004C7298">
              <w:rPr>
                <w:noProof/>
                <w:webHidden/>
              </w:rPr>
              <w:instrText xml:space="preserve"> PAGEREF _Toc144110839 \h </w:instrText>
            </w:r>
            <w:r w:rsidR="004C7298">
              <w:rPr>
                <w:noProof/>
                <w:webHidden/>
              </w:rPr>
            </w:r>
            <w:r w:rsidR="004C7298">
              <w:rPr>
                <w:noProof/>
                <w:webHidden/>
              </w:rPr>
              <w:fldChar w:fldCharType="separate"/>
            </w:r>
            <w:r w:rsidR="004C7298">
              <w:rPr>
                <w:noProof/>
                <w:webHidden/>
              </w:rPr>
              <w:t>11</w:t>
            </w:r>
            <w:r w:rsidR="004C7298">
              <w:rPr>
                <w:noProof/>
                <w:webHidden/>
              </w:rPr>
              <w:fldChar w:fldCharType="end"/>
            </w:r>
          </w:hyperlink>
        </w:p>
        <w:p w14:paraId="30DAE34D" w14:textId="61D3A44F" w:rsidR="004C7298" w:rsidRDefault="00013F20">
          <w:pPr>
            <w:pStyle w:val="TOC3"/>
            <w:rPr>
              <w:rFonts w:asciiTheme="minorHAnsi" w:eastAsiaTheme="minorEastAsia" w:hAnsiTheme="minorHAnsi" w:cstheme="minorBidi"/>
              <w:b w:val="0"/>
              <w:noProof/>
              <w:color w:val="auto"/>
              <w:szCs w:val="22"/>
              <w:lang w:eastAsia="en-AU"/>
            </w:rPr>
          </w:pPr>
          <w:hyperlink w:anchor="_Toc144110840" w:history="1">
            <w:r w:rsidR="004C7298" w:rsidRPr="006D24F3">
              <w:rPr>
                <w:rStyle w:val="Hyperlink"/>
                <w:noProof/>
              </w:rPr>
              <w:t>International regulations</w:t>
            </w:r>
            <w:r w:rsidR="004C7298">
              <w:rPr>
                <w:noProof/>
                <w:webHidden/>
              </w:rPr>
              <w:tab/>
            </w:r>
            <w:r w:rsidR="004C7298">
              <w:rPr>
                <w:noProof/>
                <w:webHidden/>
              </w:rPr>
              <w:fldChar w:fldCharType="begin"/>
            </w:r>
            <w:r w:rsidR="004C7298">
              <w:rPr>
                <w:noProof/>
                <w:webHidden/>
              </w:rPr>
              <w:instrText xml:space="preserve"> PAGEREF _Toc144110840 \h </w:instrText>
            </w:r>
            <w:r w:rsidR="004C7298">
              <w:rPr>
                <w:noProof/>
                <w:webHidden/>
              </w:rPr>
            </w:r>
            <w:r w:rsidR="004C7298">
              <w:rPr>
                <w:noProof/>
                <w:webHidden/>
              </w:rPr>
              <w:fldChar w:fldCharType="separate"/>
            </w:r>
            <w:r w:rsidR="004C7298">
              <w:rPr>
                <w:noProof/>
                <w:webHidden/>
              </w:rPr>
              <w:t>12</w:t>
            </w:r>
            <w:r w:rsidR="004C7298">
              <w:rPr>
                <w:noProof/>
                <w:webHidden/>
              </w:rPr>
              <w:fldChar w:fldCharType="end"/>
            </w:r>
          </w:hyperlink>
        </w:p>
        <w:p w14:paraId="584EBFB0" w14:textId="694F5798" w:rsidR="004C7298" w:rsidRDefault="00013F20">
          <w:pPr>
            <w:pStyle w:val="TOC2"/>
            <w:tabs>
              <w:tab w:val="left" w:pos="1276"/>
            </w:tabs>
            <w:rPr>
              <w:rFonts w:asciiTheme="minorHAnsi" w:eastAsiaTheme="minorEastAsia" w:hAnsiTheme="minorHAnsi" w:cstheme="minorBidi"/>
              <w:b w:val="0"/>
              <w:noProof/>
              <w:color w:val="auto"/>
              <w:sz w:val="22"/>
              <w:szCs w:val="22"/>
              <w:lang w:eastAsia="en-AU"/>
            </w:rPr>
          </w:pPr>
          <w:hyperlink w:anchor="_Toc144110841" w:history="1">
            <w:r w:rsidR="004C7298" w:rsidRPr="006D24F3">
              <w:rPr>
                <w:rStyle w:val="Hyperlink"/>
                <w:noProof/>
              </w:rPr>
              <w:t>1.2</w:t>
            </w:r>
            <w:r w:rsidR="004C7298">
              <w:rPr>
                <w:rFonts w:asciiTheme="minorHAnsi" w:eastAsiaTheme="minorEastAsia" w:hAnsiTheme="minorHAnsi" w:cstheme="minorBidi"/>
                <w:b w:val="0"/>
                <w:noProof/>
                <w:color w:val="auto"/>
                <w:sz w:val="22"/>
                <w:szCs w:val="22"/>
                <w:lang w:eastAsia="en-AU"/>
              </w:rPr>
              <w:tab/>
            </w:r>
            <w:r w:rsidR="004C7298" w:rsidRPr="006D24F3">
              <w:rPr>
                <w:rStyle w:val="Hyperlink"/>
                <w:noProof/>
              </w:rPr>
              <w:t>Bilastine</w:t>
            </w:r>
            <w:r w:rsidR="004C7298">
              <w:rPr>
                <w:noProof/>
                <w:webHidden/>
              </w:rPr>
              <w:tab/>
            </w:r>
            <w:r w:rsidR="004C7298">
              <w:rPr>
                <w:noProof/>
                <w:webHidden/>
              </w:rPr>
              <w:fldChar w:fldCharType="begin"/>
            </w:r>
            <w:r w:rsidR="004C7298">
              <w:rPr>
                <w:noProof/>
                <w:webHidden/>
              </w:rPr>
              <w:instrText xml:space="preserve"> PAGEREF _Toc144110841 \h </w:instrText>
            </w:r>
            <w:r w:rsidR="004C7298">
              <w:rPr>
                <w:noProof/>
                <w:webHidden/>
              </w:rPr>
            </w:r>
            <w:r w:rsidR="004C7298">
              <w:rPr>
                <w:noProof/>
                <w:webHidden/>
              </w:rPr>
              <w:fldChar w:fldCharType="separate"/>
            </w:r>
            <w:r w:rsidR="004C7298">
              <w:rPr>
                <w:noProof/>
                <w:webHidden/>
              </w:rPr>
              <w:t>12</w:t>
            </w:r>
            <w:r w:rsidR="004C7298">
              <w:rPr>
                <w:noProof/>
                <w:webHidden/>
              </w:rPr>
              <w:fldChar w:fldCharType="end"/>
            </w:r>
          </w:hyperlink>
        </w:p>
        <w:p w14:paraId="601C9E0C" w14:textId="77D49468" w:rsidR="004C7298" w:rsidRDefault="00013F20">
          <w:pPr>
            <w:pStyle w:val="TOC3"/>
            <w:rPr>
              <w:rFonts w:asciiTheme="minorHAnsi" w:eastAsiaTheme="minorEastAsia" w:hAnsiTheme="minorHAnsi" w:cstheme="minorBidi"/>
              <w:b w:val="0"/>
              <w:noProof/>
              <w:color w:val="auto"/>
              <w:szCs w:val="22"/>
              <w:lang w:eastAsia="en-AU"/>
            </w:rPr>
          </w:pPr>
          <w:hyperlink w:anchor="_Toc144110842" w:history="1">
            <w:r w:rsidR="004C7298" w:rsidRPr="006D24F3">
              <w:rPr>
                <w:rStyle w:val="Hyperlink"/>
                <w:noProof/>
              </w:rPr>
              <w:t>Proposal</w:t>
            </w:r>
            <w:r w:rsidR="004C7298">
              <w:rPr>
                <w:noProof/>
                <w:webHidden/>
              </w:rPr>
              <w:tab/>
            </w:r>
            <w:r w:rsidR="004C7298">
              <w:rPr>
                <w:noProof/>
                <w:webHidden/>
              </w:rPr>
              <w:fldChar w:fldCharType="begin"/>
            </w:r>
            <w:r w:rsidR="004C7298">
              <w:rPr>
                <w:noProof/>
                <w:webHidden/>
              </w:rPr>
              <w:instrText xml:space="preserve"> PAGEREF _Toc144110842 \h </w:instrText>
            </w:r>
            <w:r w:rsidR="004C7298">
              <w:rPr>
                <w:noProof/>
                <w:webHidden/>
              </w:rPr>
            </w:r>
            <w:r w:rsidR="004C7298">
              <w:rPr>
                <w:noProof/>
                <w:webHidden/>
              </w:rPr>
              <w:fldChar w:fldCharType="separate"/>
            </w:r>
            <w:r w:rsidR="004C7298">
              <w:rPr>
                <w:noProof/>
                <w:webHidden/>
              </w:rPr>
              <w:t>12</w:t>
            </w:r>
            <w:r w:rsidR="004C7298">
              <w:rPr>
                <w:noProof/>
                <w:webHidden/>
              </w:rPr>
              <w:fldChar w:fldCharType="end"/>
            </w:r>
          </w:hyperlink>
        </w:p>
        <w:p w14:paraId="44E82DC4" w14:textId="15D7DC30" w:rsidR="004C7298" w:rsidRDefault="00013F20">
          <w:pPr>
            <w:pStyle w:val="TOC3"/>
            <w:rPr>
              <w:rFonts w:asciiTheme="minorHAnsi" w:eastAsiaTheme="minorEastAsia" w:hAnsiTheme="minorHAnsi" w:cstheme="minorBidi"/>
              <w:b w:val="0"/>
              <w:noProof/>
              <w:color w:val="auto"/>
              <w:szCs w:val="22"/>
              <w:lang w:eastAsia="en-AU"/>
            </w:rPr>
          </w:pPr>
          <w:hyperlink w:anchor="_Toc144110843" w:history="1">
            <w:r w:rsidR="004C7298" w:rsidRPr="006D24F3">
              <w:rPr>
                <w:rStyle w:val="Hyperlink"/>
                <w:noProof/>
              </w:rPr>
              <w:t>CAS number</w:t>
            </w:r>
            <w:r w:rsidR="004C7298">
              <w:rPr>
                <w:noProof/>
                <w:webHidden/>
              </w:rPr>
              <w:tab/>
            </w:r>
            <w:r w:rsidR="004C7298">
              <w:rPr>
                <w:noProof/>
                <w:webHidden/>
              </w:rPr>
              <w:fldChar w:fldCharType="begin"/>
            </w:r>
            <w:r w:rsidR="004C7298">
              <w:rPr>
                <w:noProof/>
                <w:webHidden/>
              </w:rPr>
              <w:instrText xml:space="preserve"> PAGEREF _Toc144110843 \h </w:instrText>
            </w:r>
            <w:r w:rsidR="004C7298">
              <w:rPr>
                <w:noProof/>
                <w:webHidden/>
              </w:rPr>
            </w:r>
            <w:r w:rsidR="004C7298">
              <w:rPr>
                <w:noProof/>
                <w:webHidden/>
              </w:rPr>
              <w:fldChar w:fldCharType="separate"/>
            </w:r>
            <w:r w:rsidR="004C7298">
              <w:rPr>
                <w:noProof/>
                <w:webHidden/>
              </w:rPr>
              <w:t>12</w:t>
            </w:r>
            <w:r w:rsidR="004C7298">
              <w:rPr>
                <w:noProof/>
                <w:webHidden/>
              </w:rPr>
              <w:fldChar w:fldCharType="end"/>
            </w:r>
          </w:hyperlink>
        </w:p>
        <w:p w14:paraId="1A309844" w14:textId="71D9488C" w:rsidR="004C7298" w:rsidRDefault="00013F20">
          <w:pPr>
            <w:pStyle w:val="TOC3"/>
            <w:rPr>
              <w:rFonts w:asciiTheme="minorHAnsi" w:eastAsiaTheme="minorEastAsia" w:hAnsiTheme="minorHAnsi" w:cstheme="minorBidi"/>
              <w:b w:val="0"/>
              <w:noProof/>
              <w:color w:val="auto"/>
              <w:szCs w:val="22"/>
              <w:lang w:eastAsia="en-AU"/>
            </w:rPr>
          </w:pPr>
          <w:hyperlink w:anchor="_Toc144110844" w:history="1">
            <w:r w:rsidR="004C7298" w:rsidRPr="006D24F3">
              <w:rPr>
                <w:rStyle w:val="Hyperlink"/>
                <w:noProof/>
              </w:rPr>
              <w:t>Alternative names</w:t>
            </w:r>
            <w:r w:rsidR="004C7298">
              <w:rPr>
                <w:noProof/>
                <w:webHidden/>
              </w:rPr>
              <w:tab/>
            </w:r>
            <w:r w:rsidR="004C7298">
              <w:rPr>
                <w:noProof/>
                <w:webHidden/>
              </w:rPr>
              <w:fldChar w:fldCharType="begin"/>
            </w:r>
            <w:r w:rsidR="004C7298">
              <w:rPr>
                <w:noProof/>
                <w:webHidden/>
              </w:rPr>
              <w:instrText xml:space="preserve"> PAGEREF _Toc144110844 \h </w:instrText>
            </w:r>
            <w:r w:rsidR="004C7298">
              <w:rPr>
                <w:noProof/>
                <w:webHidden/>
              </w:rPr>
            </w:r>
            <w:r w:rsidR="004C7298">
              <w:rPr>
                <w:noProof/>
                <w:webHidden/>
              </w:rPr>
              <w:fldChar w:fldCharType="separate"/>
            </w:r>
            <w:r w:rsidR="004C7298">
              <w:rPr>
                <w:noProof/>
                <w:webHidden/>
              </w:rPr>
              <w:t>12</w:t>
            </w:r>
            <w:r w:rsidR="004C7298">
              <w:rPr>
                <w:noProof/>
                <w:webHidden/>
              </w:rPr>
              <w:fldChar w:fldCharType="end"/>
            </w:r>
          </w:hyperlink>
        </w:p>
        <w:p w14:paraId="554E16EF" w14:textId="47C62914" w:rsidR="004C7298" w:rsidRDefault="00013F20">
          <w:pPr>
            <w:pStyle w:val="TOC3"/>
            <w:rPr>
              <w:rFonts w:asciiTheme="minorHAnsi" w:eastAsiaTheme="minorEastAsia" w:hAnsiTheme="minorHAnsi" w:cstheme="minorBidi"/>
              <w:b w:val="0"/>
              <w:noProof/>
              <w:color w:val="auto"/>
              <w:szCs w:val="22"/>
              <w:lang w:eastAsia="en-AU"/>
            </w:rPr>
          </w:pPr>
          <w:hyperlink w:anchor="_Toc144110845" w:history="1">
            <w:r w:rsidR="004C7298" w:rsidRPr="006D24F3">
              <w:rPr>
                <w:rStyle w:val="Hyperlink"/>
                <w:noProof/>
              </w:rPr>
              <w:t>Applicant</w:t>
            </w:r>
            <w:r w:rsidR="004C7298">
              <w:rPr>
                <w:noProof/>
                <w:webHidden/>
              </w:rPr>
              <w:tab/>
            </w:r>
            <w:r w:rsidR="004C7298">
              <w:rPr>
                <w:noProof/>
                <w:webHidden/>
              </w:rPr>
              <w:fldChar w:fldCharType="begin"/>
            </w:r>
            <w:r w:rsidR="004C7298">
              <w:rPr>
                <w:noProof/>
                <w:webHidden/>
              </w:rPr>
              <w:instrText xml:space="preserve"> PAGEREF _Toc144110845 \h </w:instrText>
            </w:r>
            <w:r w:rsidR="004C7298">
              <w:rPr>
                <w:noProof/>
                <w:webHidden/>
              </w:rPr>
            </w:r>
            <w:r w:rsidR="004C7298">
              <w:rPr>
                <w:noProof/>
                <w:webHidden/>
              </w:rPr>
              <w:fldChar w:fldCharType="separate"/>
            </w:r>
            <w:r w:rsidR="004C7298">
              <w:rPr>
                <w:noProof/>
                <w:webHidden/>
              </w:rPr>
              <w:t>12</w:t>
            </w:r>
            <w:r w:rsidR="004C7298">
              <w:rPr>
                <w:noProof/>
                <w:webHidden/>
              </w:rPr>
              <w:fldChar w:fldCharType="end"/>
            </w:r>
          </w:hyperlink>
        </w:p>
        <w:p w14:paraId="2FD2AB70" w14:textId="115BF93C" w:rsidR="004C7298" w:rsidRDefault="00013F20">
          <w:pPr>
            <w:pStyle w:val="TOC3"/>
            <w:rPr>
              <w:rFonts w:asciiTheme="minorHAnsi" w:eastAsiaTheme="minorEastAsia" w:hAnsiTheme="minorHAnsi" w:cstheme="minorBidi"/>
              <w:b w:val="0"/>
              <w:noProof/>
              <w:color w:val="auto"/>
              <w:szCs w:val="22"/>
              <w:lang w:eastAsia="en-AU"/>
            </w:rPr>
          </w:pPr>
          <w:hyperlink w:anchor="_Toc144110846" w:history="1">
            <w:r w:rsidR="004C7298" w:rsidRPr="006D24F3">
              <w:rPr>
                <w:rStyle w:val="Hyperlink"/>
                <w:noProof/>
              </w:rPr>
              <w:t>Proposed Scheduling</w:t>
            </w:r>
            <w:r w:rsidR="004C7298">
              <w:rPr>
                <w:noProof/>
                <w:webHidden/>
              </w:rPr>
              <w:tab/>
            </w:r>
            <w:r w:rsidR="004C7298">
              <w:rPr>
                <w:noProof/>
                <w:webHidden/>
              </w:rPr>
              <w:fldChar w:fldCharType="begin"/>
            </w:r>
            <w:r w:rsidR="004C7298">
              <w:rPr>
                <w:noProof/>
                <w:webHidden/>
              </w:rPr>
              <w:instrText xml:space="preserve"> PAGEREF _Toc144110846 \h </w:instrText>
            </w:r>
            <w:r w:rsidR="004C7298">
              <w:rPr>
                <w:noProof/>
                <w:webHidden/>
              </w:rPr>
            </w:r>
            <w:r w:rsidR="004C7298">
              <w:rPr>
                <w:noProof/>
                <w:webHidden/>
              </w:rPr>
              <w:fldChar w:fldCharType="separate"/>
            </w:r>
            <w:r w:rsidR="004C7298">
              <w:rPr>
                <w:noProof/>
                <w:webHidden/>
              </w:rPr>
              <w:t>12</w:t>
            </w:r>
            <w:r w:rsidR="004C7298">
              <w:rPr>
                <w:noProof/>
                <w:webHidden/>
              </w:rPr>
              <w:fldChar w:fldCharType="end"/>
            </w:r>
          </w:hyperlink>
        </w:p>
        <w:p w14:paraId="4007AEA5" w14:textId="3E6F4D95" w:rsidR="004C7298" w:rsidRDefault="00013F20">
          <w:pPr>
            <w:pStyle w:val="TOC3"/>
            <w:rPr>
              <w:rFonts w:asciiTheme="minorHAnsi" w:eastAsiaTheme="minorEastAsia" w:hAnsiTheme="minorHAnsi" w:cstheme="minorBidi"/>
              <w:b w:val="0"/>
              <w:noProof/>
              <w:color w:val="auto"/>
              <w:szCs w:val="22"/>
              <w:lang w:eastAsia="en-AU"/>
            </w:rPr>
          </w:pPr>
          <w:hyperlink w:anchor="_Toc144110847" w:history="1">
            <w:r w:rsidR="004C7298" w:rsidRPr="006D24F3">
              <w:rPr>
                <w:rStyle w:val="Hyperlink"/>
                <w:noProof/>
              </w:rPr>
              <w:t>Background</w:t>
            </w:r>
            <w:r w:rsidR="004C7298">
              <w:rPr>
                <w:noProof/>
                <w:webHidden/>
              </w:rPr>
              <w:tab/>
            </w:r>
            <w:r w:rsidR="004C7298">
              <w:rPr>
                <w:noProof/>
                <w:webHidden/>
              </w:rPr>
              <w:fldChar w:fldCharType="begin"/>
            </w:r>
            <w:r w:rsidR="004C7298">
              <w:rPr>
                <w:noProof/>
                <w:webHidden/>
              </w:rPr>
              <w:instrText xml:space="preserve"> PAGEREF _Toc144110847 \h </w:instrText>
            </w:r>
            <w:r w:rsidR="004C7298">
              <w:rPr>
                <w:noProof/>
                <w:webHidden/>
              </w:rPr>
            </w:r>
            <w:r w:rsidR="004C7298">
              <w:rPr>
                <w:noProof/>
                <w:webHidden/>
              </w:rPr>
              <w:fldChar w:fldCharType="separate"/>
            </w:r>
            <w:r w:rsidR="004C7298">
              <w:rPr>
                <w:noProof/>
                <w:webHidden/>
              </w:rPr>
              <w:t>13</w:t>
            </w:r>
            <w:r w:rsidR="004C7298">
              <w:rPr>
                <w:noProof/>
                <w:webHidden/>
              </w:rPr>
              <w:fldChar w:fldCharType="end"/>
            </w:r>
          </w:hyperlink>
        </w:p>
        <w:p w14:paraId="01C3CA4F" w14:textId="5956E535" w:rsidR="004C7298" w:rsidRDefault="00013F20">
          <w:pPr>
            <w:pStyle w:val="TOC3"/>
            <w:rPr>
              <w:rFonts w:asciiTheme="minorHAnsi" w:eastAsiaTheme="minorEastAsia" w:hAnsiTheme="minorHAnsi" w:cstheme="minorBidi"/>
              <w:b w:val="0"/>
              <w:noProof/>
              <w:color w:val="auto"/>
              <w:szCs w:val="22"/>
              <w:lang w:eastAsia="en-AU"/>
            </w:rPr>
          </w:pPr>
          <w:hyperlink w:anchor="_Toc144110848" w:history="1">
            <w:r w:rsidR="004C7298" w:rsidRPr="006D24F3">
              <w:rPr>
                <w:rStyle w:val="Hyperlink"/>
                <w:noProof/>
              </w:rPr>
              <w:t>Summary of applicant’s reasons for the proposal</w:t>
            </w:r>
            <w:r w:rsidR="004C7298">
              <w:rPr>
                <w:noProof/>
                <w:webHidden/>
              </w:rPr>
              <w:tab/>
            </w:r>
            <w:r w:rsidR="004C7298">
              <w:rPr>
                <w:noProof/>
                <w:webHidden/>
              </w:rPr>
              <w:fldChar w:fldCharType="begin"/>
            </w:r>
            <w:r w:rsidR="004C7298">
              <w:rPr>
                <w:noProof/>
                <w:webHidden/>
              </w:rPr>
              <w:instrText xml:space="preserve"> PAGEREF _Toc144110848 \h </w:instrText>
            </w:r>
            <w:r w:rsidR="004C7298">
              <w:rPr>
                <w:noProof/>
                <w:webHidden/>
              </w:rPr>
            </w:r>
            <w:r w:rsidR="004C7298">
              <w:rPr>
                <w:noProof/>
                <w:webHidden/>
              </w:rPr>
              <w:fldChar w:fldCharType="separate"/>
            </w:r>
            <w:r w:rsidR="004C7298">
              <w:rPr>
                <w:noProof/>
                <w:webHidden/>
              </w:rPr>
              <w:t>13</w:t>
            </w:r>
            <w:r w:rsidR="004C7298">
              <w:rPr>
                <w:noProof/>
                <w:webHidden/>
              </w:rPr>
              <w:fldChar w:fldCharType="end"/>
            </w:r>
          </w:hyperlink>
        </w:p>
        <w:p w14:paraId="4F34EE6C" w14:textId="7B65B4E1" w:rsidR="004C7298" w:rsidRDefault="00013F20">
          <w:pPr>
            <w:pStyle w:val="TOC3"/>
            <w:rPr>
              <w:rFonts w:asciiTheme="minorHAnsi" w:eastAsiaTheme="minorEastAsia" w:hAnsiTheme="minorHAnsi" w:cstheme="minorBidi"/>
              <w:b w:val="0"/>
              <w:noProof/>
              <w:color w:val="auto"/>
              <w:szCs w:val="22"/>
              <w:lang w:eastAsia="en-AU"/>
            </w:rPr>
          </w:pPr>
          <w:hyperlink w:anchor="_Toc144110849" w:history="1">
            <w:r w:rsidR="004C7298" w:rsidRPr="006D24F3">
              <w:rPr>
                <w:rStyle w:val="Hyperlink"/>
                <w:noProof/>
              </w:rPr>
              <w:t>Key uses / expected use</w:t>
            </w:r>
            <w:r w:rsidR="004C7298">
              <w:rPr>
                <w:noProof/>
                <w:webHidden/>
              </w:rPr>
              <w:tab/>
            </w:r>
            <w:r w:rsidR="004C7298">
              <w:rPr>
                <w:noProof/>
                <w:webHidden/>
              </w:rPr>
              <w:fldChar w:fldCharType="begin"/>
            </w:r>
            <w:r w:rsidR="004C7298">
              <w:rPr>
                <w:noProof/>
                <w:webHidden/>
              </w:rPr>
              <w:instrText xml:space="preserve"> PAGEREF _Toc144110849 \h </w:instrText>
            </w:r>
            <w:r w:rsidR="004C7298">
              <w:rPr>
                <w:noProof/>
                <w:webHidden/>
              </w:rPr>
            </w:r>
            <w:r w:rsidR="004C7298">
              <w:rPr>
                <w:noProof/>
                <w:webHidden/>
              </w:rPr>
              <w:fldChar w:fldCharType="separate"/>
            </w:r>
            <w:r w:rsidR="004C7298">
              <w:rPr>
                <w:noProof/>
                <w:webHidden/>
              </w:rPr>
              <w:t>13</w:t>
            </w:r>
            <w:r w:rsidR="004C7298">
              <w:rPr>
                <w:noProof/>
                <w:webHidden/>
              </w:rPr>
              <w:fldChar w:fldCharType="end"/>
            </w:r>
          </w:hyperlink>
        </w:p>
        <w:p w14:paraId="3CAB8825" w14:textId="472CB202" w:rsidR="004C7298" w:rsidRDefault="00013F20">
          <w:pPr>
            <w:pStyle w:val="TOC3"/>
            <w:rPr>
              <w:rFonts w:asciiTheme="minorHAnsi" w:eastAsiaTheme="minorEastAsia" w:hAnsiTheme="minorHAnsi" w:cstheme="minorBidi"/>
              <w:b w:val="0"/>
              <w:noProof/>
              <w:color w:val="auto"/>
              <w:szCs w:val="22"/>
              <w:lang w:eastAsia="en-AU"/>
            </w:rPr>
          </w:pPr>
          <w:hyperlink w:anchor="_Toc144110850" w:history="1">
            <w:r w:rsidR="004C7298" w:rsidRPr="006D24F3">
              <w:rPr>
                <w:rStyle w:val="Hyperlink"/>
                <w:noProof/>
              </w:rPr>
              <w:t>Australian regulations</w:t>
            </w:r>
            <w:r w:rsidR="004C7298">
              <w:rPr>
                <w:noProof/>
                <w:webHidden/>
              </w:rPr>
              <w:tab/>
            </w:r>
            <w:r w:rsidR="004C7298">
              <w:rPr>
                <w:noProof/>
                <w:webHidden/>
              </w:rPr>
              <w:fldChar w:fldCharType="begin"/>
            </w:r>
            <w:r w:rsidR="004C7298">
              <w:rPr>
                <w:noProof/>
                <w:webHidden/>
              </w:rPr>
              <w:instrText xml:space="preserve"> PAGEREF _Toc144110850 \h </w:instrText>
            </w:r>
            <w:r w:rsidR="004C7298">
              <w:rPr>
                <w:noProof/>
                <w:webHidden/>
              </w:rPr>
            </w:r>
            <w:r w:rsidR="004C7298">
              <w:rPr>
                <w:noProof/>
                <w:webHidden/>
              </w:rPr>
              <w:fldChar w:fldCharType="separate"/>
            </w:r>
            <w:r w:rsidR="004C7298">
              <w:rPr>
                <w:noProof/>
                <w:webHidden/>
              </w:rPr>
              <w:t>13</w:t>
            </w:r>
            <w:r w:rsidR="004C7298">
              <w:rPr>
                <w:noProof/>
                <w:webHidden/>
              </w:rPr>
              <w:fldChar w:fldCharType="end"/>
            </w:r>
          </w:hyperlink>
        </w:p>
        <w:p w14:paraId="1B92B4EE" w14:textId="00C92F90" w:rsidR="004C7298" w:rsidRDefault="00013F20">
          <w:pPr>
            <w:pStyle w:val="TOC3"/>
            <w:rPr>
              <w:rFonts w:asciiTheme="minorHAnsi" w:eastAsiaTheme="minorEastAsia" w:hAnsiTheme="minorHAnsi" w:cstheme="minorBidi"/>
              <w:b w:val="0"/>
              <w:noProof/>
              <w:color w:val="auto"/>
              <w:szCs w:val="22"/>
              <w:lang w:eastAsia="en-AU"/>
            </w:rPr>
          </w:pPr>
          <w:hyperlink w:anchor="_Toc144110851" w:history="1">
            <w:r w:rsidR="004C7298" w:rsidRPr="006D24F3">
              <w:rPr>
                <w:rStyle w:val="Hyperlink"/>
                <w:noProof/>
              </w:rPr>
              <w:t>International regulations</w:t>
            </w:r>
            <w:r w:rsidR="004C7298">
              <w:rPr>
                <w:noProof/>
                <w:webHidden/>
              </w:rPr>
              <w:tab/>
            </w:r>
            <w:r w:rsidR="004C7298">
              <w:rPr>
                <w:noProof/>
                <w:webHidden/>
              </w:rPr>
              <w:fldChar w:fldCharType="begin"/>
            </w:r>
            <w:r w:rsidR="004C7298">
              <w:rPr>
                <w:noProof/>
                <w:webHidden/>
              </w:rPr>
              <w:instrText xml:space="preserve"> PAGEREF _Toc144110851 \h </w:instrText>
            </w:r>
            <w:r w:rsidR="004C7298">
              <w:rPr>
                <w:noProof/>
                <w:webHidden/>
              </w:rPr>
            </w:r>
            <w:r w:rsidR="004C7298">
              <w:rPr>
                <w:noProof/>
                <w:webHidden/>
              </w:rPr>
              <w:fldChar w:fldCharType="separate"/>
            </w:r>
            <w:r w:rsidR="004C7298">
              <w:rPr>
                <w:noProof/>
                <w:webHidden/>
              </w:rPr>
              <w:t>14</w:t>
            </w:r>
            <w:r w:rsidR="004C7298">
              <w:rPr>
                <w:noProof/>
                <w:webHidden/>
              </w:rPr>
              <w:fldChar w:fldCharType="end"/>
            </w:r>
          </w:hyperlink>
        </w:p>
        <w:p w14:paraId="6633DEDB" w14:textId="2F51991B" w:rsidR="004C7298" w:rsidRDefault="00013F20">
          <w:pPr>
            <w:pStyle w:val="TOC2"/>
            <w:tabs>
              <w:tab w:val="left" w:pos="1276"/>
            </w:tabs>
            <w:rPr>
              <w:rFonts w:asciiTheme="minorHAnsi" w:eastAsiaTheme="minorEastAsia" w:hAnsiTheme="minorHAnsi" w:cstheme="minorBidi"/>
              <w:b w:val="0"/>
              <w:noProof/>
              <w:color w:val="auto"/>
              <w:sz w:val="22"/>
              <w:szCs w:val="22"/>
              <w:lang w:eastAsia="en-AU"/>
            </w:rPr>
          </w:pPr>
          <w:hyperlink w:anchor="_Toc144110852" w:history="1">
            <w:r w:rsidR="004C7298" w:rsidRPr="006D24F3">
              <w:rPr>
                <w:rStyle w:val="Hyperlink"/>
                <w:noProof/>
              </w:rPr>
              <w:t>1.3</w:t>
            </w:r>
            <w:r w:rsidR="004C7298">
              <w:rPr>
                <w:rFonts w:asciiTheme="minorHAnsi" w:eastAsiaTheme="minorEastAsia" w:hAnsiTheme="minorHAnsi" w:cstheme="minorBidi"/>
                <w:b w:val="0"/>
                <w:noProof/>
                <w:color w:val="auto"/>
                <w:sz w:val="22"/>
                <w:szCs w:val="22"/>
                <w:lang w:eastAsia="en-AU"/>
              </w:rPr>
              <w:tab/>
            </w:r>
            <w:r w:rsidR="004C7298" w:rsidRPr="006D24F3">
              <w:rPr>
                <w:rStyle w:val="Hyperlink"/>
                <w:noProof/>
              </w:rPr>
              <w:t>BPC-157</w:t>
            </w:r>
            <w:r w:rsidR="004C7298">
              <w:rPr>
                <w:noProof/>
                <w:webHidden/>
              </w:rPr>
              <w:tab/>
            </w:r>
            <w:r w:rsidR="004C7298">
              <w:rPr>
                <w:noProof/>
                <w:webHidden/>
              </w:rPr>
              <w:fldChar w:fldCharType="begin"/>
            </w:r>
            <w:r w:rsidR="004C7298">
              <w:rPr>
                <w:noProof/>
                <w:webHidden/>
              </w:rPr>
              <w:instrText xml:space="preserve"> PAGEREF _Toc144110852 \h </w:instrText>
            </w:r>
            <w:r w:rsidR="004C7298">
              <w:rPr>
                <w:noProof/>
                <w:webHidden/>
              </w:rPr>
            </w:r>
            <w:r w:rsidR="004C7298">
              <w:rPr>
                <w:noProof/>
                <w:webHidden/>
              </w:rPr>
              <w:fldChar w:fldCharType="separate"/>
            </w:r>
            <w:r w:rsidR="004C7298">
              <w:rPr>
                <w:noProof/>
                <w:webHidden/>
              </w:rPr>
              <w:t>15</w:t>
            </w:r>
            <w:r w:rsidR="004C7298">
              <w:rPr>
                <w:noProof/>
                <w:webHidden/>
              </w:rPr>
              <w:fldChar w:fldCharType="end"/>
            </w:r>
          </w:hyperlink>
        </w:p>
        <w:p w14:paraId="6EF973F0" w14:textId="2B4686B7" w:rsidR="004C7298" w:rsidRDefault="00013F20">
          <w:pPr>
            <w:pStyle w:val="TOC3"/>
            <w:rPr>
              <w:rFonts w:asciiTheme="minorHAnsi" w:eastAsiaTheme="minorEastAsia" w:hAnsiTheme="minorHAnsi" w:cstheme="minorBidi"/>
              <w:b w:val="0"/>
              <w:noProof/>
              <w:color w:val="auto"/>
              <w:szCs w:val="22"/>
              <w:lang w:eastAsia="en-AU"/>
            </w:rPr>
          </w:pPr>
          <w:hyperlink w:anchor="_Toc144110853" w:history="1">
            <w:r w:rsidR="004C7298" w:rsidRPr="006D24F3">
              <w:rPr>
                <w:rStyle w:val="Hyperlink"/>
                <w:noProof/>
              </w:rPr>
              <w:t>Proposal</w:t>
            </w:r>
            <w:r w:rsidR="004C7298">
              <w:rPr>
                <w:noProof/>
                <w:webHidden/>
              </w:rPr>
              <w:tab/>
            </w:r>
            <w:r w:rsidR="004C7298">
              <w:rPr>
                <w:noProof/>
                <w:webHidden/>
              </w:rPr>
              <w:fldChar w:fldCharType="begin"/>
            </w:r>
            <w:r w:rsidR="004C7298">
              <w:rPr>
                <w:noProof/>
                <w:webHidden/>
              </w:rPr>
              <w:instrText xml:space="preserve"> PAGEREF _Toc144110853 \h </w:instrText>
            </w:r>
            <w:r w:rsidR="004C7298">
              <w:rPr>
                <w:noProof/>
                <w:webHidden/>
              </w:rPr>
            </w:r>
            <w:r w:rsidR="004C7298">
              <w:rPr>
                <w:noProof/>
                <w:webHidden/>
              </w:rPr>
              <w:fldChar w:fldCharType="separate"/>
            </w:r>
            <w:r w:rsidR="004C7298">
              <w:rPr>
                <w:noProof/>
                <w:webHidden/>
              </w:rPr>
              <w:t>15</w:t>
            </w:r>
            <w:r w:rsidR="004C7298">
              <w:rPr>
                <w:noProof/>
                <w:webHidden/>
              </w:rPr>
              <w:fldChar w:fldCharType="end"/>
            </w:r>
          </w:hyperlink>
        </w:p>
        <w:p w14:paraId="72E1AC1B" w14:textId="554B978E" w:rsidR="004C7298" w:rsidRDefault="00013F20">
          <w:pPr>
            <w:pStyle w:val="TOC3"/>
            <w:rPr>
              <w:rFonts w:asciiTheme="minorHAnsi" w:eastAsiaTheme="minorEastAsia" w:hAnsiTheme="minorHAnsi" w:cstheme="minorBidi"/>
              <w:b w:val="0"/>
              <w:noProof/>
              <w:color w:val="auto"/>
              <w:szCs w:val="22"/>
              <w:lang w:eastAsia="en-AU"/>
            </w:rPr>
          </w:pPr>
          <w:hyperlink w:anchor="_Toc144110854" w:history="1">
            <w:r w:rsidR="004C7298" w:rsidRPr="006D24F3">
              <w:rPr>
                <w:rStyle w:val="Hyperlink"/>
                <w:noProof/>
              </w:rPr>
              <w:t>CAS number</w:t>
            </w:r>
            <w:r w:rsidR="004C7298">
              <w:rPr>
                <w:noProof/>
                <w:webHidden/>
              </w:rPr>
              <w:tab/>
            </w:r>
            <w:r w:rsidR="004C7298">
              <w:rPr>
                <w:noProof/>
                <w:webHidden/>
              </w:rPr>
              <w:fldChar w:fldCharType="begin"/>
            </w:r>
            <w:r w:rsidR="004C7298">
              <w:rPr>
                <w:noProof/>
                <w:webHidden/>
              </w:rPr>
              <w:instrText xml:space="preserve"> PAGEREF _Toc144110854 \h </w:instrText>
            </w:r>
            <w:r w:rsidR="004C7298">
              <w:rPr>
                <w:noProof/>
                <w:webHidden/>
              </w:rPr>
            </w:r>
            <w:r w:rsidR="004C7298">
              <w:rPr>
                <w:noProof/>
                <w:webHidden/>
              </w:rPr>
              <w:fldChar w:fldCharType="separate"/>
            </w:r>
            <w:r w:rsidR="004C7298">
              <w:rPr>
                <w:noProof/>
                <w:webHidden/>
              </w:rPr>
              <w:t>15</w:t>
            </w:r>
            <w:r w:rsidR="004C7298">
              <w:rPr>
                <w:noProof/>
                <w:webHidden/>
              </w:rPr>
              <w:fldChar w:fldCharType="end"/>
            </w:r>
          </w:hyperlink>
        </w:p>
        <w:p w14:paraId="569473A1" w14:textId="617001DF" w:rsidR="004C7298" w:rsidRDefault="00013F20">
          <w:pPr>
            <w:pStyle w:val="TOC3"/>
            <w:rPr>
              <w:rFonts w:asciiTheme="minorHAnsi" w:eastAsiaTheme="minorEastAsia" w:hAnsiTheme="minorHAnsi" w:cstheme="minorBidi"/>
              <w:b w:val="0"/>
              <w:noProof/>
              <w:color w:val="auto"/>
              <w:szCs w:val="22"/>
              <w:lang w:eastAsia="en-AU"/>
            </w:rPr>
          </w:pPr>
          <w:hyperlink w:anchor="_Toc144110855" w:history="1">
            <w:r w:rsidR="004C7298" w:rsidRPr="006D24F3">
              <w:rPr>
                <w:rStyle w:val="Hyperlink"/>
                <w:noProof/>
              </w:rPr>
              <w:t>Alternative names</w:t>
            </w:r>
            <w:r w:rsidR="004C7298">
              <w:rPr>
                <w:noProof/>
                <w:webHidden/>
              </w:rPr>
              <w:tab/>
            </w:r>
            <w:r w:rsidR="004C7298">
              <w:rPr>
                <w:noProof/>
                <w:webHidden/>
              </w:rPr>
              <w:fldChar w:fldCharType="begin"/>
            </w:r>
            <w:r w:rsidR="004C7298">
              <w:rPr>
                <w:noProof/>
                <w:webHidden/>
              </w:rPr>
              <w:instrText xml:space="preserve"> PAGEREF _Toc144110855 \h </w:instrText>
            </w:r>
            <w:r w:rsidR="004C7298">
              <w:rPr>
                <w:noProof/>
                <w:webHidden/>
              </w:rPr>
            </w:r>
            <w:r w:rsidR="004C7298">
              <w:rPr>
                <w:noProof/>
                <w:webHidden/>
              </w:rPr>
              <w:fldChar w:fldCharType="separate"/>
            </w:r>
            <w:r w:rsidR="004C7298">
              <w:rPr>
                <w:noProof/>
                <w:webHidden/>
              </w:rPr>
              <w:t>15</w:t>
            </w:r>
            <w:r w:rsidR="004C7298">
              <w:rPr>
                <w:noProof/>
                <w:webHidden/>
              </w:rPr>
              <w:fldChar w:fldCharType="end"/>
            </w:r>
          </w:hyperlink>
        </w:p>
        <w:p w14:paraId="1824D004" w14:textId="3F6843EA" w:rsidR="004C7298" w:rsidRDefault="00013F20">
          <w:pPr>
            <w:pStyle w:val="TOC3"/>
            <w:rPr>
              <w:rFonts w:asciiTheme="minorHAnsi" w:eastAsiaTheme="minorEastAsia" w:hAnsiTheme="minorHAnsi" w:cstheme="minorBidi"/>
              <w:b w:val="0"/>
              <w:noProof/>
              <w:color w:val="auto"/>
              <w:szCs w:val="22"/>
              <w:lang w:eastAsia="en-AU"/>
            </w:rPr>
          </w:pPr>
          <w:hyperlink w:anchor="_Toc144110856" w:history="1">
            <w:r w:rsidR="004C7298" w:rsidRPr="006D24F3">
              <w:rPr>
                <w:rStyle w:val="Hyperlink"/>
                <w:noProof/>
              </w:rPr>
              <w:t>Applicant</w:t>
            </w:r>
            <w:r w:rsidR="004C7298">
              <w:rPr>
                <w:noProof/>
                <w:webHidden/>
              </w:rPr>
              <w:tab/>
            </w:r>
            <w:r w:rsidR="004C7298">
              <w:rPr>
                <w:noProof/>
                <w:webHidden/>
              </w:rPr>
              <w:fldChar w:fldCharType="begin"/>
            </w:r>
            <w:r w:rsidR="004C7298">
              <w:rPr>
                <w:noProof/>
                <w:webHidden/>
              </w:rPr>
              <w:instrText xml:space="preserve"> PAGEREF _Toc144110856 \h </w:instrText>
            </w:r>
            <w:r w:rsidR="004C7298">
              <w:rPr>
                <w:noProof/>
                <w:webHidden/>
              </w:rPr>
            </w:r>
            <w:r w:rsidR="004C7298">
              <w:rPr>
                <w:noProof/>
                <w:webHidden/>
              </w:rPr>
              <w:fldChar w:fldCharType="separate"/>
            </w:r>
            <w:r w:rsidR="004C7298">
              <w:rPr>
                <w:noProof/>
                <w:webHidden/>
              </w:rPr>
              <w:t>15</w:t>
            </w:r>
            <w:r w:rsidR="004C7298">
              <w:rPr>
                <w:noProof/>
                <w:webHidden/>
              </w:rPr>
              <w:fldChar w:fldCharType="end"/>
            </w:r>
          </w:hyperlink>
        </w:p>
        <w:p w14:paraId="574CEBD7" w14:textId="6E7BCC92" w:rsidR="004C7298" w:rsidRDefault="00013F20">
          <w:pPr>
            <w:pStyle w:val="TOC3"/>
            <w:rPr>
              <w:rFonts w:asciiTheme="minorHAnsi" w:eastAsiaTheme="minorEastAsia" w:hAnsiTheme="minorHAnsi" w:cstheme="minorBidi"/>
              <w:b w:val="0"/>
              <w:noProof/>
              <w:color w:val="auto"/>
              <w:szCs w:val="22"/>
              <w:lang w:eastAsia="en-AU"/>
            </w:rPr>
          </w:pPr>
          <w:hyperlink w:anchor="_Toc144110857" w:history="1">
            <w:r w:rsidR="004C7298" w:rsidRPr="006D24F3">
              <w:rPr>
                <w:rStyle w:val="Hyperlink"/>
                <w:noProof/>
              </w:rPr>
              <w:t>Proposed Scheduling</w:t>
            </w:r>
            <w:r w:rsidR="004C7298">
              <w:rPr>
                <w:noProof/>
                <w:webHidden/>
              </w:rPr>
              <w:tab/>
            </w:r>
            <w:r w:rsidR="004C7298">
              <w:rPr>
                <w:noProof/>
                <w:webHidden/>
              </w:rPr>
              <w:fldChar w:fldCharType="begin"/>
            </w:r>
            <w:r w:rsidR="004C7298">
              <w:rPr>
                <w:noProof/>
                <w:webHidden/>
              </w:rPr>
              <w:instrText xml:space="preserve"> PAGEREF _Toc144110857 \h </w:instrText>
            </w:r>
            <w:r w:rsidR="004C7298">
              <w:rPr>
                <w:noProof/>
                <w:webHidden/>
              </w:rPr>
            </w:r>
            <w:r w:rsidR="004C7298">
              <w:rPr>
                <w:noProof/>
                <w:webHidden/>
              </w:rPr>
              <w:fldChar w:fldCharType="separate"/>
            </w:r>
            <w:r w:rsidR="004C7298">
              <w:rPr>
                <w:noProof/>
                <w:webHidden/>
              </w:rPr>
              <w:t>15</w:t>
            </w:r>
            <w:r w:rsidR="004C7298">
              <w:rPr>
                <w:noProof/>
                <w:webHidden/>
              </w:rPr>
              <w:fldChar w:fldCharType="end"/>
            </w:r>
          </w:hyperlink>
        </w:p>
        <w:p w14:paraId="3D006E66" w14:textId="026A3005" w:rsidR="004C7298" w:rsidRDefault="00013F20">
          <w:pPr>
            <w:pStyle w:val="TOC3"/>
            <w:rPr>
              <w:rFonts w:asciiTheme="minorHAnsi" w:eastAsiaTheme="minorEastAsia" w:hAnsiTheme="minorHAnsi" w:cstheme="minorBidi"/>
              <w:b w:val="0"/>
              <w:noProof/>
              <w:color w:val="auto"/>
              <w:szCs w:val="22"/>
              <w:lang w:eastAsia="en-AU"/>
            </w:rPr>
          </w:pPr>
          <w:hyperlink w:anchor="_Toc144110858" w:history="1">
            <w:r w:rsidR="004C7298" w:rsidRPr="006D24F3">
              <w:rPr>
                <w:rStyle w:val="Hyperlink"/>
                <w:noProof/>
              </w:rPr>
              <w:t>Background</w:t>
            </w:r>
            <w:r w:rsidR="004C7298">
              <w:rPr>
                <w:noProof/>
                <w:webHidden/>
              </w:rPr>
              <w:tab/>
            </w:r>
            <w:r w:rsidR="004C7298">
              <w:rPr>
                <w:noProof/>
                <w:webHidden/>
              </w:rPr>
              <w:fldChar w:fldCharType="begin"/>
            </w:r>
            <w:r w:rsidR="004C7298">
              <w:rPr>
                <w:noProof/>
                <w:webHidden/>
              </w:rPr>
              <w:instrText xml:space="preserve"> PAGEREF _Toc144110858 \h </w:instrText>
            </w:r>
            <w:r w:rsidR="004C7298">
              <w:rPr>
                <w:noProof/>
                <w:webHidden/>
              </w:rPr>
            </w:r>
            <w:r w:rsidR="004C7298">
              <w:rPr>
                <w:noProof/>
                <w:webHidden/>
              </w:rPr>
              <w:fldChar w:fldCharType="separate"/>
            </w:r>
            <w:r w:rsidR="004C7298">
              <w:rPr>
                <w:noProof/>
                <w:webHidden/>
              </w:rPr>
              <w:t>15</w:t>
            </w:r>
            <w:r w:rsidR="004C7298">
              <w:rPr>
                <w:noProof/>
                <w:webHidden/>
              </w:rPr>
              <w:fldChar w:fldCharType="end"/>
            </w:r>
          </w:hyperlink>
        </w:p>
        <w:p w14:paraId="549809FB" w14:textId="585429B1" w:rsidR="004C7298" w:rsidRDefault="00013F20">
          <w:pPr>
            <w:pStyle w:val="TOC3"/>
            <w:rPr>
              <w:rFonts w:asciiTheme="minorHAnsi" w:eastAsiaTheme="minorEastAsia" w:hAnsiTheme="minorHAnsi" w:cstheme="minorBidi"/>
              <w:b w:val="0"/>
              <w:noProof/>
              <w:color w:val="auto"/>
              <w:szCs w:val="22"/>
              <w:lang w:eastAsia="en-AU"/>
            </w:rPr>
          </w:pPr>
          <w:hyperlink w:anchor="_Toc144110859" w:history="1">
            <w:r w:rsidR="004C7298" w:rsidRPr="006D24F3">
              <w:rPr>
                <w:rStyle w:val="Hyperlink"/>
                <w:noProof/>
              </w:rPr>
              <w:t>Summary of the reasons for the proposal</w:t>
            </w:r>
            <w:r w:rsidR="004C7298">
              <w:rPr>
                <w:noProof/>
                <w:webHidden/>
              </w:rPr>
              <w:tab/>
            </w:r>
            <w:r w:rsidR="004C7298">
              <w:rPr>
                <w:noProof/>
                <w:webHidden/>
              </w:rPr>
              <w:fldChar w:fldCharType="begin"/>
            </w:r>
            <w:r w:rsidR="004C7298">
              <w:rPr>
                <w:noProof/>
                <w:webHidden/>
              </w:rPr>
              <w:instrText xml:space="preserve"> PAGEREF _Toc144110859 \h </w:instrText>
            </w:r>
            <w:r w:rsidR="004C7298">
              <w:rPr>
                <w:noProof/>
                <w:webHidden/>
              </w:rPr>
            </w:r>
            <w:r w:rsidR="004C7298">
              <w:rPr>
                <w:noProof/>
                <w:webHidden/>
              </w:rPr>
              <w:fldChar w:fldCharType="separate"/>
            </w:r>
            <w:r w:rsidR="004C7298">
              <w:rPr>
                <w:noProof/>
                <w:webHidden/>
              </w:rPr>
              <w:t>16</w:t>
            </w:r>
            <w:r w:rsidR="004C7298">
              <w:rPr>
                <w:noProof/>
                <w:webHidden/>
              </w:rPr>
              <w:fldChar w:fldCharType="end"/>
            </w:r>
          </w:hyperlink>
        </w:p>
        <w:p w14:paraId="67C3D499" w14:textId="1E440D05" w:rsidR="004C7298" w:rsidRDefault="00013F20">
          <w:pPr>
            <w:pStyle w:val="TOC3"/>
            <w:rPr>
              <w:rFonts w:asciiTheme="minorHAnsi" w:eastAsiaTheme="minorEastAsia" w:hAnsiTheme="minorHAnsi" w:cstheme="minorBidi"/>
              <w:b w:val="0"/>
              <w:noProof/>
              <w:color w:val="auto"/>
              <w:szCs w:val="22"/>
              <w:lang w:eastAsia="en-AU"/>
            </w:rPr>
          </w:pPr>
          <w:hyperlink w:anchor="_Toc144110860" w:history="1">
            <w:r w:rsidR="004C7298" w:rsidRPr="006D24F3">
              <w:rPr>
                <w:rStyle w:val="Hyperlink"/>
                <w:noProof/>
              </w:rPr>
              <w:t>Key uses / expected use</w:t>
            </w:r>
            <w:r w:rsidR="004C7298">
              <w:rPr>
                <w:noProof/>
                <w:webHidden/>
              </w:rPr>
              <w:tab/>
            </w:r>
            <w:r w:rsidR="004C7298">
              <w:rPr>
                <w:noProof/>
                <w:webHidden/>
              </w:rPr>
              <w:fldChar w:fldCharType="begin"/>
            </w:r>
            <w:r w:rsidR="004C7298">
              <w:rPr>
                <w:noProof/>
                <w:webHidden/>
              </w:rPr>
              <w:instrText xml:space="preserve"> PAGEREF _Toc144110860 \h </w:instrText>
            </w:r>
            <w:r w:rsidR="004C7298">
              <w:rPr>
                <w:noProof/>
                <w:webHidden/>
              </w:rPr>
            </w:r>
            <w:r w:rsidR="004C7298">
              <w:rPr>
                <w:noProof/>
                <w:webHidden/>
              </w:rPr>
              <w:fldChar w:fldCharType="separate"/>
            </w:r>
            <w:r w:rsidR="004C7298">
              <w:rPr>
                <w:noProof/>
                <w:webHidden/>
              </w:rPr>
              <w:t>16</w:t>
            </w:r>
            <w:r w:rsidR="004C7298">
              <w:rPr>
                <w:noProof/>
                <w:webHidden/>
              </w:rPr>
              <w:fldChar w:fldCharType="end"/>
            </w:r>
          </w:hyperlink>
        </w:p>
        <w:p w14:paraId="5EBFD96E" w14:textId="2659C41C" w:rsidR="004C7298" w:rsidRDefault="00013F20">
          <w:pPr>
            <w:pStyle w:val="TOC3"/>
            <w:rPr>
              <w:rFonts w:asciiTheme="minorHAnsi" w:eastAsiaTheme="minorEastAsia" w:hAnsiTheme="minorHAnsi" w:cstheme="minorBidi"/>
              <w:b w:val="0"/>
              <w:noProof/>
              <w:color w:val="auto"/>
              <w:szCs w:val="22"/>
              <w:lang w:eastAsia="en-AU"/>
            </w:rPr>
          </w:pPr>
          <w:hyperlink w:anchor="_Toc144110861" w:history="1">
            <w:r w:rsidR="004C7298" w:rsidRPr="006D24F3">
              <w:rPr>
                <w:rStyle w:val="Hyperlink"/>
                <w:noProof/>
              </w:rPr>
              <w:t>Australian regulations</w:t>
            </w:r>
            <w:r w:rsidR="004C7298">
              <w:rPr>
                <w:noProof/>
                <w:webHidden/>
              </w:rPr>
              <w:tab/>
            </w:r>
            <w:r w:rsidR="004C7298">
              <w:rPr>
                <w:noProof/>
                <w:webHidden/>
              </w:rPr>
              <w:fldChar w:fldCharType="begin"/>
            </w:r>
            <w:r w:rsidR="004C7298">
              <w:rPr>
                <w:noProof/>
                <w:webHidden/>
              </w:rPr>
              <w:instrText xml:space="preserve"> PAGEREF _Toc144110861 \h </w:instrText>
            </w:r>
            <w:r w:rsidR="004C7298">
              <w:rPr>
                <w:noProof/>
                <w:webHidden/>
              </w:rPr>
            </w:r>
            <w:r w:rsidR="004C7298">
              <w:rPr>
                <w:noProof/>
                <w:webHidden/>
              </w:rPr>
              <w:fldChar w:fldCharType="separate"/>
            </w:r>
            <w:r w:rsidR="004C7298">
              <w:rPr>
                <w:noProof/>
                <w:webHidden/>
              </w:rPr>
              <w:t>16</w:t>
            </w:r>
            <w:r w:rsidR="004C7298">
              <w:rPr>
                <w:noProof/>
                <w:webHidden/>
              </w:rPr>
              <w:fldChar w:fldCharType="end"/>
            </w:r>
          </w:hyperlink>
        </w:p>
        <w:p w14:paraId="010547BA" w14:textId="0B6C57CF" w:rsidR="004C7298" w:rsidRDefault="00013F20">
          <w:pPr>
            <w:pStyle w:val="TOC3"/>
            <w:rPr>
              <w:rFonts w:asciiTheme="minorHAnsi" w:eastAsiaTheme="minorEastAsia" w:hAnsiTheme="minorHAnsi" w:cstheme="minorBidi"/>
              <w:b w:val="0"/>
              <w:noProof/>
              <w:color w:val="auto"/>
              <w:szCs w:val="22"/>
              <w:lang w:eastAsia="en-AU"/>
            </w:rPr>
          </w:pPr>
          <w:hyperlink w:anchor="_Toc144110862" w:history="1">
            <w:r w:rsidR="004C7298" w:rsidRPr="006D24F3">
              <w:rPr>
                <w:rStyle w:val="Hyperlink"/>
                <w:noProof/>
              </w:rPr>
              <w:t>International regulations</w:t>
            </w:r>
            <w:r w:rsidR="004C7298">
              <w:rPr>
                <w:noProof/>
                <w:webHidden/>
              </w:rPr>
              <w:tab/>
            </w:r>
            <w:r w:rsidR="004C7298">
              <w:rPr>
                <w:noProof/>
                <w:webHidden/>
              </w:rPr>
              <w:fldChar w:fldCharType="begin"/>
            </w:r>
            <w:r w:rsidR="004C7298">
              <w:rPr>
                <w:noProof/>
                <w:webHidden/>
              </w:rPr>
              <w:instrText xml:space="preserve"> PAGEREF _Toc144110862 \h </w:instrText>
            </w:r>
            <w:r w:rsidR="004C7298">
              <w:rPr>
                <w:noProof/>
                <w:webHidden/>
              </w:rPr>
            </w:r>
            <w:r w:rsidR="004C7298">
              <w:rPr>
                <w:noProof/>
                <w:webHidden/>
              </w:rPr>
              <w:fldChar w:fldCharType="separate"/>
            </w:r>
            <w:r w:rsidR="004C7298">
              <w:rPr>
                <w:noProof/>
                <w:webHidden/>
              </w:rPr>
              <w:t>17</w:t>
            </w:r>
            <w:r w:rsidR="004C7298">
              <w:rPr>
                <w:noProof/>
                <w:webHidden/>
              </w:rPr>
              <w:fldChar w:fldCharType="end"/>
            </w:r>
          </w:hyperlink>
        </w:p>
        <w:p w14:paraId="429D5A3A" w14:textId="4C485BA0" w:rsidR="004C7298" w:rsidRDefault="00013F20">
          <w:pPr>
            <w:pStyle w:val="TOC2"/>
            <w:tabs>
              <w:tab w:val="left" w:pos="1276"/>
            </w:tabs>
            <w:rPr>
              <w:rFonts w:asciiTheme="minorHAnsi" w:eastAsiaTheme="minorEastAsia" w:hAnsiTheme="minorHAnsi" w:cstheme="minorBidi"/>
              <w:b w:val="0"/>
              <w:noProof/>
              <w:color w:val="auto"/>
              <w:sz w:val="22"/>
              <w:szCs w:val="22"/>
              <w:lang w:eastAsia="en-AU"/>
            </w:rPr>
          </w:pPr>
          <w:hyperlink w:anchor="_Toc144110863" w:history="1">
            <w:r w:rsidR="004C7298" w:rsidRPr="006D24F3">
              <w:rPr>
                <w:rStyle w:val="Hyperlink"/>
                <w:noProof/>
              </w:rPr>
              <w:t>1.4</w:t>
            </w:r>
            <w:r w:rsidR="004C7298">
              <w:rPr>
                <w:rFonts w:asciiTheme="minorHAnsi" w:eastAsiaTheme="minorEastAsia" w:hAnsiTheme="minorHAnsi" w:cstheme="minorBidi"/>
                <w:b w:val="0"/>
                <w:noProof/>
                <w:color w:val="auto"/>
                <w:sz w:val="22"/>
                <w:szCs w:val="22"/>
                <w:lang w:eastAsia="en-AU"/>
              </w:rPr>
              <w:tab/>
            </w:r>
            <w:r w:rsidR="004C7298" w:rsidRPr="006D24F3">
              <w:rPr>
                <w:rStyle w:val="Hyperlink"/>
                <w:noProof/>
              </w:rPr>
              <w:t>Glycopyrronium</w:t>
            </w:r>
            <w:r w:rsidR="004C7298">
              <w:rPr>
                <w:noProof/>
                <w:webHidden/>
              </w:rPr>
              <w:tab/>
            </w:r>
            <w:r w:rsidR="004C7298">
              <w:rPr>
                <w:noProof/>
                <w:webHidden/>
              </w:rPr>
              <w:fldChar w:fldCharType="begin"/>
            </w:r>
            <w:r w:rsidR="004C7298">
              <w:rPr>
                <w:noProof/>
                <w:webHidden/>
              </w:rPr>
              <w:instrText xml:space="preserve"> PAGEREF _Toc144110863 \h </w:instrText>
            </w:r>
            <w:r w:rsidR="004C7298">
              <w:rPr>
                <w:noProof/>
                <w:webHidden/>
              </w:rPr>
            </w:r>
            <w:r w:rsidR="004C7298">
              <w:rPr>
                <w:noProof/>
                <w:webHidden/>
              </w:rPr>
              <w:fldChar w:fldCharType="separate"/>
            </w:r>
            <w:r w:rsidR="004C7298">
              <w:rPr>
                <w:noProof/>
                <w:webHidden/>
              </w:rPr>
              <w:t>17</w:t>
            </w:r>
            <w:r w:rsidR="004C7298">
              <w:rPr>
                <w:noProof/>
                <w:webHidden/>
              </w:rPr>
              <w:fldChar w:fldCharType="end"/>
            </w:r>
          </w:hyperlink>
        </w:p>
        <w:p w14:paraId="299B2AA1" w14:textId="3055B560" w:rsidR="004C7298" w:rsidRDefault="00013F20">
          <w:pPr>
            <w:pStyle w:val="TOC3"/>
            <w:rPr>
              <w:rFonts w:asciiTheme="minorHAnsi" w:eastAsiaTheme="minorEastAsia" w:hAnsiTheme="minorHAnsi" w:cstheme="minorBidi"/>
              <w:b w:val="0"/>
              <w:noProof/>
              <w:color w:val="auto"/>
              <w:szCs w:val="22"/>
              <w:lang w:eastAsia="en-AU"/>
            </w:rPr>
          </w:pPr>
          <w:hyperlink w:anchor="_Toc144110864" w:history="1">
            <w:r w:rsidR="004C7298" w:rsidRPr="006D24F3">
              <w:rPr>
                <w:rStyle w:val="Hyperlink"/>
                <w:noProof/>
              </w:rPr>
              <w:t>Proposal</w:t>
            </w:r>
            <w:r w:rsidR="004C7298">
              <w:rPr>
                <w:noProof/>
                <w:webHidden/>
              </w:rPr>
              <w:tab/>
            </w:r>
            <w:r w:rsidR="004C7298">
              <w:rPr>
                <w:noProof/>
                <w:webHidden/>
              </w:rPr>
              <w:fldChar w:fldCharType="begin"/>
            </w:r>
            <w:r w:rsidR="004C7298">
              <w:rPr>
                <w:noProof/>
                <w:webHidden/>
              </w:rPr>
              <w:instrText xml:space="preserve"> PAGEREF _Toc144110864 \h </w:instrText>
            </w:r>
            <w:r w:rsidR="004C7298">
              <w:rPr>
                <w:noProof/>
                <w:webHidden/>
              </w:rPr>
            </w:r>
            <w:r w:rsidR="004C7298">
              <w:rPr>
                <w:noProof/>
                <w:webHidden/>
              </w:rPr>
              <w:fldChar w:fldCharType="separate"/>
            </w:r>
            <w:r w:rsidR="004C7298">
              <w:rPr>
                <w:noProof/>
                <w:webHidden/>
              </w:rPr>
              <w:t>17</w:t>
            </w:r>
            <w:r w:rsidR="004C7298">
              <w:rPr>
                <w:noProof/>
                <w:webHidden/>
              </w:rPr>
              <w:fldChar w:fldCharType="end"/>
            </w:r>
          </w:hyperlink>
        </w:p>
        <w:p w14:paraId="40BF3356" w14:textId="2BBAF753" w:rsidR="004C7298" w:rsidRDefault="00013F20">
          <w:pPr>
            <w:pStyle w:val="TOC3"/>
            <w:rPr>
              <w:rFonts w:asciiTheme="minorHAnsi" w:eastAsiaTheme="minorEastAsia" w:hAnsiTheme="minorHAnsi" w:cstheme="minorBidi"/>
              <w:b w:val="0"/>
              <w:noProof/>
              <w:color w:val="auto"/>
              <w:szCs w:val="22"/>
              <w:lang w:eastAsia="en-AU"/>
            </w:rPr>
          </w:pPr>
          <w:hyperlink w:anchor="_Toc144110865" w:history="1">
            <w:r w:rsidR="004C7298" w:rsidRPr="006D24F3">
              <w:rPr>
                <w:rStyle w:val="Hyperlink"/>
                <w:noProof/>
              </w:rPr>
              <w:t>CAS number</w:t>
            </w:r>
            <w:r w:rsidR="004C7298">
              <w:rPr>
                <w:noProof/>
                <w:webHidden/>
              </w:rPr>
              <w:tab/>
            </w:r>
            <w:r w:rsidR="004C7298">
              <w:rPr>
                <w:noProof/>
                <w:webHidden/>
              </w:rPr>
              <w:fldChar w:fldCharType="begin"/>
            </w:r>
            <w:r w:rsidR="004C7298">
              <w:rPr>
                <w:noProof/>
                <w:webHidden/>
              </w:rPr>
              <w:instrText xml:space="preserve"> PAGEREF _Toc144110865 \h </w:instrText>
            </w:r>
            <w:r w:rsidR="004C7298">
              <w:rPr>
                <w:noProof/>
                <w:webHidden/>
              </w:rPr>
            </w:r>
            <w:r w:rsidR="004C7298">
              <w:rPr>
                <w:noProof/>
                <w:webHidden/>
              </w:rPr>
              <w:fldChar w:fldCharType="separate"/>
            </w:r>
            <w:r w:rsidR="004C7298">
              <w:rPr>
                <w:noProof/>
                <w:webHidden/>
              </w:rPr>
              <w:t>17</w:t>
            </w:r>
            <w:r w:rsidR="004C7298">
              <w:rPr>
                <w:noProof/>
                <w:webHidden/>
              </w:rPr>
              <w:fldChar w:fldCharType="end"/>
            </w:r>
          </w:hyperlink>
        </w:p>
        <w:p w14:paraId="022143B6" w14:textId="1B2E6715" w:rsidR="004C7298" w:rsidRDefault="00013F20">
          <w:pPr>
            <w:pStyle w:val="TOC3"/>
            <w:rPr>
              <w:rFonts w:asciiTheme="minorHAnsi" w:eastAsiaTheme="minorEastAsia" w:hAnsiTheme="minorHAnsi" w:cstheme="minorBidi"/>
              <w:b w:val="0"/>
              <w:noProof/>
              <w:color w:val="auto"/>
              <w:szCs w:val="22"/>
              <w:lang w:eastAsia="en-AU"/>
            </w:rPr>
          </w:pPr>
          <w:hyperlink w:anchor="_Toc144110866" w:history="1">
            <w:r w:rsidR="004C7298" w:rsidRPr="006D24F3">
              <w:rPr>
                <w:rStyle w:val="Hyperlink"/>
                <w:noProof/>
              </w:rPr>
              <w:t>Alternative names</w:t>
            </w:r>
            <w:r w:rsidR="004C7298">
              <w:rPr>
                <w:noProof/>
                <w:webHidden/>
              </w:rPr>
              <w:tab/>
            </w:r>
            <w:r w:rsidR="004C7298">
              <w:rPr>
                <w:noProof/>
                <w:webHidden/>
              </w:rPr>
              <w:fldChar w:fldCharType="begin"/>
            </w:r>
            <w:r w:rsidR="004C7298">
              <w:rPr>
                <w:noProof/>
                <w:webHidden/>
              </w:rPr>
              <w:instrText xml:space="preserve"> PAGEREF _Toc144110866 \h </w:instrText>
            </w:r>
            <w:r w:rsidR="004C7298">
              <w:rPr>
                <w:noProof/>
                <w:webHidden/>
              </w:rPr>
            </w:r>
            <w:r w:rsidR="004C7298">
              <w:rPr>
                <w:noProof/>
                <w:webHidden/>
              </w:rPr>
              <w:fldChar w:fldCharType="separate"/>
            </w:r>
            <w:r w:rsidR="004C7298">
              <w:rPr>
                <w:noProof/>
                <w:webHidden/>
              </w:rPr>
              <w:t>17</w:t>
            </w:r>
            <w:r w:rsidR="004C7298">
              <w:rPr>
                <w:noProof/>
                <w:webHidden/>
              </w:rPr>
              <w:fldChar w:fldCharType="end"/>
            </w:r>
          </w:hyperlink>
        </w:p>
        <w:p w14:paraId="512F4BF2" w14:textId="13CC73EF" w:rsidR="004C7298" w:rsidRDefault="00013F20">
          <w:pPr>
            <w:pStyle w:val="TOC3"/>
            <w:rPr>
              <w:rFonts w:asciiTheme="minorHAnsi" w:eastAsiaTheme="minorEastAsia" w:hAnsiTheme="minorHAnsi" w:cstheme="minorBidi"/>
              <w:b w:val="0"/>
              <w:noProof/>
              <w:color w:val="auto"/>
              <w:szCs w:val="22"/>
              <w:lang w:eastAsia="en-AU"/>
            </w:rPr>
          </w:pPr>
          <w:hyperlink w:anchor="_Toc144110867" w:history="1">
            <w:r w:rsidR="004C7298" w:rsidRPr="006D24F3">
              <w:rPr>
                <w:rStyle w:val="Hyperlink"/>
                <w:noProof/>
              </w:rPr>
              <w:t>Applicant</w:t>
            </w:r>
            <w:r w:rsidR="004C7298">
              <w:rPr>
                <w:noProof/>
                <w:webHidden/>
              </w:rPr>
              <w:tab/>
            </w:r>
            <w:r w:rsidR="004C7298">
              <w:rPr>
                <w:noProof/>
                <w:webHidden/>
              </w:rPr>
              <w:fldChar w:fldCharType="begin"/>
            </w:r>
            <w:r w:rsidR="004C7298">
              <w:rPr>
                <w:noProof/>
                <w:webHidden/>
              </w:rPr>
              <w:instrText xml:space="preserve"> PAGEREF _Toc144110867 \h </w:instrText>
            </w:r>
            <w:r w:rsidR="004C7298">
              <w:rPr>
                <w:noProof/>
                <w:webHidden/>
              </w:rPr>
            </w:r>
            <w:r w:rsidR="004C7298">
              <w:rPr>
                <w:noProof/>
                <w:webHidden/>
              </w:rPr>
              <w:fldChar w:fldCharType="separate"/>
            </w:r>
            <w:r w:rsidR="004C7298">
              <w:rPr>
                <w:noProof/>
                <w:webHidden/>
              </w:rPr>
              <w:t>17</w:t>
            </w:r>
            <w:r w:rsidR="004C7298">
              <w:rPr>
                <w:noProof/>
                <w:webHidden/>
              </w:rPr>
              <w:fldChar w:fldCharType="end"/>
            </w:r>
          </w:hyperlink>
        </w:p>
        <w:p w14:paraId="1E8170EA" w14:textId="6FAEAA94" w:rsidR="004C7298" w:rsidRDefault="00013F20">
          <w:pPr>
            <w:pStyle w:val="TOC3"/>
            <w:rPr>
              <w:rFonts w:asciiTheme="minorHAnsi" w:eastAsiaTheme="minorEastAsia" w:hAnsiTheme="minorHAnsi" w:cstheme="minorBidi"/>
              <w:b w:val="0"/>
              <w:noProof/>
              <w:color w:val="auto"/>
              <w:szCs w:val="22"/>
              <w:lang w:eastAsia="en-AU"/>
            </w:rPr>
          </w:pPr>
          <w:hyperlink w:anchor="_Toc144110868" w:history="1">
            <w:r w:rsidR="004C7298" w:rsidRPr="006D24F3">
              <w:rPr>
                <w:rStyle w:val="Hyperlink"/>
                <w:noProof/>
              </w:rPr>
              <w:t>Proposed Scheduling</w:t>
            </w:r>
            <w:r w:rsidR="004C7298">
              <w:rPr>
                <w:noProof/>
                <w:webHidden/>
              </w:rPr>
              <w:tab/>
            </w:r>
            <w:r w:rsidR="004C7298">
              <w:rPr>
                <w:noProof/>
                <w:webHidden/>
              </w:rPr>
              <w:fldChar w:fldCharType="begin"/>
            </w:r>
            <w:r w:rsidR="004C7298">
              <w:rPr>
                <w:noProof/>
                <w:webHidden/>
              </w:rPr>
              <w:instrText xml:space="preserve"> PAGEREF _Toc144110868 \h </w:instrText>
            </w:r>
            <w:r w:rsidR="004C7298">
              <w:rPr>
                <w:noProof/>
                <w:webHidden/>
              </w:rPr>
            </w:r>
            <w:r w:rsidR="004C7298">
              <w:rPr>
                <w:noProof/>
                <w:webHidden/>
              </w:rPr>
              <w:fldChar w:fldCharType="separate"/>
            </w:r>
            <w:r w:rsidR="004C7298">
              <w:rPr>
                <w:noProof/>
                <w:webHidden/>
              </w:rPr>
              <w:t>17</w:t>
            </w:r>
            <w:r w:rsidR="004C7298">
              <w:rPr>
                <w:noProof/>
                <w:webHidden/>
              </w:rPr>
              <w:fldChar w:fldCharType="end"/>
            </w:r>
          </w:hyperlink>
        </w:p>
        <w:p w14:paraId="66D57DFF" w14:textId="4A48F58B" w:rsidR="004C7298" w:rsidRDefault="00013F20">
          <w:pPr>
            <w:pStyle w:val="TOC3"/>
            <w:rPr>
              <w:rFonts w:asciiTheme="minorHAnsi" w:eastAsiaTheme="minorEastAsia" w:hAnsiTheme="minorHAnsi" w:cstheme="minorBidi"/>
              <w:b w:val="0"/>
              <w:noProof/>
              <w:color w:val="auto"/>
              <w:szCs w:val="22"/>
              <w:lang w:eastAsia="en-AU"/>
            </w:rPr>
          </w:pPr>
          <w:hyperlink w:anchor="_Toc144110869" w:history="1">
            <w:r w:rsidR="004C7298" w:rsidRPr="006D24F3">
              <w:rPr>
                <w:rStyle w:val="Hyperlink"/>
                <w:noProof/>
              </w:rPr>
              <w:t>Background</w:t>
            </w:r>
            <w:r w:rsidR="004C7298">
              <w:rPr>
                <w:noProof/>
                <w:webHidden/>
              </w:rPr>
              <w:tab/>
            </w:r>
            <w:r w:rsidR="004C7298">
              <w:rPr>
                <w:noProof/>
                <w:webHidden/>
              </w:rPr>
              <w:fldChar w:fldCharType="begin"/>
            </w:r>
            <w:r w:rsidR="004C7298">
              <w:rPr>
                <w:noProof/>
                <w:webHidden/>
              </w:rPr>
              <w:instrText xml:space="preserve"> PAGEREF _Toc144110869 \h </w:instrText>
            </w:r>
            <w:r w:rsidR="004C7298">
              <w:rPr>
                <w:noProof/>
                <w:webHidden/>
              </w:rPr>
            </w:r>
            <w:r w:rsidR="004C7298">
              <w:rPr>
                <w:noProof/>
                <w:webHidden/>
              </w:rPr>
              <w:fldChar w:fldCharType="separate"/>
            </w:r>
            <w:r w:rsidR="004C7298">
              <w:rPr>
                <w:noProof/>
                <w:webHidden/>
              </w:rPr>
              <w:t>18</w:t>
            </w:r>
            <w:r w:rsidR="004C7298">
              <w:rPr>
                <w:noProof/>
                <w:webHidden/>
              </w:rPr>
              <w:fldChar w:fldCharType="end"/>
            </w:r>
          </w:hyperlink>
        </w:p>
        <w:p w14:paraId="274F9A4C" w14:textId="46AC1BFB" w:rsidR="004C7298" w:rsidRDefault="00013F20">
          <w:pPr>
            <w:pStyle w:val="TOC3"/>
            <w:rPr>
              <w:rFonts w:asciiTheme="minorHAnsi" w:eastAsiaTheme="minorEastAsia" w:hAnsiTheme="minorHAnsi" w:cstheme="minorBidi"/>
              <w:b w:val="0"/>
              <w:noProof/>
              <w:color w:val="auto"/>
              <w:szCs w:val="22"/>
              <w:lang w:eastAsia="en-AU"/>
            </w:rPr>
          </w:pPr>
          <w:hyperlink w:anchor="_Toc144110870" w:history="1">
            <w:r w:rsidR="004C7298" w:rsidRPr="006D24F3">
              <w:rPr>
                <w:rStyle w:val="Hyperlink"/>
                <w:noProof/>
              </w:rPr>
              <w:t>Summary of applicant’s reasons for the proposal</w:t>
            </w:r>
            <w:r w:rsidR="004C7298">
              <w:rPr>
                <w:noProof/>
                <w:webHidden/>
              </w:rPr>
              <w:tab/>
            </w:r>
            <w:r w:rsidR="004C7298">
              <w:rPr>
                <w:noProof/>
                <w:webHidden/>
              </w:rPr>
              <w:fldChar w:fldCharType="begin"/>
            </w:r>
            <w:r w:rsidR="004C7298">
              <w:rPr>
                <w:noProof/>
                <w:webHidden/>
              </w:rPr>
              <w:instrText xml:space="preserve"> PAGEREF _Toc144110870 \h </w:instrText>
            </w:r>
            <w:r w:rsidR="004C7298">
              <w:rPr>
                <w:noProof/>
                <w:webHidden/>
              </w:rPr>
            </w:r>
            <w:r w:rsidR="004C7298">
              <w:rPr>
                <w:noProof/>
                <w:webHidden/>
              </w:rPr>
              <w:fldChar w:fldCharType="separate"/>
            </w:r>
            <w:r w:rsidR="004C7298">
              <w:rPr>
                <w:noProof/>
                <w:webHidden/>
              </w:rPr>
              <w:t>18</w:t>
            </w:r>
            <w:r w:rsidR="004C7298">
              <w:rPr>
                <w:noProof/>
                <w:webHidden/>
              </w:rPr>
              <w:fldChar w:fldCharType="end"/>
            </w:r>
          </w:hyperlink>
        </w:p>
        <w:p w14:paraId="33DF1659" w14:textId="7D59FA44" w:rsidR="004C7298" w:rsidRDefault="00013F20">
          <w:pPr>
            <w:pStyle w:val="TOC3"/>
            <w:rPr>
              <w:rFonts w:asciiTheme="minorHAnsi" w:eastAsiaTheme="minorEastAsia" w:hAnsiTheme="minorHAnsi" w:cstheme="minorBidi"/>
              <w:b w:val="0"/>
              <w:noProof/>
              <w:color w:val="auto"/>
              <w:szCs w:val="22"/>
              <w:lang w:eastAsia="en-AU"/>
            </w:rPr>
          </w:pPr>
          <w:hyperlink w:anchor="_Toc144110871" w:history="1">
            <w:r w:rsidR="004C7298" w:rsidRPr="006D24F3">
              <w:rPr>
                <w:rStyle w:val="Hyperlink"/>
                <w:noProof/>
              </w:rPr>
              <w:t>Key uses / expected use</w:t>
            </w:r>
            <w:r w:rsidR="004C7298">
              <w:rPr>
                <w:noProof/>
                <w:webHidden/>
              </w:rPr>
              <w:tab/>
            </w:r>
            <w:r w:rsidR="004C7298">
              <w:rPr>
                <w:noProof/>
                <w:webHidden/>
              </w:rPr>
              <w:fldChar w:fldCharType="begin"/>
            </w:r>
            <w:r w:rsidR="004C7298">
              <w:rPr>
                <w:noProof/>
                <w:webHidden/>
              </w:rPr>
              <w:instrText xml:space="preserve"> PAGEREF _Toc144110871 \h </w:instrText>
            </w:r>
            <w:r w:rsidR="004C7298">
              <w:rPr>
                <w:noProof/>
                <w:webHidden/>
              </w:rPr>
            </w:r>
            <w:r w:rsidR="004C7298">
              <w:rPr>
                <w:noProof/>
                <w:webHidden/>
              </w:rPr>
              <w:fldChar w:fldCharType="separate"/>
            </w:r>
            <w:r w:rsidR="004C7298">
              <w:rPr>
                <w:noProof/>
                <w:webHidden/>
              </w:rPr>
              <w:t>18</w:t>
            </w:r>
            <w:r w:rsidR="004C7298">
              <w:rPr>
                <w:noProof/>
                <w:webHidden/>
              </w:rPr>
              <w:fldChar w:fldCharType="end"/>
            </w:r>
          </w:hyperlink>
        </w:p>
        <w:p w14:paraId="10692BC7" w14:textId="7BF8DF7C" w:rsidR="004C7298" w:rsidRDefault="00013F20">
          <w:pPr>
            <w:pStyle w:val="TOC3"/>
            <w:rPr>
              <w:rFonts w:asciiTheme="minorHAnsi" w:eastAsiaTheme="minorEastAsia" w:hAnsiTheme="minorHAnsi" w:cstheme="minorBidi"/>
              <w:b w:val="0"/>
              <w:noProof/>
              <w:color w:val="auto"/>
              <w:szCs w:val="22"/>
              <w:lang w:eastAsia="en-AU"/>
            </w:rPr>
          </w:pPr>
          <w:hyperlink w:anchor="_Toc144110872" w:history="1">
            <w:r w:rsidR="004C7298" w:rsidRPr="006D24F3">
              <w:rPr>
                <w:rStyle w:val="Hyperlink"/>
                <w:noProof/>
              </w:rPr>
              <w:t>Australian regulations</w:t>
            </w:r>
            <w:r w:rsidR="004C7298">
              <w:rPr>
                <w:noProof/>
                <w:webHidden/>
              </w:rPr>
              <w:tab/>
            </w:r>
            <w:r w:rsidR="004C7298">
              <w:rPr>
                <w:noProof/>
                <w:webHidden/>
              </w:rPr>
              <w:fldChar w:fldCharType="begin"/>
            </w:r>
            <w:r w:rsidR="004C7298">
              <w:rPr>
                <w:noProof/>
                <w:webHidden/>
              </w:rPr>
              <w:instrText xml:space="preserve"> PAGEREF _Toc144110872 \h </w:instrText>
            </w:r>
            <w:r w:rsidR="004C7298">
              <w:rPr>
                <w:noProof/>
                <w:webHidden/>
              </w:rPr>
            </w:r>
            <w:r w:rsidR="004C7298">
              <w:rPr>
                <w:noProof/>
                <w:webHidden/>
              </w:rPr>
              <w:fldChar w:fldCharType="separate"/>
            </w:r>
            <w:r w:rsidR="004C7298">
              <w:rPr>
                <w:noProof/>
                <w:webHidden/>
              </w:rPr>
              <w:t>18</w:t>
            </w:r>
            <w:r w:rsidR="004C7298">
              <w:rPr>
                <w:noProof/>
                <w:webHidden/>
              </w:rPr>
              <w:fldChar w:fldCharType="end"/>
            </w:r>
          </w:hyperlink>
        </w:p>
        <w:p w14:paraId="2DC123CC" w14:textId="4C95CD98" w:rsidR="004C7298" w:rsidRDefault="00013F20">
          <w:pPr>
            <w:pStyle w:val="TOC3"/>
            <w:rPr>
              <w:rFonts w:asciiTheme="minorHAnsi" w:eastAsiaTheme="minorEastAsia" w:hAnsiTheme="minorHAnsi" w:cstheme="minorBidi"/>
              <w:b w:val="0"/>
              <w:noProof/>
              <w:color w:val="auto"/>
              <w:szCs w:val="22"/>
              <w:lang w:eastAsia="en-AU"/>
            </w:rPr>
          </w:pPr>
          <w:hyperlink w:anchor="_Toc144110873" w:history="1">
            <w:r w:rsidR="004C7298" w:rsidRPr="006D24F3">
              <w:rPr>
                <w:rStyle w:val="Hyperlink"/>
                <w:noProof/>
              </w:rPr>
              <w:t>International regulations</w:t>
            </w:r>
            <w:r w:rsidR="004C7298">
              <w:rPr>
                <w:noProof/>
                <w:webHidden/>
              </w:rPr>
              <w:tab/>
            </w:r>
            <w:r w:rsidR="004C7298">
              <w:rPr>
                <w:noProof/>
                <w:webHidden/>
              </w:rPr>
              <w:fldChar w:fldCharType="begin"/>
            </w:r>
            <w:r w:rsidR="004C7298">
              <w:rPr>
                <w:noProof/>
                <w:webHidden/>
              </w:rPr>
              <w:instrText xml:space="preserve"> PAGEREF _Toc144110873 \h </w:instrText>
            </w:r>
            <w:r w:rsidR="004C7298">
              <w:rPr>
                <w:noProof/>
                <w:webHidden/>
              </w:rPr>
            </w:r>
            <w:r w:rsidR="004C7298">
              <w:rPr>
                <w:noProof/>
                <w:webHidden/>
              </w:rPr>
              <w:fldChar w:fldCharType="separate"/>
            </w:r>
            <w:r w:rsidR="004C7298">
              <w:rPr>
                <w:noProof/>
                <w:webHidden/>
              </w:rPr>
              <w:t>20</w:t>
            </w:r>
            <w:r w:rsidR="004C7298">
              <w:rPr>
                <w:noProof/>
                <w:webHidden/>
              </w:rPr>
              <w:fldChar w:fldCharType="end"/>
            </w:r>
          </w:hyperlink>
        </w:p>
        <w:p w14:paraId="65870CEB" w14:textId="50559A4E" w:rsidR="004C7298" w:rsidRDefault="00013F20">
          <w:pPr>
            <w:pStyle w:val="TOC2"/>
            <w:tabs>
              <w:tab w:val="left" w:pos="1276"/>
            </w:tabs>
            <w:rPr>
              <w:rFonts w:asciiTheme="minorHAnsi" w:eastAsiaTheme="minorEastAsia" w:hAnsiTheme="minorHAnsi" w:cstheme="minorBidi"/>
              <w:b w:val="0"/>
              <w:noProof/>
              <w:color w:val="auto"/>
              <w:sz w:val="22"/>
              <w:szCs w:val="22"/>
              <w:lang w:eastAsia="en-AU"/>
            </w:rPr>
          </w:pPr>
          <w:hyperlink w:anchor="_Toc144110874" w:history="1">
            <w:r w:rsidR="004C7298" w:rsidRPr="006D24F3">
              <w:rPr>
                <w:rStyle w:val="Hyperlink"/>
                <w:noProof/>
              </w:rPr>
              <w:t>1.5</w:t>
            </w:r>
            <w:r w:rsidR="004C7298">
              <w:rPr>
                <w:rFonts w:asciiTheme="minorHAnsi" w:eastAsiaTheme="minorEastAsia" w:hAnsiTheme="minorHAnsi" w:cstheme="minorBidi"/>
                <w:b w:val="0"/>
                <w:noProof/>
                <w:color w:val="auto"/>
                <w:sz w:val="22"/>
                <w:szCs w:val="22"/>
                <w:lang w:eastAsia="en-AU"/>
              </w:rPr>
              <w:tab/>
            </w:r>
            <w:r w:rsidR="004C7298" w:rsidRPr="006D24F3">
              <w:rPr>
                <w:rStyle w:val="Hyperlink"/>
                <w:noProof/>
              </w:rPr>
              <w:t>Methenamine</w:t>
            </w:r>
            <w:r w:rsidR="004C7298">
              <w:rPr>
                <w:noProof/>
                <w:webHidden/>
              </w:rPr>
              <w:tab/>
            </w:r>
            <w:r w:rsidR="004C7298">
              <w:rPr>
                <w:noProof/>
                <w:webHidden/>
              </w:rPr>
              <w:fldChar w:fldCharType="begin"/>
            </w:r>
            <w:r w:rsidR="004C7298">
              <w:rPr>
                <w:noProof/>
                <w:webHidden/>
              </w:rPr>
              <w:instrText xml:space="preserve"> PAGEREF _Toc144110874 \h </w:instrText>
            </w:r>
            <w:r w:rsidR="004C7298">
              <w:rPr>
                <w:noProof/>
                <w:webHidden/>
              </w:rPr>
            </w:r>
            <w:r w:rsidR="004C7298">
              <w:rPr>
                <w:noProof/>
                <w:webHidden/>
              </w:rPr>
              <w:fldChar w:fldCharType="separate"/>
            </w:r>
            <w:r w:rsidR="004C7298">
              <w:rPr>
                <w:noProof/>
                <w:webHidden/>
              </w:rPr>
              <w:t>20</w:t>
            </w:r>
            <w:r w:rsidR="004C7298">
              <w:rPr>
                <w:noProof/>
                <w:webHidden/>
              </w:rPr>
              <w:fldChar w:fldCharType="end"/>
            </w:r>
          </w:hyperlink>
        </w:p>
        <w:p w14:paraId="09077BFA" w14:textId="5CE2F17E" w:rsidR="004C7298" w:rsidRDefault="00013F20">
          <w:pPr>
            <w:pStyle w:val="TOC3"/>
            <w:rPr>
              <w:rFonts w:asciiTheme="minorHAnsi" w:eastAsiaTheme="minorEastAsia" w:hAnsiTheme="minorHAnsi" w:cstheme="minorBidi"/>
              <w:b w:val="0"/>
              <w:noProof/>
              <w:color w:val="auto"/>
              <w:szCs w:val="22"/>
              <w:lang w:eastAsia="en-AU"/>
            </w:rPr>
          </w:pPr>
          <w:hyperlink w:anchor="_Toc144110875" w:history="1">
            <w:r w:rsidR="004C7298" w:rsidRPr="006D24F3">
              <w:rPr>
                <w:rStyle w:val="Hyperlink"/>
                <w:noProof/>
              </w:rPr>
              <w:t>Proposal</w:t>
            </w:r>
            <w:r w:rsidR="004C7298">
              <w:rPr>
                <w:noProof/>
                <w:webHidden/>
              </w:rPr>
              <w:tab/>
            </w:r>
            <w:r w:rsidR="004C7298">
              <w:rPr>
                <w:noProof/>
                <w:webHidden/>
              </w:rPr>
              <w:fldChar w:fldCharType="begin"/>
            </w:r>
            <w:r w:rsidR="004C7298">
              <w:rPr>
                <w:noProof/>
                <w:webHidden/>
              </w:rPr>
              <w:instrText xml:space="preserve"> PAGEREF _Toc144110875 \h </w:instrText>
            </w:r>
            <w:r w:rsidR="004C7298">
              <w:rPr>
                <w:noProof/>
                <w:webHidden/>
              </w:rPr>
            </w:r>
            <w:r w:rsidR="004C7298">
              <w:rPr>
                <w:noProof/>
                <w:webHidden/>
              </w:rPr>
              <w:fldChar w:fldCharType="separate"/>
            </w:r>
            <w:r w:rsidR="004C7298">
              <w:rPr>
                <w:noProof/>
                <w:webHidden/>
              </w:rPr>
              <w:t>20</w:t>
            </w:r>
            <w:r w:rsidR="004C7298">
              <w:rPr>
                <w:noProof/>
                <w:webHidden/>
              </w:rPr>
              <w:fldChar w:fldCharType="end"/>
            </w:r>
          </w:hyperlink>
        </w:p>
        <w:p w14:paraId="7F2BC8CF" w14:textId="013D5063" w:rsidR="004C7298" w:rsidRDefault="00013F20">
          <w:pPr>
            <w:pStyle w:val="TOC3"/>
            <w:rPr>
              <w:rFonts w:asciiTheme="minorHAnsi" w:eastAsiaTheme="minorEastAsia" w:hAnsiTheme="minorHAnsi" w:cstheme="minorBidi"/>
              <w:b w:val="0"/>
              <w:noProof/>
              <w:color w:val="auto"/>
              <w:szCs w:val="22"/>
              <w:lang w:eastAsia="en-AU"/>
            </w:rPr>
          </w:pPr>
          <w:hyperlink w:anchor="_Toc144110876" w:history="1">
            <w:r w:rsidR="004C7298" w:rsidRPr="006D24F3">
              <w:rPr>
                <w:rStyle w:val="Hyperlink"/>
                <w:noProof/>
              </w:rPr>
              <w:t>CAS number</w:t>
            </w:r>
            <w:r w:rsidR="004C7298">
              <w:rPr>
                <w:noProof/>
                <w:webHidden/>
              </w:rPr>
              <w:tab/>
            </w:r>
            <w:r w:rsidR="004C7298">
              <w:rPr>
                <w:noProof/>
                <w:webHidden/>
              </w:rPr>
              <w:fldChar w:fldCharType="begin"/>
            </w:r>
            <w:r w:rsidR="004C7298">
              <w:rPr>
                <w:noProof/>
                <w:webHidden/>
              </w:rPr>
              <w:instrText xml:space="preserve"> PAGEREF _Toc144110876 \h </w:instrText>
            </w:r>
            <w:r w:rsidR="004C7298">
              <w:rPr>
                <w:noProof/>
                <w:webHidden/>
              </w:rPr>
            </w:r>
            <w:r w:rsidR="004C7298">
              <w:rPr>
                <w:noProof/>
                <w:webHidden/>
              </w:rPr>
              <w:fldChar w:fldCharType="separate"/>
            </w:r>
            <w:r w:rsidR="004C7298">
              <w:rPr>
                <w:noProof/>
                <w:webHidden/>
              </w:rPr>
              <w:t>20</w:t>
            </w:r>
            <w:r w:rsidR="004C7298">
              <w:rPr>
                <w:noProof/>
                <w:webHidden/>
              </w:rPr>
              <w:fldChar w:fldCharType="end"/>
            </w:r>
          </w:hyperlink>
        </w:p>
        <w:p w14:paraId="4DC3A6BB" w14:textId="0220CE3A" w:rsidR="004C7298" w:rsidRDefault="00013F20">
          <w:pPr>
            <w:pStyle w:val="TOC3"/>
            <w:rPr>
              <w:rFonts w:asciiTheme="minorHAnsi" w:eastAsiaTheme="minorEastAsia" w:hAnsiTheme="minorHAnsi" w:cstheme="minorBidi"/>
              <w:b w:val="0"/>
              <w:noProof/>
              <w:color w:val="auto"/>
              <w:szCs w:val="22"/>
              <w:lang w:eastAsia="en-AU"/>
            </w:rPr>
          </w:pPr>
          <w:hyperlink w:anchor="_Toc144110877" w:history="1">
            <w:r w:rsidR="004C7298" w:rsidRPr="006D24F3">
              <w:rPr>
                <w:rStyle w:val="Hyperlink"/>
                <w:noProof/>
              </w:rPr>
              <w:t>Alternative names</w:t>
            </w:r>
            <w:r w:rsidR="004C7298">
              <w:rPr>
                <w:noProof/>
                <w:webHidden/>
              </w:rPr>
              <w:tab/>
            </w:r>
            <w:r w:rsidR="004C7298">
              <w:rPr>
                <w:noProof/>
                <w:webHidden/>
              </w:rPr>
              <w:fldChar w:fldCharType="begin"/>
            </w:r>
            <w:r w:rsidR="004C7298">
              <w:rPr>
                <w:noProof/>
                <w:webHidden/>
              </w:rPr>
              <w:instrText xml:space="preserve"> PAGEREF _Toc144110877 \h </w:instrText>
            </w:r>
            <w:r w:rsidR="004C7298">
              <w:rPr>
                <w:noProof/>
                <w:webHidden/>
              </w:rPr>
            </w:r>
            <w:r w:rsidR="004C7298">
              <w:rPr>
                <w:noProof/>
                <w:webHidden/>
              </w:rPr>
              <w:fldChar w:fldCharType="separate"/>
            </w:r>
            <w:r w:rsidR="004C7298">
              <w:rPr>
                <w:noProof/>
                <w:webHidden/>
              </w:rPr>
              <w:t>20</w:t>
            </w:r>
            <w:r w:rsidR="004C7298">
              <w:rPr>
                <w:noProof/>
                <w:webHidden/>
              </w:rPr>
              <w:fldChar w:fldCharType="end"/>
            </w:r>
          </w:hyperlink>
        </w:p>
        <w:p w14:paraId="65E045BF" w14:textId="6D71E2D5" w:rsidR="004C7298" w:rsidRDefault="00013F20">
          <w:pPr>
            <w:pStyle w:val="TOC3"/>
            <w:rPr>
              <w:rFonts w:asciiTheme="minorHAnsi" w:eastAsiaTheme="minorEastAsia" w:hAnsiTheme="minorHAnsi" w:cstheme="minorBidi"/>
              <w:b w:val="0"/>
              <w:noProof/>
              <w:color w:val="auto"/>
              <w:szCs w:val="22"/>
              <w:lang w:eastAsia="en-AU"/>
            </w:rPr>
          </w:pPr>
          <w:hyperlink w:anchor="_Toc144110878" w:history="1">
            <w:r w:rsidR="004C7298" w:rsidRPr="006D24F3">
              <w:rPr>
                <w:rStyle w:val="Hyperlink"/>
                <w:noProof/>
              </w:rPr>
              <w:t>Applicant</w:t>
            </w:r>
            <w:r w:rsidR="004C7298">
              <w:rPr>
                <w:noProof/>
                <w:webHidden/>
              </w:rPr>
              <w:tab/>
            </w:r>
            <w:r w:rsidR="004C7298">
              <w:rPr>
                <w:noProof/>
                <w:webHidden/>
              </w:rPr>
              <w:fldChar w:fldCharType="begin"/>
            </w:r>
            <w:r w:rsidR="004C7298">
              <w:rPr>
                <w:noProof/>
                <w:webHidden/>
              </w:rPr>
              <w:instrText xml:space="preserve"> PAGEREF _Toc144110878 \h </w:instrText>
            </w:r>
            <w:r w:rsidR="004C7298">
              <w:rPr>
                <w:noProof/>
                <w:webHidden/>
              </w:rPr>
            </w:r>
            <w:r w:rsidR="004C7298">
              <w:rPr>
                <w:noProof/>
                <w:webHidden/>
              </w:rPr>
              <w:fldChar w:fldCharType="separate"/>
            </w:r>
            <w:r w:rsidR="004C7298">
              <w:rPr>
                <w:noProof/>
                <w:webHidden/>
              </w:rPr>
              <w:t>20</w:t>
            </w:r>
            <w:r w:rsidR="004C7298">
              <w:rPr>
                <w:noProof/>
                <w:webHidden/>
              </w:rPr>
              <w:fldChar w:fldCharType="end"/>
            </w:r>
          </w:hyperlink>
        </w:p>
        <w:p w14:paraId="67E0AD37" w14:textId="11057511" w:rsidR="004C7298" w:rsidRDefault="00013F20">
          <w:pPr>
            <w:pStyle w:val="TOC3"/>
            <w:rPr>
              <w:rFonts w:asciiTheme="minorHAnsi" w:eastAsiaTheme="minorEastAsia" w:hAnsiTheme="minorHAnsi" w:cstheme="minorBidi"/>
              <w:b w:val="0"/>
              <w:noProof/>
              <w:color w:val="auto"/>
              <w:szCs w:val="22"/>
              <w:lang w:eastAsia="en-AU"/>
            </w:rPr>
          </w:pPr>
          <w:hyperlink w:anchor="_Toc144110879" w:history="1">
            <w:r w:rsidR="004C7298" w:rsidRPr="006D24F3">
              <w:rPr>
                <w:rStyle w:val="Hyperlink"/>
                <w:noProof/>
              </w:rPr>
              <w:t>Proposed Scheduling</w:t>
            </w:r>
            <w:r w:rsidR="004C7298">
              <w:rPr>
                <w:noProof/>
                <w:webHidden/>
              </w:rPr>
              <w:tab/>
            </w:r>
            <w:r w:rsidR="004C7298">
              <w:rPr>
                <w:noProof/>
                <w:webHidden/>
              </w:rPr>
              <w:fldChar w:fldCharType="begin"/>
            </w:r>
            <w:r w:rsidR="004C7298">
              <w:rPr>
                <w:noProof/>
                <w:webHidden/>
              </w:rPr>
              <w:instrText xml:space="preserve"> PAGEREF _Toc144110879 \h </w:instrText>
            </w:r>
            <w:r w:rsidR="004C7298">
              <w:rPr>
                <w:noProof/>
                <w:webHidden/>
              </w:rPr>
            </w:r>
            <w:r w:rsidR="004C7298">
              <w:rPr>
                <w:noProof/>
                <w:webHidden/>
              </w:rPr>
              <w:fldChar w:fldCharType="separate"/>
            </w:r>
            <w:r w:rsidR="004C7298">
              <w:rPr>
                <w:noProof/>
                <w:webHidden/>
              </w:rPr>
              <w:t>21</w:t>
            </w:r>
            <w:r w:rsidR="004C7298">
              <w:rPr>
                <w:noProof/>
                <w:webHidden/>
              </w:rPr>
              <w:fldChar w:fldCharType="end"/>
            </w:r>
          </w:hyperlink>
        </w:p>
        <w:p w14:paraId="31620859" w14:textId="389A98AE" w:rsidR="004C7298" w:rsidRDefault="00013F20">
          <w:pPr>
            <w:pStyle w:val="TOC3"/>
            <w:rPr>
              <w:rFonts w:asciiTheme="minorHAnsi" w:eastAsiaTheme="minorEastAsia" w:hAnsiTheme="minorHAnsi" w:cstheme="minorBidi"/>
              <w:b w:val="0"/>
              <w:noProof/>
              <w:color w:val="auto"/>
              <w:szCs w:val="22"/>
              <w:lang w:eastAsia="en-AU"/>
            </w:rPr>
          </w:pPr>
          <w:hyperlink w:anchor="_Toc144110880" w:history="1">
            <w:r w:rsidR="004C7298" w:rsidRPr="006D24F3">
              <w:rPr>
                <w:rStyle w:val="Hyperlink"/>
                <w:noProof/>
              </w:rPr>
              <w:t>Background</w:t>
            </w:r>
            <w:r w:rsidR="004C7298">
              <w:rPr>
                <w:noProof/>
                <w:webHidden/>
              </w:rPr>
              <w:tab/>
            </w:r>
            <w:r w:rsidR="004C7298">
              <w:rPr>
                <w:noProof/>
                <w:webHidden/>
              </w:rPr>
              <w:fldChar w:fldCharType="begin"/>
            </w:r>
            <w:r w:rsidR="004C7298">
              <w:rPr>
                <w:noProof/>
                <w:webHidden/>
              </w:rPr>
              <w:instrText xml:space="preserve"> PAGEREF _Toc144110880 \h </w:instrText>
            </w:r>
            <w:r w:rsidR="004C7298">
              <w:rPr>
                <w:noProof/>
                <w:webHidden/>
              </w:rPr>
            </w:r>
            <w:r w:rsidR="004C7298">
              <w:rPr>
                <w:noProof/>
                <w:webHidden/>
              </w:rPr>
              <w:fldChar w:fldCharType="separate"/>
            </w:r>
            <w:r w:rsidR="004C7298">
              <w:rPr>
                <w:noProof/>
                <w:webHidden/>
              </w:rPr>
              <w:t>21</w:t>
            </w:r>
            <w:r w:rsidR="004C7298">
              <w:rPr>
                <w:noProof/>
                <w:webHidden/>
              </w:rPr>
              <w:fldChar w:fldCharType="end"/>
            </w:r>
          </w:hyperlink>
        </w:p>
        <w:p w14:paraId="18E7115B" w14:textId="748D5C79" w:rsidR="004C7298" w:rsidRDefault="00013F20">
          <w:pPr>
            <w:pStyle w:val="TOC3"/>
            <w:rPr>
              <w:rFonts w:asciiTheme="minorHAnsi" w:eastAsiaTheme="minorEastAsia" w:hAnsiTheme="minorHAnsi" w:cstheme="minorBidi"/>
              <w:b w:val="0"/>
              <w:noProof/>
              <w:color w:val="auto"/>
              <w:szCs w:val="22"/>
              <w:lang w:eastAsia="en-AU"/>
            </w:rPr>
          </w:pPr>
          <w:hyperlink w:anchor="_Toc144110881" w:history="1">
            <w:r w:rsidR="004C7298" w:rsidRPr="006D24F3">
              <w:rPr>
                <w:rStyle w:val="Hyperlink"/>
                <w:noProof/>
              </w:rPr>
              <w:t>Summary of applicant’s reasons for the proposal</w:t>
            </w:r>
            <w:r w:rsidR="004C7298">
              <w:rPr>
                <w:noProof/>
                <w:webHidden/>
              </w:rPr>
              <w:tab/>
            </w:r>
            <w:r w:rsidR="004C7298">
              <w:rPr>
                <w:noProof/>
                <w:webHidden/>
              </w:rPr>
              <w:fldChar w:fldCharType="begin"/>
            </w:r>
            <w:r w:rsidR="004C7298">
              <w:rPr>
                <w:noProof/>
                <w:webHidden/>
              </w:rPr>
              <w:instrText xml:space="preserve"> PAGEREF _Toc144110881 \h </w:instrText>
            </w:r>
            <w:r w:rsidR="004C7298">
              <w:rPr>
                <w:noProof/>
                <w:webHidden/>
              </w:rPr>
            </w:r>
            <w:r w:rsidR="004C7298">
              <w:rPr>
                <w:noProof/>
                <w:webHidden/>
              </w:rPr>
              <w:fldChar w:fldCharType="separate"/>
            </w:r>
            <w:r w:rsidR="004C7298">
              <w:rPr>
                <w:noProof/>
                <w:webHidden/>
              </w:rPr>
              <w:t>21</w:t>
            </w:r>
            <w:r w:rsidR="004C7298">
              <w:rPr>
                <w:noProof/>
                <w:webHidden/>
              </w:rPr>
              <w:fldChar w:fldCharType="end"/>
            </w:r>
          </w:hyperlink>
        </w:p>
        <w:p w14:paraId="73918D6C" w14:textId="0BAC07EA" w:rsidR="004C7298" w:rsidRDefault="00013F20">
          <w:pPr>
            <w:pStyle w:val="TOC3"/>
            <w:rPr>
              <w:rFonts w:asciiTheme="minorHAnsi" w:eastAsiaTheme="minorEastAsia" w:hAnsiTheme="minorHAnsi" w:cstheme="minorBidi"/>
              <w:b w:val="0"/>
              <w:noProof/>
              <w:color w:val="auto"/>
              <w:szCs w:val="22"/>
              <w:lang w:eastAsia="en-AU"/>
            </w:rPr>
          </w:pPr>
          <w:hyperlink w:anchor="_Toc144110882" w:history="1">
            <w:r w:rsidR="004C7298" w:rsidRPr="006D24F3">
              <w:rPr>
                <w:rStyle w:val="Hyperlink"/>
                <w:noProof/>
              </w:rPr>
              <w:t>Key uses / expected use</w:t>
            </w:r>
            <w:r w:rsidR="004C7298">
              <w:rPr>
                <w:noProof/>
                <w:webHidden/>
              </w:rPr>
              <w:tab/>
            </w:r>
            <w:r w:rsidR="004C7298">
              <w:rPr>
                <w:noProof/>
                <w:webHidden/>
              </w:rPr>
              <w:fldChar w:fldCharType="begin"/>
            </w:r>
            <w:r w:rsidR="004C7298">
              <w:rPr>
                <w:noProof/>
                <w:webHidden/>
              </w:rPr>
              <w:instrText xml:space="preserve"> PAGEREF _Toc144110882 \h </w:instrText>
            </w:r>
            <w:r w:rsidR="004C7298">
              <w:rPr>
                <w:noProof/>
                <w:webHidden/>
              </w:rPr>
            </w:r>
            <w:r w:rsidR="004C7298">
              <w:rPr>
                <w:noProof/>
                <w:webHidden/>
              </w:rPr>
              <w:fldChar w:fldCharType="separate"/>
            </w:r>
            <w:r w:rsidR="004C7298">
              <w:rPr>
                <w:noProof/>
                <w:webHidden/>
              </w:rPr>
              <w:t>22</w:t>
            </w:r>
            <w:r w:rsidR="004C7298">
              <w:rPr>
                <w:noProof/>
                <w:webHidden/>
              </w:rPr>
              <w:fldChar w:fldCharType="end"/>
            </w:r>
          </w:hyperlink>
        </w:p>
        <w:p w14:paraId="31EB5F5F" w14:textId="10EA4390" w:rsidR="004C7298" w:rsidRDefault="00013F20">
          <w:pPr>
            <w:pStyle w:val="TOC3"/>
            <w:rPr>
              <w:rFonts w:asciiTheme="minorHAnsi" w:eastAsiaTheme="minorEastAsia" w:hAnsiTheme="minorHAnsi" w:cstheme="minorBidi"/>
              <w:b w:val="0"/>
              <w:noProof/>
              <w:color w:val="auto"/>
              <w:szCs w:val="22"/>
              <w:lang w:eastAsia="en-AU"/>
            </w:rPr>
          </w:pPr>
          <w:hyperlink w:anchor="_Toc144110883" w:history="1">
            <w:r w:rsidR="004C7298" w:rsidRPr="006D24F3">
              <w:rPr>
                <w:rStyle w:val="Hyperlink"/>
                <w:noProof/>
              </w:rPr>
              <w:t>Australian regulations</w:t>
            </w:r>
            <w:r w:rsidR="004C7298">
              <w:rPr>
                <w:noProof/>
                <w:webHidden/>
              </w:rPr>
              <w:tab/>
            </w:r>
            <w:r w:rsidR="004C7298">
              <w:rPr>
                <w:noProof/>
                <w:webHidden/>
              </w:rPr>
              <w:fldChar w:fldCharType="begin"/>
            </w:r>
            <w:r w:rsidR="004C7298">
              <w:rPr>
                <w:noProof/>
                <w:webHidden/>
              </w:rPr>
              <w:instrText xml:space="preserve"> PAGEREF _Toc144110883 \h </w:instrText>
            </w:r>
            <w:r w:rsidR="004C7298">
              <w:rPr>
                <w:noProof/>
                <w:webHidden/>
              </w:rPr>
            </w:r>
            <w:r w:rsidR="004C7298">
              <w:rPr>
                <w:noProof/>
                <w:webHidden/>
              </w:rPr>
              <w:fldChar w:fldCharType="separate"/>
            </w:r>
            <w:r w:rsidR="004C7298">
              <w:rPr>
                <w:noProof/>
                <w:webHidden/>
              </w:rPr>
              <w:t>22</w:t>
            </w:r>
            <w:r w:rsidR="004C7298">
              <w:rPr>
                <w:noProof/>
                <w:webHidden/>
              </w:rPr>
              <w:fldChar w:fldCharType="end"/>
            </w:r>
          </w:hyperlink>
        </w:p>
        <w:p w14:paraId="2DB69229" w14:textId="34FEA5DD" w:rsidR="004C7298" w:rsidRDefault="00013F20">
          <w:pPr>
            <w:pStyle w:val="TOC3"/>
            <w:rPr>
              <w:rFonts w:asciiTheme="minorHAnsi" w:eastAsiaTheme="minorEastAsia" w:hAnsiTheme="minorHAnsi" w:cstheme="minorBidi"/>
              <w:b w:val="0"/>
              <w:noProof/>
              <w:color w:val="auto"/>
              <w:szCs w:val="22"/>
              <w:lang w:eastAsia="en-AU"/>
            </w:rPr>
          </w:pPr>
          <w:hyperlink w:anchor="_Toc144110884" w:history="1">
            <w:r w:rsidR="004C7298" w:rsidRPr="006D24F3">
              <w:rPr>
                <w:rStyle w:val="Hyperlink"/>
                <w:noProof/>
              </w:rPr>
              <w:t>International regulations</w:t>
            </w:r>
            <w:r w:rsidR="004C7298">
              <w:rPr>
                <w:noProof/>
                <w:webHidden/>
              </w:rPr>
              <w:tab/>
            </w:r>
            <w:r w:rsidR="004C7298">
              <w:rPr>
                <w:noProof/>
                <w:webHidden/>
              </w:rPr>
              <w:fldChar w:fldCharType="begin"/>
            </w:r>
            <w:r w:rsidR="004C7298">
              <w:rPr>
                <w:noProof/>
                <w:webHidden/>
              </w:rPr>
              <w:instrText xml:space="preserve"> PAGEREF _Toc144110884 \h </w:instrText>
            </w:r>
            <w:r w:rsidR="004C7298">
              <w:rPr>
                <w:noProof/>
                <w:webHidden/>
              </w:rPr>
            </w:r>
            <w:r w:rsidR="004C7298">
              <w:rPr>
                <w:noProof/>
                <w:webHidden/>
              </w:rPr>
              <w:fldChar w:fldCharType="separate"/>
            </w:r>
            <w:r w:rsidR="004C7298">
              <w:rPr>
                <w:noProof/>
                <w:webHidden/>
              </w:rPr>
              <w:t>22</w:t>
            </w:r>
            <w:r w:rsidR="004C7298">
              <w:rPr>
                <w:noProof/>
                <w:webHidden/>
              </w:rPr>
              <w:fldChar w:fldCharType="end"/>
            </w:r>
          </w:hyperlink>
        </w:p>
        <w:p w14:paraId="5011EFC8" w14:textId="53D735D4" w:rsidR="004C7298" w:rsidRDefault="00013F20">
          <w:pPr>
            <w:pStyle w:val="TOC2"/>
            <w:tabs>
              <w:tab w:val="left" w:pos="1276"/>
            </w:tabs>
            <w:rPr>
              <w:rFonts w:asciiTheme="minorHAnsi" w:eastAsiaTheme="minorEastAsia" w:hAnsiTheme="minorHAnsi" w:cstheme="minorBidi"/>
              <w:b w:val="0"/>
              <w:noProof/>
              <w:color w:val="auto"/>
              <w:sz w:val="22"/>
              <w:szCs w:val="22"/>
              <w:lang w:eastAsia="en-AU"/>
            </w:rPr>
          </w:pPr>
          <w:hyperlink w:anchor="_Toc144110885" w:history="1">
            <w:r w:rsidR="004C7298" w:rsidRPr="006D24F3">
              <w:rPr>
                <w:rStyle w:val="Hyperlink"/>
                <w:noProof/>
              </w:rPr>
              <w:t>1.6</w:t>
            </w:r>
            <w:r w:rsidR="004C7298">
              <w:rPr>
                <w:rFonts w:asciiTheme="minorHAnsi" w:eastAsiaTheme="minorEastAsia" w:hAnsiTheme="minorHAnsi" w:cstheme="minorBidi"/>
                <w:b w:val="0"/>
                <w:noProof/>
                <w:color w:val="auto"/>
                <w:sz w:val="22"/>
                <w:szCs w:val="22"/>
                <w:lang w:eastAsia="en-AU"/>
              </w:rPr>
              <w:tab/>
            </w:r>
            <w:r w:rsidR="004C7298" w:rsidRPr="006D24F3">
              <w:rPr>
                <w:rStyle w:val="Hyperlink"/>
                <w:noProof/>
              </w:rPr>
              <w:t>Naratriptan</w:t>
            </w:r>
            <w:r w:rsidR="004C7298">
              <w:rPr>
                <w:noProof/>
                <w:webHidden/>
              </w:rPr>
              <w:tab/>
            </w:r>
            <w:r w:rsidR="004C7298">
              <w:rPr>
                <w:noProof/>
                <w:webHidden/>
              </w:rPr>
              <w:fldChar w:fldCharType="begin"/>
            </w:r>
            <w:r w:rsidR="004C7298">
              <w:rPr>
                <w:noProof/>
                <w:webHidden/>
              </w:rPr>
              <w:instrText xml:space="preserve"> PAGEREF _Toc144110885 \h </w:instrText>
            </w:r>
            <w:r w:rsidR="004C7298">
              <w:rPr>
                <w:noProof/>
                <w:webHidden/>
              </w:rPr>
            </w:r>
            <w:r w:rsidR="004C7298">
              <w:rPr>
                <w:noProof/>
                <w:webHidden/>
              </w:rPr>
              <w:fldChar w:fldCharType="separate"/>
            </w:r>
            <w:r w:rsidR="004C7298">
              <w:rPr>
                <w:noProof/>
                <w:webHidden/>
              </w:rPr>
              <w:t>23</w:t>
            </w:r>
            <w:r w:rsidR="004C7298">
              <w:rPr>
                <w:noProof/>
                <w:webHidden/>
              </w:rPr>
              <w:fldChar w:fldCharType="end"/>
            </w:r>
          </w:hyperlink>
        </w:p>
        <w:p w14:paraId="5B28B108" w14:textId="0E65DBEC" w:rsidR="004C7298" w:rsidRDefault="00013F20">
          <w:pPr>
            <w:pStyle w:val="TOC3"/>
            <w:rPr>
              <w:rFonts w:asciiTheme="minorHAnsi" w:eastAsiaTheme="minorEastAsia" w:hAnsiTheme="minorHAnsi" w:cstheme="minorBidi"/>
              <w:b w:val="0"/>
              <w:noProof/>
              <w:color w:val="auto"/>
              <w:szCs w:val="22"/>
              <w:lang w:eastAsia="en-AU"/>
            </w:rPr>
          </w:pPr>
          <w:hyperlink w:anchor="_Toc144110886" w:history="1">
            <w:r w:rsidR="004C7298" w:rsidRPr="006D24F3">
              <w:rPr>
                <w:rStyle w:val="Hyperlink"/>
                <w:noProof/>
              </w:rPr>
              <w:t>Proposal</w:t>
            </w:r>
            <w:r w:rsidR="004C7298">
              <w:rPr>
                <w:noProof/>
                <w:webHidden/>
              </w:rPr>
              <w:tab/>
            </w:r>
            <w:r w:rsidR="004C7298">
              <w:rPr>
                <w:noProof/>
                <w:webHidden/>
              </w:rPr>
              <w:fldChar w:fldCharType="begin"/>
            </w:r>
            <w:r w:rsidR="004C7298">
              <w:rPr>
                <w:noProof/>
                <w:webHidden/>
              </w:rPr>
              <w:instrText xml:space="preserve"> PAGEREF _Toc144110886 \h </w:instrText>
            </w:r>
            <w:r w:rsidR="004C7298">
              <w:rPr>
                <w:noProof/>
                <w:webHidden/>
              </w:rPr>
            </w:r>
            <w:r w:rsidR="004C7298">
              <w:rPr>
                <w:noProof/>
                <w:webHidden/>
              </w:rPr>
              <w:fldChar w:fldCharType="separate"/>
            </w:r>
            <w:r w:rsidR="004C7298">
              <w:rPr>
                <w:noProof/>
                <w:webHidden/>
              </w:rPr>
              <w:t>23</w:t>
            </w:r>
            <w:r w:rsidR="004C7298">
              <w:rPr>
                <w:noProof/>
                <w:webHidden/>
              </w:rPr>
              <w:fldChar w:fldCharType="end"/>
            </w:r>
          </w:hyperlink>
        </w:p>
        <w:p w14:paraId="431C76E4" w14:textId="5CB4661E" w:rsidR="004C7298" w:rsidRDefault="00013F20">
          <w:pPr>
            <w:pStyle w:val="TOC3"/>
            <w:rPr>
              <w:rFonts w:asciiTheme="minorHAnsi" w:eastAsiaTheme="minorEastAsia" w:hAnsiTheme="minorHAnsi" w:cstheme="minorBidi"/>
              <w:b w:val="0"/>
              <w:noProof/>
              <w:color w:val="auto"/>
              <w:szCs w:val="22"/>
              <w:lang w:eastAsia="en-AU"/>
            </w:rPr>
          </w:pPr>
          <w:hyperlink w:anchor="_Toc144110887" w:history="1">
            <w:r w:rsidR="004C7298" w:rsidRPr="006D24F3">
              <w:rPr>
                <w:rStyle w:val="Hyperlink"/>
                <w:noProof/>
              </w:rPr>
              <w:t>CAS number</w:t>
            </w:r>
            <w:r w:rsidR="004C7298">
              <w:rPr>
                <w:noProof/>
                <w:webHidden/>
              </w:rPr>
              <w:tab/>
            </w:r>
            <w:r w:rsidR="004C7298">
              <w:rPr>
                <w:noProof/>
                <w:webHidden/>
              </w:rPr>
              <w:fldChar w:fldCharType="begin"/>
            </w:r>
            <w:r w:rsidR="004C7298">
              <w:rPr>
                <w:noProof/>
                <w:webHidden/>
              </w:rPr>
              <w:instrText xml:space="preserve"> PAGEREF _Toc144110887 \h </w:instrText>
            </w:r>
            <w:r w:rsidR="004C7298">
              <w:rPr>
                <w:noProof/>
                <w:webHidden/>
              </w:rPr>
            </w:r>
            <w:r w:rsidR="004C7298">
              <w:rPr>
                <w:noProof/>
                <w:webHidden/>
              </w:rPr>
              <w:fldChar w:fldCharType="separate"/>
            </w:r>
            <w:r w:rsidR="004C7298">
              <w:rPr>
                <w:noProof/>
                <w:webHidden/>
              </w:rPr>
              <w:t>23</w:t>
            </w:r>
            <w:r w:rsidR="004C7298">
              <w:rPr>
                <w:noProof/>
                <w:webHidden/>
              </w:rPr>
              <w:fldChar w:fldCharType="end"/>
            </w:r>
          </w:hyperlink>
        </w:p>
        <w:p w14:paraId="3609F3C0" w14:textId="07D49775" w:rsidR="004C7298" w:rsidRDefault="00013F20">
          <w:pPr>
            <w:pStyle w:val="TOC3"/>
            <w:rPr>
              <w:rFonts w:asciiTheme="minorHAnsi" w:eastAsiaTheme="minorEastAsia" w:hAnsiTheme="minorHAnsi" w:cstheme="minorBidi"/>
              <w:b w:val="0"/>
              <w:noProof/>
              <w:color w:val="auto"/>
              <w:szCs w:val="22"/>
              <w:lang w:eastAsia="en-AU"/>
            </w:rPr>
          </w:pPr>
          <w:hyperlink w:anchor="_Toc144110888" w:history="1">
            <w:r w:rsidR="004C7298" w:rsidRPr="006D24F3">
              <w:rPr>
                <w:rStyle w:val="Hyperlink"/>
                <w:noProof/>
              </w:rPr>
              <w:t>Alternative names</w:t>
            </w:r>
            <w:r w:rsidR="004C7298">
              <w:rPr>
                <w:noProof/>
                <w:webHidden/>
              </w:rPr>
              <w:tab/>
            </w:r>
            <w:r w:rsidR="004C7298">
              <w:rPr>
                <w:noProof/>
                <w:webHidden/>
              </w:rPr>
              <w:fldChar w:fldCharType="begin"/>
            </w:r>
            <w:r w:rsidR="004C7298">
              <w:rPr>
                <w:noProof/>
                <w:webHidden/>
              </w:rPr>
              <w:instrText xml:space="preserve"> PAGEREF _Toc144110888 \h </w:instrText>
            </w:r>
            <w:r w:rsidR="004C7298">
              <w:rPr>
                <w:noProof/>
                <w:webHidden/>
              </w:rPr>
            </w:r>
            <w:r w:rsidR="004C7298">
              <w:rPr>
                <w:noProof/>
                <w:webHidden/>
              </w:rPr>
              <w:fldChar w:fldCharType="separate"/>
            </w:r>
            <w:r w:rsidR="004C7298">
              <w:rPr>
                <w:noProof/>
                <w:webHidden/>
              </w:rPr>
              <w:t>23</w:t>
            </w:r>
            <w:r w:rsidR="004C7298">
              <w:rPr>
                <w:noProof/>
                <w:webHidden/>
              </w:rPr>
              <w:fldChar w:fldCharType="end"/>
            </w:r>
          </w:hyperlink>
        </w:p>
        <w:p w14:paraId="36D8EE4F" w14:textId="7B58A5C3" w:rsidR="004C7298" w:rsidRDefault="00013F20">
          <w:pPr>
            <w:pStyle w:val="TOC3"/>
            <w:rPr>
              <w:rFonts w:asciiTheme="minorHAnsi" w:eastAsiaTheme="minorEastAsia" w:hAnsiTheme="minorHAnsi" w:cstheme="minorBidi"/>
              <w:b w:val="0"/>
              <w:noProof/>
              <w:color w:val="auto"/>
              <w:szCs w:val="22"/>
              <w:lang w:eastAsia="en-AU"/>
            </w:rPr>
          </w:pPr>
          <w:hyperlink w:anchor="_Toc144110889" w:history="1">
            <w:r w:rsidR="004C7298" w:rsidRPr="006D24F3">
              <w:rPr>
                <w:rStyle w:val="Hyperlink"/>
                <w:noProof/>
              </w:rPr>
              <w:t>Applicant</w:t>
            </w:r>
            <w:r w:rsidR="004C7298">
              <w:rPr>
                <w:noProof/>
                <w:webHidden/>
              </w:rPr>
              <w:tab/>
            </w:r>
            <w:r w:rsidR="004C7298">
              <w:rPr>
                <w:noProof/>
                <w:webHidden/>
              </w:rPr>
              <w:fldChar w:fldCharType="begin"/>
            </w:r>
            <w:r w:rsidR="004C7298">
              <w:rPr>
                <w:noProof/>
                <w:webHidden/>
              </w:rPr>
              <w:instrText xml:space="preserve"> PAGEREF _Toc144110889 \h </w:instrText>
            </w:r>
            <w:r w:rsidR="004C7298">
              <w:rPr>
                <w:noProof/>
                <w:webHidden/>
              </w:rPr>
            </w:r>
            <w:r w:rsidR="004C7298">
              <w:rPr>
                <w:noProof/>
                <w:webHidden/>
              </w:rPr>
              <w:fldChar w:fldCharType="separate"/>
            </w:r>
            <w:r w:rsidR="004C7298">
              <w:rPr>
                <w:noProof/>
                <w:webHidden/>
              </w:rPr>
              <w:t>23</w:t>
            </w:r>
            <w:r w:rsidR="004C7298">
              <w:rPr>
                <w:noProof/>
                <w:webHidden/>
              </w:rPr>
              <w:fldChar w:fldCharType="end"/>
            </w:r>
          </w:hyperlink>
        </w:p>
        <w:p w14:paraId="3B3B1335" w14:textId="1D745FD3" w:rsidR="004C7298" w:rsidRDefault="00013F20">
          <w:pPr>
            <w:pStyle w:val="TOC3"/>
            <w:rPr>
              <w:rFonts w:asciiTheme="minorHAnsi" w:eastAsiaTheme="minorEastAsia" w:hAnsiTheme="minorHAnsi" w:cstheme="minorBidi"/>
              <w:b w:val="0"/>
              <w:noProof/>
              <w:color w:val="auto"/>
              <w:szCs w:val="22"/>
              <w:lang w:eastAsia="en-AU"/>
            </w:rPr>
          </w:pPr>
          <w:hyperlink w:anchor="_Toc144110890" w:history="1">
            <w:r w:rsidR="004C7298" w:rsidRPr="006D24F3">
              <w:rPr>
                <w:rStyle w:val="Hyperlink"/>
                <w:noProof/>
              </w:rPr>
              <w:t>Proposed Scheduling</w:t>
            </w:r>
            <w:r w:rsidR="004C7298">
              <w:rPr>
                <w:noProof/>
                <w:webHidden/>
              </w:rPr>
              <w:tab/>
            </w:r>
            <w:r w:rsidR="004C7298">
              <w:rPr>
                <w:noProof/>
                <w:webHidden/>
              </w:rPr>
              <w:fldChar w:fldCharType="begin"/>
            </w:r>
            <w:r w:rsidR="004C7298">
              <w:rPr>
                <w:noProof/>
                <w:webHidden/>
              </w:rPr>
              <w:instrText xml:space="preserve"> PAGEREF _Toc144110890 \h </w:instrText>
            </w:r>
            <w:r w:rsidR="004C7298">
              <w:rPr>
                <w:noProof/>
                <w:webHidden/>
              </w:rPr>
            </w:r>
            <w:r w:rsidR="004C7298">
              <w:rPr>
                <w:noProof/>
                <w:webHidden/>
              </w:rPr>
              <w:fldChar w:fldCharType="separate"/>
            </w:r>
            <w:r w:rsidR="004C7298">
              <w:rPr>
                <w:noProof/>
                <w:webHidden/>
              </w:rPr>
              <w:t>23</w:t>
            </w:r>
            <w:r w:rsidR="004C7298">
              <w:rPr>
                <w:noProof/>
                <w:webHidden/>
              </w:rPr>
              <w:fldChar w:fldCharType="end"/>
            </w:r>
          </w:hyperlink>
        </w:p>
        <w:p w14:paraId="645CAF2B" w14:textId="5F217AF1" w:rsidR="004C7298" w:rsidRDefault="00013F20">
          <w:pPr>
            <w:pStyle w:val="TOC3"/>
            <w:rPr>
              <w:rFonts w:asciiTheme="minorHAnsi" w:eastAsiaTheme="minorEastAsia" w:hAnsiTheme="minorHAnsi" w:cstheme="minorBidi"/>
              <w:b w:val="0"/>
              <w:noProof/>
              <w:color w:val="auto"/>
              <w:szCs w:val="22"/>
              <w:lang w:eastAsia="en-AU"/>
            </w:rPr>
          </w:pPr>
          <w:hyperlink w:anchor="_Toc144110891" w:history="1">
            <w:r w:rsidR="004C7298" w:rsidRPr="006D24F3">
              <w:rPr>
                <w:rStyle w:val="Hyperlink"/>
                <w:noProof/>
              </w:rPr>
              <w:t>Background</w:t>
            </w:r>
            <w:r w:rsidR="004C7298">
              <w:rPr>
                <w:noProof/>
                <w:webHidden/>
              </w:rPr>
              <w:tab/>
            </w:r>
            <w:r w:rsidR="004C7298">
              <w:rPr>
                <w:noProof/>
                <w:webHidden/>
              </w:rPr>
              <w:fldChar w:fldCharType="begin"/>
            </w:r>
            <w:r w:rsidR="004C7298">
              <w:rPr>
                <w:noProof/>
                <w:webHidden/>
              </w:rPr>
              <w:instrText xml:space="preserve"> PAGEREF _Toc144110891 \h </w:instrText>
            </w:r>
            <w:r w:rsidR="004C7298">
              <w:rPr>
                <w:noProof/>
                <w:webHidden/>
              </w:rPr>
            </w:r>
            <w:r w:rsidR="004C7298">
              <w:rPr>
                <w:noProof/>
                <w:webHidden/>
              </w:rPr>
              <w:fldChar w:fldCharType="separate"/>
            </w:r>
            <w:r w:rsidR="004C7298">
              <w:rPr>
                <w:noProof/>
                <w:webHidden/>
              </w:rPr>
              <w:t>24</w:t>
            </w:r>
            <w:r w:rsidR="004C7298">
              <w:rPr>
                <w:noProof/>
                <w:webHidden/>
              </w:rPr>
              <w:fldChar w:fldCharType="end"/>
            </w:r>
          </w:hyperlink>
        </w:p>
        <w:p w14:paraId="52B8F96F" w14:textId="6FE97006" w:rsidR="004C7298" w:rsidRDefault="00013F20">
          <w:pPr>
            <w:pStyle w:val="TOC3"/>
            <w:rPr>
              <w:rFonts w:asciiTheme="minorHAnsi" w:eastAsiaTheme="minorEastAsia" w:hAnsiTheme="minorHAnsi" w:cstheme="minorBidi"/>
              <w:b w:val="0"/>
              <w:noProof/>
              <w:color w:val="auto"/>
              <w:szCs w:val="22"/>
              <w:lang w:eastAsia="en-AU"/>
            </w:rPr>
          </w:pPr>
          <w:hyperlink w:anchor="_Toc144110892" w:history="1">
            <w:r w:rsidR="004C7298" w:rsidRPr="006D24F3">
              <w:rPr>
                <w:rStyle w:val="Hyperlink"/>
                <w:noProof/>
              </w:rPr>
              <w:t>Summary of applicant’s reasons for the proposal</w:t>
            </w:r>
            <w:r w:rsidR="004C7298">
              <w:rPr>
                <w:noProof/>
                <w:webHidden/>
              </w:rPr>
              <w:tab/>
            </w:r>
            <w:r w:rsidR="004C7298">
              <w:rPr>
                <w:noProof/>
                <w:webHidden/>
              </w:rPr>
              <w:fldChar w:fldCharType="begin"/>
            </w:r>
            <w:r w:rsidR="004C7298">
              <w:rPr>
                <w:noProof/>
                <w:webHidden/>
              </w:rPr>
              <w:instrText xml:space="preserve"> PAGEREF _Toc144110892 \h </w:instrText>
            </w:r>
            <w:r w:rsidR="004C7298">
              <w:rPr>
                <w:noProof/>
                <w:webHidden/>
              </w:rPr>
            </w:r>
            <w:r w:rsidR="004C7298">
              <w:rPr>
                <w:noProof/>
                <w:webHidden/>
              </w:rPr>
              <w:fldChar w:fldCharType="separate"/>
            </w:r>
            <w:r w:rsidR="004C7298">
              <w:rPr>
                <w:noProof/>
                <w:webHidden/>
              </w:rPr>
              <w:t>24</w:t>
            </w:r>
            <w:r w:rsidR="004C7298">
              <w:rPr>
                <w:noProof/>
                <w:webHidden/>
              </w:rPr>
              <w:fldChar w:fldCharType="end"/>
            </w:r>
          </w:hyperlink>
        </w:p>
        <w:p w14:paraId="1D45F7FC" w14:textId="1EF8B2E4" w:rsidR="004C7298" w:rsidRDefault="00013F20">
          <w:pPr>
            <w:pStyle w:val="TOC3"/>
            <w:rPr>
              <w:rFonts w:asciiTheme="minorHAnsi" w:eastAsiaTheme="minorEastAsia" w:hAnsiTheme="minorHAnsi" w:cstheme="minorBidi"/>
              <w:b w:val="0"/>
              <w:noProof/>
              <w:color w:val="auto"/>
              <w:szCs w:val="22"/>
              <w:lang w:eastAsia="en-AU"/>
            </w:rPr>
          </w:pPr>
          <w:hyperlink w:anchor="_Toc144110893" w:history="1">
            <w:r w:rsidR="004C7298" w:rsidRPr="006D24F3">
              <w:rPr>
                <w:rStyle w:val="Hyperlink"/>
                <w:noProof/>
              </w:rPr>
              <w:t>Key uses / expected use</w:t>
            </w:r>
            <w:r w:rsidR="004C7298">
              <w:rPr>
                <w:noProof/>
                <w:webHidden/>
              </w:rPr>
              <w:tab/>
            </w:r>
            <w:r w:rsidR="004C7298">
              <w:rPr>
                <w:noProof/>
                <w:webHidden/>
              </w:rPr>
              <w:fldChar w:fldCharType="begin"/>
            </w:r>
            <w:r w:rsidR="004C7298">
              <w:rPr>
                <w:noProof/>
                <w:webHidden/>
              </w:rPr>
              <w:instrText xml:space="preserve"> PAGEREF _Toc144110893 \h </w:instrText>
            </w:r>
            <w:r w:rsidR="004C7298">
              <w:rPr>
                <w:noProof/>
                <w:webHidden/>
              </w:rPr>
            </w:r>
            <w:r w:rsidR="004C7298">
              <w:rPr>
                <w:noProof/>
                <w:webHidden/>
              </w:rPr>
              <w:fldChar w:fldCharType="separate"/>
            </w:r>
            <w:r w:rsidR="004C7298">
              <w:rPr>
                <w:noProof/>
                <w:webHidden/>
              </w:rPr>
              <w:t>24</w:t>
            </w:r>
            <w:r w:rsidR="004C7298">
              <w:rPr>
                <w:noProof/>
                <w:webHidden/>
              </w:rPr>
              <w:fldChar w:fldCharType="end"/>
            </w:r>
          </w:hyperlink>
        </w:p>
        <w:p w14:paraId="20473E2A" w14:textId="33890079" w:rsidR="004C7298" w:rsidRDefault="00013F20">
          <w:pPr>
            <w:pStyle w:val="TOC3"/>
            <w:rPr>
              <w:rFonts w:asciiTheme="minorHAnsi" w:eastAsiaTheme="minorEastAsia" w:hAnsiTheme="minorHAnsi" w:cstheme="minorBidi"/>
              <w:b w:val="0"/>
              <w:noProof/>
              <w:color w:val="auto"/>
              <w:szCs w:val="22"/>
              <w:lang w:eastAsia="en-AU"/>
            </w:rPr>
          </w:pPr>
          <w:hyperlink w:anchor="_Toc144110894" w:history="1">
            <w:r w:rsidR="004C7298" w:rsidRPr="006D24F3">
              <w:rPr>
                <w:rStyle w:val="Hyperlink"/>
                <w:noProof/>
              </w:rPr>
              <w:t>Australian regulations</w:t>
            </w:r>
            <w:r w:rsidR="004C7298">
              <w:rPr>
                <w:noProof/>
                <w:webHidden/>
              </w:rPr>
              <w:tab/>
            </w:r>
            <w:r w:rsidR="004C7298">
              <w:rPr>
                <w:noProof/>
                <w:webHidden/>
              </w:rPr>
              <w:fldChar w:fldCharType="begin"/>
            </w:r>
            <w:r w:rsidR="004C7298">
              <w:rPr>
                <w:noProof/>
                <w:webHidden/>
              </w:rPr>
              <w:instrText xml:space="preserve"> PAGEREF _Toc144110894 \h </w:instrText>
            </w:r>
            <w:r w:rsidR="004C7298">
              <w:rPr>
                <w:noProof/>
                <w:webHidden/>
              </w:rPr>
            </w:r>
            <w:r w:rsidR="004C7298">
              <w:rPr>
                <w:noProof/>
                <w:webHidden/>
              </w:rPr>
              <w:fldChar w:fldCharType="separate"/>
            </w:r>
            <w:r w:rsidR="004C7298">
              <w:rPr>
                <w:noProof/>
                <w:webHidden/>
              </w:rPr>
              <w:t>24</w:t>
            </w:r>
            <w:r w:rsidR="004C7298">
              <w:rPr>
                <w:noProof/>
                <w:webHidden/>
              </w:rPr>
              <w:fldChar w:fldCharType="end"/>
            </w:r>
          </w:hyperlink>
        </w:p>
        <w:p w14:paraId="68288CE6" w14:textId="1D27A0B8" w:rsidR="004C7298" w:rsidRDefault="00013F20">
          <w:pPr>
            <w:pStyle w:val="TOC3"/>
            <w:rPr>
              <w:rFonts w:asciiTheme="minorHAnsi" w:eastAsiaTheme="minorEastAsia" w:hAnsiTheme="minorHAnsi" w:cstheme="minorBidi"/>
              <w:b w:val="0"/>
              <w:noProof/>
              <w:color w:val="auto"/>
              <w:szCs w:val="22"/>
              <w:lang w:eastAsia="en-AU"/>
            </w:rPr>
          </w:pPr>
          <w:hyperlink w:anchor="_Toc144110895" w:history="1">
            <w:r w:rsidR="004C7298" w:rsidRPr="006D24F3">
              <w:rPr>
                <w:rStyle w:val="Hyperlink"/>
                <w:noProof/>
              </w:rPr>
              <w:t>International regulations</w:t>
            </w:r>
            <w:r w:rsidR="004C7298">
              <w:rPr>
                <w:noProof/>
                <w:webHidden/>
              </w:rPr>
              <w:tab/>
            </w:r>
            <w:r w:rsidR="004C7298">
              <w:rPr>
                <w:noProof/>
                <w:webHidden/>
              </w:rPr>
              <w:fldChar w:fldCharType="begin"/>
            </w:r>
            <w:r w:rsidR="004C7298">
              <w:rPr>
                <w:noProof/>
                <w:webHidden/>
              </w:rPr>
              <w:instrText xml:space="preserve"> PAGEREF _Toc144110895 \h </w:instrText>
            </w:r>
            <w:r w:rsidR="004C7298">
              <w:rPr>
                <w:noProof/>
                <w:webHidden/>
              </w:rPr>
            </w:r>
            <w:r w:rsidR="004C7298">
              <w:rPr>
                <w:noProof/>
                <w:webHidden/>
              </w:rPr>
              <w:fldChar w:fldCharType="separate"/>
            </w:r>
            <w:r w:rsidR="004C7298">
              <w:rPr>
                <w:noProof/>
                <w:webHidden/>
              </w:rPr>
              <w:t>25</w:t>
            </w:r>
            <w:r w:rsidR="004C7298">
              <w:rPr>
                <w:noProof/>
                <w:webHidden/>
              </w:rPr>
              <w:fldChar w:fldCharType="end"/>
            </w:r>
          </w:hyperlink>
        </w:p>
        <w:p w14:paraId="76B243DF" w14:textId="429FEF92" w:rsidR="004C7298" w:rsidRDefault="00013F20">
          <w:pPr>
            <w:pStyle w:val="TOC2"/>
            <w:tabs>
              <w:tab w:val="left" w:pos="1276"/>
            </w:tabs>
            <w:rPr>
              <w:rFonts w:asciiTheme="minorHAnsi" w:eastAsiaTheme="minorEastAsia" w:hAnsiTheme="minorHAnsi" w:cstheme="minorBidi"/>
              <w:b w:val="0"/>
              <w:noProof/>
              <w:color w:val="auto"/>
              <w:sz w:val="22"/>
              <w:szCs w:val="22"/>
              <w:lang w:eastAsia="en-AU"/>
            </w:rPr>
          </w:pPr>
          <w:hyperlink w:anchor="_Toc144110896" w:history="1">
            <w:r w:rsidR="004C7298" w:rsidRPr="006D24F3">
              <w:rPr>
                <w:rStyle w:val="Hyperlink"/>
                <w:noProof/>
              </w:rPr>
              <w:t>1.7</w:t>
            </w:r>
            <w:r w:rsidR="004C7298">
              <w:rPr>
                <w:rFonts w:asciiTheme="minorHAnsi" w:eastAsiaTheme="minorEastAsia" w:hAnsiTheme="minorHAnsi" w:cstheme="minorBidi"/>
                <w:b w:val="0"/>
                <w:noProof/>
                <w:color w:val="auto"/>
                <w:sz w:val="22"/>
                <w:szCs w:val="22"/>
                <w:lang w:eastAsia="en-AU"/>
              </w:rPr>
              <w:tab/>
            </w:r>
            <w:r w:rsidR="004C7298" w:rsidRPr="006D24F3">
              <w:rPr>
                <w:rStyle w:val="Hyperlink"/>
                <w:noProof/>
              </w:rPr>
              <w:t>Paracetamol</w:t>
            </w:r>
            <w:r w:rsidR="004C7298">
              <w:rPr>
                <w:noProof/>
                <w:webHidden/>
              </w:rPr>
              <w:tab/>
            </w:r>
            <w:r w:rsidR="004C7298">
              <w:rPr>
                <w:noProof/>
                <w:webHidden/>
              </w:rPr>
              <w:fldChar w:fldCharType="begin"/>
            </w:r>
            <w:r w:rsidR="004C7298">
              <w:rPr>
                <w:noProof/>
                <w:webHidden/>
              </w:rPr>
              <w:instrText xml:space="preserve"> PAGEREF _Toc144110896 \h </w:instrText>
            </w:r>
            <w:r w:rsidR="004C7298">
              <w:rPr>
                <w:noProof/>
                <w:webHidden/>
              </w:rPr>
            </w:r>
            <w:r w:rsidR="004C7298">
              <w:rPr>
                <w:noProof/>
                <w:webHidden/>
              </w:rPr>
              <w:fldChar w:fldCharType="separate"/>
            </w:r>
            <w:r w:rsidR="004C7298">
              <w:rPr>
                <w:noProof/>
                <w:webHidden/>
              </w:rPr>
              <w:t>26</w:t>
            </w:r>
            <w:r w:rsidR="004C7298">
              <w:rPr>
                <w:noProof/>
                <w:webHidden/>
              </w:rPr>
              <w:fldChar w:fldCharType="end"/>
            </w:r>
          </w:hyperlink>
        </w:p>
        <w:p w14:paraId="2FE2A691" w14:textId="00EFE7F3" w:rsidR="004C7298" w:rsidRDefault="00013F20">
          <w:pPr>
            <w:pStyle w:val="TOC3"/>
            <w:rPr>
              <w:rFonts w:asciiTheme="minorHAnsi" w:eastAsiaTheme="minorEastAsia" w:hAnsiTheme="minorHAnsi" w:cstheme="minorBidi"/>
              <w:b w:val="0"/>
              <w:noProof/>
              <w:color w:val="auto"/>
              <w:szCs w:val="22"/>
              <w:lang w:eastAsia="en-AU"/>
            </w:rPr>
          </w:pPr>
          <w:hyperlink w:anchor="_Toc144110897" w:history="1">
            <w:r w:rsidR="004C7298" w:rsidRPr="006D24F3">
              <w:rPr>
                <w:rStyle w:val="Hyperlink"/>
                <w:noProof/>
              </w:rPr>
              <w:t>Proposal</w:t>
            </w:r>
            <w:r w:rsidR="004C7298">
              <w:rPr>
                <w:noProof/>
                <w:webHidden/>
              </w:rPr>
              <w:tab/>
            </w:r>
            <w:r w:rsidR="004C7298">
              <w:rPr>
                <w:noProof/>
                <w:webHidden/>
              </w:rPr>
              <w:fldChar w:fldCharType="begin"/>
            </w:r>
            <w:r w:rsidR="004C7298">
              <w:rPr>
                <w:noProof/>
                <w:webHidden/>
              </w:rPr>
              <w:instrText xml:space="preserve"> PAGEREF _Toc144110897 \h </w:instrText>
            </w:r>
            <w:r w:rsidR="004C7298">
              <w:rPr>
                <w:noProof/>
                <w:webHidden/>
              </w:rPr>
            </w:r>
            <w:r w:rsidR="004C7298">
              <w:rPr>
                <w:noProof/>
                <w:webHidden/>
              </w:rPr>
              <w:fldChar w:fldCharType="separate"/>
            </w:r>
            <w:r w:rsidR="004C7298">
              <w:rPr>
                <w:noProof/>
                <w:webHidden/>
              </w:rPr>
              <w:t>26</w:t>
            </w:r>
            <w:r w:rsidR="004C7298">
              <w:rPr>
                <w:noProof/>
                <w:webHidden/>
              </w:rPr>
              <w:fldChar w:fldCharType="end"/>
            </w:r>
          </w:hyperlink>
        </w:p>
        <w:p w14:paraId="251CD986" w14:textId="3CD449E4" w:rsidR="004C7298" w:rsidRDefault="00013F20">
          <w:pPr>
            <w:pStyle w:val="TOC3"/>
            <w:rPr>
              <w:rFonts w:asciiTheme="minorHAnsi" w:eastAsiaTheme="minorEastAsia" w:hAnsiTheme="minorHAnsi" w:cstheme="minorBidi"/>
              <w:b w:val="0"/>
              <w:noProof/>
              <w:color w:val="auto"/>
              <w:szCs w:val="22"/>
              <w:lang w:eastAsia="en-AU"/>
            </w:rPr>
          </w:pPr>
          <w:hyperlink w:anchor="_Toc144110898" w:history="1">
            <w:r w:rsidR="004C7298" w:rsidRPr="006D24F3">
              <w:rPr>
                <w:rStyle w:val="Hyperlink"/>
                <w:noProof/>
              </w:rPr>
              <w:t>CAS number</w:t>
            </w:r>
            <w:r w:rsidR="004C7298">
              <w:rPr>
                <w:noProof/>
                <w:webHidden/>
              </w:rPr>
              <w:tab/>
            </w:r>
            <w:r w:rsidR="004C7298">
              <w:rPr>
                <w:noProof/>
                <w:webHidden/>
              </w:rPr>
              <w:fldChar w:fldCharType="begin"/>
            </w:r>
            <w:r w:rsidR="004C7298">
              <w:rPr>
                <w:noProof/>
                <w:webHidden/>
              </w:rPr>
              <w:instrText xml:space="preserve"> PAGEREF _Toc144110898 \h </w:instrText>
            </w:r>
            <w:r w:rsidR="004C7298">
              <w:rPr>
                <w:noProof/>
                <w:webHidden/>
              </w:rPr>
            </w:r>
            <w:r w:rsidR="004C7298">
              <w:rPr>
                <w:noProof/>
                <w:webHidden/>
              </w:rPr>
              <w:fldChar w:fldCharType="separate"/>
            </w:r>
            <w:r w:rsidR="004C7298">
              <w:rPr>
                <w:noProof/>
                <w:webHidden/>
              </w:rPr>
              <w:t>26</w:t>
            </w:r>
            <w:r w:rsidR="004C7298">
              <w:rPr>
                <w:noProof/>
                <w:webHidden/>
              </w:rPr>
              <w:fldChar w:fldCharType="end"/>
            </w:r>
          </w:hyperlink>
        </w:p>
        <w:p w14:paraId="5ED1C324" w14:textId="0EA54992" w:rsidR="004C7298" w:rsidRDefault="00013F20">
          <w:pPr>
            <w:pStyle w:val="TOC3"/>
            <w:rPr>
              <w:rFonts w:asciiTheme="minorHAnsi" w:eastAsiaTheme="minorEastAsia" w:hAnsiTheme="minorHAnsi" w:cstheme="minorBidi"/>
              <w:b w:val="0"/>
              <w:noProof/>
              <w:color w:val="auto"/>
              <w:szCs w:val="22"/>
              <w:lang w:eastAsia="en-AU"/>
            </w:rPr>
          </w:pPr>
          <w:hyperlink w:anchor="_Toc144110899" w:history="1">
            <w:r w:rsidR="004C7298" w:rsidRPr="006D24F3">
              <w:rPr>
                <w:rStyle w:val="Hyperlink"/>
                <w:noProof/>
              </w:rPr>
              <w:t>Alternative names</w:t>
            </w:r>
            <w:r w:rsidR="004C7298">
              <w:rPr>
                <w:noProof/>
                <w:webHidden/>
              </w:rPr>
              <w:tab/>
            </w:r>
            <w:r w:rsidR="004C7298">
              <w:rPr>
                <w:noProof/>
                <w:webHidden/>
              </w:rPr>
              <w:fldChar w:fldCharType="begin"/>
            </w:r>
            <w:r w:rsidR="004C7298">
              <w:rPr>
                <w:noProof/>
                <w:webHidden/>
              </w:rPr>
              <w:instrText xml:space="preserve"> PAGEREF _Toc144110899 \h </w:instrText>
            </w:r>
            <w:r w:rsidR="004C7298">
              <w:rPr>
                <w:noProof/>
                <w:webHidden/>
              </w:rPr>
            </w:r>
            <w:r w:rsidR="004C7298">
              <w:rPr>
                <w:noProof/>
                <w:webHidden/>
              </w:rPr>
              <w:fldChar w:fldCharType="separate"/>
            </w:r>
            <w:r w:rsidR="004C7298">
              <w:rPr>
                <w:noProof/>
                <w:webHidden/>
              </w:rPr>
              <w:t>26</w:t>
            </w:r>
            <w:r w:rsidR="004C7298">
              <w:rPr>
                <w:noProof/>
                <w:webHidden/>
              </w:rPr>
              <w:fldChar w:fldCharType="end"/>
            </w:r>
          </w:hyperlink>
        </w:p>
        <w:p w14:paraId="303837A3" w14:textId="2ADB7CBD" w:rsidR="004C7298" w:rsidRDefault="00013F20">
          <w:pPr>
            <w:pStyle w:val="TOC3"/>
            <w:rPr>
              <w:rFonts w:asciiTheme="minorHAnsi" w:eastAsiaTheme="minorEastAsia" w:hAnsiTheme="minorHAnsi" w:cstheme="minorBidi"/>
              <w:b w:val="0"/>
              <w:noProof/>
              <w:color w:val="auto"/>
              <w:szCs w:val="22"/>
              <w:lang w:eastAsia="en-AU"/>
            </w:rPr>
          </w:pPr>
          <w:hyperlink w:anchor="_Toc144110900" w:history="1">
            <w:r w:rsidR="004C7298" w:rsidRPr="006D24F3">
              <w:rPr>
                <w:rStyle w:val="Hyperlink"/>
                <w:noProof/>
              </w:rPr>
              <w:t>Proposed scheduling</w:t>
            </w:r>
            <w:r w:rsidR="004C7298">
              <w:rPr>
                <w:noProof/>
                <w:webHidden/>
              </w:rPr>
              <w:tab/>
            </w:r>
            <w:r w:rsidR="004C7298">
              <w:rPr>
                <w:noProof/>
                <w:webHidden/>
              </w:rPr>
              <w:fldChar w:fldCharType="begin"/>
            </w:r>
            <w:r w:rsidR="004C7298">
              <w:rPr>
                <w:noProof/>
                <w:webHidden/>
              </w:rPr>
              <w:instrText xml:space="preserve"> PAGEREF _Toc144110900 \h </w:instrText>
            </w:r>
            <w:r w:rsidR="004C7298">
              <w:rPr>
                <w:noProof/>
                <w:webHidden/>
              </w:rPr>
            </w:r>
            <w:r w:rsidR="004C7298">
              <w:rPr>
                <w:noProof/>
                <w:webHidden/>
              </w:rPr>
              <w:fldChar w:fldCharType="separate"/>
            </w:r>
            <w:r w:rsidR="004C7298">
              <w:rPr>
                <w:noProof/>
                <w:webHidden/>
              </w:rPr>
              <w:t>26</w:t>
            </w:r>
            <w:r w:rsidR="004C7298">
              <w:rPr>
                <w:noProof/>
                <w:webHidden/>
              </w:rPr>
              <w:fldChar w:fldCharType="end"/>
            </w:r>
          </w:hyperlink>
        </w:p>
        <w:p w14:paraId="77BB2FD8" w14:textId="1C6573DC" w:rsidR="004C7298" w:rsidRDefault="00013F20">
          <w:pPr>
            <w:pStyle w:val="TOC3"/>
            <w:rPr>
              <w:rFonts w:asciiTheme="minorHAnsi" w:eastAsiaTheme="minorEastAsia" w:hAnsiTheme="minorHAnsi" w:cstheme="minorBidi"/>
              <w:b w:val="0"/>
              <w:noProof/>
              <w:color w:val="auto"/>
              <w:szCs w:val="22"/>
              <w:lang w:eastAsia="en-AU"/>
            </w:rPr>
          </w:pPr>
          <w:hyperlink w:anchor="_Toc144110901" w:history="1">
            <w:r w:rsidR="004C7298" w:rsidRPr="006D24F3">
              <w:rPr>
                <w:rStyle w:val="Hyperlink"/>
                <w:noProof/>
              </w:rPr>
              <w:t>Background</w:t>
            </w:r>
            <w:r w:rsidR="004C7298">
              <w:rPr>
                <w:noProof/>
                <w:webHidden/>
              </w:rPr>
              <w:tab/>
            </w:r>
            <w:r w:rsidR="004C7298">
              <w:rPr>
                <w:noProof/>
                <w:webHidden/>
              </w:rPr>
              <w:fldChar w:fldCharType="begin"/>
            </w:r>
            <w:r w:rsidR="004C7298">
              <w:rPr>
                <w:noProof/>
                <w:webHidden/>
              </w:rPr>
              <w:instrText xml:space="preserve"> PAGEREF _Toc144110901 \h </w:instrText>
            </w:r>
            <w:r w:rsidR="004C7298">
              <w:rPr>
                <w:noProof/>
                <w:webHidden/>
              </w:rPr>
            </w:r>
            <w:r w:rsidR="004C7298">
              <w:rPr>
                <w:noProof/>
                <w:webHidden/>
              </w:rPr>
              <w:fldChar w:fldCharType="separate"/>
            </w:r>
            <w:r w:rsidR="004C7298">
              <w:rPr>
                <w:noProof/>
                <w:webHidden/>
              </w:rPr>
              <w:t>29</w:t>
            </w:r>
            <w:r w:rsidR="004C7298">
              <w:rPr>
                <w:noProof/>
                <w:webHidden/>
              </w:rPr>
              <w:fldChar w:fldCharType="end"/>
            </w:r>
          </w:hyperlink>
        </w:p>
        <w:p w14:paraId="6327642F" w14:textId="55F68C7D" w:rsidR="004C7298" w:rsidRDefault="00013F20">
          <w:pPr>
            <w:pStyle w:val="TOC3"/>
            <w:rPr>
              <w:rFonts w:asciiTheme="minorHAnsi" w:eastAsiaTheme="minorEastAsia" w:hAnsiTheme="minorHAnsi" w:cstheme="minorBidi"/>
              <w:b w:val="0"/>
              <w:noProof/>
              <w:color w:val="auto"/>
              <w:szCs w:val="22"/>
              <w:lang w:eastAsia="en-AU"/>
            </w:rPr>
          </w:pPr>
          <w:hyperlink w:anchor="_Toc144110902" w:history="1">
            <w:r w:rsidR="004C7298" w:rsidRPr="006D24F3">
              <w:rPr>
                <w:rStyle w:val="Hyperlink"/>
                <w:noProof/>
              </w:rPr>
              <w:t>Summary of applicant’s reasons for the proposal</w:t>
            </w:r>
            <w:r w:rsidR="004C7298">
              <w:rPr>
                <w:noProof/>
                <w:webHidden/>
              </w:rPr>
              <w:tab/>
            </w:r>
            <w:r w:rsidR="004C7298">
              <w:rPr>
                <w:noProof/>
                <w:webHidden/>
              </w:rPr>
              <w:fldChar w:fldCharType="begin"/>
            </w:r>
            <w:r w:rsidR="004C7298">
              <w:rPr>
                <w:noProof/>
                <w:webHidden/>
              </w:rPr>
              <w:instrText xml:space="preserve"> PAGEREF _Toc144110902 \h </w:instrText>
            </w:r>
            <w:r w:rsidR="004C7298">
              <w:rPr>
                <w:noProof/>
                <w:webHidden/>
              </w:rPr>
            </w:r>
            <w:r w:rsidR="004C7298">
              <w:rPr>
                <w:noProof/>
                <w:webHidden/>
              </w:rPr>
              <w:fldChar w:fldCharType="separate"/>
            </w:r>
            <w:r w:rsidR="004C7298">
              <w:rPr>
                <w:noProof/>
                <w:webHidden/>
              </w:rPr>
              <w:t>29</w:t>
            </w:r>
            <w:r w:rsidR="004C7298">
              <w:rPr>
                <w:noProof/>
                <w:webHidden/>
              </w:rPr>
              <w:fldChar w:fldCharType="end"/>
            </w:r>
          </w:hyperlink>
        </w:p>
        <w:p w14:paraId="793B3C82" w14:textId="6B7F1FB1" w:rsidR="004C7298" w:rsidRDefault="00013F20">
          <w:pPr>
            <w:pStyle w:val="TOC3"/>
            <w:rPr>
              <w:rFonts w:asciiTheme="minorHAnsi" w:eastAsiaTheme="minorEastAsia" w:hAnsiTheme="minorHAnsi" w:cstheme="minorBidi"/>
              <w:b w:val="0"/>
              <w:noProof/>
              <w:color w:val="auto"/>
              <w:szCs w:val="22"/>
              <w:lang w:eastAsia="en-AU"/>
            </w:rPr>
          </w:pPr>
          <w:hyperlink w:anchor="_Toc144110903" w:history="1">
            <w:r w:rsidR="004C7298" w:rsidRPr="006D24F3">
              <w:rPr>
                <w:rStyle w:val="Hyperlink"/>
                <w:noProof/>
              </w:rPr>
              <w:t>Key uses / expected use</w:t>
            </w:r>
            <w:r w:rsidR="004C7298">
              <w:rPr>
                <w:noProof/>
                <w:webHidden/>
              </w:rPr>
              <w:tab/>
            </w:r>
            <w:r w:rsidR="004C7298">
              <w:rPr>
                <w:noProof/>
                <w:webHidden/>
              </w:rPr>
              <w:fldChar w:fldCharType="begin"/>
            </w:r>
            <w:r w:rsidR="004C7298">
              <w:rPr>
                <w:noProof/>
                <w:webHidden/>
              </w:rPr>
              <w:instrText xml:space="preserve"> PAGEREF _Toc144110903 \h </w:instrText>
            </w:r>
            <w:r w:rsidR="004C7298">
              <w:rPr>
                <w:noProof/>
                <w:webHidden/>
              </w:rPr>
            </w:r>
            <w:r w:rsidR="004C7298">
              <w:rPr>
                <w:noProof/>
                <w:webHidden/>
              </w:rPr>
              <w:fldChar w:fldCharType="separate"/>
            </w:r>
            <w:r w:rsidR="004C7298">
              <w:rPr>
                <w:noProof/>
                <w:webHidden/>
              </w:rPr>
              <w:t>30</w:t>
            </w:r>
            <w:r w:rsidR="004C7298">
              <w:rPr>
                <w:noProof/>
                <w:webHidden/>
              </w:rPr>
              <w:fldChar w:fldCharType="end"/>
            </w:r>
          </w:hyperlink>
        </w:p>
        <w:p w14:paraId="708D3478" w14:textId="3A47085B" w:rsidR="004C7298" w:rsidRDefault="00013F20">
          <w:pPr>
            <w:pStyle w:val="TOC3"/>
            <w:rPr>
              <w:rFonts w:asciiTheme="minorHAnsi" w:eastAsiaTheme="minorEastAsia" w:hAnsiTheme="minorHAnsi" w:cstheme="minorBidi"/>
              <w:b w:val="0"/>
              <w:noProof/>
              <w:color w:val="auto"/>
              <w:szCs w:val="22"/>
              <w:lang w:eastAsia="en-AU"/>
            </w:rPr>
          </w:pPr>
          <w:hyperlink w:anchor="_Toc144110904" w:history="1">
            <w:r w:rsidR="004C7298" w:rsidRPr="006D24F3">
              <w:rPr>
                <w:rStyle w:val="Hyperlink"/>
                <w:noProof/>
              </w:rPr>
              <w:t>Australian regulations</w:t>
            </w:r>
            <w:r w:rsidR="004C7298">
              <w:rPr>
                <w:noProof/>
                <w:webHidden/>
              </w:rPr>
              <w:tab/>
            </w:r>
            <w:r w:rsidR="004C7298">
              <w:rPr>
                <w:noProof/>
                <w:webHidden/>
              </w:rPr>
              <w:fldChar w:fldCharType="begin"/>
            </w:r>
            <w:r w:rsidR="004C7298">
              <w:rPr>
                <w:noProof/>
                <w:webHidden/>
              </w:rPr>
              <w:instrText xml:space="preserve"> PAGEREF _Toc144110904 \h </w:instrText>
            </w:r>
            <w:r w:rsidR="004C7298">
              <w:rPr>
                <w:noProof/>
                <w:webHidden/>
              </w:rPr>
            </w:r>
            <w:r w:rsidR="004C7298">
              <w:rPr>
                <w:noProof/>
                <w:webHidden/>
              </w:rPr>
              <w:fldChar w:fldCharType="separate"/>
            </w:r>
            <w:r w:rsidR="004C7298">
              <w:rPr>
                <w:noProof/>
                <w:webHidden/>
              </w:rPr>
              <w:t>30</w:t>
            </w:r>
            <w:r w:rsidR="004C7298">
              <w:rPr>
                <w:noProof/>
                <w:webHidden/>
              </w:rPr>
              <w:fldChar w:fldCharType="end"/>
            </w:r>
          </w:hyperlink>
        </w:p>
        <w:p w14:paraId="7422D980" w14:textId="2EEB2F6D" w:rsidR="004C7298" w:rsidRDefault="00013F20">
          <w:pPr>
            <w:pStyle w:val="TOC3"/>
            <w:rPr>
              <w:rFonts w:asciiTheme="minorHAnsi" w:eastAsiaTheme="minorEastAsia" w:hAnsiTheme="minorHAnsi" w:cstheme="minorBidi"/>
              <w:b w:val="0"/>
              <w:noProof/>
              <w:color w:val="auto"/>
              <w:szCs w:val="22"/>
              <w:lang w:eastAsia="en-AU"/>
            </w:rPr>
          </w:pPr>
          <w:hyperlink w:anchor="_Toc144110905" w:history="1">
            <w:r w:rsidR="004C7298" w:rsidRPr="006D24F3">
              <w:rPr>
                <w:rStyle w:val="Hyperlink"/>
                <w:noProof/>
              </w:rPr>
              <w:t>International regulations</w:t>
            </w:r>
            <w:r w:rsidR="004C7298">
              <w:rPr>
                <w:noProof/>
                <w:webHidden/>
              </w:rPr>
              <w:tab/>
            </w:r>
            <w:r w:rsidR="004C7298">
              <w:rPr>
                <w:noProof/>
                <w:webHidden/>
              </w:rPr>
              <w:fldChar w:fldCharType="begin"/>
            </w:r>
            <w:r w:rsidR="004C7298">
              <w:rPr>
                <w:noProof/>
                <w:webHidden/>
              </w:rPr>
              <w:instrText xml:space="preserve"> PAGEREF _Toc144110905 \h </w:instrText>
            </w:r>
            <w:r w:rsidR="004C7298">
              <w:rPr>
                <w:noProof/>
                <w:webHidden/>
              </w:rPr>
            </w:r>
            <w:r w:rsidR="004C7298">
              <w:rPr>
                <w:noProof/>
                <w:webHidden/>
              </w:rPr>
              <w:fldChar w:fldCharType="separate"/>
            </w:r>
            <w:r w:rsidR="004C7298">
              <w:rPr>
                <w:noProof/>
                <w:webHidden/>
              </w:rPr>
              <w:t>33</w:t>
            </w:r>
            <w:r w:rsidR="004C7298">
              <w:rPr>
                <w:noProof/>
                <w:webHidden/>
              </w:rPr>
              <w:fldChar w:fldCharType="end"/>
            </w:r>
          </w:hyperlink>
        </w:p>
        <w:p w14:paraId="77FEF1B7" w14:textId="780C1D97" w:rsidR="004C7298" w:rsidRDefault="00013F20">
          <w:pPr>
            <w:pStyle w:val="TOC1"/>
            <w:tabs>
              <w:tab w:val="left" w:pos="425"/>
            </w:tabs>
            <w:rPr>
              <w:rFonts w:asciiTheme="minorHAnsi" w:eastAsiaTheme="minorEastAsia" w:hAnsiTheme="minorHAnsi" w:cstheme="minorBidi"/>
              <w:b w:val="0"/>
              <w:noProof/>
              <w:color w:val="auto"/>
              <w:sz w:val="22"/>
              <w:szCs w:val="22"/>
              <w:lang w:eastAsia="en-AU"/>
            </w:rPr>
          </w:pPr>
          <w:hyperlink w:anchor="_Toc144110906" w:history="1">
            <w:r w:rsidR="004C7298" w:rsidRPr="006D24F3">
              <w:rPr>
                <w:rStyle w:val="Hyperlink"/>
                <w:noProof/>
              </w:rPr>
              <w:t>2</w:t>
            </w:r>
            <w:r w:rsidR="004C7298">
              <w:rPr>
                <w:rFonts w:asciiTheme="minorHAnsi" w:eastAsiaTheme="minorEastAsia" w:hAnsiTheme="minorHAnsi" w:cstheme="minorBidi"/>
                <w:b w:val="0"/>
                <w:noProof/>
                <w:color w:val="auto"/>
                <w:sz w:val="22"/>
                <w:szCs w:val="22"/>
                <w:lang w:eastAsia="en-AU"/>
              </w:rPr>
              <w:tab/>
            </w:r>
            <w:r w:rsidR="004C7298" w:rsidRPr="006D24F3">
              <w:rPr>
                <w:rStyle w:val="Hyperlink"/>
                <w:noProof/>
              </w:rPr>
              <w:t>Proposed amendments referred for scheduling advice to the Joint ACMS-ACCS meeting #35</w:t>
            </w:r>
            <w:r w:rsidR="004C7298">
              <w:rPr>
                <w:noProof/>
                <w:webHidden/>
              </w:rPr>
              <w:tab/>
            </w:r>
            <w:r w:rsidR="004C7298">
              <w:rPr>
                <w:noProof/>
                <w:webHidden/>
              </w:rPr>
              <w:fldChar w:fldCharType="begin"/>
            </w:r>
            <w:r w:rsidR="004C7298">
              <w:rPr>
                <w:noProof/>
                <w:webHidden/>
              </w:rPr>
              <w:instrText xml:space="preserve"> PAGEREF _Toc144110906 \h </w:instrText>
            </w:r>
            <w:r w:rsidR="004C7298">
              <w:rPr>
                <w:noProof/>
                <w:webHidden/>
              </w:rPr>
            </w:r>
            <w:r w:rsidR="004C7298">
              <w:rPr>
                <w:noProof/>
                <w:webHidden/>
              </w:rPr>
              <w:fldChar w:fldCharType="separate"/>
            </w:r>
            <w:r w:rsidR="004C7298">
              <w:rPr>
                <w:noProof/>
                <w:webHidden/>
              </w:rPr>
              <w:t>34</w:t>
            </w:r>
            <w:r w:rsidR="004C7298">
              <w:rPr>
                <w:noProof/>
                <w:webHidden/>
              </w:rPr>
              <w:fldChar w:fldCharType="end"/>
            </w:r>
          </w:hyperlink>
        </w:p>
        <w:p w14:paraId="0A8C012E" w14:textId="2D821A76" w:rsidR="004C7298" w:rsidRDefault="00013F20">
          <w:pPr>
            <w:pStyle w:val="TOC2"/>
            <w:tabs>
              <w:tab w:val="left" w:pos="1276"/>
            </w:tabs>
            <w:rPr>
              <w:rFonts w:asciiTheme="minorHAnsi" w:eastAsiaTheme="minorEastAsia" w:hAnsiTheme="minorHAnsi" w:cstheme="minorBidi"/>
              <w:b w:val="0"/>
              <w:noProof/>
              <w:color w:val="auto"/>
              <w:sz w:val="22"/>
              <w:szCs w:val="22"/>
              <w:lang w:eastAsia="en-AU"/>
            </w:rPr>
          </w:pPr>
          <w:hyperlink w:anchor="_Toc144110907" w:history="1">
            <w:r w:rsidR="004C7298" w:rsidRPr="006D24F3">
              <w:rPr>
                <w:rStyle w:val="Hyperlink"/>
                <w:noProof/>
              </w:rPr>
              <w:t>2.1</w:t>
            </w:r>
            <w:r w:rsidR="004C7298">
              <w:rPr>
                <w:rFonts w:asciiTheme="minorHAnsi" w:eastAsiaTheme="minorEastAsia" w:hAnsiTheme="minorHAnsi" w:cstheme="minorBidi"/>
                <w:b w:val="0"/>
                <w:noProof/>
                <w:color w:val="auto"/>
                <w:sz w:val="22"/>
                <w:szCs w:val="22"/>
                <w:lang w:eastAsia="en-AU"/>
              </w:rPr>
              <w:tab/>
            </w:r>
            <w:r w:rsidR="004C7298" w:rsidRPr="006D24F3">
              <w:rPr>
                <w:rStyle w:val="Hyperlink"/>
                <w:noProof/>
              </w:rPr>
              <w:t>Adrenaline</w:t>
            </w:r>
            <w:r w:rsidR="004C7298">
              <w:rPr>
                <w:noProof/>
                <w:webHidden/>
              </w:rPr>
              <w:tab/>
            </w:r>
            <w:r w:rsidR="004C7298">
              <w:rPr>
                <w:noProof/>
                <w:webHidden/>
              </w:rPr>
              <w:fldChar w:fldCharType="begin"/>
            </w:r>
            <w:r w:rsidR="004C7298">
              <w:rPr>
                <w:noProof/>
                <w:webHidden/>
              </w:rPr>
              <w:instrText xml:space="preserve"> PAGEREF _Toc144110907 \h </w:instrText>
            </w:r>
            <w:r w:rsidR="004C7298">
              <w:rPr>
                <w:noProof/>
                <w:webHidden/>
              </w:rPr>
            </w:r>
            <w:r w:rsidR="004C7298">
              <w:rPr>
                <w:noProof/>
                <w:webHidden/>
              </w:rPr>
              <w:fldChar w:fldCharType="separate"/>
            </w:r>
            <w:r w:rsidR="004C7298">
              <w:rPr>
                <w:noProof/>
                <w:webHidden/>
              </w:rPr>
              <w:t>34</w:t>
            </w:r>
            <w:r w:rsidR="004C7298">
              <w:rPr>
                <w:noProof/>
                <w:webHidden/>
              </w:rPr>
              <w:fldChar w:fldCharType="end"/>
            </w:r>
          </w:hyperlink>
        </w:p>
        <w:p w14:paraId="3815F364" w14:textId="026011A5" w:rsidR="004C7298" w:rsidRDefault="00013F20">
          <w:pPr>
            <w:pStyle w:val="TOC3"/>
            <w:rPr>
              <w:rFonts w:asciiTheme="minorHAnsi" w:eastAsiaTheme="minorEastAsia" w:hAnsiTheme="minorHAnsi" w:cstheme="minorBidi"/>
              <w:b w:val="0"/>
              <w:noProof/>
              <w:color w:val="auto"/>
              <w:szCs w:val="22"/>
              <w:lang w:eastAsia="en-AU"/>
            </w:rPr>
          </w:pPr>
          <w:hyperlink w:anchor="_Toc144110908" w:history="1">
            <w:r w:rsidR="004C7298" w:rsidRPr="006D24F3">
              <w:rPr>
                <w:rStyle w:val="Hyperlink"/>
                <w:noProof/>
              </w:rPr>
              <w:t>Proposal</w:t>
            </w:r>
            <w:r w:rsidR="004C7298">
              <w:rPr>
                <w:noProof/>
                <w:webHidden/>
              </w:rPr>
              <w:tab/>
            </w:r>
            <w:r w:rsidR="004C7298">
              <w:rPr>
                <w:noProof/>
                <w:webHidden/>
              </w:rPr>
              <w:fldChar w:fldCharType="begin"/>
            </w:r>
            <w:r w:rsidR="004C7298">
              <w:rPr>
                <w:noProof/>
                <w:webHidden/>
              </w:rPr>
              <w:instrText xml:space="preserve"> PAGEREF _Toc144110908 \h </w:instrText>
            </w:r>
            <w:r w:rsidR="004C7298">
              <w:rPr>
                <w:noProof/>
                <w:webHidden/>
              </w:rPr>
            </w:r>
            <w:r w:rsidR="004C7298">
              <w:rPr>
                <w:noProof/>
                <w:webHidden/>
              </w:rPr>
              <w:fldChar w:fldCharType="separate"/>
            </w:r>
            <w:r w:rsidR="004C7298">
              <w:rPr>
                <w:noProof/>
                <w:webHidden/>
              </w:rPr>
              <w:t>34</w:t>
            </w:r>
            <w:r w:rsidR="004C7298">
              <w:rPr>
                <w:noProof/>
                <w:webHidden/>
              </w:rPr>
              <w:fldChar w:fldCharType="end"/>
            </w:r>
          </w:hyperlink>
        </w:p>
        <w:p w14:paraId="3D270737" w14:textId="21E9C620" w:rsidR="004C7298" w:rsidRDefault="00013F20">
          <w:pPr>
            <w:pStyle w:val="TOC3"/>
            <w:rPr>
              <w:rFonts w:asciiTheme="minorHAnsi" w:eastAsiaTheme="minorEastAsia" w:hAnsiTheme="minorHAnsi" w:cstheme="minorBidi"/>
              <w:b w:val="0"/>
              <w:noProof/>
              <w:color w:val="auto"/>
              <w:szCs w:val="22"/>
              <w:lang w:eastAsia="en-AU"/>
            </w:rPr>
          </w:pPr>
          <w:hyperlink w:anchor="_Toc144110909" w:history="1">
            <w:r w:rsidR="004C7298" w:rsidRPr="006D24F3">
              <w:rPr>
                <w:rStyle w:val="Hyperlink"/>
                <w:noProof/>
              </w:rPr>
              <w:t>CAS Number</w:t>
            </w:r>
            <w:r w:rsidR="004C7298">
              <w:rPr>
                <w:noProof/>
                <w:webHidden/>
              </w:rPr>
              <w:tab/>
            </w:r>
            <w:r w:rsidR="004C7298">
              <w:rPr>
                <w:noProof/>
                <w:webHidden/>
              </w:rPr>
              <w:fldChar w:fldCharType="begin"/>
            </w:r>
            <w:r w:rsidR="004C7298">
              <w:rPr>
                <w:noProof/>
                <w:webHidden/>
              </w:rPr>
              <w:instrText xml:space="preserve"> PAGEREF _Toc144110909 \h </w:instrText>
            </w:r>
            <w:r w:rsidR="004C7298">
              <w:rPr>
                <w:noProof/>
                <w:webHidden/>
              </w:rPr>
            </w:r>
            <w:r w:rsidR="004C7298">
              <w:rPr>
                <w:noProof/>
                <w:webHidden/>
              </w:rPr>
              <w:fldChar w:fldCharType="separate"/>
            </w:r>
            <w:r w:rsidR="004C7298">
              <w:rPr>
                <w:noProof/>
                <w:webHidden/>
              </w:rPr>
              <w:t>34</w:t>
            </w:r>
            <w:r w:rsidR="004C7298">
              <w:rPr>
                <w:noProof/>
                <w:webHidden/>
              </w:rPr>
              <w:fldChar w:fldCharType="end"/>
            </w:r>
          </w:hyperlink>
        </w:p>
        <w:p w14:paraId="1D4C9230" w14:textId="00DEEA8D" w:rsidR="004C7298" w:rsidRDefault="00013F20">
          <w:pPr>
            <w:pStyle w:val="TOC3"/>
            <w:rPr>
              <w:rFonts w:asciiTheme="minorHAnsi" w:eastAsiaTheme="minorEastAsia" w:hAnsiTheme="minorHAnsi" w:cstheme="minorBidi"/>
              <w:b w:val="0"/>
              <w:noProof/>
              <w:color w:val="auto"/>
              <w:szCs w:val="22"/>
              <w:lang w:eastAsia="en-AU"/>
            </w:rPr>
          </w:pPr>
          <w:hyperlink w:anchor="_Toc144110910" w:history="1">
            <w:r w:rsidR="004C7298" w:rsidRPr="006D24F3">
              <w:rPr>
                <w:rStyle w:val="Hyperlink"/>
                <w:noProof/>
              </w:rPr>
              <w:t>Alternative names</w:t>
            </w:r>
            <w:r w:rsidR="004C7298">
              <w:rPr>
                <w:noProof/>
                <w:webHidden/>
              </w:rPr>
              <w:tab/>
            </w:r>
            <w:r w:rsidR="004C7298">
              <w:rPr>
                <w:noProof/>
                <w:webHidden/>
              </w:rPr>
              <w:fldChar w:fldCharType="begin"/>
            </w:r>
            <w:r w:rsidR="004C7298">
              <w:rPr>
                <w:noProof/>
                <w:webHidden/>
              </w:rPr>
              <w:instrText xml:space="preserve"> PAGEREF _Toc144110910 \h </w:instrText>
            </w:r>
            <w:r w:rsidR="004C7298">
              <w:rPr>
                <w:noProof/>
                <w:webHidden/>
              </w:rPr>
            </w:r>
            <w:r w:rsidR="004C7298">
              <w:rPr>
                <w:noProof/>
                <w:webHidden/>
              </w:rPr>
              <w:fldChar w:fldCharType="separate"/>
            </w:r>
            <w:r w:rsidR="004C7298">
              <w:rPr>
                <w:noProof/>
                <w:webHidden/>
              </w:rPr>
              <w:t>34</w:t>
            </w:r>
            <w:r w:rsidR="004C7298">
              <w:rPr>
                <w:noProof/>
                <w:webHidden/>
              </w:rPr>
              <w:fldChar w:fldCharType="end"/>
            </w:r>
          </w:hyperlink>
        </w:p>
        <w:p w14:paraId="1D9100AC" w14:textId="3D339A04" w:rsidR="004C7298" w:rsidRDefault="00013F20">
          <w:pPr>
            <w:pStyle w:val="TOC3"/>
            <w:rPr>
              <w:rFonts w:asciiTheme="minorHAnsi" w:eastAsiaTheme="minorEastAsia" w:hAnsiTheme="minorHAnsi" w:cstheme="minorBidi"/>
              <w:b w:val="0"/>
              <w:noProof/>
              <w:color w:val="auto"/>
              <w:szCs w:val="22"/>
              <w:lang w:eastAsia="en-AU"/>
            </w:rPr>
          </w:pPr>
          <w:hyperlink w:anchor="_Toc144110911" w:history="1">
            <w:r w:rsidR="004C7298" w:rsidRPr="006D24F3">
              <w:rPr>
                <w:rStyle w:val="Hyperlink"/>
                <w:noProof/>
              </w:rPr>
              <w:t>Applicant</w:t>
            </w:r>
            <w:r w:rsidR="004C7298">
              <w:rPr>
                <w:noProof/>
                <w:webHidden/>
              </w:rPr>
              <w:tab/>
            </w:r>
            <w:r w:rsidR="004C7298">
              <w:rPr>
                <w:noProof/>
                <w:webHidden/>
              </w:rPr>
              <w:fldChar w:fldCharType="begin"/>
            </w:r>
            <w:r w:rsidR="004C7298">
              <w:rPr>
                <w:noProof/>
                <w:webHidden/>
              </w:rPr>
              <w:instrText xml:space="preserve"> PAGEREF _Toc144110911 \h </w:instrText>
            </w:r>
            <w:r w:rsidR="004C7298">
              <w:rPr>
                <w:noProof/>
                <w:webHidden/>
              </w:rPr>
            </w:r>
            <w:r w:rsidR="004C7298">
              <w:rPr>
                <w:noProof/>
                <w:webHidden/>
              </w:rPr>
              <w:fldChar w:fldCharType="separate"/>
            </w:r>
            <w:r w:rsidR="004C7298">
              <w:rPr>
                <w:noProof/>
                <w:webHidden/>
              </w:rPr>
              <w:t>34</w:t>
            </w:r>
            <w:r w:rsidR="004C7298">
              <w:rPr>
                <w:noProof/>
                <w:webHidden/>
              </w:rPr>
              <w:fldChar w:fldCharType="end"/>
            </w:r>
          </w:hyperlink>
        </w:p>
        <w:p w14:paraId="5ED39A07" w14:textId="4A180D7A" w:rsidR="004C7298" w:rsidRDefault="00013F20">
          <w:pPr>
            <w:pStyle w:val="TOC3"/>
            <w:rPr>
              <w:rFonts w:asciiTheme="minorHAnsi" w:eastAsiaTheme="minorEastAsia" w:hAnsiTheme="minorHAnsi" w:cstheme="minorBidi"/>
              <w:b w:val="0"/>
              <w:noProof/>
              <w:color w:val="auto"/>
              <w:szCs w:val="22"/>
              <w:lang w:eastAsia="en-AU"/>
            </w:rPr>
          </w:pPr>
          <w:hyperlink w:anchor="_Toc144110912" w:history="1">
            <w:r w:rsidR="004C7298" w:rsidRPr="006D24F3">
              <w:rPr>
                <w:rStyle w:val="Hyperlink"/>
                <w:noProof/>
              </w:rPr>
              <w:t>Proposed Scheduling</w:t>
            </w:r>
            <w:r w:rsidR="004C7298">
              <w:rPr>
                <w:noProof/>
                <w:webHidden/>
              </w:rPr>
              <w:tab/>
            </w:r>
            <w:r w:rsidR="004C7298">
              <w:rPr>
                <w:noProof/>
                <w:webHidden/>
              </w:rPr>
              <w:fldChar w:fldCharType="begin"/>
            </w:r>
            <w:r w:rsidR="004C7298">
              <w:rPr>
                <w:noProof/>
                <w:webHidden/>
              </w:rPr>
              <w:instrText xml:space="preserve"> PAGEREF _Toc144110912 \h </w:instrText>
            </w:r>
            <w:r w:rsidR="004C7298">
              <w:rPr>
                <w:noProof/>
                <w:webHidden/>
              </w:rPr>
            </w:r>
            <w:r w:rsidR="004C7298">
              <w:rPr>
                <w:noProof/>
                <w:webHidden/>
              </w:rPr>
              <w:fldChar w:fldCharType="separate"/>
            </w:r>
            <w:r w:rsidR="004C7298">
              <w:rPr>
                <w:noProof/>
                <w:webHidden/>
              </w:rPr>
              <w:t>34</w:t>
            </w:r>
            <w:r w:rsidR="004C7298">
              <w:rPr>
                <w:noProof/>
                <w:webHidden/>
              </w:rPr>
              <w:fldChar w:fldCharType="end"/>
            </w:r>
          </w:hyperlink>
        </w:p>
        <w:p w14:paraId="76C8ECAF" w14:textId="64385962" w:rsidR="004C7298" w:rsidRDefault="00013F20">
          <w:pPr>
            <w:pStyle w:val="TOC3"/>
            <w:rPr>
              <w:rFonts w:asciiTheme="minorHAnsi" w:eastAsiaTheme="minorEastAsia" w:hAnsiTheme="minorHAnsi" w:cstheme="minorBidi"/>
              <w:b w:val="0"/>
              <w:noProof/>
              <w:color w:val="auto"/>
              <w:szCs w:val="22"/>
              <w:lang w:eastAsia="en-AU"/>
            </w:rPr>
          </w:pPr>
          <w:hyperlink w:anchor="_Toc144110913" w:history="1">
            <w:r w:rsidR="004C7298" w:rsidRPr="006D24F3">
              <w:rPr>
                <w:rStyle w:val="Hyperlink"/>
                <w:noProof/>
              </w:rPr>
              <w:t>Background</w:t>
            </w:r>
            <w:r w:rsidR="004C7298">
              <w:rPr>
                <w:noProof/>
                <w:webHidden/>
              </w:rPr>
              <w:tab/>
            </w:r>
            <w:r w:rsidR="004C7298">
              <w:rPr>
                <w:noProof/>
                <w:webHidden/>
              </w:rPr>
              <w:fldChar w:fldCharType="begin"/>
            </w:r>
            <w:r w:rsidR="004C7298">
              <w:rPr>
                <w:noProof/>
                <w:webHidden/>
              </w:rPr>
              <w:instrText xml:space="preserve"> PAGEREF _Toc144110913 \h </w:instrText>
            </w:r>
            <w:r w:rsidR="004C7298">
              <w:rPr>
                <w:noProof/>
                <w:webHidden/>
              </w:rPr>
            </w:r>
            <w:r w:rsidR="004C7298">
              <w:rPr>
                <w:noProof/>
                <w:webHidden/>
              </w:rPr>
              <w:fldChar w:fldCharType="separate"/>
            </w:r>
            <w:r w:rsidR="004C7298">
              <w:rPr>
                <w:noProof/>
                <w:webHidden/>
              </w:rPr>
              <w:t>35</w:t>
            </w:r>
            <w:r w:rsidR="004C7298">
              <w:rPr>
                <w:noProof/>
                <w:webHidden/>
              </w:rPr>
              <w:fldChar w:fldCharType="end"/>
            </w:r>
          </w:hyperlink>
        </w:p>
        <w:p w14:paraId="152CF63B" w14:textId="66F3011E" w:rsidR="004C7298" w:rsidRDefault="00013F20">
          <w:pPr>
            <w:pStyle w:val="TOC3"/>
            <w:rPr>
              <w:rFonts w:asciiTheme="minorHAnsi" w:eastAsiaTheme="minorEastAsia" w:hAnsiTheme="minorHAnsi" w:cstheme="minorBidi"/>
              <w:b w:val="0"/>
              <w:noProof/>
              <w:color w:val="auto"/>
              <w:szCs w:val="22"/>
              <w:lang w:eastAsia="en-AU"/>
            </w:rPr>
          </w:pPr>
          <w:hyperlink w:anchor="_Toc144110914" w:history="1">
            <w:r w:rsidR="004C7298" w:rsidRPr="006D24F3">
              <w:rPr>
                <w:rStyle w:val="Hyperlink"/>
                <w:noProof/>
              </w:rPr>
              <w:t>Summary of the reasons for the proposal</w:t>
            </w:r>
            <w:r w:rsidR="004C7298">
              <w:rPr>
                <w:noProof/>
                <w:webHidden/>
              </w:rPr>
              <w:tab/>
            </w:r>
            <w:r w:rsidR="004C7298">
              <w:rPr>
                <w:noProof/>
                <w:webHidden/>
              </w:rPr>
              <w:fldChar w:fldCharType="begin"/>
            </w:r>
            <w:r w:rsidR="004C7298">
              <w:rPr>
                <w:noProof/>
                <w:webHidden/>
              </w:rPr>
              <w:instrText xml:space="preserve"> PAGEREF _Toc144110914 \h </w:instrText>
            </w:r>
            <w:r w:rsidR="004C7298">
              <w:rPr>
                <w:noProof/>
                <w:webHidden/>
              </w:rPr>
            </w:r>
            <w:r w:rsidR="004C7298">
              <w:rPr>
                <w:noProof/>
                <w:webHidden/>
              </w:rPr>
              <w:fldChar w:fldCharType="separate"/>
            </w:r>
            <w:r w:rsidR="004C7298">
              <w:rPr>
                <w:noProof/>
                <w:webHidden/>
              </w:rPr>
              <w:t>35</w:t>
            </w:r>
            <w:r w:rsidR="004C7298">
              <w:rPr>
                <w:noProof/>
                <w:webHidden/>
              </w:rPr>
              <w:fldChar w:fldCharType="end"/>
            </w:r>
          </w:hyperlink>
        </w:p>
        <w:p w14:paraId="78EEE443" w14:textId="7E7AC4D1" w:rsidR="004C7298" w:rsidRDefault="00013F20">
          <w:pPr>
            <w:pStyle w:val="TOC3"/>
            <w:rPr>
              <w:rFonts w:asciiTheme="minorHAnsi" w:eastAsiaTheme="minorEastAsia" w:hAnsiTheme="minorHAnsi" w:cstheme="minorBidi"/>
              <w:b w:val="0"/>
              <w:noProof/>
              <w:color w:val="auto"/>
              <w:szCs w:val="22"/>
              <w:lang w:eastAsia="en-AU"/>
            </w:rPr>
          </w:pPr>
          <w:hyperlink w:anchor="_Toc144110915" w:history="1">
            <w:r w:rsidR="004C7298" w:rsidRPr="006D24F3">
              <w:rPr>
                <w:rStyle w:val="Hyperlink"/>
                <w:noProof/>
              </w:rPr>
              <w:t>Key uses / expected use</w:t>
            </w:r>
            <w:r w:rsidR="004C7298">
              <w:rPr>
                <w:noProof/>
                <w:webHidden/>
              </w:rPr>
              <w:tab/>
            </w:r>
            <w:r w:rsidR="004C7298">
              <w:rPr>
                <w:noProof/>
                <w:webHidden/>
              </w:rPr>
              <w:fldChar w:fldCharType="begin"/>
            </w:r>
            <w:r w:rsidR="004C7298">
              <w:rPr>
                <w:noProof/>
                <w:webHidden/>
              </w:rPr>
              <w:instrText xml:space="preserve"> PAGEREF _Toc144110915 \h </w:instrText>
            </w:r>
            <w:r w:rsidR="004C7298">
              <w:rPr>
                <w:noProof/>
                <w:webHidden/>
              </w:rPr>
            </w:r>
            <w:r w:rsidR="004C7298">
              <w:rPr>
                <w:noProof/>
                <w:webHidden/>
              </w:rPr>
              <w:fldChar w:fldCharType="separate"/>
            </w:r>
            <w:r w:rsidR="004C7298">
              <w:rPr>
                <w:noProof/>
                <w:webHidden/>
              </w:rPr>
              <w:t>35</w:t>
            </w:r>
            <w:r w:rsidR="004C7298">
              <w:rPr>
                <w:noProof/>
                <w:webHidden/>
              </w:rPr>
              <w:fldChar w:fldCharType="end"/>
            </w:r>
          </w:hyperlink>
        </w:p>
        <w:p w14:paraId="7FB7CC55" w14:textId="518AE820" w:rsidR="004C7298" w:rsidRDefault="00013F20">
          <w:pPr>
            <w:pStyle w:val="TOC3"/>
            <w:rPr>
              <w:rFonts w:asciiTheme="minorHAnsi" w:eastAsiaTheme="minorEastAsia" w:hAnsiTheme="minorHAnsi" w:cstheme="minorBidi"/>
              <w:b w:val="0"/>
              <w:noProof/>
              <w:color w:val="auto"/>
              <w:szCs w:val="22"/>
              <w:lang w:eastAsia="en-AU"/>
            </w:rPr>
          </w:pPr>
          <w:hyperlink w:anchor="_Toc144110916" w:history="1">
            <w:r w:rsidR="004C7298" w:rsidRPr="006D24F3">
              <w:rPr>
                <w:rStyle w:val="Hyperlink"/>
                <w:noProof/>
              </w:rPr>
              <w:t>Australian regulations</w:t>
            </w:r>
            <w:r w:rsidR="004C7298">
              <w:rPr>
                <w:noProof/>
                <w:webHidden/>
              </w:rPr>
              <w:tab/>
            </w:r>
            <w:r w:rsidR="004C7298">
              <w:rPr>
                <w:noProof/>
                <w:webHidden/>
              </w:rPr>
              <w:fldChar w:fldCharType="begin"/>
            </w:r>
            <w:r w:rsidR="004C7298">
              <w:rPr>
                <w:noProof/>
                <w:webHidden/>
              </w:rPr>
              <w:instrText xml:space="preserve"> PAGEREF _Toc144110916 \h </w:instrText>
            </w:r>
            <w:r w:rsidR="004C7298">
              <w:rPr>
                <w:noProof/>
                <w:webHidden/>
              </w:rPr>
            </w:r>
            <w:r w:rsidR="004C7298">
              <w:rPr>
                <w:noProof/>
                <w:webHidden/>
              </w:rPr>
              <w:fldChar w:fldCharType="separate"/>
            </w:r>
            <w:r w:rsidR="004C7298">
              <w:rPr>
                <w:noProof/>
                <w:webHidden/>
              </w:rPr>
              <w:t>35</w:t>
            </w:r>
            <w:r w:rsidR="004C7298">
              <w:rPr>
                <w:noProof/>
                <w:webHidden/>
              </w:rPr>
              <w:fldChar w:fldCharType="end"/>
            </w:r>
          </w:hyperlink>
        </w:p>
        <w:p w14:paraId="4926CB98" w14:textId="1DC03E59" w:rsidR="004C7298" w:rsidRDefault="00013F20">
          <w:pPr>
            <w:pStyle w:val="TOC3"/>
            <w:rPr>
              <w:rFonts w:asciiTheme="minorHAnsi" w:eastAsiaTheme="minorEastAsia" w:hAnsiTheme="minorHAnsi" w:cstheme="minorBidi"/>
              <w:b w:val="0"/>
              <w:noProof/>
              <w:color w:val="auto"/>
              <w:szCs w:val="22"/>
              <w:lang w:eastAsia="en-AU"/>
            </w:rPr>
          </w:pPr>
          <w:hyperlink w:anchor="_Toc144110917" w:history="1">
            <w:r w:rsidR="004C7298" w:rsidRPr="006D24F3">
              <w:rPr>
                <w:rStyle w:val="Hyperlink"/>
                <w:noProof/>
              </w:rPr>
              <w:t>International regulations</w:t>
            </w:r>
            <w:r w:rsidR="004C7298">
              <w:rPr>
                <w:noProof/>
                <w:webHidden/>
              </w:rPr>
              <w:tab/>
            </w:r>
            <w:r w:rsidR="004C7298">
              <w:rPr>
                <w:noProof/>
                <w:webHidden/>
              </w:rPr>
              <w:fldChar w:fldCharType="begin"/>
            </w:r>
            <w:r w:rsidR="004C7298">
              <w:rPr>
                <w:noProof/>
                <w:webHidden/>
              </w:rPr>
              <w:instrText xml:space="preserve"> PAGEREF _Toc144110917 \h </w:instrText>
            </w:r>
            <w:r w:rsidR="004C7298">
              <w:rPr>
                <w:noProof/>
                <w:webHidden/>
              </w:rPr>
            </w:r>
            <w:r w:rsidR="004C7298">
              <w:rPr>
                <w:noProof/>
                <w:webHidden/>
              </w:rPr>
              <w:fldChar w:fldCharType="separate"/>
            </w:r>
            <w:r w:rsidR="004C7298">
              <w:rPr>
                <w:noProof/>
                <w:webHidden/>
              </w:rPr>
              <w:t>36</w:t>
            </w:r>
            <w:r w:rsidR="004C7298">
              <w:rPr>
                <w:noProof/>
                <w:webHidden/>
              </w:rPr>
              <w:fldChar w:fldCharType="end"/>
            </w:r>
          </w:hyperlink>
        </w:p>
        <w:p w14:paraId="705D63A7" w14:textId="357A5897" w:rsidR="004C7298" w:rsidRDefault="00013F20">
          <w:pPr>
            <w:pStyle w:val="TOC2"/>
            <w:tabs>
              <w:tab w:val="left" w:pos="1276"/>
            </w:tabs>
            <w:rPr>
              <w:rFonts w:asciiTheme="minorHAnsi" w:eastAsiaTheme="minorEastAsia" w:hAnsiTheme="minorHAnsi" w:cstheme="minorBidi"/>
              <w:b w:val="0"/>
              <w:noProof/>
              <w:color w:val="auto"/>
              <w:sz w:val="22"/>
              <w:szCs w:val="22"/>
              <w:lang w:eastAsia="en-AU"/>
            </w:rPr>
          </w:pPr>
          <w:hyperlink w:anchor="_Toc144110918" w:history="1">
            <w:r w:rsidR="004C7298" w:rsidRPr="006D24F3">
              <w:rPr>
                <w:rStyle w:val="Hyperlink"/>
                <w:noProof/>
              </w:rPr>
              <w:t>2.2</w:t>
            </w:r>
            <w:r w:rsidR="004C7298">
              <w:rPr>
                <w:rFonts w:asciiTheme="minorHAnsi" w:eastAsiaTheme="minorEastAsia" w:hAnsiTheme="minorHAnsi" w:cstheme="minorBidi"/>
                <w:b w:val="0"/>
                <w:noProof/>
                <w:color w:val="auto"/>
                <w:sz w:val="22"/>
                <w:szCs w:val="22"/>
                <w:lang w:eastAsia="en-AU"/>
              </w:rPr>
              <w:tab/>
            </w:r>
            <w:r w:rsidR="004C7298" w:rsidRPr="006D24F3">
              <w:rPr>
                <w:rStyle w:val="Hyperlink"/>
                <w:noProof/>
              </w:rPr>
              <w:t>Benzoic acid</w:t>
            </w:r>
            <w:r w:rsidR="004C7298">
              <w:rPr>
                <w:noProof/>
                <w:webHidden/>
              </w:rPr>
              <w:tab/>
            </w:r>
            <w:r w:rsidR="004C7298">
              <w:rPr>
                <w:noProof/>
                <w:webHidden/>
              </w:rPr>
              <w:fldChar w:fldCharType="begin"/>
            </w:r>
            <w:r w:rsidR="004C7298">
              <w:rPr>
                <w:noProof/>
                <w:webHidden/>
              </w:rPr>
              <w:instrText xml:space="preserve"> PAGEREF _Toc144110918 \h </w:instrText>
            </w:r>
            <w:r w:rsidR="004C7298">
              <w:rPr>
                <w:noProof/>
                <w:webHidden/>
              </w:rPr>
            </w:r>
            <w:r w:rsidR="004C7298">
              <w:rPr>
                <w:noProof/>
                <w:webHidden/>
              </w:rPr>
              <w:fldChar w:fldCharType="separate"/>
            </w:r>
            <w:r w:rsidR="004C7298">
              <w:rPr>
                <w:noProof/>
                <w:webHidden/>
              </w:rPr>
              <w:t>37</w:t>
            </w:r>
            <w:r w:rsidR="004C7298">
              <w:rPr>
                <w:noProof/>
                <w:webHidden/>
              </w:rPr>
              <w:fldChar w:fldCharType="end"/>
            </w:r>
          </w:hyperlink>
        </w:p>
        <w:p w14:paraId="49C4EAEA" w14:textId="71F9E2F2" w:rsidR="004C7298" w:rsidRDefault="00013F20">
          <w:pPr>
            <w:pStyle w:val="TOC3"/>
            <w:rPr>
              <w:rFonts w:asciiTheme="minorHAnsi" w:eastAsiaTheme="minorEastAsia" w:hAnsiTheme="minorHAnsi" w:cstheme="minorBidi"/>
              <w:b w:val="0"/>
              <w:noProof/>
              <w:color w:val="auto"/>
              <w:szCs w:val="22"/>
              <w:lang w:eastAsia="en-AU"/>
            </w:rPr>
          </w:pPr>
          <w:hyperlink w:anchor="_Toc144110919" w:history="1">
            <w:r w:rsidR="004C7298" w:rsidRPr="006D24F3">
              <w:rPr>
                <w:rStyle w:val="Hyperlink"/>
                <w:noProof/>
              </w:rPr>
              <w:t>Proposal</w:t>
            </w:r>
            <w:r w:rsidR="004C7298">
              <w:rPr>
                <w:noProof/>
                <w:webHidden/>
              </w:rPr>
              <w:tab/>
            </w:r>
            <w:r w:rsidR="004C7298">
              <w:rPr>
                <w:noProof/>
                <w:webHidden/>
              </w:rPr>
              <w:fldChar w:fldCharType="begin"/>
            </w:r>
            <w:r w:rsidR="004C7298">
              <w:rPr>
                <w:noProof/>
                <w:webHidden/>
              </w:rPr>
              <w:instrText xml:space="preserve"> PAGEREF _Toc144110919 \h </w:instrText>
            </w:r>
            <w:r w:rsidR="004C7298">
              <w:rPr>
                <w:noProof/>
                <w:webHidden/>
              </w:rPr>
            </w:r>
            <w:r w:rsidR="004C7298">
              <w:rPr>
                <w:noProof/>
                <w:webHidden/>
              </w:rPr>
              <w:fldChar w:fldCharType="separate"/>
            </w:r>
            <w:r w:rsidR="004C7298">
              <w:rPr>
                <w:noProof/>
                <w:webHidden/>
              </w:rPr>
              <w:t>37</w:t>
            </w:r>
            <w:r w:rsidR="004C7298">
              <w:rPr>
                <w:noProof/>
                <w:webHidden/>
              </w:rPr>
              <w:fldChar w:fldCharType="end"/>
            </w:r>
          </w:hyperlink>
        </w:p>
        <w:p w14:paraId="2274E68E" w14:textId="3B4B0AE6" w:rsidR="004C7298" w:rsidRDefault="00013F20">
          <w:pPr>
            <w:pStyle w:val="TOC3"/>
            <w:rPr>
              <w:rFonts w:asciiTheme="minorHAnsi" w:eastAsiaTheme="minorEastAsia" w:hAnsiTheme="minorHAnsi" w:cstheme="minorBidi"/>
              <w:b w:val="0"/>
              <w:noProof/>
              <w:color w:val="auto"/>
              <w:szCs w:val="22"/>
              <w:lang w:eastAsia="en-AU"/>
            </w:rPr>
          </w:pPr>
          <w:hyperlink w:anchor="_Toc144110920" w:history="1">
            <w:r w:rsidR="004C7298" w:rsidRPr="006D24F3">
              <w:rPr>
                <w:rStyle w:val="Hyperlink"/>
                <w:noProof/>
              </w:rPr>
              <w:t>CAS Number</w:t>
            </w:r>
            <w:r w:rsidR="004C7298">
              <w:rPr>
                <w:noProof/>
                <w:webHidden/>
              </w:rPr>
              <w:tab/>
            </w:r>
            <w:r w:rsidR="004C7298">
              <w:rPr>
                <w:noProof/>
                <w:webHidden/>
              </w:rPr>
              <w:fldChar w:fldCharType="begin"/>
            </w:r>
            <w:r w:rsidR="004C7298">
              <w:rPr>
                <w:noProof/>
                <w:webHidden/>
              </w:rPr>
              <w:instrText xml:space="preserve"> PAGEREF _Toc144110920 \h </w:instrText>
            </w:r>
            <w:r w:rsidR="004C7298">
              <w:rPr>
                <w:noProof/>
                <w:webHidden/>
              </w:rPr>
            </w:r>
            <w:r w:rsidR="004C7298">
              <w:rPr>
                <w:noProof/>
                <w:webHidden/>
              </w:rPr>
              <w:fldChar w:fldCharType="separate"/>
            </w:r>
            <w:r w:rsidR="004C7298">
              <w:rPr>
                <w:noProof/>
                <w:webHidden/>
              </w:rPr>
              <w:t>37</w:t>
            </w:r>
            <w:r w:rsidR="004C7298">
              <w:rPr>
                <w:noProof/>
                <w:webHidden/>
              </w:rPr>
              <w:fldChar w:fldCharType="end"/>
            </w:r>
          </w:hyperlink>
        </w:p>
        <w:p w14:paraId="79BD9D5D" w14:textId="0E64701B" w:rsidR="004C7298" w:rsidRDefault="00013F20">
          <w:pPr>
            <w:pStyle w:val="TOC3"/>
            <w:rPr>
              <w:rFonts w:asciiTheme="minorHAnsi" w:eastAsiaTheme="minorEastAsia" w:hAnsiTheme="minorHAnsi" w:cstheme="minorBidi"/>
              <w:b w:val="0"/>
              <w:noProof/>
              <w:color w:val="auto"/>
              <w:szCs w:val="22"/>
              <w:lang w:eastAsia="en-AU"/>
            </w:rPr>
          </w:pPr>
          <w:hyperlink w:anchor="_Toc144110921" w:history="1">
            <w:r w:rsidR="004C7298" w:rsidRPr="006D24F3">
              <w:rPr>
                <w:rStyle w:val="Hyperlink"/>
                <w:noProof/>
              </w:rPr>
              <w:t>Alternative names</w:t>
            </w:r>
            <w:r w:rsidR="004C7298">
              <w:rPr>
                <w:noProof/>
                <w:webHidden/>
              </w:rPr>
              <w:tab/>
            </w:r>
            <w:r w:rsidR="004C7298">
              <w:rPr>
                <w:noProof/>
                <w:webHidden/>
              </w:rPr>
              <w:fldChar w:fldCharType="begin"/>
            </w:r>
            <w:r w:rsidR="004C7298">
              <w:rPr>
                <w:noProof/>
                <w:webHidden/>
              </w:rPr>
              <w:instrText xml:space="preserve"> PAGEREF _Toc144110921 \h </w:instrText>
            </w:r>
            <w:r w:rsidR="004C7298">
              <w:rPr>
                <w:noProof/>
                <w:webHidden/>
              </w:rPr>
            </w:r>
            <w:r w:rsidR="004C7298">
              <w:rPr>
                <w:noProof/>
                <w:webHidden/>
              </w:rPr>
              <w:fldChar w:fldCharType="separate"/>
            </w:r>
            <w:r w:rsidR="004C7298">
              <w:rPr>
                <w:noProof/>
                <w:webHidden/>
              </w:rPr>
              <w:t>37</w:t>
            </w:r>
            <w:r w:rsidR="004C7298">
              <w:rPr>
                <w:noProof/>
                <w:webHidden/>
              </w:rPr>
              <w:fldChar w:fldCharType="end"/>
            </w:r>
          </w:hyperlink>
        </w:p>
        <w:p w14:paraId="7A4AF96F" w14:textId="1F6624D5" w:rsidR="004C7298" w:rsidRDefault="00013F20">
          <w:pPr>
            <w:pStyle w:val="TOC3"/>
            <w:rPr>
              <w:rFonts w:asciiTheme="minorHAnsi" w:eastAsiaTheme="minorEastAsia" w:hAnsiTheme="minorHAnsi" w:cstheme="minorBidi"/>
              <w:b w:val="0"/>
              <w:noProof/>
              <w:color w:val="auto"/>
              <w:szCs w:val="22"/>
              <w:lang w:eastAsia="en-AU"/>
            </w:rPr>
          </w:pPr>
          <w:hyperlink w:anchor="_Toc144110922" w:history="1">
            <w:r w:rsidR="004C7298" w:rsidRPr="006D24F3">
              <w:rPr>
                <w:rStyle w:val="Hyperlink"/>
                <w:noProof/>
              </w:rPr>
              <w:t>Applicant</w:t>
            </w:r>
            <w:r w:rsidR="004C7298">
              <w:rPr>
                <w:noProof/>
                <w:webHidden/>
              </w:rPr>
              <w:tab/>
            </w:r>
            <w:r w:rsidR="004C7298">
              <w:rPr>
                <w:noProof/>
                <w:webHidden/>
              </w:rPr>
              <w:fldChar w:fldCharType="begin"/>
            </w:r>
            <w:r w:rsidR="004C7298">
              <w:rPr>
                <w:noProof/>
                <w:webHidden/>
              </w:rPr>
              <w:instrText xml:space="preserve"> PAGEREF _Toc144110922 \h </w:instrText>
            </w:r>
            <w:r w:rsidR="004C7298">
              <w:rPr>
                <w:noProof/>
                <w:webHidden/>
              </w:rPr>
            </w:r>
            <w:r w:rsidR="004C7298">
              <w:rPr>
                <w:noProof/>
                <w:webHidden/>
              </w:rPr>
              <w:fldChar w:fldCharType="separate"/>
            </w:r>
            <w:r w:rsidR="004C7298">
              <w:rPr>
                <w:noProof/>
                <w:webHidden/>
              </w:rPr>
              <w:t>37</w:t>
            </w:r>
            <w:r w:rsidR="004C7298">
              <w:rPr>
                <w:noProof/>
                <w:webHidden/>
              </w:rPr>
              <w:fldChar w:fldCharType="end"/>
            </w:r>
          </w:hyperlink>
        </w:p>
        <w:p w14:paraId="295012E2" w14:textId="7CC1C5C1" w:rsidR="004C7298" w:rsidRDefault="00013F20">
          <w:pPr>
            <w:pStyle w:val="TOC3"/>
            <w:rPr>
              <w:rFonts w:asciiTheme="minorHAnsi" w:eastAsiaTheme="minorEastAsia" w:hAnsiTheme="minorHAnsi" w:cstheme="minorBidi"/>
              <w:b w:val="0"/>
              <w:noProof/>
              <w:color w:val="auto"/>
              <w:szCs w:val="22"/>
              <w:lang w:eastAsia="en-AU"/>
            </w:rPr>
          </w:pPr>
          <w:hyperlink w:anchor="_Toc144110923" w:history="1">
            <w:r w:rsidR="004C7298" w:rsidRPr="006D24F3">
              <w:rPr>
                <w:rStyle w:val="Hyperlink"/>
                <w:noProof/>
              </w:rPr>
              <w:t>Proposed Scheduling</w:t>
            </w:r>
            <w:r w:rsidR="004C7298">
              <w:rPr>
                <w:noProof/>
                <w:webHidden/>
              </w:rPr>
              <w:tab/>
            </w:r>
            <w:r w:rsidR="004C7298">
              <w:rPr>
                <w:noProof/>
                <w:webHidden/>
              </w:rPr>
              <w:fldChar w:fldCharType="begin"/>
            </w:r>
            <w:r w:rsidR="004C7298">
              <w:rPr>
                <w:noProof/>
                <w:webHidden/>
              </w:rPr>
              <w:instrText xml:space="preserve"> PAGEREF _Toc144110923 \h </w:instrText>
            </w:r>
            <w:r w:rsidR="004C7298">
              <w:rPr>
                <w:noProof/>
                <w:webHidden/>
              </w:rPr>
            </w:r>
            <w:r w:rsidR="004C7298">
              <w:rPr>
                <w:noProof/>
                <w:webHidden/>
              </w:rPr>
              <w:fldChar w:fldCharType="separate"/>
            </w:r>
            <w:r w:rsidR="004C7298">
              <w:rPr>
                <w:noProof/>
                <w:webHidden/>
              </w:rPr>
              <w:t>37</w:t>
            </w:r>
            <w:r w:rsidR="004C7298">
              <w:rPr>
                <w:noProof/>
                <w:webHidden/>
              </w:rPr>
              <w:fldChar w:fldCharType="end"/>
            </w:r>
          </w:hyperlink>
        </w:p>
        <w:p w14:paraId="7FF12FCE" w14:textId="7205F51E" w:rsidR="004C7298" w:rsidRDefault="00013F20">
          <w:pPr>
            <w:pStyle w:val="TOC3"/>
            <w:rPr>
              <w:rFonts w:asciiTheme="minorHAnsi" w:eastAsiaTheme="minorEastAsia" w:hAnsiTheme="minorHAnsi" w:cstheme="minorBidi"/>
              <w:b w:val="0"/>
              <w:noProof/>
              <w:color w:val="auto"/>
              <w:szCs w:val="22"/>
              <w:lang w:eastAsia="en-AU"/>
            </w:rPr>
          </w:pPr>
          <w:hyperlink w:anchor="_Toc144110924" w:history="1">
            <w:r w:rsidR="004C7298" w:rsidRPr="006D24F3">
              <w:rPr>
                <w:rStyle w:val="Hyperlink"/>
                <w:noProof/>
              </w:rPr>
              <w:t>Background</w:t>
            </w:r>
            <w:r w:rsidR="004C7298">
              <w:rPr>
                <w:noProof/>
                <w:webHidden/>
              </w:rPr>
              <w:tab/>
            </w:r>
            <w:r w:rsidR="004C7298">
              <w:rPr>
                <w:noProof/>
                <w:webHidden/>
              </w:rPr>
              <w:fldChar w:fldCharType="begin"/>
            </w:r>
            <w:r w:rsidR="004C7298">
              <w:rPr>
                <w:noProof/>
                <w:webHidden/>
              </w:rPr>
              <w:instrText xml:space="preserve"> PAGEREF _Toc144110924 \h </w:instrText>
            </w:r>
            <w:r w:rsidR="004C7298">
              <w:rPr>
                <w:noProof/>
                <w:webHidden/>
              </w:rPr>
            </w:r>
            <w:r w:rsidR="004C7298">
              <w:rPr>
                <w:noProof/>
                <w:webHidden/>
              </w:rPr>
              <w:fldChar w:fldCharType="separate"/>
            </w:r>
            <w:r w:rsidR="004C7298">
              <w:rPr>
                <w:noProof/>
                <w:webHidden/>
              </w:rPr>
              <w:t>38</w:t>
            </w:r>
            <w:r w:rsidR="004C7298">
              <w:rPr>
                <w:noProof/>
                <w:webHidden/>
              </w:rPr>
              <w:fldChar w:fldCharType="end"/>
            </w:r>
          </w:hyperlink>
        </w:p>
        <w:p w14:paraId="62C3EB85" w14:textId="0378974F" w:rsidR="004C7298" w:rsidRDefault="00013F20">
          <w:pPr>
            <w:pStyle w:val="TOC3"/>
            <w:rPr>
              <w:rFonts w:asciiTheme="minorHAnsi" w:eastAsiaTheme="minorEastAsia" w:hAnsiTheme="minorHAnsi" w:cstheme="minorBidi"/>
              <w:b w:val="0"/>
              <w:noProof/>
              <w:color w:val="auto"/>
              <w:szCs w:val="22"/>
              <w:lang w:eastAsia="en-AU"/>
            </w:rPr>
          </w:pPr>
          <w:hyperlink w:anchor="_Toc144110925" w:history="1">
            <w:r w:rsidR="004C7298" w:rsidRPr="006D24F3">
              <w:rPr>
                <w:rStyle w:val="Hyperlink"/>
                <w:noProof/>
              </w:rPr>
              <w:t>Summary of applicant’s reasons for the proposal</w:t>
            </w:r>
            <w:r w:rsidR="004C7298">
              <w:rPr>
                <w:noProof/>
                <w:webHidden/>
              </w:rPr>
              <w:tab/>
            </w:r>
            <w:r w:rsidR="004C7298">
              <w:rPr>
                <w:noProof/>
                <w:webHidden/>
              </w:rPr>
              <w:fldChar w:fldCharType="begin"/>
            </w:r>
            <w:r w:rsidR="004C7298">
              <w:rPr>
                <w:noProof/>
                <w:webHidden/>
              </w:rPr>
              <w:instrText xml:space="preserve"> PAGEREF _Toc144110925 \h </w:instrText>
            </w:r>
            <w:r w:rsidR="004C7298">
              <w:rPr>
                <w:noProof/>
                <w:webHidden/>
              </w:rPr>
            </w:r>
            <w:r w:rsidR="004C7298">
              <w:rPr>
                <w:noProof/>
                <w:webHidden/>
              </w:rPr>
              <w:fldChar w:fldCharType="separate"/>
            </w:r>
            <w:r w:rsidR="004C7298">
              <w:rPr>
                <w:noProof/>
                <w:webHidden/>
              </w:rPr>
              <w:t>38</w:t>
            </w:r>
            <w:r w:rsidR="004C7298">
              <w:rPr>
                <w:noProof/>
                <w:webHidden/>
              </w:rPr>
              <w:fldChar w:fldCharType="end"/>
            </w:r>
          </w:hyperlink>
        </w:p>
        <w:p w14:paraId="112F268F" w14:textId="6766A5F3" w:rsidR="004C7298" w:rsidRDefault="00013F20">
          <w:pPr>
            <w:pStyle w:val="TOC3"/>
            <w:rPr>
              <w:rFonts w:asciiTheme="minorHAnsi" w:eastAsiaTheme="minorEastAsia" w:hAnsiTheme="minorHAnsi" w:cstheme="minorBidi"/>
              <w:b w:val="0"/>
              <w:noProof/>
              <w:color w:val="auto"/>
              <w:szCs w:val="22"/>
              <w:lang w:eastAsia="en-AU"/>
            </w:rPr>
          </w:pPr>
          <w:hyperlink w:anchor="_Toc144110926" w:history="1">
            <w:r w:rsidR="004C7298" w:rsidRPr="006D24F3">
              <w:rPr>
                <w:rStyle w:val="Hyperlink"/>
                <w:noProof/>
              </w:rPr>
              <w:t>Key uses / expected use</w:t>
            </w:r>
            <w:r w:rsidR="004C7298">
              <w:rPr>
                <w:noProof/>
                <w:webHidden/>
              </w:rPr>
              <w:tab/>
            </w:r>
            <w:r w:rsidR="004C7298">
              <w:rPr>
                <w:noProof/>
                <w:webHidden/>
              </w:rPr>
              <w:fldChar w:fldCharType="begin"/>
            </w:r>
            <w:r w:rsidR="004C7298">
              <w:rPr>
                <w:noProof/>
                <w:webHidden/>
              </w:rPr>
              <w:instrText xml:space="preserve"> PAGEREF _Toc144110926 \h </w:instrText>
            </w:r>
            <w:r w:rsidR="004C7298">
              <w:rPr>
                <w:noProof/>
                <w:webHidden/>
              </w:rPr>
            </w:r>
            <w:r w:rsidR="004C7298">
              <w:rPr>
                <w:noProof/>
                <w:webHidden/>
              </w:rPr>
              <w:fldChar w:fldCharType="separate"/>
            </w:r>
            <w:r w:rsidR="004C7298">
              <w:rPr>
                <w:noProof/>
                <w:webHidden/>
              </w:rPr>
              <w:t>38</w:t>
            </w:r>
            <w:r w:rsidR="004C7298">
              <w:rPr>
                <w:noProof/>
                <w:webHidden/>
              </w:rPr>
              <w:fldChar w:fldCharType="end"/>
            </w:r>
          </w:hyperlink>
        </w:p>
        <w:p w14:paraId="58E6FC3D" w14:textId="5D27D136" w:rsidR="004C7298" w:rsidRDefault="00013F20">
          <w:pPr>
            <w:pStyle w:val="TOC3"/>
            <w:rPr>
              <w:rFonts w:asciiTheme="minorHAnsi" w:eastAsiaTheme="minorEastAsia" w:hAnsiTheme="minorHAnsi" w:cstheme="minorBidi"/>
              <w:b w:val="0"/>
              <w:noProof/>
              <w:color w:val="auto"/>
              <w:szCs w:val="22"/>
              <w:lang w:eastAsia="en-AU"/>
            </w:rPr>
          </w:pPr>
          <w:hyperlink w:anchor="_Toc144110927" w:history="1">
            <w:r w:rsidR="004C7298" w:rsidRPr="006D24F3">
              <w:rPr>
                <w:rStyle w:val="Hyperlink"/>
                <w:noProof/>
              </w:rPr>
              <w:t>Australian regulations</w:t>
            </w:r>
            <w:r w:rsidR="004C7298">
              <w:rPr>
                <w:noProof/>
                <w:webHidden/>
              </w:rPr>
              <w:tab/>
            </w:r>
            <w:r w:rsidR="004C7298">
              <w:rPr>
                <w:noProof/>
                <w:webHidden/>
              </w:rPr>
              <w:fldChar w:fldCharType="begin"/>
            </w:r>
            <w:r w:rsidR="004C7298">
              <w:rPr>
                <w:noProof/>
                <w:webHidden/>
              </w:rPr>
              <w:instrText xml:space="preserve"> PAGEREF _Toc144110927 \h </w:instrText>
            </w:r>
            <w:r w:rsidR="004C7298">
              <w:rPr>
                <w:noProof/>
                <w:webHidden/>
              </w:rPr>
            </w:r>
            <w:r w:rsidR="004C7298">
              <w:rPr>
                <w:noProof/>
                <w:webHidden/>
              </w:rPr>
              <w:fldChar w:fldCharType="separate"/>
            </w:r>
            <w:r w:rsidR="004C7298">
              <w:rPr>
                <w:noProof/>
                <w:webHidden/>
              </w:rPr>
              <w:t>38</w:t>
            </w:r>
            <w:r w:rsidR="004C7298">
              <w:rPr>
                <w:noProof/>
                <w:webHidden/>
              </w:rPr>
              <w:fldChar w:fldCharType="end"/>
            </w:r>
          </w:hyperlink>
        </w:p>
        <w:p w14:paraId="30678428" w14:textId="4838BE1A" w:rsidR="004C7298" w:rsidRDefault="00013F20">
          <w:pPr>
            <w:pStyle w:val="TOC3"/>
            <w:rPr>
              <w:rFonts w:asciiTheme="minorHAnsi" w:eastAsiaTheme="minorEastAsia" w:hAnsiTheme="minorHAnsi" w:cstheme="minorBidi"/>
              <w:b w:val="0"/>
              <w:noProof/>
              <w:color w:val="auto"/>
              <w:szCs w:val="22"/>
              <w:lang w:eastAsia="en-AU"/>
            </w:rPr>
          </w:pPr>
          <w:hyperlink w:anchor="_Toc144110928" w:history="1">
            <w:r w:rsidR="004C7298" w:rsidRPr="006D24F3">
              <w:rPr>
                <w:rStyle w:val="Hyperlink"/>
                <w:noProof/>
              </w:rPr>
              <w:t>International regulations</w:t>
            </w:r>
            <w:r w:rsidR="004C7298">
              <w:rPr>
                <w:noProof/>
                <w:webHidden/>
              </w:rPr>
              <w:tab/>
            </w:r>
            <w:r w:rsidR="004C7298">
              <w:rPr>
                <w:noProof/>
                <w:webHidden/>
              </w:rPr>
              <w:fldChar w:fldCharType="begin"/>
            </w:r>
            <w:r w:rsidR="004C7298">
              <w:rPr>
                <w:noProof/>
                <w:webHidden/>
              </w:rPr>
              <w:instrText xml:space="preserve"> PAGEREF _Toc144110928 \h </w:instrText>
            </w:r>
            <w:r w:rsidR="004C7298">
              <w:rPr>
                <w:noProof/>
                <w:webHidden/>
              </w:rPr>
            </w:r>
            <w:r w:rsidR="004C7298">
              <w:rPr>
                <w:noProof/>
                <w:webHidden/>
              </w:rPr>
              <w:fldChar w:fldCharType="separate"/>
            </w:r>
            <w:r w:rsidR="004C7298">
              <w:rPr>
                <w:noProof/>
                <w:webHidden/>
              </w:rPr>
              <w:t>39</w:t>
            </w:r>
            <w:r w:rsidR="004C7298">
              <w:rPr>
                <w:noProof/>
                <w:webHidden/>
              </w:rPr>
              <w:fldChar w:fldCharType="end"/>
            </w:r>
          </w:hyperlink>
        </w:p>
        <w:p w14:paraId="0E45BDC3" w14:textId="1C6A32F2" w:rsidR="004C7298" w:rsidRDefault="00013F20">
          <w:pPr>
            <w:pStyle w:val="TOC2"/>
            <w:tabs>
              <w:tab w:val="left" w:pos="1276"/>
            </w:tabs>
            <w:rPr>
              <w:rFonts w:asciiTheme="minorHAnsi" w:eastAsiaTheme="minorEastAsia" w:hAnsiTheme="minorHAnsi" w:cstheme="minorBidi"/>
              <w:b w:val="0"/>
              <w:noProof/>
              <w:color w:val="auto"/>
              <w:sz w:val="22"/>
              <w:szCs w:val="22"/>
              <w:lang w:eastAsia="en-AU"/>
            </w:rPr>
          </w:pPr>
          <w:hyperlink w:anchor="_Toc144110929" w:history="1">
            <w:r w:rsidR="004C7298" w:rsidRPr="006D24F3">
              <w:rPr>
                <w:rStyle w:val="Hyperlink"/>
                <w:noProof/>
              </w:rPr>
              <w:t>2.3</w:t>
            </w:r>
            <w:r w:rsidR="004C7298">
              <w:rPr>
                <w:rFonts w:asciiTheme="minorHAnsi" w:eastAsiaTheme="minorEastAsia" w:hAnsiTheme="minorHAnsi" w:cstheme="minorBidi"/>
                <w:b w:val="0"/>
                <w:noProof/>
                <w:color w:val="auto"/>
                <w:sz w:val="22"/>
                <w:szCs w:val="22"/>
                <w:lang w:eastAsia="en-AU"/>
              </w:rPr>
              <w:tab/>
            </w:r>
            <w:r w:rsidR="004C7298" w:rsidRPr="006D24F3">
              <w:rPr>
                <w:rStyle w:val="Hyperlink"/>
                <w:noProof/>
              </w:rPr>
              <w:t>Meloxicam</w:t>
            </w:r>
            <w:r w:rsidR="004C7298">
              <w:rPr>
                <w:noProof/>
                <w:webHidden/>
              </w:rPr>
              <w:tab/>
            </w:r>
            <w:r w:rsidR="004C7298">
              <w:rPr>
                <w:noProof/>
                <w:webHidden/>
              </w:rPr>
              <w:fldChar w:fldCharType="begin"/>
            </w:r>
            <w:r w:rsidR="004C7298">
              <w:rPr>
                <w:noProof/>
                <w:webHidden/>
              </w:rPr>
              <w:instrText xml:space="preserve"> PAGEREF _Toc144110929 \h </w:instrText>
            </w:r>
            <w:r w:rsidR="004C7298">
              <w:rPr>
                <w:noProof/>
                <w:webHidden/>
              </w:rPr>
            </w:r>
            <w:r w:rsidR="004C7298">
              <w:rPr>
                <w:noProof/>
                <w:webHidden/>
              </w:rPr>
              <w:fldChar w:fldCharType="separate"/>
            </w:r>
            <w:r w:rsidR="004C7298">
              <w:rPr>
                <w:noProof/>
                <w:webHidden/>
              </w:rPr>
              <w:t>40</w:t>
            </w:r>
            <w:r w:rsidR="004C7298">
              <w:rPr>
                <w:noProof/>
                <w:webHidden/>
              </w:rPr>
              <w:fldChar w:fldCharType="end"/>
            </w:r>
          </w:hyperlink>
        </w:p>
        <w:p w14:paraId="248DA367" w14:textId="360BC119" w:rsidR="004C7298" w:rsidRDefault="00013F20">
          <w:pPr>
            <w:pStyle w:val="TOC3"/>
            <w:rPr>
              <w:rFonts w:asciiTheme="minorHAnsi" w:eastAsiaTheme="minorEastAsia" w:hAnsiTheme="minorHAnsi" w:cstheme="minorBidi"/>
              <w:b w:val="0"/>
              <w:noProof/>
              <w:color w:val="auto"/>
              <w:szCs w:val="22"/>
              <w:lang w:eastAsia="en-AU"/>
            </w:rPr>
          </w:pPr>
          <w:hyperlink w:anchor="_Toc144110930" w:history="1">
            <w:r w:rsidR="004C7298" w:rsidRPr="006D24F3">
              <w:rPr>
                <w:rStyle w:val="Hyperlink"/>
                <w:noProof/>
              </w:rPr>
              <w:t>Proposal</w:t>
            </w:r>
            <w:r w:rsidR="004C7298">
              <w:rPr>
                <w:noProof/>
                <w:webHidden/>
              </w:rPr>
              <w:tab/>
            </w:r>
            <w:r w:rsidR="004C7298">
              <w:rPr>
                <w:noProof/>
                <w:webHidden/>
              </w:rPr>
              <w:fldChar w:fldCharType="begin"/>
            </w:r>
            <w:r w:rsidR="004C7298">
              <w:rPr>
                <w:noProof/>
                <w:webHidden/>
              </w:rPr>
              <w:instrText xml:space="preserve"> PAGEREF _Toc144110930 \h </w:instrText>
            </w:r>
            <w:r w:rsidR="004C7298">
              <w:rPr>
                <w:noProof/>
                <w:webHidden/>
              </w:rPr>
            </w:r>
            <w:r w:rsidR="004C7298">
              <w:rPr>
                <w:noProof/>
                <w:webHidden/>
              </w:rPr>
              <w:fldChar w:fldCharType="separate"/>
            </w:r>
            <w:r w:rsidR="004C7298">
              <w:rPr>
                <w:noProof/>
                <w:webHidden/>
              </w:rPr>
              <w:t>40</w:t>
            </w:r>
            <w:r w:rsidR="004C7298">
              <w:rPr>
                <w:noProof/>
                <w:webHidden/>
              </w:rPr>
              <w:fldChar w:fldCharType="end"/>
            </w:r>
          </w:hyperlink>
        </w:p>
        <w:p w14:paraId="68C27DC8" w14:textId="1C4985A2" w:rsidR="004C7298" w:rsidRDefault="00013F20">
          <w:pPr>
            <w:pStyle w:val="TOC3"/>
            <w:rPr>
              <w:rFonts w:asciiTheme="minorHAnsi" w:eastAsiaTheme="minorEastAsia" w:hAnsiTheme="minorHAnsi" w:cstheme="minorBidi"/>
              <w:b w:val="0"/>
              <w:noProof/>
              <w:color w:val="auto"/>
              <w:szCs w:val="22"/>
              <w:lang w:eastAsia="en-AU"/>
            </w:rPr>
          </w:pPr>
          <w:hyperlink w:anchor="_Toc144110931" w:history="1">
            <w:r w:rsidR="004C7298" w:rsidRPr="006D24F3">
              <w:rPr>
                <w:rStyle w:val="Hyperlink"/>
                <w:noProof/>
              </w:rPr>
              <w:t>CAS Number</w:t>
            </w:r>
            <w:r w:rsidR="004C7298">
              <w:rPr>
                <w:noProof/>
                <w:webHidden/>
              </w:rPr>
              <w:tab/>
            </w:r>
            <w:r w:rsidR="004C7298">
              <w:rPr>
                <w:noProof/>
                <w:webHidden/>
              </w:rPr>
              <w:fldChar w:fldCharType="begin"/>
            </w:r>
            <w:r w:rsidR="004C7298">
              <w:rPr>
                <w:noProof/>
                <w:webHidden/>
              </w:rPr>
              <w:instrText xml:space="preserve"> PAGEREF _Toc144110931 \h </w:instrText>
            </w:r>
            <w:r w:rsidR="004C7298">
              <w:rPr>
                <w:noProof/>
                <w:webHidden/>
              </w:rPr>
            </w:r>
            <w:r w:rsidR="004C7298">
              <w:rPr>
                <w:noProof/>
                <w:webHidden/>
              </w:rPr>
              <w:fldChar w:fldCharType="separate"/>
            </w:r>
            <w:r w:rsidR="004C7298">
              <w:rPr>
                <w:noProof/>
                <w:webHidden/>
              </w:rPr>
              <w:t>40</w:t>
            </w:r>
            <w:r w:rsidR="004C7298">
              <w:rPr>
                <w:noProof/>
                <w:webHidden/>
              </w:rPr>
              <w:fldChar w:fldCharType="end"/>
            </w:r>
          </w:hyperlink>
        </w:p>
        <w:p w14:paraId="086059EB" w14:textId="0EFFDB06" w:rsidR="004C7298" w:rsidRDefault="00013F20">
          <w:pPr>
            <w:pStyle w:val="TOC3"/>
            <w:rPr>
              <w:rFonts w:asciiTheme="minorHAnsi" w:eastAsiaTheme="minorEastAsia" w:hAnsiTheme="minorHAnsi" w:cstheme="minorBidi"/>
              <w:b w:val="0"/>
              <w:noProof/>
              <w:color w:val="auto"/>
              <w:szCs w:val="22"/>
              <w:lang w:eastAsia="en-AU"/>
            </w:rPr>
          </w:pPr>
          <w:hyperlink w:anchor="_Toc144110932" w:history="1">
            <w:r w:rsidR="004C7298" w:rsidRPr="006D24F3">
              <w:rPr>
                <w:rStyle w:val="Hyperlink"/>
                <w:noProof/>
              </w:rPr>
              <w:t>Applicant</w:t>
            </w:r>
            <w:r w:rsidR="004C7298">
              <w:rPr>
                <w:noProof/>
                <w:webHidden/>
              </w:rPr>
              <w:tab/>
            </w:r>
            <w:r w:rsidR="004C7298">
              <w:rPr>
                <w:noProof/>
                <w:webHidden/>
              </w:rPr>
              <w:fldChar w:fldCharType="begin"/>
            </w:r>
            <w:r w:rsidR="004C7298">
              <w:rPr>
                <w:noProof/>
                <w:webHidden/>
              </w:rPr>
              <w:instrText xml:space="preserve"> PAGEREF _Toc144110932 \h </w:instrText>
            </w:r>
            <w:r w:rsidR="004C7298">
              <w:rPr>
                <w:noProof/>
                <w:webHidden/>
              </w:rPr>
            </w:r>
            <w:r w:rsidR="004C7298">
              <w:rPr>
                <w:noProof/>
                <w:webHidden/>
              </w:rPr>
              <w:fldChar w:fldCharType="separate"/>
            </w:r>
            <w:r w:rsidR="004C7298">
              <w:rPr>
                <w:noProof/>
                <w:webHidden/>
              </w:rPr>
              <w:t>40</w:t>
            </w:r>
            <w:r w:rsidR="004C7298">
              <w:rPr>
                <w:noProof/>
                <w:webHidden/>
              </w:rPr>
              <w:fldChar w:fldCharType="end"/>
            </w:r>
          </w:hyperlink>
        </w:p>
        <w:p w14:paraId="7366544D" w14:textId="5C7855AD" w:rsidR="004C7298" w:rsidRDefault="00013F20">
          <w:pPr>
            <w:pStyle w:val="TOC3"/>
            <w:rPr>
              <w:rFonts w:asciiTheme="minorHAnsi" w:eastAsiaTheme="minorEastAsia" w:hAnsiTheme="minorHAnsi" w:cstheme="minorBidi"/>
              <w:b w:val="0"/>
              <w:noProof/>
              <w:color w:val="auto"/>
              <w:szCs w:val="22"/>
              <w:lang w:eastAsia="en-AU"/>
            </w:rPr>
          </w:pPr>
          <w:hyperlink w:anchor="_Toc144110933" w:history="1">
            <w:r w:rsidR="004C7298" w:rsidRPr="006D24F3">
              <w:rPr>
                <w:rStyle w:val="Hyperlink"/>
                <w:noProof/>
              </w:rPr>
              <w:t>Proposed Scheduling</w:t>
            </w:r>
            <w:r w:rsidR="004C7298">
              <w:rPr>
                <w:noProof/>
                <w:webHidden/>
              </w:rPr>
              <w:tab/>
            </w:r>
            <w:r w:rsidR="004C7298">
              <w:rPr>
                <w:noProof/>
                <w:webHidden/>
              </w:rPr>
              <w:fldChar w:fldCharType="begin"/>
            </w:r>
            <w:r w:rsidR="004C7298">
              <w:rPr>
                <w:noProof/>
                <w:webHidden/>
              </w:rPr>
              <w:instrText xml:space="preserve"> PAGEREF _Toc144110933 \h </w:instrText>
            </w:r>
            <w:r w:rsidR="004C7298">
              <w:rPr>
                <w:noProof/>
                <w:webHidden/>
              </w:rPr>
            </w:r>
            <w:r w:rsidR="004C7298">
              <w:rPr>
                <w:noProof/>
                <w:webHidden/>
              </w:rPr>
              <w:fldChar w:fldCharType="separate"/>
            </w:r>
            <w:r w:rsidR="004C7298">
              <w:rPr>
                <w:noProof/>
                <w:webHidden/>
              </w:rPr>
              <w:t>40</w:t>
            </w:r>
            <w:r w:rsidR="004C7298">
              <w:rPr>
                <w:noProof/>
                <w:webHidden/>
              </w:rPr>
              <w:fldChar w:fldCharType="end"/>
            </w:r>
          </w:hyperlink>
        </w:p>
        <w:p w14:paraId="37BCF633" w14:textId="32FF697B" w:rsidR="004C7298" w:rsidRDefault="00013F20">
          <w:pPr>
            <w:pStyle w:val="TOC3"/>
            <w:rPr>
              <w:rFonts w:asciiTheme="minorHAnsi" w:eastAsiaTheme="minorEastAsia" w:hAnsiTheme="minorHAnsi" w:cstheme="minorBidi"/>
              <w:b w:val="0"/>
              <w:noProof/>
              <w:color w:val="auto"/>
              <w:szCs w:val="22"/>
              <w:lang w:eastAsia="en-AU"/>
            </w:rPr>
          </w:pPr>
          <w:hyperlink w:anchor="_Toc144110934" w:history="1">
            <w:r w:rsidR="004C7298" w:rsidRPr="006D24F3">
              <w:rPr>
                <w:rStyle w:val="Hyperlink"/>
                <w:noProof/>
              </w:rPr>
              <w:t>Background</w:t>
            </w:r>
            <w:r w:rsidR="004C7298">
              <w:rPr>
                <w:noProof/>
                <w:webHidden/>
              </w:rPr>
              <w:tab/>
            </w:r>
            <w:r w:rsidR="004C7298">
              <w:rPr>
                <w:noProof/>
                <w:webHidden/>
              </w:rPr>
              <w:fldChar w:fldCharType="begin"/>
            </w:r>
            <w:r w:rsidR="004C7298">
              <w:rPr>
                <w:noProof/>
                <w:webHidden/>
              </w:rPr>
              <w:instrText xml:space="preserve"> PAGEREF _Toc144110934 \h </w:instrText>
            </w:r>
            <w:r w:rsidR="004C7298">
              <w:rPr>
                <w:noProof/>
                <w:webHidden/>
              </w:rPr>
            </w:r>
            <w:r w:rsidR="004C7298">
              <w:rPr>
                <w:noProof/>
                <w:webHidden/>
              </w:rPr>
              <w:fldChar w:fldCharType="separate"/>
            </w:r>
            <w:r w:rsidR="004C7298">
              <w:rPr>
                <w:noProof/>
                <w:webHidden/>
              </w:rPr>
              <w:t>41</w:t>
            </w:r>
            <w:r w:rsidR="004C7298">
              <w:rPr>
                <w:noProof/>
                <w:webHidden/>
              </w:rPr>
              <w:fldChar w:fldCharType="end"/>
            </w:r>
          </w:hyperlink>
        </w:p>
        <w:p w14:paraId="673DCF7A" w14:textId="72A5550F" w:rsidR="004C7298" w:rsidRDefault="00013F20">
          <w:pPr>
            <w:pStyle w:val="TOC3"/>
            <w:rPr>
              <w:rFonts w:asciiTheme="minorHAnsi" w:eastAsiaTheme="minorEastAsia" w:hAnsiTheme="minorHAnsi" w:cstheme="minorBidi"/>
              <w:b w:val="0"/>
              <w:noProof/>
              <w:color w:val="auto"/>
              <w:szCs w:val="22"/>
              <w:lang w:eastAsia="en-AU"/>
            </w:rPr>
          </w:pPr>
          <w:hyperlink w:anchor="_Toc144110935" w:history="1">
            <w:r w:rsidR="004C7298" w:rsidRPr="006D24F3">
              <w:rPr>
                <w:rStyle w:val="Hyperlink"/>
                <w:noProof/>
              </w:rPr>
              <w:t>Summary of applicant’s reasons for the proposal</w:t>
            </w:r>
            <w:r w:rsidR="004C7298">
              <w:rPr>
                <w:noProof/>
                <w:webHidden/>
              </w:rPr>
              <w:tab/>
            </w:r>
            <w:r w:rsidR="004C7298">
              <w:rPr>
                <w:noProof/>
                <w:webHidden/>
              </w:rPr>
              <w:fldChar w:fldCharType="begin"/>
            </w:r>
            <w:r w:rsidR="004C7298">
              <w:rPr>
                <w:noProof/>
                <w:webHidden/>
              </w:rPr>
              <w:instrText xml:space="preserve"> PAGEREF _Toc144110935 \h </w:instrText>
            </w:r>
            <w:r w:rsidR="004C7298">
              <w:rPr>
                <w:noProof/>
                <w:webHidden/>
              </w:rPr>
            </w:r>
            <w:r w:rsidR="004C7298">
              <w:rPr>
                <w:noProof/>
                <w:webHidden/>
              </w:rPr>
              <w:fldChar w:fldCharType="separate"/>
            </w:r>
            <w:r w:rsidR="004C7298">
              <w:rPr>
                <w:noProof/>
                <w:webHidden/>
              </w:rPr>
              <w:t>41</w:t>
            </w:r>
            <w:r w:rsidR="004C7298">
              <w:rPr>
                <w:noProof/>
                <w:webHidden/>
              </w:rPr>
              <w:fldChar w:fldCharType="end"/>
            </w:r>
          </w:hyperlink>
        </w:p>
        <w:p w14:paraId="494D6A10" w14:textId="78A219BB" w:rsidR="004C7298" w:rsidRDefault="00013F20">
          <w:pPr>
            <w:pStyle w:val="TOC3"/>
            <w:rPr>
              <w:rFonts w:asciiTheme="minorHAnsi" w:eastAsiaTheme="minorEastAsia" w:hAnsiTheme="minorHAnsi" w:cstheme="minorBidi"/>
              <w:b w:val="0"/>
              <w:noProof/>
              <w:color w:val="auto"/>
              <w:szCs w:val="22"/>
              <w:lang w:eastAsia="en-AU"/>
            </w:rPr>
          </w:pPr>
          <w:hyperlink w:anchor="_Toc144110936" w:history="1">
            <w:r w:rsidR="004C7298" w:rsidRPr="006D24F3">
              <w:rPr>
                <w:rStyle w:val="Hyperlink"/>
                <w:noProof/>
              </w:rPr>
              <w:t>Key uses / expected use</w:t>
            </w:r>
            <w:r w:rsidR="004C7298">
              <w:rPr>
                <w:noProof/>
                <w:webHidden/>
              </w:rPr>
              <w:tab/>
            </w:r>
            <w:r w:rsidR="004C7298">
              <w:rPr>
                <w:noProof/>
                <w:webHidden/>
              </w:rPr>
              <w:fldChar w:fldCharType="begin"/>
            </w:r>
            <w:r w:rsidR="004C7298">
              <w:rPr>
                <w:noProof/>
                <w:webHidden/>
              </w:rPr>
              <w:instrText xml:space="preserve"> PAGEREF _Toc144110936 \h </w:instrText>
            </w:r>
            <w:r w:rsidR="004C7298">
              <w:rPr>
                <w:noProof/>
                <w:webHidden/>
              </w:rPr>
            </w:r>
            <w:r w:rsidR="004C7298">
              <w:rPr>
                <w:noProof/>
                <w:webHidden/>
              </w:rPr>
              <w:fldChar w:fldCharType="separate"/>
            </w:r>
            <w:r w:rsidR="004C7298">
              <w:rPr>
                <w:noProof/>
                <w:webHidden/>
              </w:rPr>
              <w:t>41</w:t>
            </w:r>
            <w:r w:rsidR="004C7298">
              <w:rPr>
                <w:noProof/>
                <w:webHidden/>
              </w:rPr>
              <w:fldChar w:fldCharType="end"/>
            </w:r>
          </w:hyperlink>
        </w:p>
        <w:p w14:paraId="39EAD37C" w14:textId="083FFFA7" w:rsidR="004C7298" w:rsidRDefault="00013F20">
          <w:pPr>
            <w:pStyle w:val="TOC3"/>
            <w:rPr>
              <w:rFonts w:asciiTheme="minorHAnsi" w:eastAsiaTheme="minorEastAsia" w:hAnsiTheme="minorHAnsi" w:cstheme="minorBidi"/>
              <w:b w:val="0"/>
              <w:noProof/>
              <w:color w:val="auto"/>
              <w:szCs w:val="22"/>
              <w:lang w:eastAsia="en-AU"/>
            </w:rPr>
          </w:pPr>
          <w:hyperlink w:anchor="_Toc144110937" w:history="1">
            <w:r w:rsidR="004C7298" w:rsidRPr="006D24F3">
              <w:rPr>
                <w:rStyle w:val="Hyperlink"/>
                <w:noProof/>
              </w:rPr>
              <w:t>Australian regulations</w:t>
            </w:r>
            <w:r w:rsidR="004C7298">
              <w:rPr>
                <w:noProof/>
                <w:webHidden/>
              </w:rPr>
              <w:tab/>
            </w:r>
            <w:r w:rsidR="004C7298">
              <w:rPr>
                <w:noProof/>
                <w:webHidden/>
              </w:rPr>
              <w:fldChar w:fldCharType="begin"/>
            </w:r>
            <w:r w:rsidR="004C7298">
              <w:rPr>
                <w:noProof/>
                <w:webHidden/>
              </w:rPr>
              <w:instrText xml:space="preserve"> PAGEREF _Toc144110937 \h </w:instrText>
            </w:r>
            <w:r w:rsidR="004C7298">
              <w:rPr>
                <w:noProof/>
                <w:webHidden/>
              </w:rPr>
            </w:r>
            <w:r w:rsidR="004C7298">
              <w:rPr>
                <w:noProof/>
                <w:webHidden/>
              </w:rPr>
              <w:fldChar w:fldCharType="separate"/>
            </w:r>
            <w:r w:rsidR="004C7298">
              <w:rPr>
                <w:noProof/>
                <w:webHidden/>
              </w:rPr>
              <w:t>41</w:t>
            </w:r>
            <w:r w:rsidR="004C7298">
              <w:rPr>
                <w:noProof/>
                <w:webHidden/>
              </w:rPr>
              <w:fldChar w:fldCharType="end"/>
            </w:r>
          </w:hyperlink>
        </w:p>
        <w:p w14:paraId="00C01690" w14:textId="1A3AF572" w:rsidR="004C7298" w:rsidRDefault="00013F20">
          <w:pPr>
            <w:pStyle w:val="TOC3"/>
            <w:rPr>
              <w:rFonts w:asciiTheme="minorHAnsi" w:eastAsiaTheme="minorEastAsia" w:hAnsiTheme="minorHAnsi" w:cstheme="minorBidi"/>
              <w:b w:val="0"/>
              <w:noProof/>
              <w:color w:val="auto"/>
              <w:szCs w:val="22"/>
              <w:lang w:eastAsia="en-AU"/>
            </w:rPr>
          </w:pPr>
          <w:hyperlink w:anchor="_Toc144110938" w:history="1">
            <w:r w:rsidR="004C7298" w:rsidRPr="006D24F3">
              <w:rPr>
                <w:rStyle w:val="Hyperlink"/>
                <w:noProof/>
              </w:rPr>
              <w:t>International regulations</w:t>
            </w:r>
            <w:r w:rsidR="004C7298">
              <w:rPr>
                <w:noProof/>
                <w:webHidden/>
              </w:rPr>
              <w:tab/>
            </w:r>
            <w:r w:rsidR="004C7298">
              <w:rPr>
                <w:noProof/>
                <w:webHidden/>
              </w:rPr>
              <w:fldChar w:fldCharType="begin"/>
            </w:r>
            <w:r w:rsidR="004C7298">
              <w:rPr>
                <w:noProof/>
                <w:webHidden/>
              </w:rPr>
              <w:instrText xml:space="preserve"> PAGEREF _Toc144110938 \h </w:instrText>
            </w:r>
            <w:r w:rsidR="004C7298">
              <w:rPr>
                <w:noProof/>
                <w:webHidden/>
              </w:rPr>
            </w:r>
            <w:r w:rsidR="004C7298">
              <w:rPr>
                <w:noProof/>
                <w:webHidden/>
              </w:rPr>
              <w:fldChar w:fldCharType="separate"/>
            </w:r>
            <w:r w:rsidR="004C7298">
              <w:rPr>
                <w:noProof/>
                <w:webHidden/>
              </w:rPr>
              <w:t>42</w:t>
            </w:r>
            <w:r w:rsidR="004C7298">
              <w:rPr>
                <w:noProof/>
                <w:webHidden/>
              </w:rPr>
              <w:fldChar w:fldCharType="end"/>
            </w:r>
          </w:hyperlink>
        </w:p>
        <w:p w14:paraId="642E55F9" w14:textId="7EF3136B" w:rsidR="004C7298" w:rsidRDefault="00013F20">
          <w:pPr>
            <w:pStyle w:val="TOC2"/>
            <w:tabs>
              <w:tab w:val="left" w:pos="1276"/>
            </w:tabs>
            <w:rPr>
              <w:rFonts w:asciiTheme="minorHAnsi" w:eastAsiaTheme="minorEastAsia" w:hAnsiTheme="minorHAnsi" w:cstheme="minorBidi"/>
              <w:b w:val="0"/>
              <w:noProof/>
              <w:color w:val="auto"/>
              <w:sz w:val="22"/>
              <w:szCs w:val="22"/>
              <w:lang w:eastAsia="en-AU"/>
            </w:rPr>
          </w:pPr>
          <w:hyperlink w:anchor="_Toc144110939" w:history="1">
            <w:r w:rsidR="004C7298" w:rsidRPr="006D24F3">
              <w:rPr>
                <w:rStyle w:val="Hyperlink"/>
                <w:noProof/>
              </w:rPr>
              <w:t>2.4</w:t>
            </w:r>
            <w:r w:rsidR="004C7298">
              <w:rPr>
                <w:rFonts w:asciiTheme="minorHAnsi" w:eastAsiaTheme="minorEastAsia" w:hAnsiTheme="minorHAnsi" w:cstheme="minorBidi"/>
                <w:b w:val="0"/>
                <w:noProof/>
                <w:color w:val="auto"/>
                <w:sz w:val="22"/>
                <w:szCs w:val="22"/>
                <w:lang w:eastAsia="en-AU"/>
              </w:rPr>
              <w:tab/>
            </w:r>
            <w:r w:rsidR="004C7298" w:rsidRPr="006D24F3">
              <w:rPr>
                <w:rStyle w:val="Hyperlink"/>
                <w:noProof/>
              </w:rPr>
              <w:t>Palmitoylethanolamide (PEA)</w:t>
            </w:r>
            <w:r w:rsidR="004C7298">
              <w:rPr>
                <w:noProof/>
                <w:webHidden/>
              </w:rPr>
              <w:tab/>
            </w:r>
            <w:r w:rsidR="004C7298">
              <w:rPr>
                <w:noProof/>
                <w:webHidden/>
              </w:rPr>
              <w:fldChar w:fldCharType="begin"/>
            </w:r>
            <w:r w:rsidR="004C7298">
              <w:rPr>
                <w:noProof/>
                <w:webHidden/>
              </w:rPr>
              <w:instrText xml:space="preserve"> PAGEREF _Toc144110939 \h </w:instrText>
            </w:r>
            <w:r w:rsidR="004C7298">
              <w:rPr>
                <w:noProof/>
                <w:webHidden/>
              </w:rPr>
            </w:r>
            <w:r w:rsidR="004C7298">
              <w:rPr>
                <w:noProof/>
                <w:webHidden/>
              </w:rPr>
              <w:fldChar w:fldCharType="separate"/>
            </w:r>
            <w:r w:rsidR="004C7298">
              <w:rPr>
                <w:noProof/>
                <w:webHidden/>
              </w:rPr>
              <w:t>42</w:t>
            </w:r>
            <w:r w:rsidR="004C7298">
              <w:rPr>
                <w:noProof/>
                <w:webHidden/>
              </w:rPr>
              <w:fldChar w:fldCharType="end"/>
            </w:r>
          </w:hyperlink>
        </w:p>
        <w:p w14:paraId="60A50C1F" w14:textId="2A3F1E26" w:rsidR="004C7298" w:rsidRDefault="00013F20">
          <w:pPr>
            <w:pStyle w:val="TOC3"/>
            <w:rPr>
              <w:rFonts w:asciiTheme="minorHAnsi" w:eastAsiaTheme="minorEastAsia" w:hAnsiTheme="minorHAnsi" w:cstheme="minorBidi"/>
              <w:b w:val="0"/>
              <w:noProof/>
              <w:color w:val="auto"/>
              <w:szCs w:val="22"/>
              <w:lang w:eastAsia="en-AU"/>
            </w:rPr>
          </w:pPr>
          <w:hyperlink w:anchor="_Toc144110940" w:history="1">
            <w:r w:rsidR="004C7298" w:rsidRPr="006D24F3">
              <w:rPr>
                <w:rStyle w:val="Hyperlink"/>
                <w:noProof/>
              </w:rPr>
              <w:t>Proposal</w:t>
            </w:r>
            <w:r w:rsidR="004C7298">
              <w:rPr>
                <w:noProof/>
                <w:webHidden/>
              </w:rPr>
              <w:tab/>
            </w:r>
            <w:r w:rsidR="004C7298">
              <w:rPr>
                <w:noProof/>
                <w:webHidden/>
              </w:rPr>
              <w:fldChar w:fldCharType="begin"/>
            </w:r>
            <w:r w:rsidR="004C7298">
              <w:rPr>
                <w:noProof/>
                <w:webHidden/>
              </w:rPr>
              <w:instrText xml:space="preserve"> PAGEREF _Toc144110940 \h </w:instrText>
            </w:r>
            <w:r w:rsidR="004C7298">
              <w:rPr>
                <w:noProof/>
                <w:webHidden/>
              </w:rPr>
            </w:r>
            <w:r w:rsidR="004C7298">
              <w:rPr>
                <w:noProof/>
                <w:webHidden/>
              </w:rPr>
              <w:fldChar w:fldCharType="separate"/>
            </w:r>
            <w:r w:rsidR="004C7298">
              <w:rPr>
                <w:noProof/>
                <w:webHidden/>
              </w:rPr>
              <w:t>42</w:t>
            </w:r>
            <w:r w:rsidR="004C7298">
              <w:rPr>
                <w:noProof/>
                <w:webHidden/>
              </w:rPr>
              <w:fldChar w:fldCharType="end"/>
            </w:r>
          </w:hyperlink>
        </w:p>
        <w:p w14:paraId="36CEDE53" w14:textId="7732AD71" w:rsidR="004C7298" w:rsidRDefault="00013F20">
          <w:pPr>
            <w:pStyle w:val="TOC3"/>
            <w:rPr>
              <w:rFonts w:asciiTheme="minorHAnsi" w:eastAsiaTheme="minorEastAsia" w:hAnsiTheme="minorHAnsi" w:cstheme="minorBidi"/>
              <w:b w:val="0"/>
              <w:noProof/>
              <w:color w:val="auto"/>
              <w:szCs w:val="22"/>
              <w:lang w:eastAsia="en-AU"/>
            </w:rPr>
          </w:pPr>
          <w:hyperlink w:anchor="_Toc144110941" w:history="1">
            <w:r w:rsidR="004C7298" w:rsidRPr="006D24F3">
              <w:rPr>
                <w:rStyle w:val="Hyperlink"/>
                <w:noProof/>
              </w:rPr>
              <w:t>CAS Number</w:t>
            </w:r>
            <w:r w:rsidR="004C7298">
              <w:rPr>
                <w:noProof/>
                <w:webHidden/>
              </w:rPr>
              <w:tab/>
            </w:r>
            <w:r w:rsidR="004C7298">
              <w:rPr>
                <w:noProof/>
                <w:webHidden/>
              </w:rPr>
              <w:fldChar w:fldCharType="begin"/>
            </w:r>
            <w:r w:rsidR="004C7298">
              <w:rPr>
                <w:noProof/>
                <w:webHidden/>
              </w:rPr>
              <w:instrText xml:space="preserve"> PAGEREF _Toc144110941 \h </w:instrText>
            </w:r>
            <w:r w:rsidR="004C7298">
              <w:rPr>
                <w:noProof/>
                <w:webHidden/>
              </w:rPr>
            </w:r>
            <w:r w:rsidR="004C7298">
              <w:rPr>
                <w:noProof/>
                <w:webHidden/>
              </w:rPr>
              <w:fldChar w:fldCharType="separate"/>
            </w:r>
            <w:r w:rsidR="004C7298">
              <w:rPr>
                <w:noProof/>
                <w:webHidden/>
              </w:rPr>
              <w:t>43</w:t>
            </w:r>
            <w:r w:rsidR="004C7298">
              <w:rPr>
                <w:noProof/>
                <w:webHidden/>
              </w:rPr>
              <w:fldChar w:fldCharType="end"/>
            </w:r>
          </w:hyperlink>
        </w:p>
        <w:p w14:paraId="3933E08F" w14:textId="712728D4" w:rsidR="004C7298" w:rsidRDefault="00013F20">
          <w:pPr>
            <w:pStyle w:val="TOC3"/>
            <w:rPr>
              <w:rFonts w:asciiTheme="minorHAnsi" w:eastAsiaTheme="minorEastAsia" w:hAnsiTheme="minorHAnsi" w:cstheme="minorBidi"/>
              <w:b w:val="0"/>
              <w:noProof/>
              <w:color w:val="auto"/>
              <w:szCs w:val="22"/>
              <w:lang w:eastAsia="en-AU"/>
            </w:rPr>
          </w:pPr>
          <w:hyperlink w:anchor="_Toc144110942" w:history="1">
            <w:r w:rsidR="004C7298" w:rsidRPr="006D24F3">
              <w:rPr>
                <w:rStyle w:val="Hyperlink"/>
                <w:noProof/>
              </w:rPr>
              <w:t>Alternative names</w:t>
            </w:r>
            <w:r w:rsidR="004C7298">
              <w:rPr>
                <w:noProof/>
                <w:webHidden/>
              </w:rPr>
              <w:tab/>
            </w:r>
            <w:r w:rsidR="004C7298">
              <w:rPr>
                <w:noProof/>
                <w:webHidden/>
              </w:rPr>
              <w:fldChar w:fldCharType="begin"/>
            </w:r>
            <w:r w:rsidR="004C7298">
              <w:rPr>
                <w:noProof/>
                <w:webHidden/>
              </w:rPr>
              <w:instrText xml:space="preserve"> PAGEREF _Toc144110942 \h </w:instrText>
            </w:r>
            <w:r w:rsidR="004C7298">
              <w:rPr>
                <w:noProof/>
                <w:webHidden/>
              </w:rPr>
            </w:r>
            <w:r w:rsidR="004C7298">
              <w:rPr>
                <w:noProof/>
                <w:webHidden/>
              </w:rPr>
              <w:fldChar w:fldCharType="separate"/>
            </w:r>
            <w:r w:rsidR="004C7298">
              <w:rPr>
                <w:noProof/>
                <w:webHidden/>
              </w:rPr>
              <w:t>43</w:t>
            </w:r>
            <w:r w:rsidR="004C7298">
              <w:rPr>
                <w:noProof/>
                <w:webHidden/>
              </w:rPr>
              <w:fldChar w:fldCharType="end"/>
            </w:r>
          </w:hyperlink>
        </w:p>
        <w:p w14:paraId="163A8F97" w14:textId="47C6A6F4" w:rsidR="004C7298" w:rsidRDefault="00013F20">
          <w:pPr>
            <w:pStyle w:val="TOC3"/>
            <w:rPr>
              <w:rFonts w:asciiTheme="minorHAnsi" w:eastAsiaTheme="minorEastAsia" w:hAnsiTheme="minorHAnsi" w:cstheme="minorBidi"/>
              <w:b w:val="0"/>
              <w:noProof/>
              <w:color w:val="auto"/>
              <w:szCs w:val="22"/>
              <w:lang w:eastAsia="en-AU"/>
            </w:rPr>
          </w:pPr>
          <w:hyperlink w:anchor="_Toc144110943" w:history="1">
            <w:r w:rsidR="004C7298" w:rsidRPr="006D24F3">
              <w:rPr>
                <w:rStyle w:val="Hyperlink"/>
                <w:noProof/>
              </w:rPr>
              <w:t>Applicant</w:t>
            </w:r>
            <w:r w:rsidR="004C7298">
              <w:rPr>
                <w:noProof/>
                <w:webHidden/>
              </w:rPr>
              <w:tab/>
            </w:r>
            <w:r w:rsidR="004C7298">
              <w:rPr>
                <w:noProof/>
                <w:webHidden/>
              </w:rPr>
              <w:fldChar w:fldCharType="begin"/>
            </w:r>
            <w:r w:rsidR="004C7298">
              <w:rPr>
                <w:noProof/>
                <w:webHidden/>
              </w:rPr>
              <w:instrText xml:space="preserve"> PAGEREF _Toc144110943 \h </w:instrText>
            </w:r>
            <w:r w:rsidR="004C7298">
              <w:rPr>
                <w:noProof/>
                <w:webHidden/>
              </w:rPr>
            </w:r>
            <w:r w:rsidR="004C7298">
              <w:rPr>
                <w:noProof/>
                <w:webHidden/>
              </w:rPr>
              <w:fldChar w:fldCharType="separate"/>
            </w:r>
            <w:r w:rsidR="004C7298">
              <w:rPr>
                <w:noProof/>
                <w:webHidden/>
              </w:rPr>
              <w:t>43</w:t>
            </w:r>
            <w:r w:rsidR="004C7298">
              <w:rPr>
                <w:noProof/>
                <w:webHidden/>
              </w:rPr>
              <w:fldChar w:fldCharType="end"/>
            </w:r>
          </w:hyperlink>
        </w:p>
        <w:p w14:paraId="5FA34BD3" w14:textId="5D37F5A8" w:rsidR="004C7298" w:rsidRDefault="00013F20">
          <w:pPr>
            <w:pStyle w:val="TOC3"/>
            <w:rPr>
              <w:rFonts w:asciiTheme="minorHAnsi" w:eastAsiaTheme="minorEastAsia" w:hAnsiTheme="minorHAnsi" w:cstheme="minorBidi"/>
              <w:b w:val="0"/>
              <w:noProof/>
              <w:color w:val="auto"/>
              <w:szCs w:val="22"/>
              <w:lang w:eastAsia="en-AU"/>
            </w:rPr>
          </w:pPr>
          <w:hyperlink w:anchor="_Toc144110944" w:history="1">
            <w:r w:rsidR="004C7298" w:rsidRPr="006D24F3">
              <w:rPr>
                <w:rStyle w:val="Hyperlink"/>
                <w:noProof/>
              </w:rPr>
              <w:t>Proposed Scheduling</w:t>
            </w:r>
            <w:r w:rsidR="004C7298">
              <w:rPr>
                <w:noProof/>
                <w:webHidden/>
              </w:rPr>
              <w:tab/>
            </w:r>
            <w:r w:rsidR="004C7298">
              <w:rPr>
                <w:noProof/>
                <w:webHidden/>
              </w:rPr>
              <w:fldChar w:fldCharType="begin"/>
            </w:r>
            <w:r w:rsidR="004C7298">
              <w:rPr>
                <w:noProof/>
                <w:webHidden/>
              </w:rPr>
              <w:instrText xml:space="preserve"> PAGEREF _Toc144110944 \h </w:instrText>
            </w:r>
            <w:r w:rsidR="004C7298">
              <w:rPr>
                <w:noProof/>
                <w:webHidden/>
              </w:rPr>
            </w:r>
            <w:r w:rsidR="004C7298">
              <w:rPr>
                <w:noProof/>
                <w:webHidden/>
              </w:rPr>
              <w:fldChar w:fldCharType="separate"/>
            </w:r>
            <w:r w:rsidR="004C7298">
              <w:rPr>
                <w:noProof/>
                <w:webHidden/>
              </w:rPr>
              <w:t>43</w:t>
            </w:r>
            <w:r w:rsidR="004C7298">
              <w:rPr>
                <w:noProof/>
                <w:webHidden/>
              </w:rPr>
              <w:fldChar w:fldCharType="end"/>
            </w:r>
          </w:hyperlink>
        </w:p>
        <w:p w14:paraId="16A0D1CB" w14:textId="38AF5F07" w:rsidR="004C7298" w:rsidRDefault="00013F20">
          <w:pPr>
            <w:pStyle w:val="TOC3"/>
            <w:rPr>
              <w:rFonts w:asciiTheme="minorHAnsi" w:eastAsiaTheme="minorEastAsia" w:hAnsiTheme="minorHAnsi" w:cstheme="minorBidi"/>
              <w:b w:val="0"/>
              <w:noProof/>
              <w:color w:val="auto"/>
              <w:szCs w:val="22"/>
              <w:lang w:eastAsia="en-AU"/>
            </w:rPr>
          </w:pPr>
          <w:hyperlink w:anchor="_Toc144110945" w:history="1">
            <w:r w:rsidR="004C7298" w:rsidRPr="006D24F3">
              <w:rPr>
                <w:rStyle w:val="Hyperlink"/>
                <w:noProof/>
              </w:rPr>
              <w:t>Background</w:t>
            </w:r>
            <w:r w:rsidR="004C7298">
              <w:rPr>
                <w:noProof/>
                <w:webHidden/>
              </w:rPr>
              <w:tab/>
            </w:r>
            <w:r w:rsidR="004C7298">
              <w:rPr>
                <w:noProof/>
                <w:webHidden/>
              </w:rPr>
              <w:fldChar w:fldCharType="begin"/>
            </w:r>
            <w:r w:rsidR="004C7298">
              <w:rPr>
                <w:noProof/>
                <w:webHidden/>
              </w:rPr>
              <w:instrText xml:space="preserve"> PAGEREF _Toc144110945 \h </w:instrText>
            </w:r>
            <w:r w:rsidR="004C7298">
              <w:rPr>
                <w:noProof/>
                <w:webHidden/>
              </w:rPr>
            </w:r>
            <w:r w:rsidR="004C7298">
              <w:rPr>
                <w:noProof/>
                <w:webHidden/>
              </w:rPr>
              <w:fldChar w:fldCharType="separate"/>
            </w:r>
            <w:r w:rsidR="004C7298">
              <w:rPr>
                <w:noProof/>
                <w:webHidden/>
              </w:rPr>
              <w:t>43</w:t>
            </w:r>
            <w:r w:rsidR="004C7298">
              <w:rPr>
                <w:noProof/>
                <w:webHidden/>
              </w:rPr>
              <w:fldChar w:fldCharType="end"/>
            </w:r>
          </w:hyperlink>
        </w:p>
        <w:p w14:paraId="329D210E" w14:textId="4DE26D00" w:rsidR="004C7298" w:rsidRDefault="00013F20">
          <w:pPr>
            <w:pStyle w:val="TOC3"/>
            <w:rPr>
              <w:rFonts w:asciiTheme="minorHAnsi" w:eastAsiaTheme="minorEastAsia" w:hAnsiTheme="minorHAnsi" w:cstheme="minorBidi"/>
              <w:b w:val="0"/>
              <w:noProof/>
              <w:color w:val="auto"/>
              <w:szCs w:val="22"/>
              <w:lang w:eastAsia="en-AU"/>
            </w:rPr>
          </w:pPr>
          <w:hyperlink w:anchor="_Toc144110946" w:history="1">
            <w:r w:rsidR="004C7298" w:rsidRPr="006D24F3">
              <w:rPr>
                <w:rStyle w:val="Hyperlink"/>
                <w:noProof/>
              </w:rPr>
              <w:t>Summary of applicant’s reasons for the proposal</w:t>
            </w:r>
            <w:r w:rsidR="004C7298">
              <w:rPr>
                <w:noProof/>
                <w:webHidden/>
              </w:rPr>
              <w:tab/>
            </w:r>
            <w:r w:rsidR="004C7298">
              <w:rPr>
                <w:noProof/>
                <w:webHidden/>
              </w:rPr>
              <w:fldChar w:fldCharType="begin"/>
            </w:r>
            <w:r w:rsidR="004C7298">
              <w:rPr>
                <w:noProof/>
                <w:webHidden/>
              </w:rPr>
              <w:instrText xml:space="preserve"> PAGEREF _Toc144110946 \h </w:instrText>
            </w:r>
            <w:r w:rsidR="004C7298">
              <w:rPr>
                <w:noProof/>
                <w:webHidden/>
              </w:rPr>
            </w:r>
            <w:r w:rsidR="004C7298">
              <w:rPr>
                <w:noProof/>
                <w:webHidden/>
              </w:rPr>
              <w:fldChar w:fldCharType="separate"/>
            </w:r>
            <w:r w:rsidR="004C7298">
              <w:rPr>
                <w:noProof/>
                <w:webHidden/>
              </w:rPr>
              <w:t>43</w:t>
            </w:r>
            <w:r w:rsidR="004C7298">
              <w:rPr>
                <w:noProof/>
                <w:webHidden/>
              </w:rPr>
              <w:fldChar w:fldCharType="end"/>
            </w:r>
          </w:hyperlink>
        </w:p>
        <w:p w14:paraId="5109D46D" w14:textId="1D37CE95" w:rsidR="004C7298" w:rsidRDefault="00013F20">
          <w:pPr>
            <w:pStyle w:val="TOC3"/>
            <w:rPr>
              <w:rFonts w:asciiTheme="minorHAnsi" w:eastAsiaTheme="minorEastAsia" w:hAnsiTheme="minorHAnsi" w:cstheme="minorBidi"/>
              <w:b w:val="0"/>
              <w:noProof/>
              <w:color w:val="auto"/>
              <w:szCs w:val="22"/>
              <w:lang w:eastAsia="en-AU"/>
            </w:rPr>
          </w:pPr>
          <w:hyperlink w:anchor="_Toc144110947" w:history="1">
            <w:r w:rsidR="004C7298" w:rsidRPr="006D24F3">
              <w:rPr>
                <w:rStyle w:val="Hyperlink"/>
                <w:noProof/>
              </w:rPr>
              <w:t>Key uses / expected use</w:t>
            </w:r>
            <w:r w:rsidR="004C7298">
              <w:rPr>
                <w:noProof/>
                <w:webHidden/>
              </w:rPr>
              <w:tab/>
            </w:r>
            <w:r w:rsidR="004C7298">
              <w:rPr>
                <w:noProof/>
                <w:webHidden/>
              </w:rPr>
              <w:fldChar w:fldCharType="begin"/>
            </w:r>
            <w:r w:rsidR="004C7298">
              <w:rPr>
                <w:noProof/>
                <w:webHidden/>
              </w:rPr>
              <w:instrText xml:space="preserve"> PAGEREF _Toc144110947 \h </w:instrText>
            </w:r>
            <w:r w:rsidR="004C7298">
              <w:rPr>
                <w:noProof/>
                <w:webHidden/>
              </w:rPr>
            </w:r>
            <w:r w:rsidR="004C7298">
              <w:rPr>
                <w:noProof/>
                <w:webHidden/>
              </w:rPr>
              <w:fldChar w:fldCharType="separate"/>
            </w:r>
            <w:r w:rsidR="004C7298">
              <w:rPr>
                <w:noProof/>
                <w:webHidden/>
              </w:rPr>
              <w:t>43</w:t>
            </w:r>
            <w:r w:rsidR="004C7298">
              <w:rPr>
                <w:noProof/>
                <w:webHidden/>
              </w:rPr>
              <w:fldChar w:fldCharType="end"/>
            </w:r>
          </w:hyperlink>
        </w:p>
        <w:p w14:paraId="0127383C" w14:textId="5C49474D" w:rsidR="004C7298" w:rsidRDefault="00013F20">
          <w:pPr>
            <w:pStyle w:val="TOC3"/>
            <w:rPr>
              <w:rFonts w:asciiTheme="minorHAnsi" w:eastAsiaTheme="minorEastAsia" w:hAnsiTheme="minorHAnsi" w:cstheme="minorBidi"/>
              <w:b w:val="0"/>
              <w:noProof/>
              <w:color w:val="auto"/>
              <w:szCs w:val="22"/>
              <w:lang w:eastAsia="en-AU"/>
            </w:rPr>
          </w:pPr>
          <w:hyperlink w:anchor="_Toc144110948" w:history="1">
            <w:r w:rsidR="004C7298" w:rsidRPr="006D24F3">
              <w:rPr>
                <w:rStyle w:val="Hyperlink"/>
                <w:noProof/>
              </w:rPr>
              <w:t>Australian regulations</w:t>
            </w:r>
            <w:r w:rsidR="004C7298">
              <w:rPr>
                <w:noProof/>
                <w:webHidden/>
              </w:rPr>
              <w:tab/>
            </w:r>
            <w:r w:rsidR="004C7298">
              <w:rPr>
                <w:noProof/>
                <w:webHidden/>
              </w:rPr>
              <w:fldChar w:fldCharType="begin"/>
            </w:r>
            <w:r w:rsidR="004C7298">
              <w:rPr>
                <w:noProof/>
                <w:webHidden/>
              </w:rPr>
              <w:instrText xml:space="preserve"> PAGEREF _Toc144110948 \h </w:instrText>
            </w:r>
            <w:r w:rsidR="004C7298">
              <w:rPr>
                <w:noProof/>
                <w:webHidden/>
              </w:rPr>
            </w:r>
            <w:r w:rsidR="004C7298">
              <w:rPr>
                <w:noProof/>
                <w:webHidden/>
              </w:rPr>
              <w:fldChar w:fldCharType="separate"/>
            </w:r>
            <w:r w:rsidR="004C7298">
              <w:rPr>
                <w:noProof/>
                <w:webHidden/>
              </w:rPr>
              <w:t>43</w:t>
            </w:r>
            <w:r w:rsidR="004C7298">
              <w:rPr>
                <w:noProof/>
                <w:webHidden/>
              </w:rPr>
              <w:fldChar w:fldCharType="end"/>
            </w:r>
          </w:hyperlink>
        </w:p>
        <w:p w14:paraId="58A51915" w14:textId="72932699" w:rsidR="004C7298" w:rsidRDefault="00013F20">
          <w:pPr>
            <w:pStyle w:val="TOC3"/>
            <w:rPr>
              <w:rFonts w:asciiTheme="minorHAnsi" w:eastAsiaTheme="minorEastAsia" w:hAnsiTheme="minorHAnsi" w:cstheme="minorBidi"/>
              <w:b w:val="0"/>
              <w:noProof/>
              <w:color w:val="auto"/>
              <w:szCs w:val="22"/>
              <w:lang w:eastAsia="en-AU"/>
            </w:rPr>
          </w:pPr>
          <w:hyperlink w:anchor="_Toc144110949" w:history="1">
            <w:r w:rsidR="004C7298" w:rsidRPr="006D24F3">
              <w:rPr>
                <w:rStyle w:val="Hyperlink"/>
                <w:noProof/>
              </w:rPr>
              <w:t>International regulations</w:t>
            </w:r>
            <w:r w:rsidR="004C7298">
              <w:rPr>
                <w:noProof/>
                <w:webHidden/>
              </w:rPr>
              <w:tab/>
            </w:r>
            <w:r w:rsidR="004C7298">
              <w:rPr>
                <w:noProof/>
                <w:webHidden/>
              </w:rPr>
              <w:fldChar w:fldCharType="begin"/>
            </w:r>
            <w:r w:rsidR="004C7298">
              <w:rPr>
                <w:noProof/>
                <w:webHidden/>
              </w:rPr>
              <w:instrText xml:space="preserve"> PAGEREF _Toc144110949 \h </w:instrText>
            </w:r>
            <w:r w:rsidR="004C7298">
              <w:rPr>
                <w:noProof/>
                <w:webHidden/>
              </w:rPr>
            </w:r>
            <w:r w:rsidR="004C7298">
              <w:rPr>
                <w:noProof/>
                <w:webHidden/>
              </w:rPr>
              <w:fldChar w:fldCharType="separate"/>
            </w:r>
            <w:r w:rsidR="004C7298">
              <w:rPr>
                <w:noProof/>
                <w:webHidden/>
              </w:rPr>
              <w:t>44</w:t>
            </w:r>
            <w:r w:rsidR="004C7298">
              <w:rPr>
                <w:noProof/>
                <w:webHidden/>
              </w:rPr>
              <w:fldChar w:fldCharType="end"/>
            </w:r>
          </w:hyperlink>
        </w:p>
        <w:p w14:paraId="50C018D0" w14:textId="27EBC4EE" w:rsidR="004C7298" w:rsidRDefault="00013F20">
          <w:pPr>
            <w:pStyle w:val="TOC1"/>
            <w:tabs>
              <w:tab w:val="left" w:pos="425"/>
            </w:tabs>
            <w:rPr>
              <w:rFonts w:asciiTheme="minorHAnsi" w:eastAsiaTheme="minorEastAsia" w:hAnsiTheme="minorHAnsi" w:cstheme="minorBidi"/>
              <w:b w:val="0"/>
              <w:noProof/>
              <w:color w:val="auto"/>
              <w:sz w:val="22"/>
              <w:szCs w:val="22"/>
              <w:lang w:eastAsia="en-AU"/>
            </w:rPr>
          </w:pPr>
          <w:hyperlink w:anchor="_Toc144110950" w:history="1">
            <w:r w:rsidR="004C7298" w:rsidRPr="006D24F3">
              <w:rPr>
                <w:rStyle w:val="Hyperlink"/>
                <w:noProof/>
              </w:rPr>
              <w:t>3</w:t>
            </w:r>
            <w:r w:rsidR="004C7298">
              <w:rPr>
                <w:rFonts w:asciiTheme="minorHAnsi" w:eastAsiaTheme="minorEastAsia" w:hAnsiTheme="minorHAnsi" w:cstheme="minorBidi"/>
                <w:b w:val="0"/>
                <w:noProof/>
                <w:color w:val="auto"/>
                <w:sz w:val="22"/>
                <w:szCs w:val="22"/>
                <w:lang w:eastAsia="en-AU"/>
              </w:rPr>
              <w:tab/>
            </w:r>
            <w:r w:rsidR="004C7298" w:rsidRPr="006D24F3">
              <w:rPr>
                <w:rStyle w:val="Hyperlink"/>
                <w:noProof/>
              </w:rPr>
              <w:t>Proposed amendments referred for scheduling advice to ACCS meeting #37</w:t>
            </w:r>
            <w:r w:rsidR="004C7298">
              <w:rPr>
                <w:noProof/>
                <w:webHidden/>
              </w:rPr>
              <w:tab/>
            </w:r>
            <w:r w:rsidR="004C7298">
              <w:rPr>
                <w:noProof/>
                <w:webHidden/>
              </w:rPr>
              <w:fldChar w:fldCharType="begin"/>
            </w:r>
            <w:r w:rsidR="004C7298">
              <w:rPr>
                <w:noProof/>
                <w:webHidden/>
              </w:rPr>
              <w:instrText xml:space="preserve"> PAGEREF _Toc144110950 \h </w:instrText>
            </w:r>
            <w:r w:rsidR="004C7298">
              <w:rPr>
                <w:noProof/>
                <w:webHidden/>
              </w:rPr>
            </w:r>
            <w:r w:rsidR="004C7298">
              <w:rPr>
                <w:noProof/>
                <w:webHidden/>
              </w:rPr>
              <w:fldChar w:fldCharType="separate"/>
            </w:r>
            <w:r w:rsidR="004C7298">
              <w:rPr>
                <w:noProof/>
                <w:webHidden/>
              </w:rPr>
              <w:t>46</w:t>
            </w:r>
            <w:r w:rsidR="004C7298">
              <w:rPr>
                <w:noProof/>
                <w:webHidden/>
              </w:rPr>
              <w:fldChar w:fldCharType="end"/>
            </w:r>
          </w:hyperlink>
        </w:p>
        <w:p w14:paraId="7484D53A" w14:textId="08A0592D" w:rsidR="004C7298" w:rsidRDefault="00013F20">
          <w:pPr>
            <w:pStyle w:val="TOC2"/>
            <w:tabs>
              <w:tab w:val="left" w:pos="1276"/>
            </w:tabs>
            <w:rPr>
              <w:rFonts w:asciiTheme="minorHAnsi" w:eastAsiaTheme="minorEastAsia" w:hAnsiTheme="minorHAnsi" w:cstheme="minorBidi"/>
              <w:b w:val="0"/>
              <w:noProof/>
              <w:color w:val="auto"/>
              <w:sz w:val="22"/>
              <w:szCs w:val="22"/>
              <w:lang w:eastAsia="en-AU"/>
            </w:rPr>
          </w:pPr>
          <w:hyperlink w:anchor="_Toc144110951" w:history="1">
            <w:r w:rsidR="004C7298" w:rsidRPr="006D24F3">
              <w:rPr>
                <w:rStyle w:val="Hyperlink"/>
                <w:noProof/>
              </w:rPr>
              <w:t>3.1</w:t>
            </w:r>
            <w:r w:rsidR="004C7298">
              <w:rPr>
                <w:rFonts w:asciiTheme="minorHAnsi" w:eastAsiaTheme="minorEastAsia" w:hAnsiTheme="minorHAnsi" w:cstheme="minorBidi"/>
                <w:b w:val="0"/>
                <w:noProof/>
                <w:color w:val="auto"/>
                <w:sz w:val="22"/>
                <w:szCs w:val="22"/>
                <w:lang w:eastAsia="en-AU"/>
              </w:rPr>
              <w:tab/>
            </w:r>
            <w:r w:rsidR="004C7298" w:rsidRPr="006D24F3">
              <w:rPr>
                <w:rStyle w:val="Hyperlink"/>
                <w:noProof/>
              </w:rPr>
              <w:t>Animal Blood Products</w:t>
            </w:r>
            <w:r w:rsidR="004C7298">
              <w:rPr>
                <w:noProof/>
                <w:webHidden/>
              </w:rPr>
              <w:tab/>
            </w:r>
            <w:r w:rsidR="004C7298">
              <w:rPr>
                <w:noProof/>
                <w:webHidden/>
              </w:rPr>
              <w:fldChar w:fldCharType="begin"/>
            </w:r>
            <w:r w:rsidR="004C7298">
              <w:rPr>
                <w:noProof/>
                <w:webHidden/>
              </w:rPr>
              <w:instrText xml:space="preserve"> PAGEREF _Toc144110951 \h </w:instrText>
            </w:r>
            <w:r w:rsidR="004C7298">
              <w:rPr>
                <w:noProof/>
                <w:webHidden/>
              </w:rPr>
            </w:r>
            <w:r w:rsidR="004C7298">
              <w:rPr>
                <w:noProof/>
                <w:webHidden/>
              </w:rPr>
              <w:fldChar w:fldCharType="separate"/>
            </w:r>
            <w:r w:rsidR="004C7298">
              <w:rPr>
                <w:noProof/>
                <w:webHidden/>
              </w:rPr>
              <w:t>46</w:t>
            </w:r>
            <w:r w:rsidR="004C7298">
              <w:rPr>
                <w:noProof/>
                <w:webHidden/>
              </w:rPr>
              <w:fldChar w:fldCharType="end"/>
            </w:r>
          </w:hyperlink>
        </w:p>
        <w:p w14:paraId="26F500F7" w14:textId="12A854BA" w:rsidR="004C7298" w:rsidRDefault="00013F20">
          <w:pPr>
            <w:pStyle w:val="TOC3"/>
            <w:rPr>
              <w:rFonts w:asciiTheme="minorHAnsi" w:eastAsiaTheme="minorEastAsia" w:hAnsiTheme="minorHAnsi" w:cstheme="minorBidi"/>
              <w:b w:val="0"/>
              <w:noProof/>
              <w:color w:val="auto"/>
              <w:szCs w:val="22"/>
              <w:lang w:eastAsia="en-AU"/>
            </w:rPr>
          </w:pPr>
          <w:hyperlink w:anchor="_Toc144110952" w:history="1">
            <w:r w:rsidR="004C7298" w:rsidRPr="006D24F3">
              <w:rPr>
                <w:rStyle w:val="Hyperlink"/>
                <w:noProof/>
              </w:rPr>
              <w:t>Proposal</w:t>
            </w:r>
            <w:r w:rsidR="004C7298">
              <w:rPr>
                <w:noProof/>
                <w:webHidden/>
              </w:rPr>
              <w:tab/>
            </w:r>
            <w:r w:rsidR="004C7298">
              <w:rPr>
                <w:noProof/>
                <w:webHidden/>
              </w:rPr>
              <w:fldChar w:fldCharType="begin"/>
            </w:r>
            <w:r w:rsidR="004C7298">
              <w:rPr>
                <w:noProof/>
                <w:webHidden/>
              </w:rPr>
              <w:instrText xml:space="preserve"> PAGEREF _Toc144110952 \h </w:instrText>
            </w:r>
            <w:r w:rsidR="004C7298">
              <w:rPr>
                <w:noProof/>
                <w:webHidden/>
              </w:rPr>
            </w:r>
            <w:r w:rsidR="004C7298">
              <w:rPr>
                <w:noProof/>
                <w:webHidden/>
              </w:rPr>
              <w:fldChar w:fldCharType="separate"/>
            </w:r>
            <w:r w:rsidR="004C7298">
              <w:rPr>
                <w:noProof/>
                <w:webHidden/>
              </w:rPr>
              <w:t>46</w:t>
            </w:r>
            <w:r w:rsidR="004C7298">
              <w:rPr>
                <w:noProof/>
                <w:webHidden/>
              </w:rPr>
              <w:fldChar w:fldCharType="end"/>
            </w:r>
          </w:hyperlink>
        </w:p>
        <w:p w14:paraId="2032D6FA" w14:textId="36034E1C" w:rsidR="004C7298" w:rsidRDefault="00013F20">
          <w:pPr>
            <w:pStyle w:val="TOC3"/>
            <w:rPr>
              <w:rFonts w:asciiTheme="minorHAnsi" w:eastAsiaTheme="minorEastAsia" w:hAnsiTheme="minorHAnsi" w:cstheme="minorBidi"/>
              <w:b w:val="0"/>
              <w:noProof/>
              <w:color w:val="auto"/>
              <w:szCs w:val="22"/>
              <w:lang w:eastAsia="en-AU"/>
            </w:rPr>
          </w:pPr>
          <w:hyperlink w:anchor="_Toc144110953" w:history="1">
            <w:r w:rsidR="004C7298" w:rsidRPr="006D24F3">
              <w:rPr>
                <w:rStyle w:val="Hyperlink"/>
                <w:noProof/>
              </w:rPr>
              <w:t>Applicant</w:t>
            </w:r>
            <w:r w:rsidR="004C7298">
              <w:rPr>
                <w:noProof/>
                <w:webHidden/>
              </w:rPr>
              <w:tab/>
            </w:r>
            <w:r w:rsidR="004C7298">
              <w:rPr>
                <w:noProof/>
                <w:webHidden/>
              </w:rPr>
              <w:fldChar w:fldCharType="begin"/>
            </w:r>
            <w:r w:rsidR="004C7298">
              <w:rPr>
                <w:noProof/>
                <w:webHidden/>
              </w:rPr>
              <w:instrText xml:space="preserve"> PAGEREF _Toc144110953 \h </w:instrText>
            </w:r>
            <w:r w:rsidR="004C7298">
              <w:rPr>
                <w:noProof/>
                <w:webHidden/>
              </w:rPr>
            </w:r>
            <w:r w:rsidR="004C7298">
              <w:rPr>
                <w:noProof/>
                <w:webHidden/>
              </w:rPr>
              <w:fldChar w:fldCharType="separate"/>
            </w:r>
            <w:r w:rsidR="004C7298">
              <w:rPr>
                <w:noProof/>
                <w:webHidden/>
              </w:rPr>
              <w:t>46</w:t>
            </w:r>
            <w:r w:rsidR="004C7298">
              <w:rPr>
                <w:noProof/>
                <w:webHidden/>
              </w:rPr>
              <w:fldChar w:fldCharType="end"/>
            </w:r>
          </w:hyperlink>
        </w:p>
        <w:p w14:paraId="596E0717" w14:textId="152D9B3C" w:rsidR="004C7298" w:rsidRDefault="00013F20">
          <w:pPr>
            <w:pStyle w:val="TOC3"/>
            <w:rPr>
              <w:rFonts w:asciiTheme="minorHAnsi" w:eastAsiaTheme="minorEastAsia" w:hAnsiTheme="minorHAnsi" w:cstheme="minorBidi"/>
              <w:b w:val="0"/>
              <w:noProof/>
              <w:color w:val="auto"/>
              <w:szCs w:val="22"/>
              <w:lang w:eastAsia="en-AU"/>
            </w:rPr>
          </w:pPr>
          <w:hyperlink w:anchor="_Toc144110954" w:history="1">
            <w:r w:rsidR="004C7298" w:rsidRPr="006D24F3">
              <w:rPr>
                <w:rStyle w:val="Hyperlink"/>
                <w:noProof/>
              </w:rPr>
              <w:t>Proposed Scheduling</w:t>
            </w:r>
            <w:r w:rsidR="004C7298">
              <w:rPr>
                <w:noProof/>
                <w:webHidden/>
              </w:rPr>
              <w:tab/>
            </w:r>
            <w:r w:rsidR="004C7298">
              <w:rPr>
                <w:noProof/>
                <w:webHidden/>
              </w:rPr>
              <w:fldChar w:fldCharType="begin"/>
            </w:r>
            <w:r w:rsidR="004C7298">
              <w:rPr>
                <w:noProof/>
                <w:webHidden/>
              </w:rPr>
              <w:instrText xml:space="preserve"> PAGEREF _Toc144110954 \h </w:instrText>
            </w:r>
            <w:r w:rsidR="004C7298">
              <w:rPr>
                <w:noProof/>
                <w:webHidden/>
              </w:rPr>
            </w:r>
            <w:r w:rsidR="004C7298">
              <w:rPr>
                <w:noProof/>
                <w:webHidden/>
              </w:rPr>
              <w:fldChar w:fldCharType="separate"/>
            </w:r>
            <w:r w:rsidR="004C7298">
              <w:rPr>
                <w:noProof/>
                <w:webHidden/>
              </w:rPr>
              <w:t>46</w:t>
            </w:r>
            <w:r w:rsidR="004C7298">
              <w:rPr>
                <w:noProof/>
                <w:webHidden/>
              </w:rPr>
              <w:fldChar w:fldCharType="end"/>
            </w:r>
          </w:hyperlink>
        </w:p>
        <w:p w14:paraId="6D12E820" w14:textId="2873B7A6" w:rsidR="004C7298" w:rsidRDefault="00013F20">
          <w:pPr>
            <w:pStyle w:val="TOC3"/>
            <w:rPr>
              <w:rFonts w:asciiTheme="minorHAnsi" w:eastAsiaTheme="minorEastAsia" w:hAnsiTheme="minorHAnsi" w:cstheme="minorBidi"/>
              <w:b w:val="0"/>
              <w:noProof/>
              <w:color w:val="auto"/>
              <w:szCs w:val="22"/>
              <w:lang w:eastAsia="en-AU"/>
            </w:rPr>
          </w:pPr>
          <w:hyperlink w:anchor="_Toc144110955" w:history="1">
            <w:r w:rsidR="004C7298" w:rsidRPr="006D24F3">
              <w:rPr>
                <w:rStyle w:val="Hyperlink"/>
                <w:noProof/>
              </w:rPr>
              <w:t>Background</w:t>
            </w:r>
            <w:r w:rsidR="004C7298">
              <w:rPr>
                <w:noProof/>
                <w:webHidden/>
              </w:rPr>
              <w:tab/>
            </w:r>
            <w:r w:rsidR="004C7298">
              <w:rPr>
                <w:noProof/>
                <w:webHidden/>
              </w:rPr>
              <w:fldChar w:fldCharType="begin"/>
            </w:r>
            <w:r w:rsidR="004C7298">
              <w:rPr>
                <w:noProof/>
                <w:webHidden/>
              </w:rPr>
              <w:instrText xml:space="preserve"> PAGEREF _Toc144110955 \h </w:instrText>
            </w:r>
            <w:r w:rsidR="004C7298">
              <w:rPr>
                <w:noProof/>
                <w:webHidden/>
              </w:rPr>
            </w:r>
            <w:r w:rsidR="004C7298">
              <w:rPr>
                <w:noProof/>
                <w:webHidden/>
              </w:rPr>
              <w:fldChar w:fldCharType="separate"/>
            </w:r>
            <w:r w:rsidR="004C7298">
              <w:rPr>
                <w:noProof/>
                <w:webHidden/>
              </w:rPr>
              <w:t>47</w:t>
            </w:r>
            <w:r w:rsidR="004C7298">
              <w:rPr>
                <w:noProof/>
                <w:webHidden/>
              </w:rPr>
              <w:fldChar w:fldCharType="end"/>
            </w:r>
          </w:hyperlink>
        </w:p>
        <w:p w14:paraId="09600D9D" w14:textId="7095D803" w:rsidR="004C7298" w:rsidRDefault="00013F20">
          <w:pPr>
            <w:pStyle w:val="TOC3"/>
            <w:rPr>
              <w:rFonts w:asciiTheme="minorHAnsi" w:eastAsiaTheme="minorEastAsia" w:hAnsiTheme="minorHAnsi" w:cstheme="minorBidi"/>
              <w:b w:val="0"/>
              <w:noProof/>
              <w:color w:val="auto"/>
              <w:szCs w:val="22"/>
              <w:lang w:eastAsia="en-AU"/>
            </w:rPr>
          </w:pPr>
          <w:hyperlink w:anchor="_Toc144110956" w:history="1">
            <w:r w:rsidR="004C7298" w:rsidRPr="006D24F3">
              <w:rPr>
                <w:rStyle w:val="Hyperlink"/>
                <w:noProof/>
              </w:rPr>
              <w:t>Summary of applicant’s reasons for the proposal</w:t>
            </w:r>
            <w:r w:rsidR="004C7298">
              <w:rPr>
                <w:noProof/>
                <w:webHidden/>
              </w:rPr>
              <w:tab/>
            </w:r>
            <w:r w:rsidR="004C7298">
              <w:rPr>
                <w:noProof/>
                <w:webHidden/>
              </w:rPr>
              <w:fldChar w:fldCharType="begin"/>
            </w:r>
            <w:r w:rsidR="004C7298">
              <w:rPr>
                <w:noProof/>
                <w:webHidden/>
              </w:rPr>
              <w:instrText xml:space="preserve"> PAGEREF _Toc144110956 \h </w:instrText>
            </w:r>
            <w:r w:rsidR="004C7298">
              <w:rPr>
                <w:noProof/>
                <w:webHidden/>
              </w:rPr>
            </w:r>
            <w:r w:rsidR="004C7298">
              <w:rPr>
                <w:noProof/>
                <w:webHidden/>
              </w:rPr>
              <w:fldChar w:fldCharType="separate"/>
            </w:r>
            <w:r w:rsidR="004C7298">
              <w:rPr>
                <w:noProof/>
                <w:webHidden/>
              </w:rPr>
              <w:t>47</w:t>
            </w:r>
            <w:r w:rsidR="004C7298">
              <w:rPr>
                <w:noProof/>
                <w:webHidden/>
              </w:rPr>
              <w:fldChar w:fldCharType="end"/>
            </w:r>
          </w:hyperlink>
        </w:p>
        <w:p w14:paraId="44F6E86C" w14:textId="1E79045A" w:rsidR="004C7298" w:rsidRDefault="00013F20">
          <w:pPr>
            <w:pStyle w:val="TOC3"/>
            <w:rPr>
              <w:rFonts w:asciiTheme="minorHAnsi" w:eastAsiaTheme="minorEastAsia" w:hAnsiTheme="minorHAnsi" w:cstheme="minorBidi"/>
              <w:b w:val="0"/>
              <w:noProof/>
              <w:color w:val="auto"/>
              <w:szCs w:val="22"/>
              <w:lang w:eastAsia="en-AU"/>
            </w:rPr>
          </w:pPr>
          <w:hyperlink w:anchor="_Toc144110957" w:history="1">
            <w:r w:rsidR="004C7298" w:rsidRPr="006D24F3">
              <w:rPr>
                <w:rStyle w:val="Hyperlink"/>
                <w:noProof/>
              </w:rPr>
              <w:t>Key uses / expected use</w:t>
            </w:r>
            <w:r w:rsidR="004C7298">
              <w:rPr>
                <w:noProof/>
                <w:webHidden/>
              </w:rPr>
              <w:tab/>
            </w:r>
            <w:r w:rsidR="004C7298">
              <w:rPr>
                <w:noProof/>
                <w:webHidden/>
              </w:rPr>
              <w:fldChar w:fldCharType="begin"/>
            </w:r>
            <w:r w:rsidR="004C7298">
              <w:rPr>
                <w:noProof/>
                <w:webHidden/>
              </w:rPr>
              <w:instrText xml:space="preserve"> PAGEREF _Toc144110957 \h </w:instrText>
            </w:r>
            <w:r w:rsidR="004C7298">
              <w:rPr>
                <w:noProof/>
                <w:webHidden/>
              </w:rPr>
            </w:r>
            <w:r w:rsidR="004C7298">
              <w:rPr>
                <w:noProof/>
                <w:webHidden/>
              </w:rPr>
              <w:fldChar w:fldCharType="separate"/>
            </w:r>
            <w:r w:rsidR="004C7298">
              <w:rPr>
                <w:noProof/>
                <w:webHidden/>
              </w:rPr>
              <w:t>47</w:t>
            </w:r>
            <w:r w:rsidR="004C7298">
              <w:rPr>
                <w:noProof/>
                <w:webHidden/>
              </w:rPr>
              <w:fldChar w:fldCharType="end"/>
            </w:r>
          </w:hyperlink>
        </w:p>
        <w:p w14:paraId="4F3F4D67" w14:textId="663A78B4" w:rsidR="004C7298" w:rsidRDefault="00013F20">
          <w:pPr>
            <w:pStyle w:val="TOC3"/>
            <w:rPr>
              <w:rFonts w:asciiTheme="minorHAnsi" w:eastAsiaTheme="minorEastAsia" w:hAnsiTheme="minorHAnsi" w:cstheme="minorBidi"/>
              <w:b w:val="0"/>
              <w:noProof/>
              <w:color w:val="auto"/>
              <w:szCs w:val="22"/>
              <w:lang w:eastAsia="en-AU"/>
            </w:rPr>
          </w:pPr>
          <w:hyperlink w:anchor="_Toc144110958" w:history="1">
            <w:r w:rsidR="004C7298" w:rsidRPr="006D24F3">
              <w:rPr>
                <w:rStyle w:val="Hyperlink"/>
                <w:noProof/>
              </w:rPr>
              <w:t>Australian regulations</w:t>
            </w:r>
            <w:r w:rsidR="004C7298">
              <w:rPr>
                <w:noProof/>
                <w:webHidden/>
              </w:rPr>
              <w:tab/>
            </w:r>
            <w:r w:rsidR="004C7298">
              <w:rPr>
                <w:noProof/>
                <w:webHidden/>
              </w:rPr>
              <w:fldChar w:fldCharType="begin"/>
            </w:r>
            <w:r w:rsidR="004C7298">
              <w:rPr>
                <w:noProof/>
                <w:webHidden/>
              </w:rPr>
              <w:instrText xml:space="preserve"> PAGEREF _Toc144110958 \h </w:instrText>
            </w:r>
            <w:r w:rsidR="004C7298">
              <w:rPr>
                <w:noProof/>
                <w:webHidden/>
              </w:rPr>
            </w:r>
            <w:r w:rsidR="004C7298">
              <w:rPr>
                <w:noProof/>
                <w:webHidden/>
              </w:rPr>
              <w:fldChar w:fldCharType="separate"/>
            </w:r>
            <w:r w:rsidR="004C7298">
              <w:rPr>
                <w:noProof/>
                <w:webHidden/>
              </w:rPr>
              <w:t>47</w:t>
            </w:r>
            <w:r w:rsidR="004C7298">
              <w:rPr>
                <w:noProof/>
                <w:webHidden/>
              </w:rPr>
              <w:fldChar w:fldCharType="end"/>
            </w:r>
          </w:hyperlink>
        </w:p>
        <w:p w14:paraId="4A893DE9" w14:textId="3219DEA5" w:rsidR="004C7298" w:rsidRDefault="00013F20">
          <w:pPr>
            <w:pStyle w:val="TOC3"/>
            <w:rPr>
              <w:rFonts w:asciiTheme="minorHAnsi" w:eastAsiaTheme="minorEastAsia" w:hAnsiTheme="minorHAnsi" w:cstheme="minorBidi"/>
              <w:b w:val="0"/>
              <w:noProof/>
              <w:color w:val="auto"/>
              <w:szCs w:val="22"/>
              <w:lang w:eastAsia="en-AU"/>
            </w:rPr>
          </w:pPr>
          <w:hyperlink w:anchor="_Toc144110959" w:history="1">
            <w:r w:rsidR="004C7298" w:rsidRPr="006D24F3">
              <w:rPr>
                <w:rStyle w:val="Hyperlink"/>
                <w:noProof/>
              </w:rPr>
              <w:t>International regulations</w:t>
            </w:r>
            <w:r w:rsidR="004C7298">
              <w:rPr>
                <w:noProof/>
                <w:webHidden/>
              </w:rPr>
              <w:tab/>
            </w:r>
            <w:r w:rsidR="004C7298">
              <w:rPr>
                <w:noProof/>
                <w:webHidden/>
              </w:rPr>
              <w:fldChar w:fldCharType="begin"/>
            </w:r>
            <w:r w:rsidR="004C7298">
              <w:rPr>
                <w:noProof/>
                <w:webHidden/>
              </w:rPr>
              <w:instrText xml:space="preserve"> PAGEREF _Toc144110959 \h </w:instrText>
            </w:r>
            <w:r w:rsidR="004C7298">
              <w:rPr>
                <w:noProof/>
                <w:webHidden/>
              </w:rPr>
            </w:r>
            <w:r w:rsidR="004C7298">
              <w:rPr>
                <w:noProof/>
                <w:webHidden/>
              </w:rPr>
              <w:fldChar w:fldCharType="separate"/>
            </w:r>
            <w:r w:rsidR="004C7298">
              <w:rPr>
                <w:noProof/>
                <w:webHidden/>
              </w:rPr>
              <w:t>47</w:t>
            </w:r>
            <w:r w:rsidR="004C7298">
              <w:rPr>
                <w:noProof/>
                <w:webHidden/>
              </w:rPr>
              <w:fldChar w:fldCharType="end"/>
            </w:r>
          </w:hyperlink>
        </w:p>
        <w:p w14:paraId="0E18F727" w14:textId="63C76C7C" w:rsidR="004C7298" w:rsidRDefault="00013F20">
          <w:pPr>
            <w:pStyle w:val="TOC2"/>
            <w:tabs>
              <w:tab w:val="left" w:pos="1276"/>
            </w:tabs>
            <w:rPr>
              <w:rFonts w:asciiTheme="minorHAnsi" w:eastAsiaTheme="minorEastAsia" w:hAnsiTheme="minorHAnsi" w:cstheme="minorBidi"/>
              <w:b w:val="0"/>
              <w:noProof/>
              <w:color w:val="auto"/>
              <w:sz w:val="22"/>
              <w:szCs w:val="22"/>
              <w:lang w:eastAsia="en-AU"/>
            </w:rPr>
          </w:pPr>
          <w:hyperlink w:anchor="_Toc144110960" w:history="1">
            <w:r w:rsidR="004C7298" w:rsidRPr="006D24F3">
              <w:rPr>
                <w:rStyle w:val="Hyperlink"/>
                <w:noProof/>
              </w:rPr>
              <w:t>3.2</w:t>
            </w:r>
            <w:r w:rsidR="004C7298">
              <w:rPr>
                <w:rFonts w:asciiTheme="minorHAnsi" w:eastAsiaTheme="minorEastAsia" w:hAnsiTheme="minorHAnsi" w:cstheme="minorBidi"/>
                <w:b w:val="0"/>
                <w:noProof/>
                <w:color w:val="auto"/>
                <w:sz w:val="22"/>
                <w:szCs w:val="22"/>
                <w:lang w:eastAsia="en-AU"/>
              </w:rPr>
              <w:tab/>
            </w:r>
            <w:r w:rsidR="004C7298" w:rsidRPr="006D24F3">
              <w:rPr>
                <w:rStyle w:val="Hyperlink"/>
                <w:noProof/>
              </w:rPr>
              <w:t>Bile acids</w:t>
            </w:r>
            <w:r w:rsidR="004C7298">
              <w:rPr>
                <w:noProof/>
                <w:webHidden/>
              </w:rPr>
              <w:tab/>
            </w:r>
            <w:r w:rsidR="004C7298">
              <w:rPr>
                <w:noProof/>
                <w:webHidden/>
              </w:rPr>
              <w:fldChar w:fldCharType="begin"/>
            </w:r>
            <w:r w:rsidR="004C7298">
              <w:rPr>
                <w:noProof/>
                <w:webHidden/>
              </w:rPr>
              <w:instrText xml:space="preserve"> PAGEREF _Toc144110960 \h </w:instrText>
            </w:r>
            <w:r w:rsidR="004C7298">
              <w:rPr>
                <w:noProof/>
                <w:webHidden/>
              </w:rPr>
            </w:r>
            <w:r w:rsidR="004C7298">
              <w:rPr>
                <w:noProof/>
                <w:webHidden/>
              </w:rPr>
              <w:fldChar w:fldCharType="separate"/>
            </w:r>
            <w:r w:rsidR="004C7298">
              <w:rPr>
                <w:noProof/>
                <w:webHidden/>
              </w:rPr>
              <w:t>48</w:t>
            </w:r>
            <w:r w:rsidR="004C7298">
              <w:rPr>
                <w:noProof/>
                <w:webHidden/>
              </w:rPr>
              <w:fldChar w:fldCharType="end"/>
            </w:r>
          </w:hyperlink>
        </w:p>
        <w:p w14:paraId="6ECE4F08" w14:textId="574572F5" w:rsidR="004C7298" w:rsidRDefault="00013F20">
          <w:pPr>
            <w:pStyle w:val="TOC3"/>
            <w:rPr>
              <w:rFonts w:asciiTheme="minorHAnsi" w:eastAsiaTheme="minorEastAsia" w:hAnsiTheme="minorHAnsi" w:cstheme="minorBidi"/>
              <w:b w:val="0"/>
              <w:noProof/>
              <w:color w:val="auto"/>
              <w:szCs w:val="22"/>
              <w:lang w:eastAsia="en-AU"/>
            </w:rPr>
          </w:pPr>
          <w:hyperlink w:anchor="_Toc144110961" w:history="1">
            <w:r w:rsidR="004C7298" w:rsidRPr="006D24F3">
              <w:rPr>
                <w:rStyle w:val="Hyperlink"/>
                <w:noProof/>
              </w:rPr>
              <w:t>Proposal</w:t>
            </w:r>
            <w:r w:rsidR="004C7298">
              <w:rPr>
                <w:noProof/>
                <w:webHidden/>
              </w:rPr>
              <w:tab/>
            </w:r>
            <w:r w:rsidR="004C7298">
              <w:rPr>
                <w:noProof/>
                <w:webHidden/>
              </w:rPr>
              <w:fldChar w:fldCharType="begin"/>
            </w:r>
            <w:r w:rsidR="004C7298">
              <w:rPr>
                <w:noProof/>
                <w:webHidden/>
              </w:rPr>
              <w:instrText xml:space="preserve"> PAGEREF _Toc144110961 \h </w:instrText>
            </w:r>
            <w:r w:rsidR="004C7298">
              <w:rPr>
                <w:noProof/>
                <w:webHidden/>
              </w:rPr>
            </w:r>
            <w:r w:rsidR="004C7298">
              <w:rPr>
                <w:noProof/>
                <w:webHidden/>
              </w:rPr>
              <w:fldChar w:fldCharType="separate"/>
            </w:r>
            <w:r w:rsidR="004C7298">
              <w:rPr>
                <w:noProof/>
                <w:webHidden/>
              </w:rPr>
              <w:t>48</w:t>
            </w:r>
            <w:r w:rsidR="004C7298">
              <w:rPr>
                <w:noProof/>
                <w:webHidden/>
              </w:rPr>
              <w:fldChar w:fldCharType="end"/>
            </w:r>
          </w:hyperlink>
        </w:p>
        <w:p w14:paraId="7BBAEB20" w14:textId="7E47F9A3" w:rsidR="004C7298" w:rsidRDefault="00013F20">
          <w:pPr>
            <w:pStyle w:val="TOC3"/>
            <w:rPr>
              <w:rFonts w:asciiTheme="minorHAnsi" w:eastAsiaTheme="minorEastAsia" w:hAnsiTheme="minorHAnsi" w:cstheme="minorBidi"/>
              <w:b w:val="0"/>
              <w:noProof/>
              <w:color w:val="auto"/>
              <w:szCs w:val="22"/>
              <w:lang w:eastAsia="en-AU"/>
            </w:rPr>
          </w:pPr>
          <w:hyperlink w:anchor="_Toc144110962" w:history="1">
            <w:r w:rsidR="004C7298" w:rsidRPr="006D24F3">
              <w:rPr>
                <w:rStyle w:val="Hyperlink"/>
                <w:noProof/>
              </w:rPr>
              <w:t>CAS Number</w:t>
            </w:r>
            <w:r w:rsidR="004C7298">
              <w:rPr>
                <w:noProof/>
                <w:webHidden/>
              </w:rPr>
              <w:tab/>
            </w:r>
            <w:r w:rsidR="004C7298">
              <w:rPr>
                <w:noProof/>
                <w:webHidden/>
              </w:rPr>
              <w:fldChar w:fldCharType="begin"/>
            </w:r>
            <w:r w:rsidR="004C7298">
              <w:rPr>
                <w:noProof/>
                <w:webHidden/>
              </w:rPr>
              <w:instrText xml:space="preserve"> PAGEREF _Toc144110962 \h </w:instrText>
            </w:r>
            <w:r w:rsidR="004C7298">
              <w:rPr>
                <w:noProof/>
                <w:webHidden/>
              </w:rPr>
            </w:r>
            <w:r w:rsidR="004C7298">
              <w:rPr>
                <w:noProof/>
                <w:webHidden/>
              </w:rPr>
              <w:fldChar w:fldCharType="separate"/>
            </w:r>
            <w:r w:rsidR="004C7298">
              <w:rPr>
                <w:noProof/>
                <w:webHidden/>
              </w:rPr>
              <w:t>48</w:t>
            </w:r>
            <w:r w:rsidR="004C7298">
              <w:rPr>
                <w:noProof/>
                <w:webHidden/>
              </w:rPr>
              <w:fldChar w:fldCharType="end"/>
            </w:r>
          </w:hyperlink>
        </w:p>
        <w:p w14:paraId="4CDB2954" w14:textId="34431A8F" w:rsidR="004C7298" w:rsidRDefault="00013F20">
          <w:pPr>
            <w:pStyle w:val="TOC3"/>
            <w:rPr>
              <w:rFonts w:asciiTheme="minorHAnsi" w:eastAsiaTheme="minorEastAsia" w:hAnsiTheme="minorHAnsi" w:cstheme="minorBidi"/>
              <w:b w:val="0"/>
              <w:noProof/>
              <w:color w:val="auto"/>
              <w:szCs w:val="22"/>
              <w:lang w:eastAsia="en-AU"/>
            </w:rPr>
          </w:pPr>
          <w:hyperlink w:anchor="_Toc144110963" w:history="1">
            <w:r w:rsidR="004C7298" w:rsidRPr="006D24F3">
              <w:rPr>
                <w:rStyle w:val="Hyperlink"/>
                <w:noProof/>
              </w:rPr>
              <w:t>Alternative names</w:t>
            </w:r>
            <w:r w:rsidR="004C7298">
              <w:rPr>
                <w:noProof/>
                <w:webHidden/>
              </w:rPr>
              <w:tab/>
            </w:r>
            <w:r w:rsidR="004C7298">
              <w:rPr>
                <w:noProof/>
                <w:webHidden/>
              </w:rPr>
              <w:fldChar w:fldCharType="begin"/>
            </w:r>
            <w:r w:rsidR="004C7298">
              <w:rPr>
                <w:noProof/>
                <w:webHidden/>
              </w:rPr>
              <w:instrText xml:space="preserve"> PAGEREF _Toc144110963 \h </w:instrText>
            </w:r>
            <w:r w:rsidR="004C7298">
              <w:rPr>
                <w:noProof/>
                <w:webHidden/>
              </w:rPr>
            </w:r>
            <w:r w:rsidR="004C7298">
              <w:rPr>
                <w:noProof/>
                <w:webHidden/>
              </w:rPr>
              <w:fldChar w:fldCharType="separate"/>
            </w:r>
            <w:r w:rsidR="004C7298">
              <w:rPr>
                <w:noProof/>
                <w:webHidden/>
              </w:rPr>
              <w:t>48</w:t>
            </w:r>
            <w:r w:rsidR="004C7298">
              <w:rPr>
                <w:noProof/>
                <w:webHidden/>
              </w:rPr>
              <w:fldChar w:fldCharType="end"/>
            </w:r>
          </w:hyperlink>
        </w:p>
        <w:p w14:paraId="0ECD5B5A" w14:textId="60389580" w:rsidR="004C7298" w:rsidRDefault="00013F20">
          <w:pPr>
            <w:pStyle w:val="TOC3"/>
            <w:rPr>
              <w:rFonts w:asciiTheme="minorHAnsi" w:eastAsiaTheme="minorEastAsia" w:hAnsiTheme="minorHAnsi" w:cstheme="minorBidi"/>
              <w:b w:val="0"/>
              <w:noProof/>
              <w:color w:val="auto"/>
              <w:szCs w:val="22"/>
              <w:lang w:eastAsia="en-AU"/>
            </w:rPr>
          </w:pPr>
          <w:hyperlink w:anchor="_Toc144110964" w:history="1">
            <w:r w:rsidR="004C7298" w:rsidRPr="006D24F3">
              <w:rPr>
                <w:rStyle w:val="Hyperlink"/>
                <w:noProof/>
              </w:rPr>
              <w:t>Applicant</w:t>
            </w:r>
            <w:r w:rsidR="004C7298">
              <w:rPr>
                <w:noProof/>
                <w:webHidden/>
              </w:rPr>
              <w:tab/>
            </w:r>
            <w:r w:rsidR="004C7298">
              <w:rPr>
                <w:noProof/>
                <w:webHidden/>
              </w:rPr>
              <w:fldChar w:fldCharType="begin"/>
            </w:r>
            <w:r w:rsidR="004C7298">
              <w:rPr>
                <w:noProof/>
                <w:webHidden/>
              </w:rPr>
              <w:instrText xml:space="preserve"> PAGEREF _Toc144110964 \h </w:instrText>
            </w:r>
            <w:r w:rsidR="004C7298">
              <w:rPr>
                <w:noProof/>
                <w:webHidden/>
              </w:rPr>
            </w:r>
            <w:r w:rsidR="004C7298">
              <w:rPr>
                <w:noProof/>
                <w:webHidden/>
              </w:rPr>
              <w:fldChar w:fldCharType="separate"/>
            </w:r>
            <w:r w:rsidR="004C7298">
              <w:rPr>
                <w:noProof/>
                <w:webHidden/>
              </w:rPr>
              <w:t>48</w:t>
            </w:r>
            <w:r w:rsidR="004C7298">
              <w:rPr>
                <w:noProof/>
                <w:webHidden/>
              </w:rPr>
              <w:fldChar w:fldCharType="end"/>
            </w:r>
          </w:hyperlink>
        </w:p>
        <w:p w14:paraId="77364B62" w14:textId="2A48D35E" w:rsidR="004C7298" w:rsidRDefault="00013F20">
          <w:pPr>
            <w:pStyle w:val="TOC3"/>
            <w:rPr>
              <w:rFonts w:asciiTheme="minorHAnsi" w:eastAsiaTheme="minorEastAsia" w:hAnsiTheme="minorHAnsi" w:cstheme="minorBidi"/>
              <w:b w:val="0"/>
              <w:noProof/>
              <w:color w:val="auto"/>
              <w:szCs w:val="22"/>
              <w:lang w:eastAsia="en-AU"/>
            </w:rPr>
          </w:pPr>
          <w:hyperlink w:anchor="_Toc144110965" w:history="1">
            <w:r w:rsidR="004C7298" w:rsidRPr="006D24F3">
              <w:rPr>
                <w:rStyle w:val="Hyperlink"/>
                <w:noProof/>
              </w:rPr>
              <w:t>Proposed Scheduling</w:t>
            </w:r>
            <w:r w:rsidR="004C7298">
              <w:rPr>
                <w:noProof/>
                <w:webHidden/>
              </w:rPr>
              <w:tab/>
            </w:r>
            <w:r w:rsidR="004C7298">
              <w:rPr>
                <w:noProof/>
                <w:webHidden/>
              </w:rPr>
              <w:fldChar w:fldCharType="begin"/>
            </w:r>
            <w:r w:rsidR="004C7298">
              <w:rPr>
                <w:noProof/>
                <w:webHidden/>
              </w:rPr>
              <w:instrText xml:space="preserve"> PAGEREF _Toc144110965 \h </w:instrText>
            </w:r>
            <w:r w:rsidR="004C7298">
              <w:rPr>
                <w:noProof/>
                <w:webHidden/>
              </w:rPr>
            </w:r>
            <w:r w:rsidR="004C7298">
              <w:rPr>
                <w:noProof/>
                <w:webHidden/>
              </w:rPr>
              <w:fldChar w:fldCharType="separate"/>
            </w:r>
            <w:r w:rsidR="004C7298">
              <w:rPr>
                <w:noProof/>
                <w:webHidden/>
              </w:rPr>
              <w:t>48</w:t>
            </w:r>
            <w:r w:rsidR="004C7298">
              <w:rPr>
                <w:noProof/>
                <w:webHidden/>
              </w:rPr>
              <w:fldChar w:fldCharType="end"/>
            </w:r>
          </w:hyperlink>
        </w:p>
        <w:p w14:paraId="78F6D793" w14:textId="44C22BD8" w:rsidR="004C7298" w:rsidRDefault="00013F20">
          <w:pPr>
            <w:pStyle w:val="TOC3"/>
            <w:rPr>
              <w:rFonts w:asciiTheme="minorHAnsi" w:eastAsiaTheme="minorEastAsia" w:hAnsiTheme="minorHAnsi" w:cstheme="minorBidi"/>
              <w:b w:val="0"/>
              <w:noProof/>
              <w:color w:val="auto"/>
              <w:szCs w:val="22"/>
              <w:lang w:eastAsia="en-AU"/>
            </w:rPr>
          </w:pPr>
          <w:hyperlink w:anchor="_Toc144110966" w:history="1">
            <w:r w:rsidR="004C7298" w:rsidRPr="006D24F3">
              <w:rPr>
                <w:rStyle w:val="Hyperlink"/>
                <w:noProof/>
              </w:rPr>
              <w:t>Background</w:t>
            </w:r>
            <w:r w:rsidR="004C7298">
              <w:rPr>
                <w:noProof/>
                <w:webHidden/>
              </w:rPr>
              <w:tab/>
            </w:r>
            <w:r w:rsidR="004C7298">
              <w:rPr>
                <w:noProof/>
                <w:webHidden/>
              </w:rPr>
              <w:fldChar w:fldCharType="begin"/>
            </w:r>
            <w:r w:rsidR="004C7298">
              <w:rPr>
                <w:noProof/>
                <w:webHidden/>
              </w:rPr>
              <w:instrText xml:space="preserve"> PAGEREF _Toc144110966 \h </w:instrText>
            </w:r>
            <w:r w:rsidR="004C7298">
              <w:rPr>
                <w:noProof/>
                <w:webHidden/>
              </w:rPr>
            </w:r>
            <w:r w:rsidR="004C7298">
              <w:rPr>
                <w:noProof/>
                <w:webHidden/>
              </w:rPr>
              <w:fldChar w:fldCharType="separate"/>
            </w:r>
            <w:r w:rsidR="004C7298">
              <w:rPr>
                <w:noProof/>
                <w:webHidden/>
              </w:rPr>
              <w:t>49</w:t>
            </w:r>
            <w:r w:rsidR="004C7298">
              <w:rPr>
                <w:noProof/>
                <w:webHidden/>
              </w:rPr>
              <w:fldChar w:fldCharType="end"/>
            </w:r>
          </w:hyperlink>
        </w:p>
        <w:p w14:paraId="30B90EAD" w14:textId="11490680" w:rsidR="004C7298" w:rsidRDefault="00013F20">
          <w:pPr>
            <w:pStyle w:val="TOC3"/>
            <w:rPr>
              <w:rFonts w:asciiTheme="minorHAnsi" w:eastAsiaTheme="minorEastAsia" w:hAnsiTheme="minorHAnsi" w:cstheme="minorBidi"/>
              <w:b w:val="0"/>
              <w:noProof/>
              <w:color w:val="auto"/>
              <w:szCs w:val="22"/>
              <w:lang w:eastAsia="en-AU"/>
            </w:rPr>
          </w:pPr>
          <w:hyperlink w:anchor="_Toc144110967" w:history="1">
            <w:r w:rsidR="004C7298" w:rsidRPr="006D24F3">
              <w:rPr>
                <w:rStyle w:val="Hyperlink"/>
                <w:noProof/>
              </w:rPr>
              <w:t>Summary of applicant’s reasons for the proposal</w:t>
            </w:r>
            <w:r w:rsidR="004C7298">
              <w:rPr>
                <w:noProof/>
                <w:webHidden/>
              </w:rPr>
              <w:tab/>
            </w:r>
            <w:r w:rsidR="004C7298">
              <w:rPr>
                <w:noProof/>
                <w:webHidden/>
              </w:rPr>
              <w:fldChar w:fldCharType="begin"/>
            </w:r>
            <w:r w:rsidR="004C7298">
              <w:rPr>
                <w:noProof/>
                <w:webHidden/>
              </w:rPr>
              <w:instrText xml:space="preserve"> PAGEREF _Toc144110967 \h </w:instrText>
            </w:r>
            <w:r w:rsidR="004C7298">
              <w:rPr>
                <w:noProof/>
                <w:webHidden/>
              </w:rPr>
            </w:r>
            <w:r w:rsidR="004C7298">
              <w:rPr>
                <w:noProof/>
                <w:webHidden/>
              </w:rPr>
              <w:fldChar w:fldCharType="separate"/>
            </w:r>
            <w:r w:rsidR="004C7298">
              <w:rPr>
                <w:noProof/>
                <w:webHidden/>
              </w:rPr>
              <w:t>49</w:t>
            </w:r>
            <w:r w:rsidR="004C7298">
              <w:rPr>
                <w:noProof/>
                <w:webHidden/>
              </w:rPr>
              <w:fldChar w:fldCharType="end"/>
            </w:r>
          </w:hyperlink>
        </w:p>
        <w:p w14:paraId="4674C875" w14:textId="19F50D16" w:rsidR="004C7298" w:rsidRDefault="00013F20">
          <w:pPr>
            <w:pStyle w:val="TOC3"/>
            <w:rPr>
              <w:rFonts w:asciiTheme="minorHAnsi" w:eastAsiaTheme="minorEastAsia" w:hAnsiTheme="minorHAnsi" w:cstheme="minorBidi"/>
              <w:b w:val="0"/>
              <w:noProof/>
              <w:color w:val="auto"/>
              <w:szCs w:val="22"/>
              <w:lang w:eastAsia="en-AU"/>
            </w:rPr>
          </w:pPr>
          <w:hyperlink w:anchor="_Toc144110968" w:history="1">
            <w:r w:rsidR="004C7298" w:rsidRPr="006D24F3">
              <w:rPr>
                <w:rStyle w:val="Hyperlink"/>
                <w:noProof/>
              </w:rPr>
              <w:t>Key uses / expected use</w:t>
            </w:r>
            <w:r w:rsidR="004C7298">
              <w:rPr>
                <w:noProof/>
                <w:webHidden/>
              </w:rPr>
              <w:tab/>
            </w:r>
            <w:r w:rsidR="004C7298">
              <w:rPr>
                <w:noProof/>
                <w:webHidden/>
              </w:rPr>
              <w:fldChar w:fldCharType="begin"/>
            </w:r>
            <w:r w:rsidR="004C7298">
              <w:rPr>
                <w:noProof/>
                <w:webHidden/>
              </w:rPr>
              <w:instrText xml:space="preserve"> PAGEREF _Toc144110968 \h </w:instrText>
            </w:r>
            <w:r w:rsidR="004C7298">
              <w:rPr>
                <w:noProof/>
                <w:webHidden/>
              </w:rPr>
            </w:r>
            <w:r w:rsidR="004C7298">
              <w:rPr>
                <w:noProof/>
                <w:webHidden/>
              </w:rPr>
              <w:fldChar w:fldCharType="separate"/>
            </w:r>
            <w:r w:rsidR="004C7298">
              <w:rPr>
                <w:noProof/>
                <w:webHidden/>
              </w:rPr>
              <w:t>49</w:t>
            </w:r>
            <w:r w:rsidR="004C7298">
              <w:rPr>
                <w:noProof/>
                <w:webHidden/>
              </w:rPr>
              <w:fldChar w:fldCharType="end"/>
            </w:r>
          </w:hyperlink>
        </w:p>
        <w:p w14:paraId="093B0088" w14:textId="5EC794A9" w:rsidR="004C7298" w:rsidRDefault="00013F20">
          <w:pPr>
            <w:pStyle w:val="TOC3"/>
            <w:rPr>
              <w:rFonts w:asciiTheme="minorHAnsi" w:eastAsiaTheme="minorEastAsia" w:hAnsiTheme="minorHAnsi" w:cstheme="minorBidi"/>
              <w:b w:val="0"/>
              <w:noProof/>
              <w:color w:val="auto"/>
              <w:szCs w:val="22"/>
              <w:lang w:eastAsia="en-AU"/>
            </w:rPr>
          </w:pPr>
          <w:hyperlink w:anchor="_Toc144110969" w:history="1">
            <w:r w:rsidR="004C7298" w:rsidRPr="006D24F3">
              <w:rPr>
                <w:rStyle w:val="Hyperlink"/>
                <w:noProof/>
              </w:rPr>
              <w:t>Australian regulations</w:t>
            </w:r>
            <w:r w:rsidR="004C7298">
              <w:rPr>
                <w:noProof/>
                <w:webHidden/>
              </w:rPr>
              <w:tab/>
            </w:r>
            <w:r w:rsidR="004C7298">
              <w:rPr>
                <w:noProof/>
                <w:webHidden/>
              </w:rPr>
              <w:fldChar w:fldCharType="begin"/>
            </w:r>
            <w:r w:rsidR="004C7298">
              <w:rPr>
                <w:noProof/>
                <w:webHidden/>
              </w:rPr>
              <w:instrText xml:space="preserve"> PAGEREF _Toc144110969 \h </w:instrText>
            </w:r>
            <w:r w:rsidR="004C7298">
              <w:rPr>
                <w:noProof/>
                <w:webHidden/>
              </w:rPr>
            </w:r>
            <w:r w:rsidR="004C7298">
              <w:rPr>
                <w:noProof/>
                <w:webHidden/>
              </w:rPr>
              <w:fldChar w:fldCharType="separate"/>
            </w:r>
            <w:r w:rsidR="004C7298">
              <w:rPr>
                <w:noProof/>
                <w:webHidden/>
              </w:rPr>
              <w:t>50</w:t>
            </w:r>
            <w:r w:rsidR="004C7298">
              <w:rPr>
                <w:noProof/>
                <w:webHidden/>
              </w:rPr>
              <w:fldChar w:fldCharType="end"/>
            </w:r>
          </w:hyperlink>
        </w:p>
        <w:p w14:paraId="37901495" w14:textId="7F905BBF" w:rsidR="004C7298" w:rsidRDefault="00013F20">
          <w:pPr>
            <w:pStyle w:val="TOC3"/>
            <w:rPr>
              <w:rFonts w:asciiTheme="minorHAnsi" w:eastAsiaTheme="minorEastAsia" w:hAnsiTheme="minorHAnsi" w:cstheme="minorBidi"/>
              <w:b w:val="0"/>
              <w:noProof/>
              <w:color w:val="auto"/>
              <w:szCs w:val="22"/>
              <w:lang w:eastAsia="en-AU"/>
            </w:rPr>
          </w:pPr>
          <w:hyperlink w:anchor="_Toc144110970" w:history="1">
            <w:r w:rsidR="004C7298" w:rsidRPr="006D24F3">
              <w:rPr>
                <w:rStyle w:val="Hyperlink"/>
                <w:noProof/>
              </w:rPr>
              <w:t>International regulations</w:t>
            </w:r>
            <w:r w:rsidR="004C7298">
              <w:rPr>
                <w:noProof/>
                <w:webHidden/>
              </w:rPr>
              <w:tab/>
            </w:r>
            <w:r w:rsidR="004C7298">
              <w:rPr>
                <w:noProof/>
                <w:webHidden/>
              </w:rPr>
              <w:fldChar w:fldCharType="begin"/>
            </w:r>
            <w:r w:rsidR="004C7298">
              <w:rPr>
                <w:noProof/>
                <w:webHidden/>
              </w:rPr>
              <w:instrText xml:space="preserve"> PAGEREF _Toc144110970 \h </w:instrText>
            </w:r>
            <w:r w:rsidR="004C7298">
              <w:rPr>
                <w:noProof/>
                <w:webHidden/>
              </w:rPr>
            </w:r>
            <w:r w:rsidR="004C7298">
              <w:rPr>
                <w:noProof/>
                <w:webHidden/>
              </w:rPr>
              <w:fldChar w:fldCharType="separate"/>
            </w:r>
            <w:r w:rsidR="004C7298">
              <w:rPr>
                <w:noProof/>
                <w:webHidden/>
              </w:rPr>
              <w:t>51</w:t>
            </w:r>
            <w:r w:rsidR="004C7298">
              <w:rPr>
                <w:noProof/>
                <w:webHidden/>
              </w:rPr>
              <w:fldChar w:fldCharType="end"/>
            </w:r>
          </w:hyperlink>
        </w:p>
        <w:p w14:paraId="2D72744B" w14:textId="56A86513" w:rsidR="004C7298" w:rsidRDefault="00013F20">
          <w:pPr>
            <w:pStyle w:val="TOC1"/>
            <w:rPr>
              <w:rFonts w:asciiTheme="minorHAnsi" w:eastAsiaTheme="minorEastAsia" w:hAnsiTheme="minorHAnsi" w:cstheme="minorBidi"/>
              <w:b w:val="0"/>
              <w:noProof/>
              <w:color w:val="auto"/>
              <w:sz w:val="22"/>
              <w:szCs w:val="22"/>
              <w:lang w:eastAsia="en-AU"/>
            </w:rPr>
          </w:pPr>
          <w:hyperlink w:anchor="_Toc144110971" w:history="1">
            <w:r w:rsidR="004C7298" w:rsidRPr="006D24F3">
              <w:rPr>
                <w:rStyle w:val="Hyperlink"/>
                <w:noProof/>
              </w:rPr>
              <w:t>How to respond</w:t>
            </w:r>
            <w:r w:rsidR="004C7298">
              <w:rPr>
                <w:noProof/>
                <w:webHidden/>
              </w:rPr>
              <w:tab/>
            </w:r>
            <w:r w:rsidR="004C7298">
              <w:rPr>
                <w:noProof/>
                <w:webHidden/>
              </w:rPr>
              <w:fldChar w:fldCharType="begin"/>
            </w:r>
            <w:r w:rsidR="004C7298">
              <w:rPr>
                <w:noProof/>
                <w:webHidden/>
              </w:rPr>
              <w:instrText xml:space="preserve"> PAGEREF _Toc144110971 \h </w:instrText>
            </w:r>
            <w:r w:rsidR="004C7298">
              <w:rPr>
                <w:noProof/>
                <w:webHidden/>
              </w:rPr>
            </w:r>
            <w:r w:rsidR="004C7298">
              <w:rPr>
                <w:noProof/>
                <w:webHidden/>
              </w:rPr>
              <w:fldChar w:fldCharType="separate"/>
            </w:r>
            <w:r w:rsidR="004C7298">
              <w:rPr>
                <w:noProof/>
                <w:webHidden/>
              </w:rPr>
              <w:t>52</w:t>
            </w:r>
            <w:r w:rsidR="004C7298">
              <w:rPr>
                <w:noProof/>
                <w:webHidden/>
              </w:rPr>
              <w:fldChar w:fldCharType="end"/>
            </w:r>
          </w:hyperlink>
        </w:p>
        <w:p w14:paraId="1AE424C2" w14:textId="347DA9F2" w:rsidR="004C7298" w:rsidRDefault="00013F20">
          <w:pPr>
            <w:pStyle w:val="TOC1"/>
            <w:rPr>
              <w:rFonts w:asciiTheme="minorHAnsi" w:eastAsiaTheme="minorEastAsia" w:hAnsiTheme="minorHAnsi" w:cstheme="minorBidi"/>
              <w:b w:val="0"/>
              <w:noProof/>
              <w:color w:val="auto"/>
              <w:sz w:val="22"/>
              <w:szCs w:val="22"/>
              <w:lang w:eastAsia="en-AU"/>
            </w:rPr>
          </w:pPr>
          <w:hyperlink w:anchor="_Toc144110972" w:history="1">
            <w:r w:rsidR="004C7298" w:rsidRPr="006D24F3">
              <w:rPr>
                <w:rStyle w:val="Hyperlink"/>
                <w:noProof/>
              </w:rPr>
              <w:t>What will happen</w:t>
            </w:r>
            <w:r w:rsidR="004C7298">
              <w:rPr>
                <w:noProof/>
                <w:webHidden/>
              </w:rPr>
              <w:tab/>
            </w:r>
            <w:r w:rsidR="004C7298">
              <w:rPr>
                <w:noProof/>
                <w:webHidden/>
              </w:rPr>
              <w:fldChar w:fldCharType="begin"/>
            </w:r>
            <w:r w:rsidR="004C7298">
              <w:rPr>
                <w:noProof/>
                <w:webHidden/>
              </w:rPr>
              <w:instrText xml:space="preserve"> PAGEREF _Toc144110972 \h </w:instrText>
            </w:r>
            <w:r w:rsidR="004C7298">
              <w:rPr>
                <w:noProof/>
                <w:webHidden/>
              </w:rPr>
            </w:r>
            <w:r w:rsidR="004C7298">
              <w:rPr>
                <w:noProof/>
                <w:webHidden/>
              </w:rPr>
              <w:fldChar w:fldCharType="separate"/>
            </w:r>
            <w:r w:rsidR="004C7298">
              <w:rPr>
                <w:noProof/>
                <w:webHidden/>
              </w:rPr>
              <w:t>52</w:t>
            </w:r>
            <w:r w:rsidR="004C7298">
              <w:rPr>
                <w:noProof/>
                <w:webHidden/>
              </w:rPr>
              <w:fldChar w:fldCharType="end"/>
            </w:r>
          </w:hyperlink>
        </w:p>
        <w:p w14:paraId="6CF8A28F" w14:textId="1710184D" w:rsidR="00F02AEC" w:rsidRPr="00215D48" w:rsidRDefault="00F02AEC" w:rsidP="00AC5E26">
          <w:r w:rsidRPr="00710D2F">
            <w:fldChar w:fldCharType="end"/>
          </w:r>
        </w:p>
      </w:sdtContent>
    </w:sdt>
    <w:bookmarkEnd w:id="3" w:displacedByCustomXml="prev"/>
    <w:p w14:paraId="427C3F47" w14:textId="76582A0C" w:rsidR="00D44CC1" w:rsidRPr="00215D48" w:rsidRDefault="00F02AEC" w:rsidP="00D63639">
      <w:r w:rsidRPr="00215D48">
        <w:br w:type="page"/>
      </w:r>
    </w:p>
    <w:p w14:paraId="514E9D3C" w14:textId="0E869C32" w:rsidR="00F02AEC" w:rsidRPr="00215D48" w:rsidRDefault="00685E72" w:rsidP="00F2313E">
      <w:pPr>
        <w:pStyle w:val="Heading2"/>
      </w:pPr>
      <w:bookmarkStart w:id="4" w:name="_Toc144110828"/>
      <w:bookmarkStart w:id="5" w:name="_Hlk139892263"/>
      <w:r>
        <w:t>About this consultation</w:t>
      </w:r>
      <w:bookmarkEnd w:id="4"/>
    </w:p>
    <w:p w14:paraId="3079A9D0" w14:textId="77777777" w:rsidR="00685E72" w:rsidRPr="00796620" w:rsidRDefault="00685E72" w:rsidP="007D561C">
      <w:pPr>
        <w:spacing w:before="120" w:after="180" w:line="240" w:lineRule="atLeast"/>
        <w:rPr>
          <w:rFonts w:cstheme="minorHAnsi"/>
        </w:rPr>
      </w:pPr>
      <w:bookmarkStart w:id="6" w:name="_Toc323739591"/>
      <w:bookmarkStart w:id="7" w:name="_Toc356305218"/>
      <w:r w:rsidRPr="00796620">
        <w:rPr>
          <w:rFonts w:cstheme="minorHAnsi"/>
        </w:rPr>
        <w:t>Subdivision 3D.2 of the </w:t>
      </w:r>
      <w:r w:rsidRPr="00796620">
        <w:rPr>
          <w:rFonts w:cstheme="minorHAnsi"/>
          <w:i/>
          <w:iCs/>
        </w:rPr>
        <w:t>Therapeutic Goods Regulations 1990</w:t>
      </w:r>
      <w:r w:rsidRPr="00796620">
        <w:rPr>
          <w:rFonts w:cstheme="minorHAnsi"/>
        </w:rPr>
        <w:t xml:space="preserve"> (the </w:t>
      </w:r>
      <w:r w:rsidRPr="00796620">
        <w:rPr>
          <w:rFonts w:cstheme="minorHAnsi"/>
          <w:b/>
          <w:bCs/>
        </w:rPr>
        <w:t>Regulations</w:t>
      </w:r>
      <w:r w:rsidRPr="00796620">
        <w:rPr>
          <w:rFonts w:cstheme="minorHAnsi"/>
        </w:rPr>
        <w:t>) sets out the procedure to be followed where the Secretary receives an application under section 52EAA of the </w:t>
      </w:r>
      <w:r w:rsidRPr="00796620">
        <w:rPr>
          <w:rFonts w:cstheme="minorHAnsi"/>
          <w:i/>
          <w:iCs/>
        </w:rPr>
        <w:t>Therapeutic Goods Act 1989</w:t>
      </w:r>
      <w:r w:rsidRPr="00796620">
        <w:rPr>
          <w:rFonts w:cstheme="minorHAnsi"/>
        </w:rPr>
        <w:t xml:space="preserve"> (the </w:t>
      </w:r>
      <w:r w:rsidRPr="00796620">
        <w:rPr>
          <w:rFonts w:cstheme="minorHAnsi"/>
          <w:b/>
          <w:bCs/>
        </w:rPr>
        <w:t>Act</w:t>
      </w:r>
      <w:r w:rsidRPr="00796620">
        <w:rPr>
          <w:rFonts w:cstheme="minorHAnsi"/>
        </w:rPr>
        <w:t>) to amend the current Poisons Standard or decides to amend the Poisons Standard on his or her own initiative and decides to refer the proposed amendment to an expert advisory committee. These include, under regulation 42ZCZK, that the Secretary publish (in a manner the Secretary considers appropriate) the proposed amendment to be referred to an expert advisory committee, the committee to which the proposed amendment will be referred, and the date of the committee meeting. The Secretary must also invite public submissions to be made to the expert advisory committee by a date mentioned in the notice as the closing date, allowing at least 20 business days after publication of the notice.</w:t>
      </w:r>
    </w:p>
    <w:p w14:paraId="22DD8014" w14:textId="49D5132D" w:rsidR="003628F4" w:rsidRPr="00796620" w:rsidRDefault="00685E72" w:rsidP="007D561C">
      <w:pPr>
        <w:spacing w:before="120" w:after="180" w:line="240" w:lineRule="atLeast"/>
        <w:rPr>
          <w:rFonts w:cstheme="minorHAnsi"/>
          <w:b/>
          <w:highlight w:val="yellow"/>
          <w:lang w:val="en"/>
        </w:rPr>
      </w:pPr>
      <w:r w:rsidRPr="00796620">
        <w:rPr>
          <w:rFonts w:cstheme="minorHAnsi"/>
          <w:noProof/>
        </w:rPr>
        <mc:AlternateContent>
          <mc:Choice Requires="wps">
            <w:drawing>
              <wp:anchor distT="0" distB="0" distL="114300" distR="114300" simplePos="0" relativeHeight="251659264" behindDoc="0" locked="0" layoutInCell="1" allowOverlap="1" wp14:anchorId="78822159" wp14:editId="730565E5">
                <wp:simplePos x="0" y="0"/>
                <wp:positionH relativeFrom="margin">
                  <wp:align>left</wp:align>
                </wp:positionH>
                <wp:positionV relativeFrom="paragraph">
                  <wp:posOffset>873400</wp:posOffset>
                </wp:positionV>
                <wp:extent cx="1828800" cy="1828800"/>
                <wp:effectExtent l="0" t="0" r="25400" b="2349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C6D0E9"/>
                        </a:solidFill>
                        <a:ln w="6350">
                          <a:solidFill>
                            <a:prstClr val="black"/>
                          </a:solidFill>
                        </a:ln>
                      </wps:spPr>
                      <wps:txbx>
                        <w:txbxContent>
                          <w:p w14:paraId="52B8CC47" w14:textId="69DC8A44" w:rsidR="00685E72" w:rsidRPr="00E5512A" w:rsidRDefault="00685E72" w:rsidP="007D561C">
                            <w:pPr>
                              <w:spacing w:before="120" w:after="180" w:line="240" w:lineRule="atLeast"/>
                              <w:rPr>
                                <w:rFonts w:cstheme="minorHAnsi"/>
                                <w:lang w:val="en"/>
                              </w:rPr>
                            </w:pPr>
                            <w:r w:rsidRPr="00E5512A">
                              <w:rPr>
                                <w:rFonts w:cstheme="minorHAnsi"/>
                              </w:rPr>
                              <w:t>Submissions should be provided through our</w:t>
                            </w:r>
                            <w:r w:rsidRPr="00E5512A">
                              <w:rPr>
                                <w:rFonts w:cstheme="minorHAnsi"/>
                                <w:lang w:val="en"/>
                              </w:rPr>
                              <w:t xml:space="preserve"> </w:t>
                            </w:r>
                            <w:hyperlink r:id="rId13" w:history="1">
                              <w:r w:rsidRPr="00E5512A">
                                <w:rPr>
                                  <w:rStyle w:val="Hyperlink"/>
                                  <w:rFonts w:asciiTheme="minorHAnsi" w:hAnsiTheme="minorHAnsi" w:cstheme="minorHAnsi"/>
                                </w:rPr>
                                <w:t>consultation hub</w:t>
                              </w:r>
                            </w:hyperlink>
                            <w:r w:rsidRPr="00E5512A">
                              <w:rPr>
                                <w:rFonts w:cstheme="minorHAnsi"/>
                                <w:lang w:val="en"/>
                              </w:rPr>
                              <w:t xml:space="preserve">. </w:t>
                            </w:r>
                            <w:r w:rsidRPr="00E5512A">
                              <w:rPr>
                                <w:rFonts w:cstheme="minorHAnsi"/>
                              </w:rPr>
                              <w:t>Any submission about any of the proposals to amend the Poisons Standard will be considered at the next meeting of the</w:t>
                            </w:r>
                            <w:r w:rsidRPr="00E5512A">
                              <w:rPr>
                                <w:rFonts w:cstheme="minorHAnsi"/>
                                <w:lang w:val="en"/>
                              </w:rPr>
                              <w:t xml:space="preserve"> </w:t>
                            </w:r>
                            <w:hyperlink r:id="rId14" w:history="1">
                              <w:r w:rsidRPr="00E5512A">
                                <w:rPr>
                                  <w:rStyle w:val="Hyperlink"/>
                                  <w:rFonts w:asciiTheme="minorHAnsi" w:hAnsiTheme="minorHAnsi" w:cstheme="minorHAnsi"/>
                                </w:rPr>
                                <w:t>Advisory Committee on Medicines Scheduling (ACMS)</w:t>
                              </w:r>
                            </w:hyperlink>
                            <w:r w:rsidRPr="00E5512A">
                              <w:rPr>
                                <w:rFonts w:cstheme="minorHAnsi"/>
                                <w:lang w:val="en"/>
                              </w:rPr>
                              <w:t xml:space="preserve">, </w:t>
                            </w:r>
                            <w:r w:rsidRPr="00E5512A">
                              <w:rPr>
                                <w:rFonts w:cstheme="minorHAnsi"/>
                              </w:rPr>
                              <w:t>meeting of the</w:t>
                            </w:r>
                            <w:r w:rsidRPr="00E5512A">
                              <w:rPr>
                                <w:rFonts w:cstheme="minorHAnsi"/>
                                <w:lang w:val="en"/>
                              </w:rPr>
                              <w:t xml:space="preserve"> </w:t>
                            </w:r>
                            <w:hyperlink r:id="rId15" w:history="1">
                              <w:r w:rsidRPr="00E5512A">
                                <w:rPr>
                                  <w:rStyle w:val="Hyperlink"/>
                                  <w:rFonts w:asciiTheme="minorHAnsi" w:hAnsiTheme="minorHAnsi" w:cstheme="minorHAnsi"/>
                                </w:rPr>
                                <w:t>Advisory Committee on Chemicals Scheduling (ACCS)</w:t>
                              </w:r>
                            </w:hyperlink>
                            <w:r w:rsidRPr="00E5512A">
                              <w:rPr>
                                <w:rFonts w:cstheme="minorHAnsi"/>
                                <w:lang w:val="en"/>
                              </w:rPr>
                              <w:t xml:space="preserve">, </w:t>
                            </w:r>
                            <w:r w:rsidRPr="00E5512A">
                              <w:rPr>
                                <w:rFonts w:cstheme="minorHAnsi"/>
                              </w:rPr>
                              <w:t>or a joint meeting of these two committees.</w:t>
                            </w:r>
                          </w:p>
                          <w:p w14:paraId="1681B090" w14:textId="41FFBEE5" w:rsidR="00685E72" w:rsidRPr="00E5512A" w:rsidRDefault="00685E72" w:rsidP="007D561C">
                            <w:pPr>
                              <w:spacing w:before="120" w:after="180" w:line="240" w:lineRule="atLeast"/>
                              <w:rPr>
                                <w:rFonts w:cstheme="minorHAnsi"/>
                                <w:b/>
                                <w:lang w:val="en"/>
                              </w:rPr>
                            </w:pPr>
                            <w:r w:rsidRPr="00E5512A">
                              <w:rPr>
                                <w:rFonts w:cstheme="minorHAnsi"/>
                                <w:b/>
                                <w:lang w:val="en"/>
                              </w:rPr>
                              <w:t xml:space="preserve">This consultation </w:t>
                            </w:r>
                            <w:r w:rsidRPr="00A83DFC">
                              <w:rPr>
                                <w:rFonts w:cstheme="minorHAnsi"/>
                                <w:b/>
                                <w:lang w:val="en"/>
                              </w:rPr>
                              <w:t xml:space="preserve">closes on </w:t>
                            </w:r>
                            <w:r w:rsidR="00A83DFC" w:rsidRPr="00A83DFC">
                              <w:rPr>
                                <w:rFonts w:cstheme="minorHAnsi"/>
                                <w:b/>
                                <w:lang w:val="en"/>
                              </w:rPr>
                              <w:t>29</w:t>
                            </w:r>
                            <w:r w:rsidR="003628F4" w:rsidRPr="00A83DFC">
                              <w:rPr>
                                <w:rFonts w:cstheme="minorHAnsi"/>
                                <w:b/>
                                <w:lang w:val="en"/>
                              </w:rPr>
                              <w:t xml:space="preserve"> September 2023</w:t>
                            </w:r>
                            <w:r w:rsidRPr="00A83DFC">
                              <w:rPr>
                                <w:rFonts w:cstheme="minorHAnsi"/>
                                <w:b/>
                                <w:lang w:val="en"/>
                              </w:rPr>
                              <w:t>.</w:t>
                            </w:r>
                          </w:p>
                          <w:p w14:paraId="085F45F4" w14:textId="77777777" w:rsidR="00685E72" w:rsidRPr="00E5512A" w:rsidRDefault="00685E72" w:rsidP="007D561C">
                            <w:pPr>
                              <w:spacing w:before="120" w:after="180" w:line="240" w:lineRule="atLeast"/>
                              <w:rPr>
                                <w:rFonts w:cstheme="minorHAnsi"/>
                              </w:rPr>
                            </w:pPr>
                            <w:r w:rsidRPr="00E5512A">
                              <w:rPr>
                                <w:rFonts w:cstheme="minorHAnsi"/>
                              </w:rPr>
                              <w:t>We aim to provide documents in an accessible format. If you're having problems using this document, please contact </w:t>
                            </w:r>
                            <w:hyperlink r:id="rId16" w:history="1">
                              <w:r w:rsidRPr="00E5512A">
                                <w:rPr>
                                  <w:rStyle w:val="Hyperlink"/>
                                  <w:rFonts w:asciiTheme="minorHAnsi" w:hAnsiTheme="minorHAnsi" w:cstheme="minorHAnsi"/>
                                </w:rPr>
                                <w:t>medicines.scheduling@health.gov.au</w:t>
                              </w:r>
                            </w:hyperlink>
                            <w:r w:rsidRPr="00E5512A">
                              <w:rPr>
                                <w:rFonts w:cstheme="minorHAnsi"/>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8822159" id="_x0000_t202" coordsize="21600,21600" o:spt="202" path="m,l,21600r21600,l21600,xe">
                <v:stroke joinstyle="miter"/>
                <v:path gradientshapeok="t" o:connecttype="rect"/>
              </v:shapetype>
              <v:shape id="Text Box 1" o:spid="_x0000_s1026" type="#_x0000_t202" style="position:absolute;margin-left:0;margin-top:68.75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" fillcolor="#c6d0e9" strokeweight=".5pt">
                <v:textbox style="mso-fit-shape-to-text:t">
                  <w:txbxContent>
                    <w:p w14:paraId="52B8CC47" w14:textId="69DC8A44" w:rsidR="00685E72" w:rsidRPr="00E5512A" w:rsidRDefault="00685E72" w:rsidP="007D561C">
                      <w:pPr>
                        <w:spacing w:before="120" w:after="180" w:line="240" w:lineRule="atLeast"/>
                        <w:rPr>
                          <w:rFonts w:cstheme="minorHAnsi"/>
                          <w:lang w:val="en"/>
                        </w:rPr>
                      </w:pPr>
                      <w:r w:rsidRPr="00E5512A">
                        <w:rPr>
                          <w:rFonts w:cstheme="minorHAnsi"/>
                        </w:rPr>
                        <w:t>Submissions should be provided through our</w:t>
                      </w:r>
                      <w:r w:rsidRPr="00E5512A">
                        <w:rPr>
                          <w:rFonts w:cstheme="minorHAnsi"/>
                          <w:lang w:val="en"/>
                        </w:rPr>
                        <w:t xml:space="preserve"> </w:t>
                      </w:r>
                      <w:hyperlink r:id="rId21" w:history="1">
                        <w:r w:rsidRPr="00E5512A">
                          <w:rPr>
                            <w:rStyle w:val="Hyperlink"/>
                            <w:rFonts w:asciiTheme="minorHAnsi" w:hAnsiTheme="minorHAnsi" w:cstheme="minorHAnsi"/>
                          </w:rPr>
                          <w:t>consultation hub</w:t>
                        </w:r>
                      </w:hyperlink>
                      <w:r w:rsidRPr="00E5512A">
                        <w:rPr>
                          <w:rFonts w:cstheme="minorHAnsi"/>
                          <w:lang w:val="en"/>
                        </w:rPr>
                        <w:t xml:space="preserve">. </w:t>
                      </w:r>
                      <w:r w:rsidRPr="00E5512A">
                        <w:rPr>
                          <w:rFonts w:cstheme="minorHAnsi"/>
                        </w:rPr>
                        <w:t>Any submission about any of the proposals to amend the Poisons Standard will be considered at the next meeting of the</w:t>
                      </w:r>
                      <w:r w:rsidRPr="00E5512A">
                        <w:rPr>
                          <w:rFonts w:cstheme="minorHAnsi"/>
                          <w:lang w:val="en"/>
                        </w:rPr>
                        <w:t xml:space="preserve"> </w:t>
                      </w:r>
                      <w:hyperlink r:id="rId22" w:history="1">
                        <w:r w:rsidRPr="00E5512A">
                          <w:rPr>
                            <w:rStyle w:val="Hyperlink"/>
                            <w:rFonts w:asciiTheme="minorHAnsi" w:hAnsiTheme="minorHAnsi" w:cstheme="minorHAnsi"/>
                          </w:rPr>
                          <w:t>Advisory Committee on Medicines Scheduling (ACMS)</w:t>
                        </w:r>
                      </w:hyperlink>
                      <w:r w:rsidRPr="00E5512A">
                        <w:rPr>
                          <w:rFonts w:cstheme="minorHAnsi"/>
                          <w:lang w:val="en"/>
                        </w:rPr>
                        <w:t xml:space="preserve">, </w:t>
                      </w:r>
                      <w:r w:rsidRPr="00E5512A">
                        <w:rPr>
                          <w:rFonts w:cstheme="minorHAnsi"/>
                        </w:rPr>
                        <w:t>meeting of the</w:t>
                      </w:r>
                      <w:r w:rsidRPr="00E5512A">
                        <w:rPr>
                          <w:rFonts w:cstheme="minorHAnsi"/>
                          <w:lang w:val="en"/>
                        </w:rPr>
                        <w:t xml:space="preserve"> </w:t>
                      </w:r>
                      <w:hyperlink r:id="rId23" w:history="1">
                        <w:r w:rsidRPr="00E5512A">
                          <w:rPr>
                            <w:rStyle w:val="Hyperlink"/>
                            <w:rFonts w:asciiTheme="minorHAnsi" w:hAnsiTheme="minorHAnsi" w:cstheme="minorHAnsi"/>
                          </w:rPr>
                          <w:t>Advisory Committee on Chemicals Scheduling (ACCS)</w:t>
                        </w:r>
                      </w:hyperlink>
                      <w:r w:rsidRPr="00E5512A">
                        <w:rPr>
                          <w:rFonts w:cstheme="minorHAnsi"/>
                          <w:lang w:val="en"/>
                        </w:rPr>
                        <w:t xml:space="preserve">, </w:t>
                      </w:r>
                      <w:r w:rsidRPr="00E5512A">
                        <w:rPr>
                          <w:rFonts w:cstheme="minorHAnsi"/>
                        </w:rPr>
                        <w:t>or a joint meeting of these two committees.</w:t>
                      </w:r>
                    </w:p>
                    <w:p w14:paraId="1681B090" w14:textId="41FFBEE5" w:rsidR="00685E72" w:rsidRPr="00E5512A" w:rsidRDefault="00685E72" w:rsidP="007D561C">
                      <w:pPr>
                        <w:spacing w:before="120" w:after="180" w:line="240" w:lineRule="atLeast"/>
                        <w:rPr>
                          <w:rFonts w:cstheme="minorHAnsi"/>
                          <w:b/>
                          <w:lang w:val="en"/>
                        </w:rPr>
                      </w:pPr>
                      <w:r w:rsidRPr="00E5512A">
                        <w:rPr>
                          <w:rFonts w:cstheme="minorHAnsi"/>
                          <w:b/>
                          <w:lang w:val="en"/>
                        </w:rPr>
                        <w:t xml:space="preserve">This consultation </w:t>
                      </w:r>
                      <w:r w:rsidRPr="00A83DFC">
                        <w:rPr>
                          <w:rFonts w:cstheme="minorHAnsi"/>
                          <w:b/>
                          <w:lang w:val="en"/>
                        </w:rPr>
                        <w:t xml:space="preserve">closes on </w:t>
                      </w:r>
                      <w:r w:rsidR="00A83DFC" w:rsidRPr="00A83DFC">
                        <w:rPr>
                          <w:rFonts w:cstheme="minorHAnsi"/>
                          <w:b/>
                          <w:lang w:val="en"/>
                        </w:rPr>
                        <w:t>29</w:t>
                      </w:r>
                      <w:r w:rsidR="003628F4" w:rsidRPr="00A83DFC">
                        <w:rPr>
                          <w:rFonts w:cstheme="minorHAnsi"/>
                          <w:b/>
                          <w:lang w:val="en"/>
                        </w:rPr>
                        <w:t xml:space="preserve"> September 2023</w:t>
                      </w:r>
                      <w:r w:rsidRPr="00A83DFC">
                        <w:rPr>
                          <w:rFonts w:cstheme="minorHAnsi"/>
                          <w:b/>
                          <w:lang w:val="en"/>
                        </w:rPr>
                        <w:t>.</w:t>
                      </w:r>
                    </w:p>
                    <w:p w14:paraId="085F45F4" w14:textId="77777777" w:rsidR="00685E72" w:rsidRPr="00E5512A" w:rsidRDefault="00685E72" w:rsidP="007D561C">
                      <w:pPr>
                        <w:spacing w:before="120" w:after="180" w:line="240" w:lineRule="atLeast"/>
                        <w:rPr>
                          <w:rFonts w:cstheme="minorHAnsi"/>
                        </w:rPr>
                      </w:pPr>
                      <w:r w:rsidRPr="00E5512A">
                        <w:rPr>
                          <w:rFonts w:cstheme="minorHAnsi"/>
                        </w:rPr>
                        <w:t>We aim to provide documents in an accessible format. If you're having problems using this document, please contact </w:t>
                      </w:r>
                      <w:hyperlink r:id="rId24" w:history="1">
                        <w:r w:rsidRPr="00E5512A">
                          <w:rPr>
                            <w:rStyle w:val="Hyperlink"/>
                            <w:rFonts w:asciiTheme="minorHAnsi" w:hAnsiTheme="minorHAnsi" w:cstheme="minorHAnsi"/>
                          </w:rPr>
                          <w:t>medicines.scheduling@health.gov.au</w:t>
                        </w:r>
                      </w:hyperlink>
                      <w:r w:rsidRPr="00E5512A">
                        <w:rPr>
                          <w:rFonts w:cstheme="minorHAnsi"/>
                        </w:rPr>
                        <w:t>.</w:t>
                      </w:r>
                    </w:p>
                  </w:txbxContent>
                </v:textbox>
                <w10:wrap type="square" anchorx="margin"/>
              </v:shape>
            </w:pict>
          </mc:Fallback>
        </mc:AlternateContent>
      </w:r>
      <w:r w:rsidRPr="00796620">
        <w:rPr>
          <w:rFonts w:cstheme="minorHAnsi"/>
        </w:rPr>
        <w:t xml:space="preserve">In accordance with regulation 42ZCZK of the Regulations, the Secretary invites public submissions on scheduling proposals referred to the </w:t>
      </w:r>
      <w:r w:rsidR="002327B4" w:rsidRPr="0072362E">
        <w:rPr>
          <w:rFonts w:cstheme="minorHAnsi"/>
        </w:rPr>
        <w:t>November 2023</w:t>
      </w:r>
      <w:r w:rsidR="002327B4" w:rsidRPr="00796620">
        <w:rPr>
          <w:rFonts w:cstheme="minorHAnsi"/>
          <w:b/>
          <w:bCs/>
        </w:rPr>
        <w:t xml:space="preserve"> </w:t>
      </w:r>
      <w:r w:rsidRPr="00796620">
        <w:rPr>
          <w:rFonts w:cstheme="minorHAnsi"/>
        </w:rPr>
        <w:t>meeting</w:t>
      </w:r>
      <w:r w:rsidR="00343CFA" w:rsidRPr="00796620">
        <w:rPr>
          <w:rFonts w:cstheme="minorHAnsi"/>
        </w:rPr>
        <w:t>s</w:t>
      </w:r>
      <w:r w:rsidRPr="00796620">
        <w:rPr>
          <w:rFonts w:cstheme="minorHAnsi"/>
        </w:rPr>
        <w:t xml:space="preserve"> of the Advisory Committee on </w:t>
      </w:r>
      <w:r w:rsidRPr="0072362E">
        <w:rPr>
          <w:rFonts w:cstheme="minorHAnsi"/>
        </w:rPr>
        <w:t>Medicines</w:t>
      </w:r>
      <w:r w:rsidR="00343CFA" w:rsidRPr="0072362E">
        <w:rPr>
          <w:rFonts w:cstheme="minorHAnsi"/>
        </w:rPr>
        <w:t xml:space="preserve"> and </w:t>
      </w:r>
      <w:r w:rsidRPr="0072362E">
        <w:rPr>
          <w:rFonts w:cstheme="minorHAnsi"/>
        </w:rPr>
        <w:t>Chemicals</w:t>
      </w:r>
      <w:r w:rsidR="00343CFA" w:rsidRPr="00796620">
        <w:rPr>
          <w:rFonts w:cstheme="minorHAnsi"/>
        </w:rPr>
        <w:t xml:space="preserve"> </w:t>
      </w:r>
      <w:r w:rsidRPr="00796620">
        <w:rPr>
          <w:rFonts w:cstheme="minorHAnsi"/>
        </w:rPr>
        <w:t>Scheduling</w:t>
      </w:r>
      <w:r w:rsidR="00343CFA" w:rsidRPr="00796620">
        <w:rPr>
          <w:rFonts w:cstheme="minorHAnsi"/>
        </w:rPr>
        <w:t xml:space="preserve">. </w:t>
      </w:r>
      <w:r w:rsidRPr="00796620">
        <w:rPr>
          <w:rFonts w:cstheme="minorHAnsi"/>
        </w:rPr>
        <w:t xml:space="preserve">Submissions must be received by close of </w:t>
      </w:r>
      <w:r w:rsidRPr="00A83DFC">
        <w:rPr>
          <w:rFonts w:cstheme="minorHAnsi"/>
        </w:rPr>
        <w:t>business </w:t>
      </w:r>
      <w:r w:rsidR="00A83DFC" w:rsidRPr="00A83DFC">
        <w:rPr>
          <w:rFonts w:cstheme="minorHAnsi"/>
          <w:b/>
          <w:lang w:val="en"/>
        </w:rPr>
        <w:t>29</w:t>
      </w:r>
      <w:r w:rsidR="00343CFA" w:rsidRPr="00A83DFC">
        <w:rPr>
          <w:rFonts w:cstheme="minorHAnsi"/>
          <w:b/>
          <w:lang w:val="en"/>
        </w:rPr>
        <w:t xml:space="preserve"> September 2023. </w:t>
      </w:r>
    </w:p>
    <w:p w14:paraId="467458DE" w14:textId="583BFA4C" w:rsidR="00685E72" w:rsidRDefault="00685E72" w:rsidP="00685E72"/>
    <w:bookmarkEnd w:id="5"/>
    <w:bookmarkEnd w:id="6"/>
    <w:bookmarkEnd w:id="7"/>
    <w:p w14:paraId="40CD998C" w14:textId="77777777" w:rsidR="00685E72" w:rsidRDefault="00685E72">
      <w:pPr>
        <w:rPr>
          <w:rFonts w:ascii="Arial" w:eastAsia="Cambria" w:hAnsi="Arial" w:cs="Times New Roman"/>
          <w:b/>
          <w:color w:val="001871"/>
          <w:sz w:val="38"/>
        </w:rPr>
      </w:pPr>
      <w:r>
        <w:br w:type="page"/>
      </w:r>
    </w:p>
    <w:p w14:paraId="4E968656" w14:textId="6540B56E" w:rsidR="00685E72" w:rsidRDefault="001D5CC5" w:rsidP="00EB1099">
      <w:pPr>
        <w:pStyle w:val="Heading2"/>
        <w:ind w:left="720" w:hanging="720"/>
      </w:pPr>
      <w:bookmarkStart w:id="8" w:name="_Toc144110829"/>
      <w:bookmarkStart w:id="9" w:name="_Hlk139892366"/>
      <w:r>
        <w:t>1</w:t>
      </w:r>
      <w:r>
        <w:tab/>
      </w:r>
      <w:r w:rsidR="00685E72">
        <w:t>Proposed amendment</w:t>
      </w:r>
      <w:r w:rsidR="000416C1">
        <w:t>s</w:t>
      </w:r>
      <w:r w:rsidR="00685E72">
        <w:t xml:space="preserve"> referred for scheduling advice to ACMS meeting #</w:t>
      </w:r>
      <w:r w:rsidR="002327B4">
        <w:t>43</w:t>
      </w:r>
      <w:r w:rsidR="007E0F88">
        <w:t>, November 2023</w:t>
      </w:r>
      <w:bookmarkEnd w:id="8"/>
    </w:p>
    <w:p w14:paraId="2A326509" w14:textId="3C97EF75" w:rsidR="00586A6E" w:rsidRPr="00586A6E" w:rsidRDefault="001D5CC5" w:rsidP="00F2313E">
      <w:pPr>
        <w:pStyle w:val="Heading3"/>
      </w:pPr>
      <w:bookmarkStart w:id="10" w:name="_Toc144110830"/>
      <w:r>
        <w:t>1.1</w:t>
      </w:r>
      <w:r>
        <w:tab/>
      </w:r>
      <w:r w:rsidR="00586A6E">
        <w:t>Astodrimer sodium</w:t>
      </w:r>
      <w:bookmarkEnd w:id="10"/>
    </w:p>
    <w:p w14:paraId="21575F17" w14:textId="77777777" w:rsidR="00685E72" w:rsidRDefault="00685E72" w:rsidP="00685E72">
      <w:pPr>
        <w:pStyle w:val="Heading4"/>
      </w:pPr>
      <w:bookmarkStart w:id="11" w:name="_Toc122614215"/>
      <w:bookmarkStart w:id="12" w:name="_Toc144110831"/>
      <w:r>
        <w:t>Proposal</w:t>
      </w:r>
      <w:bookmarkEnd w:id="11"/>
      <w:bookmarkEnd w:id="12"/>
    </w:p>
    <w:p w14:paraId="106F6FE6" w14:textId="7FD94CA7" w:rsidR="00B05BCF" w:rsidRPr="007A3B6C" w:rsidRDefault="00B05BCF" w:rsidP="00DF0A9C">
      <w:bookmarkStart w:id="13" w:name="_Toc122614216"/>
      <w:r w:rsidRPr="007A3B6C">
        <w:t xml:space="preserve">The applicant has proposed an amendment of the Schedule 3 entry relating to </w:t>
      </w:r>
      <w:r w:rsidR="000A63B2">
        <w:t>a</w:t>
      </w:r>
      <w:r w:rsidRPr="007A3B6C">
        <w:t xml:space="preserve">stodrimer sodium. The proposed amendment would exempt </w:t>
      </w:r>
      <w:r w:rsidR="000A63B2">
        <w:t>a</w:t>
      </w:r>
      <w:r w:rsidRPr="007A3B6C">
        <w:t>stodrimer sodium from scheduling when in a barrier nasal spray preparation. Astodrimer sodium is currently approved for use as an active ingredient in medical devices only.</w:t>
      </w:r>
    </w:p>
    <w:p w14:paraId="688C1F49" w14:textId="4E5EAFC2" w:rsidR="00685E72" w:rsidRDefault="00685E72" w:rsidP="00685E72">
      <w:pPr>
        <w:pStyle w:val="Heading4"/>
      </w:pPr>
      <w:bookmarkStart w:id="14" w:name="_Toc144110832"/>
      <w:r>
        <w:t>CAS number</w:t>
      </w:r>
      <w:bookmarkEnd w:id="13"/>
      <w:bookmarkEnd w:id="14"/>
    </w:p>
    <w:p w14:paraId="6299252F" w14:textId="22B9A7C1" w:rsidR="00685E72" w:rsidRPr="007E0F88" w:rsidRDefault="00E63FCC" w:rsidP="00DF0A9C">
      <w:r w:rsidRPr="007E0F88">
        <w:t xml:space="preserve">676271-69-5 </w:t>
      </w:r>
    </w:p>
    <w:p w14:paraId="28346AF8" w14:textId="77777777" w:rsidR="00685E72" w:rsidRDefault="00685E72" w:rsidP="00685E72">
      <w:pPr>
        <w:pStyle w:val="Heading4"/>
      </w:pPr>
      <w:bookmarkStart w:id="15" w:name="_Toc122614217"/>
      <w:bookmarkStart w:id="16" w:name="_Toc144110833"/>
      <w:r>
        <w:t>Alternative names</w:t>
      </w:r>
      <w:bookmarkEnd w:id="15"/>
      <w:bookmarkEnd w:id="16"/>
    </w:p>
    <w:p w14:paraId="7787FAF4" w14:textId="0E3E06FD" w:rsidR="00E63FCC" w:rsidRPr="007E0F88" w:rsidRDefault="00E63FCC" w:rsidP="0072362E">
      <w:bookmarkStart w:id="17" w:name="_Toc122614218"/>
      <w:r w:rsidRPr="007E0F88">
        <w:t>2, 6-Bis-{(1-napthalenyl-3,6-disulfonic acid)-oxyacetamido}-2,6-bis-2,6-bis-2,6-bis-(2,6-diamino-hexanoylamino)-2,6-diamino-hexanoic acid (diphenylmethyl)-amide, polysodium salt</w:t>
      </w:r>
      <w:r w:rsidR="00687F35">
        <w:t xml:space="preserve">; </w:t>
      </w:r>
      <w:r w:rsidRPr="007E0F88">
        <w:t>SPL</w:t>
      </w:r>
      <w:r w:rsidR="00B05BCF" w:rsidRPr="007E0F88">
        <w:t>7</w:t>
      </w:r>
      <w:r w:rsidRPr="007E0F88">
        <w:t>013</w:t>
      </w:r>
    </w:p>
    <w:p w14:paraId="2784E917" w14:textId="405C6529" w:rsidR="007144AC" w:rsidRPr="007144AC" w:rsidRDefault="00685E72" w:rsidP="00E521E0">
      <w:pPr>
        <w:pStyle w:val="Heading4"/>
      </w:pPr>
      <w:bookmarkStart w:id="18" w:name="_Toc144110834"/>
      <w:r>
        <w:t>Applicant</w:t>
      </w:r>
      <w:bookmarkEnd w:id="17"/>
      <w:bookmarkEnd w:id="18"/>
    </w:p>
    <w:p w14:paraId="29DCA2A0" w14:textId="316ADB0E" w:rsidR="00E521E0" w:rsidRPr="00A35340" w:rsidRDefault="00E63FCC" w:rsidP="00A35340">
      <w:pPr>
        <w:spacing w:after="0"/>
      </w:pPr>
      <w:r w:rsidRPr="007E0F88">
        <w:t>Private applicant</w:t>
      </w:r>
    </w:p>
    <w:p w14:paraId="6A71BF2A" w14:textId="6B626826" w:rsidR="00685E72" w:rsidRDefault="00685E72" w:rsidP="00685E72">
      <w:pPr>
        <w:pStyle w:val="Heading4"/>
      </w:pPr>
      <w:bookmarkStart w:id="19" w:name="_Toc122614219"/>
      <w:bookmarkStart w:id="20" w:name="_Toc144110835"/>
      <w:r>
        <w:t>Proposed Scheduling</w:t>
      </w:r>
      <w:bookmarkEnd w:id="19"/>
      <w:bookmarkEnd w:id="20"/>
    </w:p>
    <w:p w14:paraId="39425F42" w14:textId="7A35FB8E" w:rsidR="00A35340" w:rsidRPr="00A35340" w:rsidRDefault="00A35340" w:rsidP="00A35340">
      <w:r w:rsidRPr="007E0F88">
        <w:t>Astodrimer sodium is currently listed in Schedule 3, Appendix F and Appendix H of the Poisons Standard.</w:t>
      </w:r>
    </w:p>
    <w:p w14:paraId="031498E0" w14:textId="65E9051B" w:rsidR="00685E72" w:rsidRPr="0072362E" w:rsidRDefault="00685E72" w:rsidP="0072362E">
      <w:r w:rsidRPr="0072362E">
        <w:t xml:space="preserve">The </w:t>
      </w:r>
      <w:r w:rsidRPr="006B6406">
        <w:t xml:space="preserve">applicant’s </w:t>
      </w:r>
      <w:r w:rsidRPr="0072362E">
        <w:t>proposed amendments to the Poisons Standard are</w:t>
      </w:r>
      <w:r w:rsidR="00691A9C">
        <w:t>:</w:t>
      </w:r>
      <w:r w:rsidRPr="0072362E">
        <w:rPr>
          <w:rStyle w:val="FootnoteReference"/>
          <w:rFonts w:ascii="Cambria" w:hAnsi="Cambria"/>
          <w:bCs/>
        </w:rPr>
        <w:footnoteReference w:id="1"/>
      </w:r>
    </w:p>
    <w:p w14:paraId="48397CC7" w14:textId="2E23BD1C" w:rsidR="00685E72" w:rsidRPr="00E5512A" w:rsidRDefault="00685E72">
      <w:pPr>
        <w:ind w:left="426"/>
        <w:rPr>
          <w:b/>
          <w:bCs/>
        </w:rPr>
      </w:pPr>
      <w:r w:rsidRPr="00E5512A">
        <w:rPr>
          <w:b/>
          <w:bCs/>
        </w:rPr>
        <w:t xml:space="preserve">Schedule </w:t>
      </w:r>
      <w:r w:rsidR="00717F6A" w:rsidRPr="00E5512A">
        <w:rPr>
          <w:b/>
          <w:bCs/>
        </w:rPr>
        <w:t>3</w:t>
      </w:r>
      <w:r w:rsidRPr="00E5512A">
        <w:rPr>
          <w:b/>
          <w:bCs/>
        </w:rPr>
        <w:t xml:space="preserve"> – Amend Entry</w:t>
      </w:r>
    </w:p>
    <w:p w14:paraId="6074A8FF" w14:textId="785C278F" w:rsidR="00685E72" w:rsidRPr="007E0F88" w:rsidRDefault="00717F6A" w:rsidP="0072362E">
      <w:pPr>
        <w:ind w:left="709"/>
      </w:pPr>
      <w:r w:rsidRPr="006B6406">
        <w:t xml:space="preserve">ASTODRIMER SODIUM except </w:t>
      </w:r>
      <w:r w:rsidRPr="007E0F88">
        <w:rPr>
          <w:color w:val="00B050"/>
          <w:u w:val="single"/>
        </w:rPr>
        <w:t>when used</w:t>
      </w:r>
      <w:r w:rsidRPr="007E0F88">
        <w:rPr>
          <w:color w:val="00B050"/>
        </w:rPr>
        <w:t xml:space="preserve"> </w:t>
      </w:r>
      <w:r w:rsidRPr="006B6406">
        <w:t>in:</w:t>
      </w:r>
    </w:p>
    <w:p w14:paraId="02668214" w14:textId="0B11D2C6" w:rsidR="00717F6A" w:rsidRPr="00A35340" w:rsidRDefault="00717F6A" w:rsidP="004C7298">
      <w:pPr>
        <w:pStyle w:val="ListParagraph"/>
        <w:numPr>
          <w:ilvl w:val="0"/>
          <w:numId w:val="64"/>
        </w:numPr>
        <w:ind w:left="1276"/>
        <w:rPr>
          <w:rFonts w:asciiTheme="minorHAnsi" w:hAnsiTheme="minorHAnsi" w:cstheme="minorHAnsi"/>
        </w:rPr>
      </w:pPr>
      <w:r w:rsidRPr="00A35340">
        <w:rPr>
          <w:rFonts w:asciiTheme="minorHAnsi" w:hAnsiTheme="minorHAnsi" w:cstheme="minorHAnsi"/>
        </w:rPr>
        <w:t>a condom lubricant</w:t>
      </w:r>
      <w:r w:rsidR="005773EB" w:rsidRPr="00A35340">
        <w:rPr>
          <w:rFonts w:asciiTheme="minorHAnsi" w:hAnsiTheme="minorHAnsi" w:cstheme="minorHAnsi"/>
          <w:color w:val="00B050"/>
          <w:u w:val="single"/>
        </w:rPr>
        <w:t>; or</w:t>
      </w:r>
    </w:p>
    <w:p w14:paraId="5382B371" w14:textId="37F3E287" w:rsidR="00717F6A" w:rsidRPr="00A35340" w:rsidRDefault="005773EB" w:rsidP="004C7298">
      <w:pPr>
        <w:pStyle w:val="ListParagraph"/>
        <w:numPr>
          <w:ilvl w:val="0"/>
          <w:numId w:val="64"/>
        </w:numPr>
        <w:ind w:left="1276"/>
        <w:rPr>
          <w:rFonts w:asciiTheme="minorHAnsi" w:hAnsiTheme="minorHAnsi" w:cstheme="minorHAnsi"/>
          <w:color w:val="00B050"/>
          <w:u w:val="single"/>
        </w:rPr>
      </w:pPr>
      <w:r w:rsidRPr="00A35340">
        <w:rPr>
          <w:rFonts w:asciiTheme="minorHAnsi" w:hAnsiTheme="minorHAnsi" w:cstheme="minorHAnsi"/>
          <w:color w:val="00B050"/>
          <w:u w:val="single"/>
        </w:rPr>
        <w:t>a barrier nasal spray</w:t>
      </w:r>
      <w:r w:rsidR="0007591A" w:rsidRPr="0007591A">
        <w:rPr>
          <w:rFonts w:asciiTheme="minorHAnsi" w:hAnsiTheme="minorHAnsi" w:cstheme="minorHAnsi"/>
        </w:rPr>
        <w:t>.</w:t>
      </w:r>
    </w:p>
    <w:p w14:paraId="0B88297E" w14:textId="76E88317" w:rsidR="00685E72" w:rsidRPr="00E5512A" w:rsidRDefault="00685E72" w:rsidP="00E5512A">
      <w:pPr>
        <w:ind w:left="426"/>
        <w:rPr>
          <w:b/>
          <w:bCs/>
        </w:rPr>
      </w:pPr>
      <w:r w:rsidRPr="00E5512A">
        <w:rPr>
          <w:b/>
          <w:bCs/>
        </w:rPr>
        <w:t>Index</w:t>
      </w:r>
    </w:p>
    <w:p w14:paraId="4CE81D3D" w14:textId="77777777" w:rsidR="00C34837" w:rsidRDefault="005773EB" w:rsidP="0072362E">
      <w:pPr>
        <w:ind w:left="709"/>
      </w:pPr>
      <w:bookmarkStart w:id="21" w:name="_Toc122614220"/>
      <w:r w:rsidRPr="00717F6A">
        <w:t>ASTODRIMER SODIUM</w:t>
      </w:r>
    </w:p>
    <w:p w14:paraId="04A1F487" w14:textId="0FA097CC" w:rsidR="00AB4D39" w:rsidRDefault="005773EB" w:rsidP="0072362E">
      <w:pPr>
        <w:ind w:left="709"/>
      </w:pPr>
      <w:r w:rsidRPr="007E0F88">
        <w:t xml:space="preserve">Schedule 3 </w:t>
      </w:r>
      <w:r w:rsidR="00AB4D39" w:rsidRPr="007E0F88">
        <w:br/>
        <w:t xml:space="preserve">Appendix F, clause 4 </w:t>
      </w:r>
      <w:r w:rsidR="00AB4D39" w:rsidRPr="007E0F88">
        <w:br/>
        <w:t>Appendix H, clause 1</w:t>
      </w:r>
    </w:p>
    <w:p w14:paraId="245D6979" w14:textId="21898084" w:rsidR="009F285A" w:rsidRDefault="005773EB" w:rsidP="0072362E">
      <w:pPr>
        <w:ind w:left="426"/>
      </w:pPr>
      <w:r w:rsidRPr="0072362E">
        <w:rPr>
          <w:b/>
          <w:bCs/>
        </w:rPr>
        <w:t>Appendix F, clause 4</w:t>
      </w:r>
      <w:r w:rsidR="009F285A">
        <w:t xml:space="preserve"> </w:t>
      </w:r>
      <w:r w:rsidR="00BA7703">
        <w:t xml:space="preserve">– </w:t>
      </w:r>
      <w:r w:rsidR="00BA7703" w:rsidRPr="007E0F88">
        <w:t xml:space="preserve">Poisons that must be labelled with warning statements and safety </w:t>
      </w:r>
      <w:r w:rsidR="00800740" w:rsidRPr="007E0F88">
        <w:t>directions.</w:t>
      </w:r>
      <w:r w:rsidR="00BA7703">
        <w:t xml:space="preserve"> </w:t>
      </w:r>
    </w:p>
    <w:tbl>
      <w:tblPr>
        <w:tblStyle w:val="TableTGAblue"/>
        <w:tblW w:w="8646" w:type="dxa"/>
        <w:tblInd w:w="416" w:type="dxa"/>
        <w:tblLook w:val="04A0" w:firstRow="1" w:lastRow="0" w:firstColumn="1" w:lastColumn="0" w:noHBand="0" w:noVBand="1"/>
      </w:tblPr>
      <w:tblGrid>
        <w:gridCol w:w="699"/>
        <w:gridCol w:w="3260"/>
        <w:gridCol w:w="4687"/>
      </w:tblGrid>
      <w:tr w:rsidR="009F285A" w:rsidRPr="00687F35" w14:paraId="17D2B074" w14:textId="77777777" w:rsidTr="00723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14:paraId="14ACA5ED" w14:textId="616C5A68" w:rsidR="009F285A" w:rsidRPr="0072362E" w:rsidRDefault="009F285A" w:rsidP="00687F35">
            <w:pPr>
              <w:spacing w:before="60" w:after="60"/>
              <w:rPr>
                <w:rFonts w:asciiTheme="minorHAnsi" w:hAnsiTheme="minorHAnsi" w:cstheme="minorHAnsi"/>
                <w:sz w:val="20"/>
                <w:szCs w:val="20"/>
              </w:rPr>
            </w:pPr>
            <w:r w:rsidRPr="00687F35">
              <w:rPr>
                <w:rFonts w:asciiTheme="minorHAnsi" w:hAnsiTheme="minorHAnsi" w:cstheme="minorHAnsi"/>
                <w:sz w:val="20"/>
                <w:szCs w:val="20"/>
              </w:rPr>
              <w:t>Item</w:t>
            </w:r>
          </w:p>
        </w:tc>
        <w:tc>
          <w:tcPr>
            <w:tcW w:w="3260" w:type="dxa"/>
          </w:tcPr>
          <w:p w14:paraId="3E662A86" w14:textId="1C3D76D0" w:rsidR="009F285A" w:rsidRPr="0072362E" w:rsidRDefault="009F285A" w:rsidP="00687F35">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87F35">
              <w:rPr>
                <w:rFonts w:asciiTheme="minorHAnsi" w:hAnsiTheme="minorHAnsi" w:cstheme="minorHAnsi"/>
                <w:sz w:val="20"/>
                <w:szCs w:val="20"/>
              </w:rPr>
              <w:t>Poison</w:t>
            </w:r>
          </w:p>
        </w:tc>
        <w:tc>
          <w:tcPr>
            <w:tcW w:w="4687" w:type="dxa"/>
          </w:tcPr>
          <w:p w14:paraId="707A1DB6" w14:textId="4A82E1B9" w:rsidR="009F285A" w:rsidRPr="0072362E" w:rsidRDefault="009F285A" w:rsidP="00687F35">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87F35">
              <w:rPr>
                <w:rFonts w:asciiTheme="minorHAnsi" w:hAnsiTheme="minorHAnsi" w:cstheme="minorHAnsi"/>
                <w:sz w:val="20"/>
                <w:szCs w:val="20"/>
              </w:rPr>
              <w:t xml:space="preserve">Warning statement </w:t>
            </w:r>
          </w:p>
        </w:tc>
      </w:tr>
      <w:tr w:rsidR="00BA7703" w:rsidRPr="00687F35" w14:paraId="008B42E6" w14:textId="77777777" w:rsidTr="0072362E">
        <w:trPr>
          <w:trHeight w:val="135"/>
        </w:trPr>
        <w:tc>
          <w:tcPr>
            <w:cnfStyle w:val="001000000000" w:firstRow="0" w:lastRow="0" w:firstColumn="1" w:lastColumn="0" w:oddVBand="0" w:evenVBand="0" w:oddHBand="0" w:evenHBand="0" w:firstRowFirstColumn="0" w:firstRowLastColumn="0" w:lastRowFirstColumn="0" w:lastRowLastColumn="0"/>
            <w:tcW w:w="699" w:type="dxa"/>
            <w:vMerge w:val="restart"/>
          </w:tcPr>
          <w:p w14:paraId="08C803D2" w14:textId="5DEFB895" w:rsidR="00BA7703" w:rsidRPr="0072362E" w:rsidRDefault="00BA7703" w:rsidP="00687F35">
            <w:pPr>
              <w:spacing w:before="60" w:after="60"/>
              <w:rPr>
                <w:rFonts w:asciiTheme="minorHAnsi" w:hAnsiTheme="minorHAnsi" w:cstheme="minorHAnsi"/>
                <w:sz w:val="20"/>
                <w:szCs w:val="20"/>
              </w:rPr>
            </w:pPr>
            <w:r w:rsidRPr="00687F35">
              <w:rPr>
                <w:rFonts w:asciiTheme="minorHAnsi" w:hAnsiTheme="minorHAnsi" w:cstheme="minorHAnsi"/>
                <w:sz w:val="20"/>
                <w:szCs w:val="20"/>
              </w:rPr>
              <w:t>30</w:t>
            </w:r>
          </w:p>
        </w:tc>
        <w:tc>
          <w:tcPr>
            <w:tcW w:w="3260" w:type="dxa"/>
            <w:vMerge w:val="restart"/>
          </w:tcPr>
          <w:p w14:paraId="7C47532C" w14:textId="7D948064" w:rsidR="00BA7703" w:rsidRPr="00687F35" w:rsidRDefault="00BA7703" w:rsidP="00687F3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87F35">
              <w:rPr>
                <w:rFonts w:asciiTheme="minorHAnsi" w:hAnsiTheme="minorHAnsi" w:cstheme="minorHAnsi"/>
                <w:sz w:val="20"/>
                <w:szCs w:val="20"/>
              </w:rPr>
              <w:t>ASTODRIMER SODIUM – for the treatment and relief of bacterial vaginosis</w:t>
            </w:r>
          </w:p>
        </w:tc>
        <w:tc>
          <w:tcPr>
            <w:tcW w:w="4687" w:type="dxa"/>
          </w:tcPr>
          <w:p w14:paraId="574EAE8D" w14:textId="27DEC9FE" w:rsidR="00BA7703" w:rsidRPr="00687F35" w:rsidRDefault="00BA7703" w:rsidP="00687F3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362E">
              <w:rPr>
                <w:rFonts w:cstheme="minorHAnsi"/>
                <w:b/>
                <w:bCs/>
                <w:sz w:val="20"/>
              </w:rPr>
              <w:t>63</w:t>
            </w:r>
            <w:r w:rsidRPr="00687F35">
              <w:rPr>
                <w:rFonts w:asciiTheme="minorHAnsi" w:hAnsiTheme="minorHAnsi" w:cstheme="minorHAnsi"/>
                <w:sz w:val="20"/>
                <w:szCs w:val="20"/>
              </w:rPr>
              <w:t xml:space="preserve"> – See a doctor (or) (dentist) if no better after (Insert number of days as approved Product Information) days. </w:t>
            </w:r>
          </w:p>
        </w:tc>
      </w:tr>
      <w:tr w:rsidR="00BA7703" w:rsidRPr="00687F35" w14:paraId="7C1820AE" w14:textId="77777777" w:rsidTr="0072362E">
        <w:trPr>
          <w:trHeight w:val="135"/>
        </w:trPr>
        <w:tc>
          <w:tcPr>
            <w:cnfStyle w:val="001000000000" w:firstRow="0" w:lastRow="0" w:firstColumn="1" w:lastColumn="0" w:oddVBand="0" w:evenVBand="0" w:oddHBand="0" w:evenHBand="0" w:firstRowFirstColumn="0" w:firstRowLastColumn="0" w:lastRowFirstColumn="0" w:lastRowLastColumn="0"/>
            <w:tcW w:w="699" w:type="dxa"/>
            <w:vMerge/>
          </w:tcPr>
          <w:p w14:paraId="6606B53F" w14:textId="77777777" w:rsidR="00BA7703" w:rsidRPr="00687F35" w:rsidRDefault="00BA7703" w:rsidP="00687F35">
            <w:pPr>
              <w:spacing w:before="60" w:after="60"/>
              <w:rPr>
                <w:rFonts w:asciiTheme="minorHAnsi" w:hAnsiTheme="minorHAnsi" w:cstheme="minorHAnsi"/>
                <w:sz w:val="20"/>
                <w:szCs w:val="20"/>
              </w:rPr>
            </w:pPr>
          </w:p>
        </w:tc>
        <w:tc>
          <w:tcPr>
            <w:tcW w:w="3260" w:type="dxa"/>
            <w:vMerge/>
          </w:tcPr>
          <w:p w14:paraId="2A6414CB" w14:textId="77777777" w:rsidR="00BA7703" w:rsidRPr="00687F35" w:rsidRDefault="00BA7703" w:rsidP="00687F3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4687" w:type="dxa"/>
          </w:tcPr>
          <w:p w14:paraId="5C7E8098" w14:textId="7E40B3E5" w:rsidR="00BA7703" w:rsidRPr="00687F35" w:rsidRDefault="00BA7703" w:rsidP="00687F3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362E">
              <w:rPr>
                <w:rFonts w:cstheme="minorHAnsi"/>
                <w:b/>
                <w:bCs/>
                <w:sz w:val="20"/>
              </w:rPr>
              <w:t>64</w:t>
            </w:r>
            <w:r w:rsidRPr="00687F35">
              <w:rPr>
                <w:rFonts w:asciiTheme="minorHAnsi" w:hAnsiTheme="minorHAnsi" w:cstheme="minorHAnsi"/>
                <w:sz w:val="20"/>
                <w:szCs w:val="20"/>
              </w:rPr>
              <w:t xml:space="preserve"> – If getting better, keep using for (Insert number of days as per approved Product Information) days. </w:t>
            </w:r>
          </w:p>
        </w:tc>
      </w:tr>
      <w:tr w:rsidR="00BA7703" w:rsidRPr="00687F35" w14:paraId="03D689FE" w14:textId="77777777" w:rsidTr="0072362E">
        <w:trPr>
          <w:trHeight w:val="135"/>
        </w:trPr>
        <w:tc>
          <w:tcPr>
            <w:cnfStyle w:val="001000000000" w:firstRow="0" w:lastRow="0" w:firstColumn="1" w:lastColumn="0" w:oddVBand="0" w:evenVBand="0" w:oddHBand="0" w:evenHBand="0" w:firstRowFirstColumn="0" w:firstRowLastColumn="0" w:lastRowFirstColumn="0" w:lastRowLastColumn="0"/>
            <w:tcW w:w="699" w:type="dxa"/>
            <w:vMerge/>
          </w:tcPr>
          <w:p w14:paraId="44AAAEC5" w14:textId="77777777" w:rsidR="00BA7703" w:rsidRPr="00687F35" w:rsidRDefault="00BA7703" w:rsidP="00687F35">
            <w:pPr>
              <w:spacing w:before="60" w:after="60"/>
              <w:rPr>
                <w:rFonts w:asciiTheme="minorHAnsi" w:hAnsiTheme="minorHAnsi" w:cstheme="minorHAnsi"/>
                <w:sz w:val="20"/>
                <w:szCs w:val="20"/>
              </w:rPr>
            </w:pPr>
          </w:p>
        </w:tc>
        <w:tc>
          <w:tcPr>
            <w:tcW w:w="3260" w:type="dxa"/>
            <w:vMerge/>
          </w:tcPr>
          <w:p w14:paraId="62FF8345" w14:textId="77777777" w:rsidR="00BA7703" w:rsidRPr="00687F35" w:rsidRDefault="00BA7703" w:rsidP="00687F3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4687" w:type="dxa"/>
          </w:tcPr>
          <w:p w14:paraId="7F5BE7BF" w14:textId="7A3A1FA5" w:rsidR="00BA7703" w:rsidRPr="00687F35" w:rsidRDefault="00BA7703" w:rsidP="00687F35">
            <w:pPr>
              <w:spacing w:before="60" w:after="60"/>
              <w:ind w:right="-11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362E">
              <w:rPr>
                <w:rFonts w:cstheme="minorHAnsi"/>
                <w:b/>
                <w:bCs/>
                <w:sz w:val="20"/>
              </w:rPr>
              <w:t>69</w:t>
            </w:r>
            <w:r w:rsidRPr="00687F35">
              <w:rPr>
                <w:rFonts w:asciiTheme="minorHAnsi" w:hAnsiTheme="minorHAnsi" w:cstheme="minorHAnsi"/>
                <w:sz w:val="20"/>
                <w:szCs w:val="20"/>
              </w:rPr>
              <w:t xml:space="preserve"> – If symptoms recur within two weeks of completing the course, consult a doctor. </w:t>
            </w:r>
          </w:p>
        </w:tc>
      </w:tr>
      <w:tr w:rsidR="00BA7703" w:rsidRPr="00687F35" w14:paraId="28E3CA3A" w14:textId="77777777" w:rsidTr="0072362E">
        <w:trPr>
          <w:trHeight w:val="135"/>
        </w:trPr>
        <w:tc>
          <w:tcPr>
            <w:cnfStyle w:val="001000000000" w:firstRow="0" w:lastRow="0" w:firstColumn="1" w:lastColumn="0" w:oddVBand="0" w:evenVBand="0" w:oddHBand="0" w:evenHBand="0" w:firstRowFirstColumn="0" w:firstRowLastColumn="0" w:lastRowFirstColumn="0" w:lastRowLastColumn="0"/>
            <w:tcW w:w="699" w:type="dxa"/>
            <w:vMerge/>
          </w:tcPr>
          <w:p w14:paraId="587895A3" w14:textId="77777777" w:rsidR="00BA7703" w:rsidRPr="00687F35" w:rsidRDefault="00BA7703" w:rsidP="00687F35">
            <w:pPr>
              <w:spacing w:before="60" w:after="60"/>
              <w:rPr>
                <w:rFonts w:asciiTheme="minorHAnsi" w:hAnsiTheme="minorHAnsi" w:cstheme="minorHAnsi"/>
                <w:sz w:val="20"/>
                <w:szCs w:val="20"/>
              </w:rPr>
            </w:pPr>
          </w:p>
        </w:tc>
        <w:tc>
          <w:tcPr>
            <w:tcW w:w="3260" w:type="dxa"/>
            <w:vMerge/>
          </w:tcPr>
          <w:p w14:paraId="2511692E" w14:textId="77777777" w:rsidR="00BA7703" w:rsidRPr="00687F35" w:rsidRDefault="00BA7703" w:rsidP="00687F3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4687" w:type="dxa"/>
          </w:tcPr>
          <w:p w14:paraId="27FCD0D2" w14:textId="6DAB818B" w:rsidR="00BA7703" w:rsidRPr="00687F35" w:rsidRDefault="00BA7703" w:rsidP="00687F3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362E">
              <w:rPr>
                <w:rFonts w:cstheme="minorHAnsi"/>
                <w:b/>
                <w:bCs/>
                <w:sz w:val="20"/>
              </w:rPr>
              <w:t>75</w:t>
            </w:r>
            <w:r w:rsidRPr="00687F35">
              <w:rPr>
                <w:rFonts w:asciiTheme="minorHAnsi" w:hAnsiTheme="minorHAnsi" w:cstheme="minorHAnsi"/>
                <w:sz w:val="20"/>
                <w:szCs w:val="20"/>
              </w:rPr>
              <w:t xml:space="preserve"> – Do not </w:t>
            </w:r>
            <w:r w:rsidR="00687F35" w:rsidRPr="00687F35">
              <w:rPr>
                <w:rFonts w:asciiTheme="minorHAnsi" w:hAnsiTheme="minorHAnsi" w:cstheme="minorHAnsi"/>
                <w:sz w:val="20"/>
                <w:szCs w:val="20"/>
              </w:rPr>
              <w:t>us</w:t>
            </w:r>
            <w:r w:rsidRPr="00687F35">
              <w:rPr>
                <w:rFonts w:asciiTheme="minorHAnsi" w:hAnsiTheme="minorHAnsi" w:cstheme="minorHAnsi"/>
                <w:sz w:val="20"/>
                <w:szCs w:val="20"/>
              </w:rPr>
              <w:t>e under waterproof bandages unless a doctor has told you to.</w:t>
            </w:r>
          </w:p>
        </w:tc>
      </w:tr>
      <w:tr w:rsidR="00BA7703" w:rsidRPr="00687F35" w14:paraId="5C8ED3EE" w14:textId="77777777" w:rsidTr="0072362E">
        <w:trPr>
          <w:trHeight w:val="135"/>
        </w:trPr>
        <w:tc>
          <w:tcPr>
            <w:cnfStyle w:val="001000000000" w:firstRow="0" w:lastRow="0" w:firstColumn="1" w:lastColumn="0" w:oddVBand="0" w:evenVBand="0" w:oddHBand="0" w:evenHBand="0" w:firstRowFirstColumn="0" w:firstRowLastColumn="0" w:lastRowFirstColumn="0" w:lastRowLastColumn="0"/>
            <w:tcW w:w="699" w:type="dxa"/>
            <w:vMerge/>
          </w:tcPr>
          <w:p w14:paraId="45D1E6EA" w14:textId="77777777" w:rsidR="00BA7703" w:rsidRPr="00687F35" w:rsidRDefault="00BA7703" w:rsidP="00687F35">
            <w:pPr>
              <w:spacing w:before="60" w:after="60"/>
              <w:rPr>
                <w:rFonts w:asciiTheme="minorHAnsi" w:hAnsiTheme="minorHAnsi" w:cstheme="minorHAnsi"/>
                <w:sz w:val="20"/>
                <w:szCs w:val="20"/>
              </w:rPr>
            </w:pPr>
          </w:p>
        </w:tc>
        <w:tc>
          <w:tcPr>
            <w:tcW w:w="3260" w:type="dxa"/>
            <w:vMerge/>
          </w:tcPr>
          <w:p w14:paraId="209482AA" w14:textId="77777777" w:rsidR="00BA7703" w:rsidRPr="00687F35" w:rsidRDefault="00BA7703" w:rsidP="00687F3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4687" w:type="dxa"/>
          </w:tcPr>
          <w:p w14:paraId="7C657D8F" w14:textId="34BB2D85" w:rsidR="00BA7703" w:rsidRPr="00687F35" w:rsidRDefault="00BA7703" w:rsidP="00687F3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362E">
              <w:rPr>
                <w:rFonts w:cstheme="minorHAnsi"/>
                <w:b/>
                <w:bCs/>
                <w:sz w:val="20"/>
              </w:rPr>
              <w:t>109</w:t>
            </w:r>
            <w:r w:rsidRPr="00687F35">
              <w:rPr>
                <w:rFonts w:asciiTheme="minorHAnsi" w:hAnsiTheme="minorHAnsi" w:cstheme="minorHAnsi"/>
                <w:sz w:val="20"/>
                <w:szCs w:val="20"/>
              </w:rPr>
              <w:t xml:space="preserve"> – See your healthcare provider is you consider that you may be at risk of a Sexually Transmitted Infection (STI).</w:t>
            </w:r>
          </w:p>
        </w:tc>
      </w:tr>
      <w:tr w:rsidR="00BA7703" w:rsidRPr="00687F35" w14:paraId="2CE4396A" w14:textId="77777777" w:rsidTr="0072362E">
        <w:trPr>
          <w:trHeight w:val="135"/>
        </w:trPr>
        <w:tc>
          <w:tcPr>
            <w:cnfStyle w:val="001000000000" w:firstRow="0" w:lastRow="0" w:firstColumn="1" w:lastColumn="0" w:oddVBand="0" w:evenVBand="0" w:oddHBand="0" w:evenHBand="0" w:firstRowFirstColumn="0" w:firstRowLastColumn="0" w:lastRowFirstColumn="0" w:lastRowLastColumn="0"/>
            <w:tcW w:w="699" w:type="dxa"/>
            <w:vMerge/>
          </w:tcPr>
          <w:p w14:paraId="6E652A66" w14:textId="77777777" w:rsidR="00BA7703" w:rsidRPr="00687F35" w:rsidRDefault="00BA7703" w:rsidP="00687F35">
            <w:pPr>
              <w:spacing w:before="60" w:after="60"/>
              <w:rPr>
                <w:rFonts w:asciiTheme="minorHAnsi" w:hAnsiTheme="minorHAnsi" w:cstheme="minorHAnsi"/>
                <w:sz w:val="20"/>
                <w:szCs w:val="20"/>
              </w:rPr>
            </w:pPr>
          </w:p>
        </w:tc>
        <w:tc>
          <w:tcPr>
            <w:tcW w:w="3260" w:type="dxa"/>
            <w:vMerge/>
          </w:tcPr>
          <w:p w14:paraId="3A187C32" w14:textId="77777777" w:rsidR="00BA7703" w:rsidRPr="00687F35" w:rsidRDefault="00BA7703" w:rsidP="00687F3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4687" w:type="dxa"/>
          </w:tcPr>
          <w:p w14:paraId="58616ECB" w14:textId="2C0096D5" w:rsidR="00BA7703" w:rsidRPr="00687F35" w:rsidRDefault="00BA7703" w:rsidP="00687F3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362E">
              <w:rPr>
                <w:rFonts w:cstheme="minorHAnsi"/>
                <w:b/>
                <w:bCs/>
                <w:sz w:val="20"/>
              </w:rPr>
              <w:t>110</w:t>
            </w:r>
            <w:r w:rsidRPr="00687F35">
              <w:rPr>
                <w:rFonts w:asciiTheme="minorHAnsi" w:hAnsiTheme="minorHAnsi" w:cstheme="minorHAnsi"/>
                <w:sz w:val="20"/>
                <w:szCs w:val="20"/>
              </w:rPr>
              <w:t xml:space="preserve"> – See a doctor if you plan to become </w:t>
            </w:r>
            <w:r w:rsidR="00AB4D39" w:rsidRPr="00687F35">
              <w:rPr>
                <w:rFonts w:asciiTheme="minorHAnsi" w:hAnsiTheme="minorHAnsi" w:cstheme="minorHAnsi"/>
                <w:sz w:val="20"/>
                <w:szCs w:val="20"/>
              </w:rPr>
              <w:t>pregnant or</w:t>
            </w:r>
            <w:r w:rsidRPr="00687F35">
              <w:rPr>
                <w:rFonts w:asciiTheme="minorHAnsi" w:hAnsiTheme="minorHAnsi" w:cstheme="minorHAnsi"/>
                <w:sz w:val="20"/>
                <w:szCs w:val="20"/>
              </w:rPr>
              <w:t xml:space="preserve"> are breastfeeding or plan to breastfeed. </w:t>
            </w:r>
          </w:p>
        </w:tc>
      </w:tr>
      <w:tr w:rsidR="00BA7703" w:rsidRPr="00687F35" w14:paraId="67FA929C" w14:textId="77777777" w:rsidTr="0072362E">
        <w:trPr>
          <w:trHeight w:val="270"/>
        </w:trPr>
        <w:tc>
          <w:tcPr>
            <w:cnfStyle w:val="001000000000" w:firstRow="0" w:lastRow="0" w:firstColumn="1" w:lastColumn="0" w:oddVBand="0" w:evenVBand="0" w:oddHBand="0" w:evenHBand="0" w:firstRowFirstColumn="0" w:firstRowLastColumn="0" w:lastRowFirstColumn="0" w:lastRowLastColumn="0"/>
            <w:tcW w:w="699" w:type="dxa"/>
            <w:vMerge w:val="restart"/>
          </w:tcPr>
          <w:p w14:paraId="799225B4" w14:textId="2D88A2BF" w:rsidR="00BA7703" w:rsidRPr="0072362E" w:rsidRDefault="00BA7703" w:rsidP="00687F35">
            <w:pPr>
              <w:spacing w:before="60" w:after="60"/>
              <w:rPr>
                <w:rFonts w:asciiTheme="minorHAnsi" w:hAnsiTheme="minorHAnsi" w:cstheme="minorHAnsi"/>
                <w:sz w:val="20"/>
                <w:szCs w:val="20"/>
              </w:rPr>
            </w:pPr>
            <w:r w:rsidRPr="00687F35">
              <w:rPr>
                <w:rFonts w:asciiTheme="minorHAnsi" w:hAnsiTheme="minorHAnsi" w:cstheme="minorHAnsi"/>
                <w:sz w:val="20"/>
                <w:szCs w:val="20"/>
              </w:rPr>
              <w:t>31</w:t>
            </w:r>
          </w:p>
        </w:tc>
        <w:tc>
          <w:tcPr>
            <w:tcW w:w="3260" w:type="dxa"/>
            <w:vMerge w:val="restart"/>
          </w:tcPr>
          <w:p w14:paraId="76BD546A" w14:textId="683504BA" w:rsidR="00BA7703" w:rsidRPr="00687F35" w:rsidRDefault="00BA7703" w:rsidP="00687F3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87F35">
              <w:rPr>
                <w:rFonts w:asciiTheme="minorHAnsi" w:hAnsiTheme="minorHAnsi" w:cstheme="minorHAnsi"/>
                <w:sz w:val="20"/>
                <w:szCs w:val="20"/>
              </w:rPr>
              <w:t>ASTODRIMER SODIUM – for the prevention of recurrent bacterial vaginosis</w:t>
            </w:r>
          </w:p>
        </w:tc>
        <w:tc>
          <w:tcPr>
            <w:tcW w:w="4687" w:type="dxa"/>
          </w:tcPr>
          <w:p w14:paraId="585C4CC9" w14:textId="342A120F" w:rsidR="00BA7703" w:rsidRPr="00687F35" w:rsidRDefault="00BA7703" w:rsidP="00687F3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362E">
              <w:rPr>
                <w:rFonts w:cstheme="minorHAnsi"/>
                <w:b/>
                <w:bCs/>
                <w:sz w:val="20"/>
              </w:rPr>
              <w:t>63</w:t>
            </w:r>
            <w:r w:rsidRPr="00687F35">
              <w:rPr>
                <w:rFonts w:asciiTheme="minorHAnsi" w:hAnsiTheme="minorHAnsi" w:cstheme="minorHAnsi"/>
                <w:sz w:val="20"/>
                <w:szCs w:val="20"/>
              </w:rPr>
              <w:t xml:space="preserve"> – See a doctor (or) (dentist) if no better after (Insert number of days as approved Product Information) days.</w:t>
            </w:r>
          </w:p>
        </w:tc>
      </w:tr>
      <w:tr w:rsidR="00BA7703" w:rsidRPr="00687F35" w14:paraId="4E94553A" w14:textId="77777777" w:rsidTr="0072362E">
        <w:trPr>
          <w:trHeight w:val="270"/>
        </w:trPr>
        <w:tc>
          <w:tcPr>
            <w:cnfStyle w:val="001000000000" w:firstRow="0" w:lastRow="0" w:firstColumn="1" w:lastColumn="0" w:oddVBand="0" w:evenVBand="0" w:oddHBand="0" w:evenHBand="0" w:firstRowFirstColumn="0" w:firstRowLastColumn="0" w:lastRowFirstColumn="0" w:lastRowLastColumn="0"/>
            <w:tcW w:w="699" w:type="dxa"/>
            <w:vMerge/>
          </w:tcPr>
          <w:p w14:paraId="63DB2085" w14:textId="77777777" w:rsidR="00BA7703" w:rsidRPr="00687F35" w:rsidRDefault="00BA7703" w:rsidP="00687F35">
            <w:pPr>
              <w:spacing w:before="60" w:after="60"/>
              <w:rPr>
                <w:rFonts w:asciiTheme="minorHAnsi" w:hAnsiTheme="minorHAnsi" w:cstheme="minorHAnsi"/>
                <w:sz w:val="20"/>
                <w:szCs w:val="20"/>
              </w:rPr>
            </w:pPr>
          </w:p>
        </w:tc>
        <w:tc>
          <w:tcPr>
            <w:tcW w:w="3260" w:type="dxa"/>
            <w:vMerge/>
          </w:tcPr>
          <w:p w14:paraId="687B7D6F" w14:textId="77777777" w:rsidR="00BA7703" w:rsidRPr="00687F35" w:rsidRDefault="00BA7703" w:rsidP="00687F3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4687" w:type="dxa"/>
          </w:tcPr>
          <w:p w14:paraId="6487F379" w14:textId="31DB91B2" w:rsidR="00BA7703" w:rsidRPr="00687F35" w:rsidRDefault="00BA7703" w:rsidP="00687F3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362E">
              <w:rPr>
                <w:rFonts w:cstheme="minorHAnsi"/>
                <w:b/>
                <w:bCs/>
                <w:sz w:val="20"/>
              </w:rPr>
              <w:t>75</w:t>
            </w:r>
            <w:r w:rsidRPr="00687F35">
              <w:rPr>
                <w:rFonts w:asciiTheme="minorHAnsi" w:hAnsiTheme="minorHAnsi" w:cstheme="minorHAnsi"/>
                <w:sz w:val="20"/>
                <w:szCs w:val="20"/>
              </w:rPr>
              <w:t xml:space="preserve"> – Do not sue under waterproof bandages unless a doctor has told you to.</w:t>
            </w:r>
          </w:p>
        </w:tc>
      </w:tr>
      <w:tr w:rsidR="00BA7703" w:rsidRPr="00687F35" w14:paraId="2C4DE005" w14:textId="77777777" w:rsidTr="0072362E">
        <w:trPr>
          <w:trHeight w:val="270"/>
        </w:trPr>
        <w:tc>
          <w:tcPr>
            <w:cnfStyle w:val="001000000000" w:firstRow="0" w:lastRow="0" w:firstColumn="1" w:lastColumn="0" w:oddVBand="0" w:evenVBand="0" w:oddHBand="0" w:evenHBand="0" w:firstRowFirstColumn="0" w:firstRowLastColumn="0" w:lastRowFirstColumn="0" w:lastRowLastColumn="0"/>
            <w:tcW w:w="699" w:type="dxa"/>
            <w:vMerge/>
          </w:tcPr>
          <w:p w14:paraId="2B967DF8" w14:textId="77777777" w:rsidR="00BA7703" w:rsidRPr="00687F35" w:rsidRDefault="00BA7703" w:rsidP="00687F35">
            <w:pPr>
              <w:spacing w:before="60" w:after="60"/>
              <w:rPr>
                <w:rFonts w:asciiTheme="minorHAnsi" w:hAnsiTheme="minorHAnsi" w:cstheme="minorHAnsi"/>
                <w:sz w:val="20"/>
                <w:szCs w:val="20"/>
              </w:rPr>
            </w:pPr>
          </w:p>
        </w:tc>
        <w:tc>
          <w:tcPr>
            <w:tcW w:w="3260" w:type="dxa"/>
            <w:vMerge/>
          </w:tcPr>
          <w:p w14:paraId="476B5C26" w14:textId="77777777" w:rsidR="00BA7703" w:rsidRPr="00687F35" w:rsidRDefault="00BA7703" w:rsidP="00687F3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4687" w:type="dxa"/>
          </w:tcPr>
          <w:p w14:paraId="7CBAFB76" w14:textId="155C7BC8" w:rsidR="00BA7703" w:rsidRPr="00687F35" w:rsidRDefault="00AB4D39" w:rsidP="00687F3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362E">
              <w:rPr>
                <w:rFonts w:cstheme="minorHAnsi"/>
                <w:b/>
                <w:bCs/>
                <w:sz w:val="20"/>
              </w:rPr>
              <w:t>109</w:t>
            </w:r>
            <w:r w:rsidRPr="00687F35">
              <w:rPr>
                <w:rFonts w:asciiTheme="minorHAnsi" w:hAnsiTheme="minorHAnsi" w:cstheme="minorHAnsi"/>
                <w:sz w:val="20"/>
                <w:szCs w:val="20"/>
              </w:rPr>
              <w:t xml:space="preserve"> – See your healthcare provider is you consider that you may be at risk of a Sexually Transmitted Infection (STI).</w:t>
            </w:r>
          </w:p>
        </w:tc>
      </w:tr>
      <w:tr w:rsidR="00BA7703" w:rsidRPr="00687F35" w14:paraId="4B220930" w14:textId="77777777" w:rsidTr="0072362E">
        <w:trPr>
          <w:trHeight w:val="270"/>
        </w:trPr>
        <w:tc>
          <w:tcPr>
            <w:cnfStyle w:val="001000000000" w:firstRow="0" w:lastRow="0" w:firstColumn="1" w:lastColumn="0" w:oddVBand="0" w:evenVBand="0" w:oddHBand="0" w:evenHBand="0" w:firstRowFirstColumn="0" w:firstRowLastColumn="0" w:lastRowFirstColumn="0" w:lastRowLastColumn="0"/>
            <w:tcW w:w="699" w:type="dxa"/>
            <w:vMerge/>
          </w:tcPr>
          <w:p w14:paraId="4297E6EC" w14:textId="77777777" w:rsidR="00BA7703" w:rsidRPr="00687F35" w:rsidRDefault="00BA7703" w:rsidP="00687F35">
            <w:pPr>
              <w:spacing w:before="60" w:after="60"/>
              <w:rPr>
                <w:rFonts w:asciiTheme="minorHAnsi" w:hAnsiTheme="minorHAnsi" w:cstheme="minorHAnsi"/>
                <w:sz w:val="20"/>
                <w:szCs w:val="20"/>
              </w:rPr>
            </w:pPr>
          </w:p>
        </w:tc>
        <w:tc>
          <w:tcPr>
            <w:tcW w:w="3260" w:type="dxa"/>
            <w:vMerge/>
          </w:tcPr>
          <w:p w14:paraId="5882D409" w14:textId="77777777" w:rsidR="00BA7703" w:rsidRPr="00687F35" w:rsidRDefault="00BA7703" w:rsidP="00687F3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4687" w:type="dxa"/>
          </w:tcPr>
          <w:p w14:paraId="2E0D311E" w14:textId="03DD0215" w:rsidR="00BA7703" w:rsidRPr="00687F35" w:rsidRDefault="00AB4D39" w:rsidP="00687F3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362E">
              <w:rPr>
                <w:rFonts w:cstheme="minorHAnsi"/>
                <w:b/>
                <w:bCs/>
                <w:sz w:val="20"/>
              </w:rPr>
              <w:t>110</w:t>
            </w:r>
            <w:r w:rsidRPr="00687F35">
              <w:rPr>
                <w:rFonts w:asciiTheme="minorHAnsi" w:hAnsiTheme="minorHAnsi" w:cstheme="minorHAnsi"/>
                <w:sz w:val="20"/>
                <w:szCs w:val="20"/>
              </w:rPr>
              <w:t xml:space="preserve"> – See a doctor if you plan to become pregnant or are breastfeeding or plan to breastfeed.</w:t>
            </w:r>
          </w:p>
        </w:tc>
      </w:tr>
    </w:tbl>
    <w:p w14:paraId="3EB1727D" w14:textId="33141608" w:rsidR="005773EB" w:rsidRPr="00087545" w:rsidRDefault="005773EB" w:rsidP="0072362E">
      <w:pPr>
        <w:spacing w:before="240"/>
        <w:ind w:left="426"/>
      </w:pPr>
      <w:r w:rsidRPr="0072362E">
        <w:rPr>
          <w:b/>
          <w:bCs/>
        </w:rPr>
        <w:t>Appendix H, clause 1</w:t>
      </w:r>
      <w:r w:rsidR="00AB4D39">
        <w:t xml:space="preserve"> – </w:t>
      </w:r>
      <w:r w:rsidR="00AB4D39" w:rsidRPr="0072362E">
        <w:t xml:space="preserve">Schedule 3 medicines permitted to be </w:t>
      </w:r>
      <w:r w:rsidR="00800740" w:rsidRPr="0072362E">
        <w:t>advertised.</w:t>
      </w:r>
      <w:r w:rsidR="00AB4D39">
        <w:t xml:space="preserve"> </w:t>
      </w:r>
    </w:p>
    <w:tbl>
      <w:tblPr>
        <w:tblStyle w:val="TableTGAblue"/>
        <w:tblW w:w="8646" w:type="dxa"/>
        <w:tblInd w:w="416" w:type="dxa"/>
        <w:tblLook w:val="04A0" w:firstRow="1" w:lastRow="0" w:firstColumn="1" w:lastColumn="0" w:noHBand="0" w:noVBand="1"/>
      </w:tblPr>
      <w:tblGrid>
        <w:gridCol w:w="699"/>
        <w:gridCol w:w="7947"/>
      </w:tblGrid>
      <w:tr w:rsidR="00AB4D39" w:rsidRPr="00687F35" w14:paraId="5C3740D0" w14:textId="77777777" w:rsidTr="00723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14:paraId="54598009" w14:textId="0B6E1DA3" w:rsidR="00AB4D39" w:rsidRPr="0072362E" w:rsidRDefault="00AB4D39" w:rsidP="00687F35">
            <w:pPr>
              <w:spacing w:before="60" w:after="60"/>
              <w:rPr>
                <w:rFonts w:asciiTheme="minorHAnsi" w:hAnsiTheme="minorHAnsi" w:cstheme="minorHAnsi"/>
                <w:sz w:val="20"/>
                <w:szCs w:val="20"/>
              </w:rPr>
            </w:pPr>
            <w:r w:rsidRPr="00687F35">
              <w:rPr>
                <w:rFonts w:asciiTheme="minorHAnsi" w:hAnsiTheme="minorHAnsi" w:cstheme="minorHAnsi"/>
                <w:sz w:val="20"/>
                <w:szCs w:val="20"/>
              </w:rPr>
              <w:t>Item</w:t>
            </w:r>
          </w:p>
        </w:tc>
        <w:tc>
          <w:tcPr>
            <w:tcW w:w="7947" w:type="dxa"/>
          </w:tcPr>
          <w:p w14:paraId="0891CB77" w14:textId="7E59F7C5" w:rsidR="00AB4D39" w:rsidRPr="0072362E" w:rsidRDefault="00AB4D39" w:rsidP="00687F35">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87F35">
              <w:rPr>
                <w:rFonts w:asciiTheme="minorHAnsi" w:hAnsiTheme="minorHAnsi" w:cstheme="minorHAnsi"/>
                <w:sz w:val="20"/>
                <w:szCs w:val="20"/>
              </w:rPr>
              <w:t>Poison</w:t>
            </w:r>
          </w:p>
        </w:tc>
      </w:tr>
      <w:tr w:rsidR="00AB4D39" w:rsidRPr="00687F35" w14:paraId="3A09377B" w14:textId="77777777" w:rsidTr="0072362E">
        <w:tc>
          <w:tcPr>
            <w:cnfStyle w:val="001000000000" w:firstRow="0" w:lastRow="0" w:firstColumn="1" w:lastColumn="0" w:oddVBand="0" w:evenVBand="0" w:oddHBand="0" w:evenHBand="0" w:firstRowFirstColumn="0" w:firstRowLastColumn="0" w:lastRowFirstColumn="0" w:lastRowLastColumn="0"/>
            <w:tcW w:w="699" w:type="dxa"/>
          </w:tcPr>
          <w:p w14:paraId="4EBE4853" w14:textId="27693AA8" w:rsidR="00AB4D39" w:rsidRPr="0072362E" w:rsidRDefault="00AB4D39" w:rsidP="00687F35">
            <w:pPr>
              <w:spacing w:before="60" w:after="60"/>
              <w:rPr>
                <w:rFonts w:asciiTheme="minorHAnsi" w:hAnsiTheme="minorHAnsi" w:cstheme="minorHAnsi"/>
                <w:sz w:val="20"/>
                <w:szCs w:val="20"/>
              </w:rPr>
            </w:pPr>
            <w:r w:rsidRPr="00687F35">
              <w:rPr>
                <w:rFonts w:asciiTheme="minorHAnsi" w:hAnsiTheme="minorHAnsi" w:cstheme="minorHAnsi"/>
                <w:sz w:val="20"/>
                <w:szCs w:val="20"/>
              </w:rPr>
              <w:t>3</w:t>
            </w:r>
          </w:p>
        </w:tc>
        <w:tc>
          <w:tcPr>
            <w:tcW w:w="7947" w:type="dxa"/>
          </w:tcPr>
          <w:p w14:paraId="74E96D0B" w14:textId="778E067E" w:rsidR="00AB4D39" w:rsidRPr="00687F35" w:rsidRDefault="00AB4D39" w:rsidP="00687F3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87F35">
              <w:rPr>
                <w:rFonts w:asciiTheme="minorHAnsi" w:hAnsiTheme="minorHAnsi" w:cstheme="minorHAnsi"/>
                <w:sz w:val="20"/>
                <w:szCs w:val="20"/>
              </w:rPr>
              <w:t>ASTODRIMER SODIUM – for the treatment and relief of bacterial vaginosis and for the prevention of recurrent bacterial vaginosis</w:t>
            </w:r>
          </w:p>
        </w:tc>
      </w:tr>
    </w:tbl>
    <w:p w14:paraId="507B5D80" w14:textId="77777777" w:rsidR="00685E72" w:rsidRDefault="00685E72" w:rsidP="00685E72">
      <w:pPr>
        <w:pStyle w:val="Heading4"/>
      </w:pPr>
      <w:bookmarkStart w:id="22" w:name="_Toc144110836"/>
      <w:r>
        <w:t>Background</w:t>
      </w:r>
      <w:bookmarkEnd w:id="21"/>
      <w:bookmarkEnd w:id="22"/>
    </w:p>
    <w:p w14:paraId="4C344C75" w14:textId="13D73D00" w:rsidR="00B05BCF" w:rsidRPr="00DF0A9C" w:rsidRDefault="00B05BCF" w:rsidP="00B05BCF">
      <w:pPr>
        <w:rPr>
          <w:rFonts w:cstheme="minorHAnsi"/>
        </w:rPr>
      </w:pPr>
      <w:bookmarkStart w:id="23" w:name="_Toc122614221"/>
      <w:r w:rsidRPr="00DF0A9C">
        <w:rPr>
          <w:rFonts w:cstheme="minorHAnsi"/>
        </w:rPr>
        <w:t>Astodrimer sodium is a low toxicity, non-antibiotic</w:t>
      </w:r>
      <w:r w:rsidR="007E0F88" w:rsidRPr="00DF0A9C">
        <w:rPr>
          <w:rFonts w:cstheme="minorHAnsi"/>
        </w:rPr>
        <w:t>,</w:t>
      </w:r>
      <w:r w:rsidRPr="00DF0A9C">
        <w:rPr>
          <w:rFonts w:cstheme="minorHAnsi"/>
        </w:rPr>
        <w:t xml:space="preserve"> microbicidal that is used in the treatment of bacterial vaginosis as a topical gel and the prevention of sexually transmitted diseases (STD) as a condom lubricant. </w:t>
      </w:r>
    </w:p>
    <w:p w14:paraId="21A58EA0" w14:textId="03987D80" w:rsidR="00B05BCF" w:rsidRPr="00DF0A9C" w:rsidRDefault="00B05BCF" w:rsidP="0072362E">
      <w:pPr>
        <w:spacing w:before="120" w:after="180" w:line="240" w:lineRule="atLeast"/>
        <w:rPr>
          <w:rFonts w:cstheme="minorHAnsi"/>
        </w:rPr>
      </w:pPr>
      <w:r w:rsidRPr="00DF0A9C">
        <w:rPr>
          <w:rFonts w:cstheme="minorHAnsi"/>
        </w:rPr>
        <w:t xml:space="preserve">Astodrimer sodium is currently a Schedule </w:t>
      </w:r>
      <w:r w:rsidR="00364278">
        <w:rPr>
          <w:rFonts w:cstheme="minorHAnsi"/>
        </w:rPr>
        <w:t>3</w:t>
      </w:r>
      <w:r w:rsidRPr="00DF0A9C">
        <w:rPr>
          <w:rFonts w:cstheme="minorHAnsi"/>
        </w:rPr>
        <w:t xml:space="preserve"> medication </w:t>
      </w:r>
      <w:r w:rsidR="00364278">
        <w:rPr>
          <w:rFonts w:cstheme="minorHAnsi"/>
        </w:rPr>
        <w:t xml:space="preserve">(except when used in condom lubricants) </w:t>
      </w:r>
      <w:r w:rsidRPr="00DF0A9C">
        <w:rPr>
          <w:rFonts w:cstheme="minorHAnsi"/>
        </w:rPr>
        <w:t xml:space="preserve">with labelled warning statements of </w:t>
      </w:r>
      <w:r w:rsidR="00471508">
        <w:rPr>
          <w:rFonts w:cstheme="minorHAnsi"/>
        </w:rPr>
        <w:t>‘</w:t>
      </w:r>
      <w:r w:rsidRPr="00DF0A9C">
        <w:rPr>
          <w:rFonts w:cstheme="minorHAnsi"/>
        </w:rPr>
        <w:t>for the treatment and relief of bacterial vaginosis</w:t>
      </w:r>
      <w:r w:rsidR="00471508">
        <w:rPr>
          <w:rFonts w:cstheme="minorHAnsi"/>
        </w:rPr>
        <w:t>’</w:t>
      </w:r>
      <w:r w:rsidRPr="00DF0A9C">
        <w:rPr>
          <w:rFonts w:cstheme="minorHAnsi"/>
        </w:rPr>
        <w:t xml:space="preserve"> and </w:t>
      </w:r>
      <w:r w:rsidR="00471508">
        <w:rPr>
          <w:rFonts w:cstheme="minorHAnsi"/>
        </w:rPr>
        <w:t>‘</w:t>
      </w:r>
      <w:r w:rsidRPr="00DF0A9C">
        <w:rPr>
          <w:rFonts w:cstheme="minorHAnsi"/>
        </w:rPr>
        <w:t>for the prevention of recurrent bacterial vaginosis.</w:t>
      </w:r>
      <w:r w:rsidR="00471508">
        <w:rPr>
          <w:rFonts w:cstheme="minorHAnsi"/>
        </w:rPr>
        <w:t>’</w:t>
      </w:r>
      <w:r w:rsidRPr="00DF0A9C">
        <w:rPr>
          <w:rFonts w:cstheme="minorHAnsi"/>
        </w:rPr>
        <w:t xml:space="preserve"> </w:t>
      </w:r>
      <w:r w:rsidR="00364278">
        <w:rPr>
          <w:rFonts w:cstheme="minorHAnsi"/>
        </w:rPr>
        <w:t xml:space="preserve">The </w:t>
      </w:r>
      <w:r w:rsidRPr="00DF0A9C">
        <w:rPr>
          <w:rFonts w:cstheme="minorHAnsi"/>
        </w:rPr>
        <w:t>Appendix H</w:t>
      </w:r>
      <w:r w:rsidR="00364278">
        <w:rPr>
          <w:rFonts w:cstheme="minorHAnsi"/>
        </w:rPr>
        <w:t xml:space="preserve"> </w:t>
      </w:r>
      <w:r w:rsidRPr="00DF0A9C">
        <w:rPr>
          <w:rFonts w:cstheme="minorHAnsi"/>
        </w:rPr>
        <w:t>entry permit</w:t>
      </w:r>
      <w:r w:rsidR="00364278">
        <w:rPr>
          <w:rFonts w:cstheme="minorHAnsi"/>
        </w:rPr>
        <w:t>s</w:t>
      </w:r>
      <w:r w:rsidRPr="00DF0A9C">
        <w:rPr>
          <w:rFonts w:cstheme="minorHAnsi"/>
        </w:rPr>
        <w:t xml:space="preserve"> advertising </w:t>
      </w:r>
      <w:r w:rsidR="00364278">
        <w:rPr>
          <w:rFonts w:cstheme="minorHAnsi"/>
        </w:rPr>
        <w:t xml:space="preserve">of Schedule 3 preparations containing astodrimer </w:t>
      </w:r>
      <w:r w:rsidRPr="00DF0A9C">
        <w:rPr>
          <w:rFonts w:cstheme="minorHAnsi"/>
        </w:rPr>
        <w:t>for the</w:t>
      </w:r>
      <w:r w:rsidR="00364278">
        <w:rPr>
          <w:rFonts w:cstheme="minorHAnsi"/>
        </w:rPr>
        <w:t>se indications</w:t>
      </w:r>
      <w:r w:rsidRPr="00DF0A9C">
        <w:rPr>
          <w:rFonts w:cstheme="minorHAnsi"/>
        </w:rPr>
        <w:t>.</w:t>
      </w:r>
    </w:p>
    <w:p w14:paraId="62431C4E" w14:textId="77777777" w:rsidR="00685E72" w:rsidRDefault="00685E72" w:rsidP="00685E72">
      <w:pPr>
        <w:pStyle w:val="Heading4"/>
      </w:pPr>
      <w:bookmarkStart w:id="24" w:name="_Toc144110837"/>
      <w:r>
        <w:t>Summary of applicant’s reasons for the proposal</w:t>
      </w:r>
      <w:bookmarkEnd w:id="23"/>
      <w:bookmarkEnd w:id="24"/>
    </w:p>
    <w:p w14:paraId="6446F9A9" w14:textId="0C1349A1" w:rsidR="00C41FAD" w:rsidRDefault="00C41FAD" w:rsidP="0072362E">
      <w:pPr>
        <w:pStyle w:val="ListParagraph"/>
        <w:numPr>
          <w:ilvl w:val="0"/>
          <w:numId w:val="22"/>
        </w:numPr>
        <w:ind w:left="360"/>
        <w:rPr>
          <w:rFonts w:asciiTheme="minorHAnsi" w:hAnsiTheme="minorHAnsi" w:cstheme="minorHAnsi"/>
        </w:rPr>
      </w:pPr>
      <w:r w:rsidRPr="00DF0A9C">
        <w:rPr>
          <w:rFonts w:asciiTheme="minorHAnsi" w:hAnsiTheme="minorHAnsi" w:cstheme="minorHAnsi"/>
        </w:rPr>
        <w:t>The non-serious and self-limiting nature of the condition (the common cold) is consistent with the risk profile of</w:t>
      </w:r>
      <w:r w:rsidR="00471508">
        <w:rPr>
          <w:rFonts w:asciiTheme="minorHAnsi" w:hAnsiTheme="minorHAnsi" w:cstheme="minorHAnsi"/>
        </w:rPr>
        <w:t xml:space="preserve"> over-the-counter (</w:t>
      </w:r>
      <w:r w:rsidRPr="00DF0A9C">
        <w:rPr>
          <w:rFonts w:asciiTheme="minorHAnsi" w:hAnsiTheme="minorHAnsi" w:cstheme="minorHAnsi"/>
        </w:rPr>
        <w:t>OTC</w:t>
      </w:r>
      <w:r w:rsidR="00471508">
        <w:rPr>
          <w:rFonts w:asciiTheme="minorHAnsi" w:hAnsiTheme="minorHAnsi" w:cstheme="minorHAnsi"/>
        </w:rPr>
        <w:t>)</w:t>
      </w:r>
      <w:r w:rsidRPr="00DF0A9C">
        <w:rPr>
          <w:rFonts w:asciiTheme="minorHAnsi" w:hAnsiTheme="minorHAnsi" w:cstheme="minorHAnsi"/>
        </w:rPr>
        <w:t xml:space="preserve"> medicines.</w:t>
      </w:r>
      <w:r w:rsidR="00687F35">
        <w:rPr>
          <w:rFonts w:asciiTheme="minorHAnsi" w:hAnsiTheme="minorHAnsi" w:cstheme="minorHAnsi"/>
        </w:rPr>
        <w:t xml:space="preserve"> </w:t>
      </w:r>
      <w:r w:rsidRPr="00687F35">
        <w:rPr>
          <w:rFonts w:asciiTheme="minorHAnsi" w:hAnsiTheme="minorHAnsi" w:cstheme="minorHAnsi"/>
        </w:rPr>
        <w:t xml:space="preserve">Similar products used in the treatment of the condition are OTC medicines and readily available in Australia. </w:t>
      </w:r>
    </w:p>
    <w:p w14:paraId="7F2A3FFC" w14:textId="77777777" w:rsidR="000A63B2" w:rsidRDefault="000A63B2" w:rsidP="00EB1099">
      <w:pPr>
        <w:pStyle w:val="ListParagraph"/>
        <w:ind w:left="360"/>
        <w:rPr>
          <w:rFonts w:asciiTheme="minorHAnsi" w:hAnsiTheme="minorHAnsi" w:cstheme="minorHAnsi"/>
        </w:rPr>
      </w:pPr>
    </w:p>
    <w:p w14:paraId="06D33CE4" w14:textId="34A34E95" w:rsidR="00173237" w:rsidRPr="00EB1099" w:rsidRDefault="00173237" w:rsidP="00EB1099">
      <w:pPr>
        <w:pStyle w:val="ListParagraph"/>
        <w:numPr>
          <w:ilvl w:val="0"/>
          <w:numId w:val="22"/>
        </w:numPr>
        <w:ind w:left="360"/>
        <w:rPr>
          <w:rFonts w:asciiTheme="minorHAnsi" w:hAnsiTheme="minorHAnsi" w:cstheme="minorHAnsi"/>
        </w:rPr>
      </w:pPr>
      <w:r>
        <w:rPr>
          <w:rFonts w:asciiTheme="minorHAnsi" w:hAnsiTheme="minorHAnsi" w:cstheme="minorHAnsi"/>
        </w:rPr>
        <w:t>T</w:t>
      </w:r>
      <w:r w:rsidRPr="00EB1099">
        <w:rPr>
          <w:rFonts w:asciiTheme="minorHAnsi" w:hAnsiTheme="minorHAnsi" w:cstheme="minorHAnsi"/>
        </w:rPr>
        <w:t xml:space="preserve">he purpose of astodrimer sodium </w:t>
      </w:r>
      <w:r>
        <w:rPr>
          <w:rFonts w:asciiTheme="minorHAnsi" w:hAnsiTheme="minorHAnsi" w:cstheme="minorHAnsi"/>
        </w:rPr>
        <w:t xml:space="preserve">inclusion in a nasal spray </w:t>
      </w:r>
      <w:r w:rsidRPr="00EB1099">
        <w:rPr>
          <w:rFonts w:asciiTheme="minorHAnsi" w:hAnsiTheme="minorHAnsi" w:cstheme="minorHAnsi"/>
        </w:rPr>
        <w:t xml:space="preserve">product is </w:t>
      </w:r>
      <w:r>
        <w:rPr>
          <w:rFonts w:asciiTheme="minorHAnsi" w:hAnsiTheme="minorHAnsi" w:cstheme="minorHAnsi"/>
        </w:rPr>
        <w:t xml:space="preserve">to act as </w:t>
      </w:r>
      <w:r w:rsidRPr="00EB1099">
        <w:rPr>
          <w:rFonts w:asciiTheme="minorHAnsi" w:hAnsiTheme="minorHAnsi" w:cstheme="minorHAnsi"/>
        </w:rPr>
        <w:t xml:space="preserve">a </w:t>
      </w:r>
      <w:r w:rsidR="00431F73">
        <w:rPr>
          <w:rFonts w:asciiTheme="minorHAnsi" w:hAnsiTheme="minorHAnsi" w:cstheme="minorHAnsi"/>
        </w:rPr>
        <w:t xml:space="preserve">physical barrier </w:t>
      </w:r>
      <w:r w:rsidRPr="00EB1099">
        <w:rPr>
          <w:rFonts w:asciiTheme="minorHAnsi" w:hAnsiTheme="minorHAnsi" w:cstheme="minorHAnsi"/>
        </w:rPr>
        <w:t xml:space="preserve">to trap and block cold viruses </w:t>
      </w:r>
      <w:r>
        <w:rPr>
          <w:rFonts w:asciiTheme="minorHAnsi" w:hAnsiTheme="minorHAnsi" w:cstheme="minorHAnsi"/>
        </w:rPr>
        <w:t xml:space="preserve">such as </w:t>
      </w:r>
      <w:r w:rsidRPr="00EB1099">
        <w:rPr>
          <w:rFonts w:asciiTheme="minorHAnsi" w:hAnsiTheme="minorHAnsi" w:cstheme="minorHAnsi"/>
        </w:rPr>
        <w:t>the common cold</w:t>
      </w:r>
      <w:r w:rsidR="00431F73">
        <w:rPr>
          <w:rFonts w:asciiTheme="minorHAnsi" w:hAnsiTheme="minorHAnsi" w:cstheme="minorHAnsi"/>
        </w:rPr>
        <w:t xml:space="preserve">, </w:t>
      </w:r>
      <w:r w:rsidR="00431F73" w:rsidRPr="00431F73">
        <w:rPr>
          <w:rFonts w:asciiTheme="minorHAnsi" w:hAnsiTheme="minorHAnsi" w:cstheme="minorHAnsi"/>
        </w:rPr>
        <w:t>allowing the body’s natural defences to remove them with the nasal mucus</w:t>
      </w:r>
      <w:r w:rsidR="00431F73">
        <w:rPr>
          <w:rFonts w:asciiTheme="minorHAnsi" w:hAnsiTheme="minorHAnsi" w:cstheme="minorHAnsi"/>
        </w:rPr>
        <w:t>.</w:t>
      </w:r>
    </w:p>
    <w:p w14:paraId="11E4A2D6" w14:textId="77777777" w:rsidR="00C41FAD" w:rsidRPr="00687F35" w:rsidRDefault="00C41FAD" w:rsidP="0072362E">
      <w:pPr>
        <w:pStyle w:val="ListParagraph"/>
        <w:ind w:left="360"/>
        <w:rPr>
          <w:rFonts w:asciiTheme="minorHAnsi" w:hAnsiTheme="minorHAnsi" w:cstheme="minorHAnsi"/>
        </w:rPr>
      </w:pPr>
    </w:p>
    <w:p w14:paraId="0B47A870" w14:textId="3CF5E200" w:rsidR="00C41FAD" w:rsidRPr="00DF0A9C" w:rsidRDefault="00687F35" w:rsidP="0072362E">
      <w:pPr>
        <w:pStyle w:val="ListParagraph"/>
        <w:numPr>
          <w:ilvl w:val="0"/>
          <w:numId w:val="22"/>
        </w:numPr>
        <w:ind w:left="360"/>
        <w:rPr>
          <w:rFonts w:asciiTheme="minorHAnsi" w:hAnsiTheme="minorHAnsi" w:cstheme="minorHAnsi"/>
        </w:rPr>
      </w:pPr>
      <w:r w:rsidRPr="00DF0A9C">
        <w:rPr>
          <w:rFonts w:asciiTheme="minorHAnsi" w:hAnsiTheme="minorHAnsi" w:cstheme="minorHAnsi"/>
        </w:rPr>
        <w:t>Astodrimer sodium poses low risk of harm, as noted in the delegate</w:t>
      </w:r>
      <w:r>
        <w:rPr>
          <w:rFonts w:asciiTheme="minorHAnsi" w:hAnsiTheme="minorHAnsi" w:cstheme="minorHAnsi"/>
        </w:rPr>
        <w:t>’</w:t>
      </w:r>
      <w:r w:rsidRPr="00DF0A9C">
        <w:rPr>
          <w:rFonts w:asciiTheme="minorHAnsi" w:hAnsiTheme="minorHAnsi" w:cstheme="minorHAnsi"/>
        </w:rPr>
        <w:t>s previous decision</w:t>
      </w:r>
      <w:r w:rsidR="00471508">
        <w:rPr>
          <w:rFonts w:asciiTheme="minorHAnsi" w:hAnsiTheme="minorHAnsi" w:cstheme="minorHAnsi"/>
        </w:rPr>
        <w:t xml:space="preserve"> in </w:t>
      </w:r>
      <w:r w:rsidR="008E7DB8">
        <w:rPr>
          <w:rFonts w:asciiTheme="minorHAnsi" w:hAnsiTheme="minorHAnsi" w:cstheme="minorHAnsi"/>
        </w:rPr>
        <w:t xml:space="preserve">November </w:t>
      </w:r>
      <w:r w:rsidR="00471508">
        <w:rPr>
          <w:rFonts w:asciiTheme="minorHAnsi" w:hAnsiTheme="minorHAnsi" w:cstheme="minorHAnsi"/>
        </w:rPr>
        <w:t>20</w:t>
      </w:r>
      <w:r w:rsidR="008E7DB8">
        <w:rPr>
          <w:rFonts w:asciiTheme="minorHAnsi" w:hAnsiTheme="minorHAnsi" w:cstheme="minorHAnsi"/>
        </w:rPr>
        <w:t xml:space="preserve">21. </w:t>
      </w:r>
      <w:r w:rsidR="00C41FAD" w:rsidRPr="00DF0A9C">
        <w:rPr>
          <w:rFonts w:asciiTheme="minorHAnsi" w:hAnsiTheme="minorHAnsi" w:cstheme="minorHAnsi"/>
        </w:rPr>
        <w:t>The risks associated with misuse, abuse and overuse are very low. Astodrimer sodium is not systemically absorbed when used as a barrier nasal spray.</w:t>
      </w:r>
    </w:p>
    <w:p w14:paraId="5715891C" w14:textId="77777777" w:rsidR="00C41FAD" w:rsidRPr="00DF0A9C" w:rsidRDefault="00C41FAD" w:rsidP="0072362E">
      <w:pPr>
        <w:pStyle w:val="ListParagraph"/>
        <w:ind w:left="360"/>
        <w:rPr>
          <w:rFonts w:asciiTheme="minorHAnsi" w:hAnsiTheme="minorHAnsi" w:cstheme="minorHAnsi"/>
        </w:rPr>
      </w:pPr>
    </w:p>
    <w:p w14:paraId="19244DE1" w14:textId="20E78B22" w:rsidR="00C41FAD" w:rsidRPr="00687F35" w:rsidRDefault="00C41FAD" w:rsidP="0072362E">
      <w:pPr>
        <w:pStyle w:val="ListParagraph"/>
        <w:numPr>
          <w:ilvl w:val="0"/>
          <w:numId w:val="22"/>
        </w:numPr>
        <w:ind w:left="360"/>
        <w:rPr>
          <w:rFonts w:asciiTheme="minorHAnsi" w:hAnsiTheme="minorHAnsi" w:cstheme="minorHAnsi"/>
        </w:rPr>
      </w:pPr>
      <w:r w:rsidRPr="00DF0A9C">
        <w:rPr>
          <w:rFonts w:asciiTheme="minorHAnsi" w:hAnsiTheme="minorHAnsi" w:cstheme="minorHAnsi"/>
        </w:rPr>
        <w:t xml:space="preserve">Adverse effects are rare and well-characterised; with no known interactions with </w:t>
      </w:r>
      <w:r w:rsidR="00800740" w:rsidRPr="00DF0A9C">
        <w:rPr>
          <w:rFonts w:asciiTheme="minorHAnsi" w:hAnsiTheme="minorHAnsi" w:cstheme="minorHAnsi"/>
        </w:rPr>
        <w:t>commonly used</w:t>
      </w:r>
      <w:r w:rsidRPr="00DF0A9C">
        <w:rPr>
          <w:rFonts w:asciiTheme="minorHAnsi" w:hAnsiTheme="minorHAnsi" w:cstheme="minorHAnsi"/>
        </w:rPr>
        <w:t xml:space="preserve"> food and consumables, or contra-indications</w:t>
      </w:r>
      <w:r w:rsidRPr="00687F35">
        <w:rPr>
          <w:rFonts w:asciiTheme="minorHAnsi" w:hAnsiTheme="minorHAnsi" w:cstheme="minorHAnsi"/>
        </w:rPr>
        <w:t>.</w:t>
      </w:r>
      <w:r w:rsidR="00687F35" w:rsidRPr="00687F35">
        <w:rPr>
          <w:rFonts w:asciiTheme="minorHAnsi" w:hAnsiTheme="minorHAnsi" w:cstheme="minorHAnsi"/>
        </w:rPr>
        <w:t xml:space="preserve"> </w:t>
      </w:r>
      <w:r w:rsidRPr="00687F35">
        <w:rPr>
          <w:rFonts w:asciiTheme="minorHAnsi" w:hAnsiTheme="minorHAnsi" w:cstheme="minorHAnsi"/>
        </w:rPr>
        <w:t xml:space="preserve">The risk profile of the substance is well </w:t>
      </w:r>
      <w:r w:rsidR="00800740" w:rsidRPr="00687F35">
        <w:rPr>
          <w:rFonts w:asciiTheme="minorHAnsi" w:hAnsiTheme="minorHAnsi" w:cstheme="minorHAnsi"/>
        </w:rPr>
        <w:t>defined,</w:t>
      </w:r>
      <w:r w:rsidRPr="00687F35">
        <w:rPr>
          <w:rFonts w:asciiTheme="minorHAnsi" w:hAnsiTheme="minorHAnsi" w:cstheme="minorHAnsi"/>
        </w:rPr>
        <w:t xml:space="preserve"> and risks can be appropriately managed through labelling and packaging. </w:t>
      </w:r>
    </w:p>
    <w:p w14:paraId="20CC814A" w14:textId="77777777" w:rsidR="00C41FAD" w:rsidRPr="00687F35" w:rsidRDefault="00C41FAD" w:rsidP="0072362E">
      <w:pPr>
        <w:pStyle w:val="ListParagraph"/>
        <w:ind w:left="360"/>
        <w:rPr>
          <w:rFonts w:asciiTheme="minorHAnsi" w:hAnsiTheme="minorHAnsi" w:cstheme="minorHAnsi"/>
        </w:rPr>
      </w:pPr>
    </w:p>
    <w:p w14:paraId="1C14B52E" w14:textId="74FF957A" w:rsidR="00DF28C7" w:rsidRPr="00DF0A9C" w:rsidRDefault="00C41FAD" w:rsidP="0072362E">
      <w:pPr>
        <w:pStyle w:val="ListParagraph"/>
        <w:numPr>
          <w:ilvl w:val="0"/>
          <w:numId w:val="22"/>
        </w:numPr>
        <w:ind w:left="360"/>
        <w:rPr>
          <w:rFonts w:asciiTheme="minorHAnsi" w:hAnsiTheme="minorHAnsi" w:cstheme="minorHAnsi"/>
        </w:rPr>
      </w:pPr>
      <w:r w:rsidRPr="00DF0A9C">
        <w:rPr>
          <w:rFonts w:asciiTheme="minorHAnsi" w:hAnsiTheme="minorHAnsi" w:cstheme="minorHAnsi"/>
        </w:rPr>
        <w:t>The use of astodrimer sodium in a nasal spray is not likely to mask the symptoms or delay diagnosis of a serious condition. Appropriate labelling and packaging can manage any perceived risk.</w:t>
      </w:r>
    </w:p>
    <w:p w14:paraId="3082CF3E" w14:textId="77777777" w:rsidR="00685E72" w:rsidRDefault="00685E72" w:rsidP="00685E72">
      <w:pPr>
        <w:pStyle w:val="Heading4"/>
      </w:pPr>
      <w:bookmarkStart w:id="25" w:name="_Toc122614222"/>
      <w:bookmarkStart w:id="26" w:name="_Toc144110838"/>
      <w:r>
        <w:t>Key uses / expected use</w:t>
      </w:r>
      <w:bookmarkEnd w:id="25"/>
      <w:bookmarkEnd w:id="26"/>
    </w:p>
    <w:p w14:paraId="25554130" w14:textId="5C16BF43" w:rsidR="00685E72" w:rsidRPr="00DF0A9C" w:rsidRDefault="00DF28C7" w:rsidP="00685E72">
      <w:pPr>
        <w:rPr>
          <w:rFonts w:cstheme="minorHAnsi"/>
        </w:rPr>
      </w:pPr>
      <w:r w:rsidRPr="00DF0A9C">
        <w:rPr>
          <w:rFonts w:cstheme="minorHAnsi"/>
        </w:rPr>
        <w:t>Used in medical device</w:t>
      </w:r>
      <w:r w:rsidR="00AD4F61" w:rsidRPr="00DF0A9C">
        <w:rPr>
          <w:rFonts w:cstheme="minorHAnsi"/>
        </w:rPr>
        <w:t>s</w:t>
      </w:r>
      <w:r w:rsidRPr="00DF0A9C">
        <w:rPr>
          <w:rFonts w:cstheme="minorHAnsi"/>
        </w:rPr>
        <w:t xml:space="preserve">. </w:t>
      </w:r>
    </w:p>
    <w:p w14:paraId="52B282BD" w14:textId="77777777" w:rsidR="00685E72" w:rsidRDefault="00685E72" w:rsidP="00685E72">
      <w:pPr>
        <w:pStyle w:val="Heading4"/>
      </w:pPr>
      <w:bookmarkStart w:id="27" w:name="_Toc122614223"/>
      <w:bookmarkStart w:id="28" w:name="_Toc144110839"/>
      <w:r>
        <w:t>Australian regulations</w:t>
      </w:r>
      <w:bookmarkEnd w:id="27"/>
      <w:bookmarkEnd w:id="28"/>
    </w:p>
    <w:p w14:paraId="356A7D2A" w14:textId="6DD15ED5" w:rsidR="00685E72" w:rsidRPr="00DF0A9C" w:rsidRDefault="00685E72" w:rsidP="00EB1099">
      <w:pPr>
        <w:pStyle w:val="ListBullet"/>
        <w:numPr>
          <w:ilvl w:val="0"/>
          <w:numId w:val="83"/>
        </w:numPr>
      </w:pPr>
      <w:r w:rsidRPr="00DF0A9C">
        <w:t xml:space="preserve">According to the </w:t>
      </w:r>
      <w:hyperlink r:id="rId25" w:history="1">
        <w:r w:rsidRPr="00DF0A9C">
          <w:rPr>
            <w:rStyle w:val="Hyperlink"/>
            <w:rFonts w:asciiTheme="minorHAnsi" w:hAnsiTheme="minorHAnsi"/>
          </w:rPr>
          <w:t>TGA Ingredient Database</w:t>
        </w:r>
      </w:hyperlink>
      <w:r w:rsidRPr="00DF0A9C">
        <w:t xml:space="preserve">, </w:t>
      </w:r>
      <w:r w:rsidR="00245F2E" w:rsidRPr="00DF0A9C">
        <w:t>a</w:t>
      </w:r>
      <w:r w:rsidR="00AB253E" w:rsidRPr="00DF0A9C">
        <w:t>stodrimer sodium</w:t>
      </w:r>
      <w:r w:rsidRPr="00DF0A9C">
        <w:t xml:space="preserve"> is:</w:t>
      </w:r>
      <w:r w:rsidR="00AB253E" w:rsidRPr="00DF0A9C">
        <w:t xml:space="preserve"> </w:t>
      </w:r>
    </w:p>
    <w:p w14:paraId="76A369E5" w14:textId="048FBD93" w:rsidR="00AB253E" w:rsidRPr="00DF0A9C" w:rsidRDefault="00AB253E" w:rsidP="0072362E">
      <w:pPr>
        <w:pStyle w:val="ListBullet"/>
        <w:numPr>
          <w:ilvl w:val="0"/>
          <w:numId w:val="57"/>
        </w:numPr>
      </w:pPr>
      <w:r w:rsidRPr="00DF0A9C">
        <w:t xml:space="preserve">Available for use as an Active ingredient in Devices </w:t>
      </w:r>
    </w:p>
    <w:p w14:paraId="61669183" w14:textId="59FD5FB5" w:rsidR="00AB253E" w:rsidRPr="00DF0A9C" w:rsidRDefault="00AB253E" w:rsidP="0072362E">
      <w:pPr>
        <w:pStyle w:val="ListBullet"/>
        <w:numPr>
          <w:ilvl w:val="0"/>
          <w:numId w:val="57"/>
        </w:numPr>
      </w:pPr>
      <w:r w:rsidRPr="00DF0A9C">
        <w:t>Available for use as an Excipient in Devices</w:t>
      </w:r>
    </w:p>
    <w:p w14:paraId="1C5391E9" w14:textId="70FA30B6" w:rsidR="00AB253E" w:rsidRPr="00DF0A9C" w:rsidRDefault="00AB253E" w:rsidP="0072362E">
      <w:pPr>
        <w:pStyle w:val="ListBullet"/>
        <w:numPr>
          <w:ilvl w:val="0"/>
          <w:numId w:val="57"/>
        </w:numPr>
      </w:pPr>
      <w:r w:rsidRPr="00DF0A9C">
        <w:t>Not available as an Equivalent Ingredient in any application</w:t>
      </w:r>
    </w:p>
    <w:p w14:paraId="515084E1" w14:textId="0B0FD7C1" w:rsidR="00685E72" w:rsidRPr="00DF0A9C" w:rsidRDefault="00685E72" w:rsidP="00EB1099">
      <w:pPr>
        <w:pStyle w:val="ListBullet"/>
        <w:numPr>
          <w:ilvl w:val="0"/>
          <w:numId w:val="83"/>
        </w:numPr>
      </w:pPr>
      <w:r w:rsidRPr="00DF0A9C">
        <w:t xml:space="preserve">As of </w:t>
      </w:r>
      <w:r w:rsidR="00320FBA" w:rsidRPr="00DF0A9C">
        <w:t>July</w:t>
      </w:r>
      <w:r w:rsidRPr="00DF0A9C">
        <w:t xml:space="preserve"> 20</w:t>
      </w:r>
      <w:r w:rsidR="00320FBA" w:rsidRPr="00DF0A9C">
        <w:t>23</w:t>
      </w:r>
      <w:r w:rsidRPr="00DF0A9C">
        <w:t xml:space="preserve">, there were </w:t>
      </w:r>
      <w:r w:rsidR="006B159D" w:rsidRPr="00DF0A9C">
        <w:t>no</w:t>
      </w:r>
      <w:r w:rsidRPr="00DF0A9C">
        <w:t xml:space="preserve"> medicines </w:t>
      </w:r>
      <w:r w:rsidR="006B159D" w:rsidRPr="00DF0A9C">
        <w:t xml:space="preserve">containing astodrimer sodium </w:t>
      </w:r>
      <w:r w:rsidRPr="00DF0A9C">
        <w:t xml:space="preserve">on the </w:t>
      </w:r>
      <w:hyperlink r:id="rId26" w:history="1">
        <w:r w:rsidR="00EB1099">
          <w:rPr>
            <w:rStyle w:val="Hyperlink"/>
            <w:rFonts w:asciiTheme="minorHAnsi" w:hAnsiTheme="minorHAnsi"/>
          </w:rPr>
          <w:t>Australian Register of Therapeutic Goods</w:t>
        </w:r>
      </w:hyperlink>
      <w:r w:rsidR="00EB1099" w:rsidRPr="00EB1099">
        <w:rPr>
          <w:rStyle w:val="Hyperlink"/>
          <w:rFonts w:asciiTheme="minorHAnsi" w:hAnsiTheme="minorHAnsi"/>
          <w:color w:val="auto"/>
          <w:u w:val="none"/>
        </w:rPr>
        <w:t xml:space="preserve"> (ARTG)</w:t>
      </w:r>
      <w:r w:rsidR="0007591A" w:rsidRPr="0007591A">
        <w:rPr>
          <w:rStyle w:val="Hyperlink"/>
          <w:rFonts w:asciiTheme="minorHAnsi" w:hAnsiTheme="minorHAnsi"/>
          <w:color w:val="auto"/>
          <w:u w:val="none"/>
        </w:rPr>
        <w:t>.</w:t>
      </w:r>
    </w:p>
    <w:p w14:paraId="5006CFE4" w14:textId="79D4BB2F" w:rsidR="00685E72" w:rsidRPr="00DF0A9C" w:rsidRDefault="00304F34" w:rsidP="00EB1099">
      <w:pPr>
        <w:pStyle w:val="ListBullet"/>
        <w:numPr>
          <w:ilvl w:val="0"/>
          <w:numId w:val="83"/>
        </w:numPr>
      </w:pPr>
      <w:r w:rsidRPr="00DF0A9C">
        <w:t>Astodrimer sodium</w:t>
      </w:r>
      <w:r w:rsidR="00685E72" w:rsidRPr="00DF0A9C">
        <w:t xml:space="preserve"> is not permitted to be included in listed medicines as it is not included in the </w:t>
      </w:r>
      <w:hyperlink r:id="rId27" w:history="1">
        <w:r w:rsidR="00685E72" w:rsidRPr="00DF0A9C">
          <w:rPr>
            <w:rStyle w:val="Hyperlink"/>
            <w:rFonts w:asciiTheme="minorHAnsi" w:hAnsiTheme="minorHAnsi"/>
          </w:rPr>
          <w:t>Therapeutic Goods (Permissible Ingredients) Determination</w:t>
        </w:r>
      </w:hyperlink>
      <w:r w:rsidR="00685E72" w:rsidRPr="00DF0A9C">
        <w:t xml:space="preserve"> No.</w:t>
      </w:r>
      <w:r w:rsidRPr="00DF0A9C">
        <w:t>3</w:t>
      </w:r>
      <w:r w:rsidR="00685E72" w:rsidRPr="00DF0A9C">
        <w:t xml:space="preserve"> of 20</w:t>
      </w:r>
      <w:r w:rsidRPr="00DF0A9C">
        <w:t>23</w:t>
      </w:r>
      <w:r w:rsidR="00685E72" w:rsidRPr="00DF0A9C">
        <w:t xml:space="preserve">. </w:t>
      </w:r>
    </w:p>
    <w:p w14:paraId="22406806" w14:textId="711E037D" w:rsidR="00685E72" w:rsidRPr="00DF0A9C" w:rsidRDefault="00304F34" w:rsidP="00EB1099">
      <w:pPr>
        <w:pStyle w:val="ListBullet"/>
        <w:numPr>
          <w:ilvl w:val="0"/>
          <w:numId w:val="83"/>
        </w:numPr>
      </w:pPr>
      <w:r w:rsidRPr="0072362E">
        <w:t>Astodrimer sodium is not listed in t</w:t>
      </w:r>
      <w:r w:rsidR="00685E72" w:rsidRPr="0072362E">
        <w:t xml:space="preserve">he </w:t>
      </w:r>
      <w:hyperlink r:id="rId28" w:history="1">
        <w:r w:rsidR="00685E72" w:rsidRPr="00DF0A9C">
          <w:rPr>
            <w:rStyle w:val="Hyperlink"/>
            <w:rFonts w:asciiTheme="minorHAnsi" w:hAnsiTheme="minorHAnsi"/>
          </w:rPr>
          <w:t>TGA prescribing medicines in pregnancy database</w:t>
        </w:r>
      </w:hyperlink>
      <w:r w:rsidR="0007591A" w:rsidRPr="0007591A">
        <w:rPr>
          <w:rStyle w:val="Hyperlink"/>
          <w:rFonts w:asciiTheme="minorHAnsi" w:hAnsiTheme="minorHAnsi"/>
          <w:color w:val="auto"/>
          <w:u w:val="none"/>
        </w:rPr>
        <w:t>.</w:t>
      </w:r>
      <w:r w:rsidRPr="00DF0A9C">
        <w:t xml:space="preserve"> </w:t>
      </w:r>
    </w:p>
    <w:p w14:paraId="50A831AB" w14:textId="2778D7B6" w:rsidR="00685E72" w:rsidRPr="00DF0A9C" w:rsidRDefault="00685E72" w:rsidP="00EB1099">
      <w:pPr>
        <w:pStyle w:val="ListBullet"/>
        <w:numPr>
          <w:ilvl w:val="0"/>
          <w:numId w:val="83"/>
        </w:numPr>
      </w:pPr>
      <w:r w:rsidRPr="00DF0A9C">
        <w:t xml:space="preserve">There are no warning statements pertaining to </w:t>
      </w:r>
      <w:r w:rsidR="00541A27" w:rsidRPr="00DF0A9C">
        <w:t>a</w:t>
      </w:r>
      <w:r w:rsidR="00304F34" w:rsidRPr="00DF0A9C">
        <w:t>stodrimer sodium</w:t>
      </w:r>
      <w:r w:rsidRPr="00DF0A9C">
        <w:t xml:space="preserve"> in the </w:t>
      </w:r>
      <w:hyperlink r:id="rId29" w:history="1">
        <w:r w:rsidRPr="00DF0A9C">
          <w:rPr>
            <w:rStyle w:val="Hyperlink"/>
            <w:rFonts w:asciiTheme="minorHAnsi" w:hAnsiTheme="minorHAnsi"/>
          </w:rPr>
          <w:t>Therapeutic Goods (Medicines Advisory Statements) Specification 2021</w:t>
        </w:r>
      </w:hyperlink>
      <w:r w:rsidR="0007591A" w:rsidRPr="0007591A">
        <w:rPr>
          <w:rStyle w:val="Hyperlink"/>
          <w:rFonts w:asciiTheme="minorHAnsi" w:hAnsiTheme="minorHAnsi"/>
          <w:color w:val="auto"/>
          <w:u w:val="none"/>
        </w:rPr>
        <w:t>.</w:t>
      </w:r>
    </w:p>
    <w:p w14:paraId="5F86477C" w14:textId="4206B858" w:rsidR="00685E72" w:rsidRPr="00DF0A9C" w:rsidRDefault="00685E72" w:rsidP="00EB1099">
      <w:pPr>
        <w:pStyle w:val="ListBullet"/>
        <w:numPr>
          <w:ilvl w:val="0"/>
          <w:numId w:val="83"/>
        </w:numPr>
      </w:pPr>
      <w:r w:rsidRPr="00DF0A9C">
        <w:t xml:space="preserve">As of </w:t>
      </w:r>
      <w:r w:rsidR="00320FBA" w:rsidRPr="00DF0A9C">
        <w:t>July 2023</w:t>
      </w:r>
      <w:r w:rsidRPr="00DF0A9C">
        <w:t xml:space="preserve">, there were </w:t>
      </w:r>
      <w:r w:rsidR="00DF28C7" w:rsidRPr="00DF0A9C">
        <w:t>no</w:t>
      </w:r>
      <w:r w:rsidRPr="00DF0A9C">
        <w:t xml:space="preserve"> reports of adverse events for products containing </w:t>
      </w:r>
      <w:r w:rsidR="00DF28C7" w:rsidRPr="00DF0A9C">
        <w:t>astodrimer sodium</w:t>
      </w:r>
      <w:r w:rsidRPr="00DF0A9C">
        <w:t xml:space="preserve"> as an active ingredient on the </w:t>
      </w:r>
      <w:hyperlink r:id="rId30" w:history="1">
        <w:r w:rsidR="00EB1099">
          <w:rPr>
            <w:rStyle w:val="Hyperlink"/>
            <w:rFonts w:asciiTheme="minorHAnsi" w:hAnsiTheme="minorHAnsi"/>
          </w:rPr>
          <w:t>Database of Adverse Event Notifications</w:t>
        </w:r>
      </w:hyperlink>
      <w:r w:rsidR="00EB1099" w:rsidRPr="00EB1099">
        <w:rPr>
          <w:rStyle w:val="Hyperlink"/>
          <w:rFonts w:asciiTheme="minorHAnsi" w:hAnsiTheme="minorHAnsi"/>
          <w:color w:val="auto"/>
          <w:u w:val="none"/>
        </w:rPr>
        <w:t xml:space="preserve"> (DAEN)</w:t>
      </w:r>
      <w:r w:rsidR="00DF28C7" w:rsidRPr="00DF0A9C">
        <w:t>.</w:t>
      </w:r>
    </w:p>
    <w:p w14:paraId="5CF71759" w14:textId="3E969636" w:rsidR="00685E72" w:rsidRPr="00EA644F" w:rsidRDefault="00685E72" w:rsidP="001654D5">
      <w:pPr>
        <w:pStyle w:val="ListBullet"/>
        <w:numPr>
          <w:ilvl w:val="0"/>
          <w:numId w:val="83"/>
        </w:numPr>
        <w:ind w:left="357" w:hanging="357"/>
        <w:rPr>
          <w:rFonts w:ascii="Cambria" w:hAnsi="Cambria"/>
        </w:rPr>
      </w:pPr>
      <w:r w:rsidRPr="00DF0A9C">
        <w:t>As of</w:t>
      </w:r>
      <w:r w:rsidR="00320FBA" w:rsidRPr="00DF0A9C">
        <w:t xml:space="preserve"> July 2023</w:t>
      </w:r>
      <w:r w:rsidRPr="00DF0A9C">
        <w:t xml:space="preserve">, there were no products containing </w:t>
      </w:r>
      <w:r w:rsidR="00DF28C7" w:rsidRPr="00DF0A9C">
        <w:t>astodrimer sodium</w:t>
      </w:r>
      <w:r w:rsidRPr="00DF0A9C">
        <w:t xml:space="preserve"> as an active ingredient</w:t>
      </w:r>
      <w:r w:rsidR="00DF28C7" w:rsidRPr="00DF0A9C">
        <w:t>/</w:t>
      </w:r>
      <w:r w:rsidRPr="00DF0A9C">
        <w:t xml:space="preserve">constituent or scheduled substance listed on the </w:t>
      </w:r>
      <w:hyperlink r:id="rId31" w:history="1">
        <w:r w:rsidR="00EB1099">
          <w:rPr>
            <w:rStyle w:val="Hyperlink"/>
            <w:rFonts w:asciiTheme="minorHAnsi" w:hAnsiTheme="minorHAnsi"/>
          </w:rPr>
          <w:t>Public Chemical Registration Information System Search</w:t>
        </w:r>
      </w:hyperlink>
      <w:r w:rsidR="00EB1099" w:rsidRPr="00EB1099">
        <w:rPr>
          <w:rStyle w:val="Hyperlink"/>
          <w:rFonts w:asciiTheme="minorHAnsi" w:hAnsiTheme="minorHAnsi"/>
          <w:color w:val="auto"/>
          <w:u w:val="none"/>
        </w:rPr>
        <w:t xml:space="preserve"> (PubCRIS)</w:t>
      </w:r>
      <w:r w:rsidRPr="00EA644F">
        <w:rPr>
          <w:rFonts w:ascii="Cambria" w:hAnsi="Cambria"/>
        </w:rPr>
        <w:t xml:space="preserve">. </w:t>
      </w:r>
    </w:p>
    <w:p w14:paraId="5DA2B2E1" w14:textId="77777777" w:rsidR="00685E72" w:rsidRPr="00CB687C" w:rsidRDefault="00685E72" w:rsidP="00685E72">
      <w:pPr>
        <w:pStyle w:val="Heading4"/>
      </w:pPr>
      <w:bookmarkStart w:id="29" w:name="_Toc122614224"/>
      <w:bookmarkStart w:id="30" w:name="_Toc144110840"/>
      <w:r>
        <w:t>International regulations</w:t>
      </w:r>
      <w:bookmarkEnd w:id="29"/>
      <w:bookmarkEnd w:id="30"/>
    </w:p>
    <w:p w14:paraId="3622C471" w14:textId="4E8ACBD5" w:rsidR="000643D1" w:rsidRPr="00DF0A9C" w:rsidRDefault="000643D1" w:rsidP="001654D5">
      <w:pPr>
        <w:pStyle w:val="ListBullet"/>
        <w:numPr>
          <w:ilvl w:val="0"/>
          <w:numId w:val="83"/>
        </w:numPr>
        <w:ind w:left="357" w:hanging="357"/>
      </w:pPr>
      <w:r w:rsidRPr="00DF0A9C">
        <w:t>Astodrimer sodium is not included in</w:t>
      </w:r>
      <w:r w:rsidR="00EB1099">
        <w:t xml:space="preserve"> the</w:t>
      </w:r>
      <w:r w:rsidRPr="00DF0A9C">
        <w:t xml:space="preserve"> </w:t>
      </w:r>
      <w:hyperlink r:id="rId32" w:history="1">
        <w:r w:rsidR="00EB1099">
          <w:rPr>
            <w:rStyle w:val="Hyperlink"/>
            <w:rFonts w:asciiTheme="minorHAnsi" w:hAnsiTheme="minorHAnsi"/>
            <w:szCs w:val="22"/>
          </w:rPr>
          <w:t>Health Canada drug product database</w:t>
        </w:r>
      </w:hyperlink>
      <w:r w:rsidR="00687F35" w:rsidRPr="00687F35">
        <w:rPr>
          <w:rStyle w:val="Hyperlink"/>
          <w:rFonts w:asciiTheme="minorHAnsi" w:hAnsiTheme="minorHAnsi"/>
          <w:color w:val="auto"/>
          <w:szCs w:val="22"/>
          <w:u w:val="none"/>
        </w:rPr>
        <w:t>,</w:t>
      </w:r>
      <w:r w:rsidRPr="00DF0A9C">
        <w:t xml:space="preserve"> the </w:t>
      </w:r>
      <w:hyperlink r:id="rId33" w:history="1">
        <w:r w:rsidRPr="00DF0A9C">
          <w:rPr>
            <w:rStyle w:val="Hyperlink"/>
            <w:rFonts w:asciiTheme="minorHAnsi" w:hAnsiTheme="minorHAnsi"/>
            <w:szCs w:val="22"/>
          </w:rPr>
          <w:t>United States Food and Drug Administration</w:t>
        </w:r>
      </w:hyperlink>
      <w:r w:rsidRPr="00DF0A9C">
        <w:t>’s approved drug products database</w:t>
      </w:r>
      <w:r w:rsidR="00687F35">
        <w:t>,</w:t>
      </w:r>
      <w:r w:rsidRPr="00DF0A9C">
        <w:t xml:space="preserve"> the </w:t>
      </w:r>
      <w:hyperlink r:id="rId34" w:history="1">
        <w:r w:rsidRPr="00DF0A9C">
          <w:rPr>
            <w:rStyle w:val="Hyperlink"/>
            <w:rFonts w:asciiTheme="minorHAnsi" w:hAnsiTheme="minorHAnsi"/>
            <w:szCs w:val="22"/>
          </w:rPr>
          <w:t>New Zealand Inventory of Chemicals</w:t>
        </w:r>
      </w:hyperlink>
      <w:r w:rsidRPr="00DF0A9C">
        <w:t xml:space="preserve">, </w:t>
      </w:r>
      <w:r w:rsidR="00EB1099">
        <w:t xml:space="preserve">the </w:t>
      </w:r>
      <w:hyperlink r:id="rId35" w:history="1">
        <w:r w:rsidR="00EB1099">
          <w:rPr>
            <w:rStyle w:val="Hyperlink"/>
            <w:rFonts w:asciiTheme="minorHAnsi" w:hAnsiTheme="minorHAnsi"/>
            <w:szCs w:val="22"/>
          </w:rPr>
          <w:t>New Zealand Medicines and Medical Devices Safety Authority</w:t>
        </w:r>
      </w:hyperlink>
      <w:r w:rsidR="00EB1099" w:rsidRPr="0040314F">
        <w:rPr>
          <w:rStyle w:val="Hyperlink"/>
          <w:rFonts w:asciiTheme="minorHAnsi" w:hAnsiTheme="minorHAnsi"/>
          <w:color w:val="auto"/>
          <w:szCs w:val="22"/>
          <w:u w:val="none"/>
        </w:rPr>
        <w:t xml:space="preserve"> (MedSafe)</w:t>
      </w:r>
      <w:r w:rsidR="00687F35">
        <w:t>,</w:t>
      </w:r>
      <w:r w:rsidRPr="00DF0A9C">
        <w:t xml:space="preserve"> the </w:t>
      </w:r>
      <w:hyperlink r:id="rId36" w:history="1">
        <w:r w:rsidRPr="00DF0A9C">
          <w:rPr>
            <w:rStyle w:val="Hyperlink"/>
            <w:rFonts w:asciiTheme="minorHAnsi" w:hAnsiTheme="minorHAnsi"/>
            <w:szCs w:val="22"/>
          </w:rPr>
          <w:t>European Commission database</w:t>
        </w:r>
      </w:hyperlink>
      <w:r w:rsidRPr="00DF0A9C">
        <w:t xml:space="preserve"> for information on cosmetic substances and ingredients</w:t>
      </w:r>
      <w:r w:rsidR="00687F35">
        <w:t>,</w:t>
      </w:r>
      <w:r w:rsidRPr="00DF0A9C">
        <w:t xml:space="preserve"> or </w:t>
      </w:r>
      <w:hyperlink r:id="rId37" w:history="1">
        <w:r w:rsidRPr="00DF0A9C">
          <w:rPr>
            <w:rStyle w:val="Hyperlink"/>
            <w:rFonts w:asciiTheme="minorHAnsi" w:hAnsiTheme="minorHAnsi"/>
            <w:szCs w:val="22"/>
          </w:rPr>
          <w:t>Ireland’s Health Products Regulatory Authority</w:t>
        </w:r>
      </w:hyperlink>
      <w:r w:rsidRPr="00DF0A9C">
        <w:t xml:space="preserve"> medicines database.</w:t>
      </w:r>
    </w:p>
    <w:p w14:paraId="5ADAA15B" w14:textId="09BE80D0" w:rsidR="00586A6E" w:rsidRPr="009401F6" w:rsidRDefault="001D5CC5" w:rsidP="00F2313E">
      <w:pPr>
        <w:pStyle w:val="Heading3"/>
      </w:pPr>
      <w:bookmarkStart w:id="31" w:name="_Toc144110841"/>
      <w:bookmarkStart w:id="32" w:name="_Toc122614225"/>
      <w:bookmarkEnd w:id="9"/>
      <w:r>
        <w:t>1.2</w:t>
      </w:r>
      <w:r>
        <w:tab/>
      </w:r>
      <w:r w:rsidR="00586A6E">
        <w:t>Bilastine</w:t>
      </w:r>
      <w:bookmarkEnd w:id="31"/>
    </w:p>
    <w:p w14:paraId="106D0D88" w14:textId="77777777" w:rsidR="00586A6E" w:rsidRDefault="00586A6E" w:rsidP="00586A6E">
      <w:pPr>
        <w:pStyle w:val="Heading4"/>
      </w:pPr>
      <w:bookmarkStart w:id="33" w:name="_Toc144110842"/>
      <w:r>
        <w:t>Proposal</w:t>
      </w:r>
      <w:bookmarkEnd w:id="33"/>
    </w:p>
    <w:p w14:paraId="42ACDC58" w14:textId="334E41CF" w:rsidR="00586A6E" w:rsidRPr="00DF0A9C" w:rsidRDefault="00D97403" w:rsidP="000A63B2">
      <w:pPr>
        <w:rPr>
          <w:rFonts w:cstheme="minorHAnsi"/>
        </w:rPr>
      </w:pPr>
      <w:r w:rsidRPr="00DF0A9C">
        <w:rPr>
          <w:rFonts w:cstheme="minorHAnsi"/>
        </w:rPr>
        <w:t xml:space="preserve">The applicant proposed to extend the availability of bilastine through a pharmacist without requiring a prescription by removing the current phrasing which limits the Schedule 3 entry to divided preparations and reducing the age restriction from 12 to 6 years of age. The applicant has not proposed any changes to the Appendix H entry. </w:t>
      </w:r>
    </w:p>
    <w:p w14:paraId="7C8DEFCF" w14:textId="39143783" w:rsidR="00586A6E" w:rsidRDefault="00586A6E" w:rsidP="00586A6E">
      <w:pPr>
        <w:pStyle w:val="Heading4"/>
      </w:pPr>
      <w:bookmarkStart w:id="34" w:name="_Toc144110843"/>
      <w:r>
        <w:t>CAS number</w:t>
      </w:r>
      <w:bookmarkEnd w:id="34"/>
    </w:p>
    <w:p w14:paraId="6C35E237" w14:textId="01BB2D42" w:rsidR="00586A6E" w:rsidRPr="00DF0A9C" w:rsidRDefault="00D97403" w:rsidP="00586A6E">
      <w:pPr>
        <w:rPr>
          <w:rFonts w:cstheme="minorHAnsi"/>
        </w:rPr>
      </w:pPr>
      <w:r w:rsidRPr="00DF0A9C">
        <w:rPr>
          <w:rFonts w:cstheme="minorHAnsi"/>
        </w:rPr>
        <w:t>202189-78-4</w:t>
      </w:r>
    </w:p>
    <w:p w14:paraId="6A34484C" w14:textId="77777777" w:rsidR="00586A6E" w:rsidRDefault="00586A6E" w:rsidP="00586A6E">
      <w:pPr>
        <w:pStyle w:val="Heading4"/>
      </w:pPr>
      <w:bookmarkStart w:id="35" w:name="_Toc144110844"/>
      <w:r>
        <w:t>Alternative names</w:t>
      </w:r>
      <w:bookmarkEnd w:id="35"/>
    </w:p>
    <w:p w14:paraId="641923FA" w14:textId="2495CC1B" w:rsidR="00526491" w:rsidRPr="00DF0A9C" w:rsidRDefault="00B2729D" w:rsidP="00526491">
      <w:pPr>
        <w:pStyle w:val="NormalWeb"/>
        <w:shd w:val="clear" w:color="auto" w:fill="FFFFFF"/>
        <w:rPr>
          <w:rFonts w:asciiTheme="minorHAnsi" w:hAnsiTheme="minorHAnsi" w:cstheme="minorHAnsi"/>
          <w:sz w:val="22"/>
          <w:szCs w:val="22"/>
        </w:rPr>
      </w:pPr>
      <w:r w:rsidRPr="0072362E">
        <w:rPr>
          <w:rStyle w:val="normaltextrun"/>
          <w:rFonts w:asciiTheme="minorHAnsi" w:hAnsiTheme="minorHAnsi" w:cstheme="minorHAnsi"/>
          <w:sz w:val="22"/>
          <w:szCs w:val="22"/>
          <w:shd w:val="clear" w:color="auto" w:fill="FFFFFF"/>
        </w:rPr>
        <w:t>4-[2-[4-[1-(2-Ethoxyethyl)-1</w:t>
      </w:r>
      <w:r w:rsidRPr="0072362E">
        <w:rPr>
          <w:rStyle w:val="normaltextrun"/>
          <w:rFonts w:asciiTheme="minorHAnsi" w:hAnsiTheme="minorHAnsi" w:cstheme="minorHAnsi"/>
          <w:i/>
          <w:iCs/>
          <w:sz w:val="22"/>
          <w:szCs w:val="22"/>
          <w:shd w:val="clear" w:color="auto" w:fill="FFFFFF"/>
        </w:rPr>
        <w:t>H</w:t>
      </w:r>
      <w:r w:rsidRPr="0072362E">
        <w:rPr>
          <w:rStyle w:val="normaltextrun"/>
          <w:rFonts w:asciiTheme="minorHAnsi" w:hAnsiTheme="minorHAnsi" w:cstheme="minorHAnsi"/>
          <w:sz w:val="22"/>
          <w:szCs w:val="22"/>
          <w:shd w:val="clear" w:color="auto" w:fill="FFFFFF"/>
        </w:rPr>
        <w:t>-benzimidazol-2-yl]-1-piperidinyl]ethyl]-α,α-dimethylbenzeneacetic acid</w:t>
      </w:r>
    </w:p>
    <w:p w14:paraId="41CCABD4" w14:textId="138F989E" w:rsidR="00586A6E" w:rsidRPr="002C1070" w:rsidRDefault="00586A6E" w:rsidP="00526491">
      <w:pPr>
        <w:pStyle w:val="Heading4"/>
        <w:spacing w:before="0"/>
      </w:pPr>
      <w:bookmarkStart w:id="36" w:name="_Toc144110845"/>
      <w:r>
        <w:t>Applicant</w:t>
      </w:r>
      <w:bookmarkEnd w:id="36"/>
    </w:p>
    <w:p w14:paraId="573484AA" w14:textId="48920630" w:rsidR="006249CF" w:rsidRDefault="00586A6E" w:rsidP="008F2D16">
      <w:pPr>
        <w:rPr>
          <w:rFonts w:cstheme="minorHAnsi"/>
        </w:rPr>
      </w:pPr>
      <w:r w:rsidRPr="00DF0A9C">
        <w:rPr>
          <w:rFonts w:cstheme="minorHAnsi"/>
        </w:rPr>
        <w:t xml:space="preserve">Private applicant </w:t>
      </w:r>
    </w:p>
    <w:p w14:paraId="700AEBC9" w14:textId="5CCC301B" w:rsidR="00586A6E" w:rsidRDefault="00586A6E" w:rsidP="00586A6E">
      <w:pPr>
        <w:pStyle w:val="Heading4"/>
      </w:pPr>
      <w:bookmarkStart w:id="37" w:name="_Toc144110846"/>
      <w:bookmarkStart w:id="38" w:name="_Hlk143246973"/>
      <w:r>
        <w:t>Proposed Scheduling</w:t>
      </w:r>
      <w:bookmarkEnd w:id="37"/>
    </w:p>
    <w:bookmarkEnd w:id="38"/>
    <w:p w14:paraId="4C3C6DFA" w14:textId="0629EE47" w:rsidR="00AC5E26" w:rsidRPr="00DF0A9C" w:rsidRDefault="00AC5E26" w:rsidP="00586A6E">
      <w:pPr>
        <w:rPr>
          <w:rFonts w:cstheme="minorHAnsi"/>
          <w:szCs w:val="22"/>
        </w:rPr>
      </w:pPr>
      <w:r w:rsidRPr="00DF0A9C">
        <w:rPr>
          <w:rFonts w:cstheme="minorHAnsi"/>
          <w:szCs w:val="22"/>
        </w:rPr>
        <w:t xml:space="preserve">The </w:t>
      </w:r>
      <w:r w:rsidRPr="00A35340">
        <w:rPr>
          <w:rFonts w:cstheme="minorHAnsi"/>
          <w:szCs w:val="22"/>
        </w:rPr>
        <w:t>applicant’s proposed</w:t>
      </w:r>
      <w:r w:rsidRPr="00DF0A9C">
        <w:rPr>
          <w:rFonts w:cstheme="minorHAnsi"/>
          <w:szCs w:val="22"/>
        </w:rPr>
        <w:t xml:space="preserve"> amendments to the Poisons Standard are</w:t>
      </w:r>
      <w:r w:rsidR="0007591A">
        <w:rPr>
          <w:rFonts w:cstheme="minorHAnsi"/>
          <w:szCs w:val="22"/>
        </w:rPr>
        <w:t>:</w:t>
      </w:r>
      <w:r w:rsidR="00B21C87">
        <w:rPr>
          <w:rStyle w:val="FootnoteReference"/>
          <w:rFonts w:cstheme="minorHAnsi"/>
          <w:szCs w:val="22"/>
        </w:rPr>
        <w:footnoteReference w:id="2"/>
      </w:r>
    </w:p>
    <w:p w14:paraId="0FAA76D8" w14:textId="5FF20F0A" w:rsidR="00964E1E" w:rsidRPr="00DF0A9C" w:rsidRDefault="00964E1E" w:rsidP="00EB1099">
      <w:pPr>
        <w:spacing w:before="240"/>
        <w:ind w:left="425"/>
        <w:rPr>
          <w:rFonts w:cstheme="minorHAnsi"/>
          <w:b/>
        </w:rPr>
      </w:pPr>
      <w:r w:rsidRPr="00DF0A9C">
        <w:rPr>
          <w:rFonts w:cstheme="minorHAnsi"/>
          <w:b/>
        </w:rPr>
        <w:t xml:space="preserve">Schedule 3 – Amend entry </w:t>
      </w:r>
    </w:p>
    <w:p w14:paraId="199E0103" w14:textId="00B6CAF2" w:rsidR="00964E1E" w:rsidRPr="00DF0A9C" w:rsidRDefault="00964E1E" w:rsidP="00FE5EF0">
      <w:pPr>
        <w:ind w:left="720"/>
        <w:rPr>
          <w:rFonts w:cstheme="minorHAnsi"/>
        </w:rPr>
      </w:pPr>
      <w:r w:rsidRPr="00DF0A9C">
        <w:rPr>
          <w:rFonts w:cstheme="minorHAnsi"/>
        </w:rPr>
        <w:t xml:space="preserve">BILASTINE in </w:t>
      </w:r>
      <w:r w:rsidRPr="00DF0A9C">
        <w:rPr>
          <w:rFonts w:cstheme="minorHAnsi"/>
          <w:strike/>
          <w:color w:val="FF0000"/>
        </w:rPr>
        <w:t>divided</w:t>
      </w:r>
      <w:r w:rsidRPr="00DF0A9C">
        <w:rPr>
          <w:rFonts w:cstheme="minorHAnsi"/>
          <w:color w:val="FF0000"/>
        </w:rPr>
        <w:t xml:space="preserve"> </w:t>
      </w:r>
      <w:r w:rsidRPr="00DF0A9C">
        <w:rPr>
          <w:rFonts w:cstheme="minorHAnsi"/>
        </w:rPr>
        <w:t xml:space="preserve">oral </w:t>
      </w:r>
      <w:r w:rsidRPr="0072362E">
        <w:rPr>
          <w:rFonts w:cstheme="minorHAnsi"/>
          <w:color w:val="00B050"/>
          <w:u w:val="single"/>
        </w:rPr>
        <w:t>preparations when labelled with a recommended daily dose not exceeding</w:t>
      </w:r>
      <w:r w:rsidRPr="00DF0A9C">
        <w:rPr>
          <w:rFonts w:cstheme="minorHAnsi"/>
        </w:rPr>
        <w:t xml:space="preserve"> </w:t>
      </w:r>
      <w:r w:rsidRPr="00DF0A9C">
        <w:rPr>
          <w:rFonts w:cstheme="minorHAnsi"/>
          <w:strike/>
          <w:color w:val="FF0000"/>
        </w:rPr>
        <w:t>containing</w:t>
      </w:r>
      <w:r w:rsidRPr="00DF0A9C">
        <w:rPr>
          <w:rFonts w:cstheme="minorHAnsi"/>
          <w:color w:val="FF0000"/>
        </w:rPr>
        <w:t xml:space="preserve"> </w:t>
      </w:r>
      <w:r w:rsidRPr="00DF0A9C">
        <w:rPr>
          <w:rFonts w:cstheme="minorHAnsi"/>
        </w:rPr>
        <w:t xml:space="preserve">20 mg </w:t>
      </w:r>
      <w:r w:rsidRPr="00DF0A9C">
        <w:rPr>
          <w:rFonts w:cstheme="minorHAnsi"/>
          <w:strike/>
          <w:color w:val="FF0000"/>
        </w:rPr>
        <w:t xml:space="preserve">or less </w:t>
      </w:r>
      <w:r w:rsidRPr="0072362E">
        <w:rPr>
          <w:rFonts w:cstheme="minorHAnsi"/>
        </w:rPr>
        <w:t>of</w:t>
      </w:r>
      <w:r w:rsidRPr="00DF0A9C">
        <w:rPr>
          <w:rFonts w:cstheme="minorHAnsi"/>
          <w:color w:val="FF0000"/>
        </w:rPr>
        <w:t xml:space="preserve"> </w:t>
      </w:r>
      <w:r w:rsidRPr="00DF0A9C">
        <w:rPr>
          <w:rFonts w:cstheme="minorHAnsi"/>
        </w:rPr>
        <w:t xml:space="preserve">bilastine for the treatment of adults and </w:t>
      </w:r>
      <w:r w:rsidRPr="0072362E">
        <w:rPr>
          <w:rFonts w:cstheme="minorHAnsi"/>
          <w:color w:val="00B050"/>
          <w:u w:val="single"/>
        </w:rPr>
        <w:t>children</w:t>
      </w:r>
      <w:r w:rsidRPr="00DF0A9C">
        <w:rPr>
          <w:rFonts w:cstheme="minorHAnsi"/>
          <w:color w:val="00B050"/>
        </w:rPr>
        <w:t xml:space="preserve"> </w:t>
      </w:r>
      <w:r w:rsidRPr="00DF0A9C">
        <w:rPr>
          <w:rFonts w:cstheme="minorHAnsi"/>
          <w:strike/>
          <w:color w:val="FF0000"/>
        </w:rPr>
        <w:t>adolescents</w:t>
      </w:r>
      <w:r w:rsidRPr="00DF0A9C">
        <w:rPr>
          <w:rFonts w:cstheme="minorHAnsi"/>
          <w:color w:val="FF0000"/>
        </w:rPr>
        <w:t xml:space="preserve"> </w:t>
      </w:r>
      <w:r w:rsidRPr="0072362E">
        <w:rPr>
          <w:rFonts w:cstheme="minorHAnsi"/>
          <w:color w:val="00B050"/>
          <w:u w:val="single"/>
        </w:rPr>
        <w:t>6</w:t>
      </w:r>
      <w:r w:rsidRPr="00DF0A9C">
        <w:rPr>
          <w:rFonts w:cstheme="minorHAnsi"/>
          <w:strike/>
          <w:color w:val="FF0000"/>
        </w:rPr>
        <w:t>12</w:t>
      </w:r>
      <w:r w:rsidRPr="00DF0A9C">
        <w:rPr>
          <w:rFonts w:cstheme="minorHAnsi"/>
        </w:rPr>
        <w:t xml:space="preserve"> years of age and older. </w:t>
      </w:r>
    </w:p>
    <w:p w14:paraId="6E8D6191" w14:textId="77777777" w:rsidR="00964E1E" w:rsidRPr="00DF0A9C" w:rsidRDefault="00964E1E" w:rsidP="00964E1E">
      <w:pPr>
        <w:ind w:left="426"/>
        <w:rPr>
          <w:rFonts w:cstheme="minorHAnsi"/>
          <w:b/>
        </w:rPr>
      </w:pPr>
      <w:bookmarkStart w:id="39" w:name="_Hlk143247616"/>
      <w:r w:rsidRPr="00DF0A9C">
        <w:rPr>
          <w:rFonts w:cstheme="minorHAnsi"/>
          <w:b/>
        </w:rPr>
        <w:t>Index</w:t>
      </w:r>
    </w:p>
    <w:p w14:paraId="2AAA48A0" w14:textId="66134C3D" w:rsidR="00964E1E" w:rsidRPr="00DF0A9C" w:rsidRDefault="00964E1E" w:rsidP="0072362E">
      <w:pPr>
        <w:ind w:left="720"/>
        <w:rPr>
          <w:rFonts w:cstheme="minorHAnsi"/>
        </w:rPr>
      </w:pPr>
      <w:r w:rsidRPr="00DF0A9C">
        <w:rPr>
          <w:rFonts w:cstheme="minorHAnsi"/>
          <w:b/>
          <w:bCs/>
        </w:rPr>
        <w:t>BILASTINE</w:t>
      </w:r>
      <w:r w:rsidRPr="00DF0A9C">
        <w:rPr>
          <w:rFonts w:cstheme="minorHAnsi"/>
        </w:rPr>
        <w:br/>
        <w:t>Schedule 4</w:t>
      </w:r>
      <w:r w:rsidRPr="00DF0A9C">
        <w:rPr>
          <w:rFonts w:cstheme="minorHAnsi"/>
        </w:rPr>
        <w:br/>
        <w:t>Schedule 3</w:t>
      </w:r>
      <w:r w:rsidR="004465D7" w:rsidRPr="00DF0A9C">
        <w:rPr>
          <w:rFonts w:cstheme="minorHAnsi"/>
        </w:rPr>
        <w:br/>
      </w:r>
      <w:r w:rsidRPr="00DF0A9C">
        <w:rPr>
          <w:rFonts w:cstheme="minorHAnsi"/>
        </w:rPr>
        <w:t>Appendix H</w:t>
      </w:r>
      <w:r w:rsidR="00B2729D" w:rsidRPr="00DF0A9C">
        <w:rPr>
          <w:rFonts w:cstheme="minorHAnsi"/>
        </w:rPr>
        <w:t>,</w:t>
      </w:r>
      <w:r w:rsidRPr="00DF0A9C">
        <w:rPr>
          <w:rFonts w:cstheme="minorHAnsi"/>
        </w:rPr>
        <w:t xml:space="preserve"> clause 1</w:t>
      </w:r>
    </w:p>
    <w:p w14:paraId="1ADA9FB4" w14:textId="6437E92B" w:rsidR="00AB4D39" w:rsidRPr="00DF0A9C" w:rsidRDefault="00AB4D39" w:rsidP="0072362E">
      <w:pPr>
        <w:ind w:left="426"/>
        <w:rPr>
          <w:rFonts w:cstheme="minorHAnsi"/>
          <w:b/>
          <w:bCs/>
        </w:rPr>
      </w:pPr>
      <w:r w:rsidRPr="00DF0A9C">
        <w:rPr>
          <w:rFonts w:cstheme="minorHAnsi"/>
          <w:b/>
          <w:bCs/>
        </w:rPr>
        <w:t xml:space="preserve">Appendix H, clause 1 – </w:t>
      </w:r>
      <w:r w:rsidRPr="00DF0A9C">
        <w:rPr>
          <w:rFonts w:cstheme="minorHAnsi"/>
        </w:rPr>
        <w:t xml:space="preserve">Schedule 3 medicines permitted to be </w:t>
      </w:r>
      <w:r w:rsidR="00800740" w:rsidRPr="00DF0A9C">
        <w:rPr>
          <w:rFonts w:cstheme="minorHAnsi"/>
        </w:rPr>
        <w:t>advertised.</w:t>
      </w:r>
      <w:r w:rsidRPr="00DF0A9C">
        <w:rPr>
          <w:rFonts w:cstheme="minorHAnsi"/>
          <w:b/>
          <w:bCs/>
        </w:rPr>
        <w:t xml:space="preserve"> </w:t>
      </w:r>
    </w:p>
    <w:tbl>
      <w:tblPr>
        <w:tblStyle w:val="TableTGAblue"/>
        <w:tblW w:w="0" w:type="auto"/>
        <w:tblInd w:w="699" w:type="dxa"/>
        <w:tblLook w:val="04A0" w:firstRow="1" w:lastRow="0" w:firstColumn="1" w:lastColumn="0" w:noHBand="0" w:noVBand="1"/>
      </w:tblPr>
      <w:tblGrid>
        <w:gridCol w:w="699"/>
        <w:gridCol w:w="1276"/>
      </w:tblGrid>
      <w:tr w:rsidR="00AB4D39" w:rsidRPr="00C67045" w14:paraId="250B9BE1" w14:textId="77777777" w:rsidTr="00B21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14:paraId="502D88BE" w14:textId="77777777" w:rsidR="00AB4D39" w:rsidRPr="00C67045" w:rsidRDefault="00AB4D39" w:rsidP="00B21C87">
            <w:pPr>
              <w:spacing w:before="60" w:after="60"/>
              <w:rPr>
                <w:rFonts w:asciiTheme="minorHAnsi" w:hAnsiTheme="minorHAnsi" w:cstheme="minorHAnsi"/>
                <w:sz w:val="20"/>
                <w:szCs w:val="20"/>
              </w:rPr>
            </w:pPr>
            <w:r w:rsidRPr="00C67045">
              <w:rPr>
                <w:rFonts w:asciiTheme="minorHAnsi" w:hAnsiTheme="minorHAnsi" w:cstheme="minorHAnsi"/>
                <w:sz w:val="20"/>
                <w:szCs w:val="20"/>
              </w:rPr>
              <w:t>Item</w:t>
            </w:r>
          </w:p>
        </w:tc>
        <w:tc>
          <w:tcPr>
            <w:tcW w:w="1276" w:type="dxa"/>
          </w:tcPr>
          <w:p w14:paraId="7DE3BE61" w14:textId="77777777" w:rsidR="00AB4D39" w:rsidRPr="00C67045" w:rsidRDefault="00AB4D39" w:rsidP="00B21C87">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7045">
              <w:rPr>
                <w:rFonts w:asciiTheme="minorHAnsi" w:hAnsiTheme="minorHAnsi" w:cstheme="minorHAnsi"/>
                <w:sz w:val="20"/>
                <w:szCs w:val="20"/>
              </w:rPr>
              <w:t>Poison</w:t>
            </w:r>
          </w:p>
        </w:tc>
      </w:tr>
      <w:tr w:rsidR="00AB4D39" w:rsidRPr="00C67045" w14:paraId="2F5CBC5C" w14:textId="77777777" w:rsidTr="00B21C87">
        <w:tc>
          <w:tcPr>
            <w:cnfStyle w:val="001000000000" w:firstRow="0" w:lastRow="0" w:firstColumn="1" w:lastColumn="0" w:oddVBand="0" w:evenVBand="0" w:oddHBand="0" w:evenHBand="0" w:firstRowFirstColumn="0" w:firstRowLastColumn="0" w:lastRowFirstColumn="0" w:lastRowLastColumn="0"/>
            <w:tcW w:w="699" w:type="dxa"/>
          </w:tcPr>
          <w:p w14:paraId="4967DE54" w14:textId="4C88C35D" w:rsidR="00AB4D39" w:rsidRPr="00C67045" w:rsidRDefault="00AB4D39" w:rsidP="00B21C87">
            <w:pPr>
              <w:spacing w:before="60" w:after="60"/>
              <w:rPr>
                <w:rFonts w:asciiTheme="minorHAnsi" w:hAnsiTheme="minorHAnsi" w:cstheme="minorHAnsi"/>
                <w:sz w:val="20"/>
                <w:szCs w:val="20"/>
              </w:rPr>
            </w:pPr>
            <w:r w:rsidRPr="00C67045">
              <w:rPr>
                <w:rFonts w:asciiTheme="minorHAnsi" w:hAnsiTheme="minorHAnsi" w:cstheme="minorHAnsi"/>
                <w:sz w:val="20"/>
                <w:szCs w:val="20"/>
              </w:rPr>
              <w:t>4</w:t>
            </w:r>
          </w:p>
        </w:tc>
        <w:tc>
          <w:tcPr>
            <w:tcW w:w="1276" w:type="dxa"/>
          </w:tcPr>
          <w:p w14:paraId="30C92352" w14:textId="0A62E124" w:rsidR="00AB4D39" w:rsidRPr="00C67045" w:rsidRDefault="00AB4D39" w:rsidP="00B21C87">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7045">
              <w:rPr>
                <w:rFonts w:asciiTheme="minorHAnsi" w:hAnsiTheme="minorHAnsi" w:cstheme="minorHAnsi"/>
                <w:sz w:val="20"/>
                <w:szCs w:val="20"/>
              </w:rPr>
              <w:t>BILASTINE</w:t>
            </w:r>
          </w:p>
        </w:tc>
      </w:tr>
    </w:tbl>
    <w:p w14:paraId="608748CE" w14:textId="77777777" w:rsidR="00586A6E" w:rsidRDefault="00586A6E" w:rsidP="00586A6E">
      <w:pPr>
        <w:pStyle w:val="Heading4"/>
      </w:pPr>
      <w:bookmarkStart w:id="40" w:name="_Toc144110847"/>
      <w:bookmarkEnd w:id="39"/>
      <w:r>
        <w:t>Background</w:t>
      </w:r>
      <w:bookmarkEnd w:id="40"/>
    </w:p>
    <w:p w14:paraId="7970C083" w14:textId="4FF8FE19" w:rsidR="00E41640" w:rsidRPr="00DF0A9C" w:rsidRDefault="00E41640" w:rsidP="000A63B2">
      <w:pPr>
        <w:rPr>
          <w:rFonts w:cstheme="minorHAnsi"/>
        </w:rPr>
      </w:pPr>
      <w:r w:rsidRPr="00DF0A9C">
        <w:rPr>
          <w:rFonts w:cstheme="minorHAnsi"/>
        </w:rPr>
        <w:t xml:space="preserve">Bilastine is an antihistamine that is used for the symptomatic treatment of seasonal and perennial allergic rhino-conjunctivitis and urticaria. Bilastine is currently available as 20 mg tablets in pack sizes of 10 and 30. </w:t>
      </w:r>
      <w:r w:rsidR="00B21C87">
        <w:rPr>
          <w:rFonts w:cstheme="minorHAnsi"/>
        </w:rPr>
        <w:t xml:space="preserve">Over the counter preparations of bilastine were permitted in 2021 </w:t>
      </w:r>
      <w:r w:rsidRPr="00DF0A9C">
        <w:rPr>
          <w:rFonts w:cstheme="minorHAnsi"/>
        </w:rPr>
        <w:t xml:space="preserve">in divided oral preparations containing 20 mg or less </w:t>
      </w:r>
      <w:r w:rsidR="00B21C87">
        <w:rPr>
          <w:rFonts w:cstheme="minorHAnsi"/>
        </w:rPr>
        <w:t>for</w:t>
      </w:r>
      <w:r w:rsidRPr="00DF0A9C">
        <w:rPr>
          <w:rFonts w:cstheme="minorHAnsi"/>
        </w:rPr>
        <w:t xml:space="preserve"> adults and adolescents 12 years of age and older.</w:t>
      </w:r>
    </w:p>
    <w:p w14:paraId="5BCBE698" w14:textId="0D971E44" w:rsidR="00586A6E" w:rsidRDefault="00586A6E" w:rsidP="00586A6E">
      <w:pPr>
        <w:pStyle w:val="Heading4"/>
      </w:pPr>
      <w:bookmarkStart w:id="41" w:name="_Toc144110848"/>
      <w:r>
        <w:t>Summary of applicant’s reasons for the proposal</w:t>
      </w:r>
      <w:bookmarkEnd w:id="41"/>
    </w:p>
    <w:p w14:paraId="678E989D" w14:textId="1650CB4C" w:rsidR="00E41640" w:rsidRPr="000A63B2" w:rsidRDefault="00E41640" w:rsidP="00EB1099">
      <w:pPr>
        <w:pStyle w:val="paragraph"/>
        <w:numPr>
          <w:ilvl w:val="0"/>
          <w:numId w:val="32"/>
        </w:numPr>
        <w:spacing w:before="0" w:beforeAutospacing="0" w:after="120" w:afterAutospacing="0" w:line="259" w:lineRule="auto"/>
        <w:ind w:left="357" w:hanging="357"/>
        <w:jc w:val="both"/>
        <w:textAlignment w:val="baseline"/>
        <w:rPr>
          <w:rFonts w:ascii="Calibri" w:hAnsi="Calibri" w:cs="Calibri"/>
          <w:sz w:val="22"/>
          <w:szCs w:val="22"/>
        </w:rPr>
      </w:pPr>
      <w:r>
        <w:rPr>
          <w:rStyle w:val="normaltextrun"/>
          <w:rFonts w:ascii="Calibri" w:hAnsi="Calibri" w:cs="Calibri"/>
          <w:sz w:val="22"/>
          <w:szCs w:val="22"/>
        </w:rPr>
        <w:t>Allergic rhinitis</w:t>
      </w:r>
      <w:r w:rsidR="00471508">
        <w:rPr>
          <w:rStyle w:val="normaltextrun"/>
          <w:rFonts w:ascii="Calibri" w:hAnsi="Calibri" w:cs="Calibri"/>
          <w:sz w:val="22"/>
          <w:szCs w:val="22"/>
        </w:rPr>
        <w:t xml:space="preserve"> (commonly known as hay fever)</w:t>
      </w:r>
      <w:r>
        <w:rPr>
          <w:rStyle w:val="normaltextrun"/>
          <w:rFonts w:ascii="Calibri" w:hAnsi="Calibri" w:cs="Calibri"/>
          <w:sz w:val="22"/>
          <w:szCs w:val="22"/>
        </w:rPr>
        <w:t xml:space="preserve">, both seasonal and perennial, is the most common allergic condition in Australia with an estimated 10% of the total population self-reporting the condition in 2017-2018. Allergic rhinitis is a risk factor for developing asthma and Australia has amongst the highest incidence </w:t>
      </w:r>
      <w:r w:rsidR="00471508">
        <w:rPr>
          <w:rStyle w:val="normaltextrun"/>
          <w:rFonts w:ascii="Calibri" w:hAnsi="Calibri" w:cs="Calibri"/>
          <w:sz w:val="22"/>
          <w:szCs w:val="22"/>
        </w:rPr>
        <w:t>of</w:t>
      </w:r>
      <w:r>
        <w:rPr>
          <w:rStyle w:val="normaltextrun"/>
          <w:rFonts w:ascii="Calibri" w:hAnsi="Calibri" w:cs="Calibri"/>
          <w:sz w:val="22"/>
          <w:szCs w:val="22"/>
        </w:rPr>
        <w:t xml:space="preserve"> developed countries.</w:t>
      </w:r>
    </w:p>
    <w:p w14:paraId="5D95BB3B" w14:textId="01E80431" w:rsidR="00E41640" w:rsidRPr="000A63B2" w:rsidRDefault="00E41640" w:rsidP="00EB1099">
      <w:pPr>
        <w:pStyle w:val="paragraph"/>
        <w:numPr>
          <w:ilvl w:val="0"/>
          <w:numId w:val="32"/>
        </w:numPr>
        <w:spacing w:before="0" w:beforeAutospacing="0" w:after="120" w:afterAutospacing="0" w:line="259" w:lineRule="auto"/>
        <w:ind w:left="360"/>
        <w:jc w:val="both"/>
        <w:textAlignment w:val="baseline"/>
        <w:rPr>
          <w:rFonts w:ascii="Calibri" w:hAnsi="Calibri" w:cs="Calibri"/>
          <w:sz w:val="22"/>
          <w:szCs w:val="22"/>
        </w:rPr>
      </w:pPr>
      <w:r>
        <w:rPr>
          <w:rStyle w:val="normaltextrun"/>
          <w:rFonts w:ascii="Calibri" w:hAnsi="Calibri" w:cs="Calibri"/>
          <w:sz w:val="22"/>
          <w:szCs w:val="22"/>
        </w:rPr>
        <w:t>Allergic rhino-conjunctivitis is known to be most prevalent during the school age years but is rare in children below 5 years of age.  Sleep disruption often results in daytime fatigue, increased class distraction or absenteeism, reduced focus on schoolwork and other curricular activities</w:t>
      </w:r>
      <w:r w:rsidR="00471508">
        <w:rPr>
          <w:rStyle w:val="normaltextrun"/>
          <w:rFonts w:ascii="Calibri" w:hAnsi="Calibri" w:cs="Calibri"/>
          <w:sz w:val="22"/>
          <w:szCs w:val="22"/>
        </w:rPr>
        <w:t>. T</w:t>
      </w:r>
      <w:r>
        <w:rPr>
          <w:rStyle w:val="normaltextrun"/>
          <w:rFonts w:ascii="Calibri" w:hAnsi="Calibri" w:cs="Calibri"/>
          <w:sz w:val="22"/>
          <w:szCs w:val="22"/>
        </w:rPr>
        <w:t>herefore</w:t>
      </w:r>
      <w:r w:rsidR="00471508">
        <w:rPr>
          <w:rStyle w:val="normaltextrun"/>
          <w:rFonts w:ascii="Calibri" w:hAnsi="Calibri" w:cs="Calibri"/>
          <w:sz w:val="22"/>
          <w:szCs w:val="22"/>
        </w:rPr>
        <w:t>,</w:t>
      </w:r>
      <w:r>
        <w:rPr>
          <w:rStyle w:val="normaltextrun"/>
          <w:rFonts w:ascii="Calibri" w:hAnsi="Calibri" w:cs="Calibri"/>
          <w:sz w:val="22"/>
          <w:szCs w:val="22"/>
        </w:rPr>
        <w:t xml:space="preserve"> symptomatic treatment is as important in school age children as in adults.</w:t>
      </w:r>
    </w:p>
    <w:p w14:paraId="381949DB" w14:textId="2FEFE62D" w:rsidR="00E41640" w:rsidRPr="000A63B2" w:rsidRDefault="00E41640" w:rsidP="00EB1099">
      <w:pPr>
        <w:pStyle w:val="paragraph"/>
        <w:numPr>
          <w:ilvl w:val="0"/>
          <w:numId w:val="32"/>
        </w:numPr>
        <w:spacing w:before="0" w:beforeAutospacing="0" w:after="120" w:afterAutospacing="0" w:line="259" w:lineRule="auto"/>
        <w:ind w:left="360"/>
        <w:jc w:val="both"/>
        <w:textAlignment w:val="baseline"/>
        <w:rPr>
          <w:rFonts w:ascii="Calibri" w:hAnsi="Calibri" w:cs="Calibri"/>
          <w:sz w:val="22"/>
          <w:szCs w:val="22"/>
        </w:rPr>
      </w:pPr>
      <w:r>
        <w:rPr>
          <w:rStyle w:val="normaltextrun"/>
          <w:rFonts w:ascii="Calibri" w:hAnsi="Calibri" w:cs="Calibri"/>
          <w:sz w:val="22"/>
          <w:szCs w:val="22"/>
        </w:rPr>
        <w:t>Bilastine is a non-sedating antihistamine which provides an effective once a day relief for common symptoms such as itchy, red or watery eyes, sneezing, runny or blocked nose, itchy throat, coughing and skin rashes/hives (urticaria) caused by allergies to certain plant and animal material.</w:t>
      </w:r>
      <w:r>
        <w:rPr>
          <w:rStyle w:val="eop"/>
          <w:rFonts w:ascii="Calibri" w:hAnsi="Calibri" w:cs="Calibri"/>
          <w:sz w:val="22"/>
          <w:szCs w:val="22"/>
        </w:rPr>
        <w:t> </w:t>
      </w:r>
    </w:p>
    <w:p w14:paraId="3D333259" w14:textId="1CE418E8" w:rsidR="00E41640" w:rsidRDefault="00E41640" w:rsidP="00EB1099">
      <w:pPr>
        <w:pStyle w:val="paragraph"/>
        <w:numPr>
          <w:ilvl w:val="0"/>
          <w:numId w:val="32"/>
        </w:numPr>
        <w:spacing w:before="0" w:beforeAutospacing="0" w:after="120" w:afterAutospacing="0" w:line="259" w:lineRule="auto"/>
        <w:ind w:left="360"/>
        <w:jc w:val="both"/>
        <w:textAlignment w:val="baseline"/>
        <w:rPr>
          <w:rFonts w:ascii="Calibri" w:hAnsi="Calibri" w:cs="Calibri"/>
          <w:sz w:val="22"/>
          <w:szCs w:val="22"/>
        </w:rPr>
      </w:pPr>
      <w:r>
        <w:rPr>
          <w:rStyle w:val="normaltextrun"/>
          <w:rFonts w:ascii="Calibri" w:hAnsi="Calibri" w:cs="Calibri"/>
          <w:sz w:val="22"/>
          <w:szCs w:val="22"/>
        </w:rPr>
        <w:t>The extension of treatment to the younger population necessitates the development of more palatable formulation</w:t>
      </w:r>
      <w:r w:rsidR="00B26D8B">
        <w:rPr>
          <w:rStyle w:val="normaltextrun"/>
          <w:rFonts w:ascii="Calibri" w:hAnsi="Calibri" w:cs="Calibri"/>
          <w:sz w:val="22"/>
          <w:szCs w:val="22"/>
        </w:rPr>
        <w:t>s</w:t>
      </w:r>
      <w:r>
        <w:rPr>
          <w:rStyle w:val="normaltextrun"/>
          <w:rFonts w:ascii="Calibri" w:hAnsi="Calibri" w:cs="Calibri"/>
          <w:sz w:val="22"/>
          <w:szCs w:val="22"/>
        </w:rPr>
        <w:t xml:space="preserve"> such as an oral liquid</w:t>
      </w:r>
      <w:r w:rsidR="00B26D8B">
        <w:rPr>
          <w:rStyle w:val="normaltextrun"/>
          <w:rFonts w:ascii="Calibri" w:hAnsi="Calibri" w:cs="Calibri"/>
          <w:sz w:val="22"/>
          <w:szCs w:val="22"/>
        </w:rPr>
        <w:t xml:space="preserve"> or</w:t>
      </w:r>
      <w:r w:rsidR="00B26D8B" w:rsidRPr="00B26D8B">
        <w:t xml:space="preserve"> </w:t>
      </w:r>
      <w:r w:rsidR="00B26D8B" w:rsidRPr="00B26D8B">
        <w:rPr>
          <w:rStyle w:val="normaltextrun"/>
          <w:rFonts w:ascii="Calibri" w:hAnsi="Calibri" w:cs="Calibri"/>
          <w:sz w:val="22"/>
          <w:szCs w:val="22"/>
        </w:rPr>
        <w:t>orally disintegrating tablets</w:t>
      </w:r>
      <w:r w:rsidR="00B26D8B">
        <w:rPr>
          <w:rStyle w:val="normaltextrun"/>
          <w:rFonts w:ascii="Calibri" w:hAnsi="Calibri" w:cs="Calibri"/>
          <w:sz w:val="22"/>
          <w:szCs w:val="22"/>
        </w:rPr>
        <w:t xml:space="preserve">. An oral liquid formulation </w:t>
      </w:r>
      <w:r>
        <w:rPr>
          <w:rStyle w:val="normaltextrun"/>
          <w:rFonts w:ascii="Calibri" w:hAnsi="Calibri" w:cs="Calibri"/>
          <w:sz w:val="22"/>
          <w:szCs w:val="22"/>
        </w:rPr>
        <w:t xml:space="preserve">under the current scheduling </w:t>
      </w:r>
      <w:r w:rsidR="00B26D8B" w:rsidRPr="00B26D8B">
        <w:rPr>
          <w:rStyle w:val="normaltextrun"/>
          <w:rFonts w:ascii="Calibri" w:hAnsi="Calibri" w:cs="Calibri"/>
          <w:sz w:val="22"/>
          <w:szCs w:val="22"/>
        </w:rPr>
        <w:t xml:space="preserve">would be classified as a prescription only medicine </w:t>
      </w:r>
      <w:r w:rsidR="00B26D8B">
        <w:rPr>
          <w:rStyle w:val="normaltextrun"/>
          <w:rFonts w:ascii="Calibri" w:hAnsi="Calibri" w:cs="Calibri"/>
          <w:sz w:val="22"/>
          <w:szCs w:val="22"/>
        </w:rPr>
        <w:t xml:space="preserve">(current Schedule 3 entry </w:t>
      </w:r>
      <w:r>
        <w:rPr>
          <w:rStyle w:val="normaltextrun"/>
          <w:rFonts w:ascii="Calibri" w:hAnsi="Calibri" w:cs="Calibri"/>
          <w:sz w:val="22"/>
          <w:szCs w:val="22"/>
        </w:rPr>
        <w:t>limits preparations to ‘divided’ medicines only</w:t>
      </w:r>
      <w:r w:rsidR="00B26D8B">
        <w:rPr>
          <w:rStyle w:val="eop"/>
          <w:rFonts w:ascii="Calibri" w:hAnsi="Calibri" w:cs="Calibri"/>
          <w:sz w:val="22"/>
          <w:szCs w:val="22"/>
        </w:rPr>
        <w:t>).</w:t>
      </w:r>
    </w:p>
    <w:p w14:paraId="7B019C1D" w14:textId="7B04142E" w:rsidR="00E41640" w:rsidRDefault="00E41640" w:rsidP="00EB1099">
      <w:pPr>
        <w:pStyle w:val="paragraph"/>
        <w:numPr>
          <w:ilvl w:val="0"/>
          <w:numId w:val="32"/>
        </w:numPr>
        <w:spacing w:before="0" w:beforeAutospacing="0" w:after="0" w:afterAutospacing="0"/>
        <w:ind w:left="357" w:hanging="357"/>
        <w:jc w:val="both"/>
        <w:textAlignment w:val="baseline"/>
        <w:rPr>
          <w:rFonts w:ascii="Calibri" w:hAnsi="Calibri" w:cs="Calibri"/>
          <w:sz w:val="22"/>
          <w:szCs w:val="22"/>
        </w:rPr>
      </w:pPr>
      <w:r>
        <w:rPr>
          <w:rStyle w:val="normaltextrun"/>
          <w:rFonts w:ascii="Calibri" w:hAnsi="Calibri" w:cs="Calibri"/>
          <w:sz w:val="22"/>
          <w:szCs w:val="22"/>
        </w:rPr>
        <w:t>Other paediatric formulations of non-sedating antihistamines have been available in Australia without a physician’s prescription for more than 25 years. Although bilastine is relatively new in Australia, the substance is indicated for the treatment of similar conditions and has a comparable safety profile to other non-sedating antihistamines.</w:t>
      </w:r>
    </w:p>
    <w:p w14:paraId="7775BC7D" w14:textId="77777777" w:rsidR="00586A6E" w:rsidRDefault="00586A6E" w:rsidP="00586A6E">
      <w:pPr>
        <w:pStyle w:val="Heading4"/>
      </w:pPr>
      <w:bookmarkStart w:id="42" w:name="_Toc144110849"/>
      <w:r>
        <w:t>Key uses / expected use</w:t>
      </w:r>
      <w:bookmarkEnd w:id="42"/>
    </w:p>
    <w:p w14:paraId="7ACCFA32" w14:textId="4C3E99B7" w:rsidR="00586A6E" w:rsidRDefault="00586A6E" w:rsidP="00586A6E">
      <w:r w:rsidRPr="00E41640">
        <w:t>Medicines</w:t>
      </w:r>
    </w:p>
    <w:p w14:paraId="24A75ADC" w14:textId="77777777" w:rsidR="00586A6E" w:rsidRDefault="00586A6E" w:rsidP="00586A6E">
      <w:pPr>
        <w:pStyle w:val="Heading4"/>
      </w:pPr>
      <w:bookmarkStart w:id="43" w:name="_Toc144110850"/>
      <w:r>
        <w:t>Australian regulations</w:t>
      </w:r>
      <w:bookmarkEnd w:id="43"/>
    </w:p>
    <w:p w14:paraId="1A05B8CE" w14:textId="4656461B" w:rsidR="00E41640" w:rsidRPr="00E41640" w:rsidRDefault="00E41640" w:rsidP="0072362E">
      <w:pPr>
        <w:pStyle w:val="ListParagraph"/>
        <w:numPr>
          <w:ilvl w:val="0"/>
          <w:numId w:val="33"/>
        </w:numPr>
        <w:spacing w:line="240" w:lineRule="auto"/>
        <w:contextualSpacing w:val="0"/>
        <w:textAlignment w:val="baseline"/>
        <w:rPr>
          <w:rFonts w:ascii="Calibri" w:eastAsia="Times New Roman" w:hAnsi="Calibri" w:cs="Calibri"/>
          <w:color w:val="333F48"/>
          <w:szCs w:val="22"/>
          <w:lang w:eastAsia="en-AU"/>
        </w:rPr>
      </w:pPr>
      <w:r w:rsidRPr="00E41640">
        <w:rPr>
          <w:rFonts w:ascii="Calibri" w:eastAsia="Times New Roman" w:hAnsi="Calibri" w:cs="Calibri"/>
          <w:szCs w:val="22"/>
          <w:lang w:eastAsia="en-AU"/>
        </w:rPr>
        <w:t xml:space="preserve">According to the </w:t>
      </w:r>
      <w:hyperlink r:id="rId38" w:tgtFrame="_blank" w:history="1">
        <w:r w:rsidRPr="00E41640">
          <w:rPr>
            <w:rFonts w:ascii="Calibri" w:eastAsia="Times New Roman" w:hAnsi="Calibri" w:cs="Calibri"/>
            <w:color w:val="0000FF"/>
            <w:szCs w:val="22"/>
            <w:u w:val="single"/>
            <w:lang w:eastAsia="en-AU"/>
          </w:rPr>
          <w:t>TGA Ingredient Database</w:t>
        </w:r>
      </w:hyperlink>
      <w:r w:rsidRPr="00E41640">
        <w:rPr>
          <w:rFonts w:ascii="Calibri" w:eastAsia="Times New Roman" w:hAnsi="Calibri" w:cs="Calibri"/>
          <w:szCs w:val="22"/>
          <w:lang w:eastAsia="en-AU"/>
        </w:rPr>
        <w:t>,</w:t>
      </w:r>
      <w:r w:rsidR="00B27F70">
        <w:rPr>
          <w:rFonts w:ascii="Calibri" w:eastAsia="Times New Roman" w:hAnsi="Calibri" w:cs="Calibri"/>
          <w:szCs w:val="22"/>
          <w:lang w:eastAsia="en-AU"/>
        </w:rPr>
        <w:t xml:space="preserve"> </w:t>
      </w:r>
      <w:r w:rsidRPr="00E41640">
        <w:rPr>
          <w:rFonts w:ascii="Calibri" w:eastAsia="Times New Roman" w:hAnsi="Calibri" w:cs="Calibri"/>
          <w:szCs w:val="22"/>
          <w:lang w:eastAsia="en-AU"/>
        </w:rPr>
        <w:t>bilastine is:</w:t>
      </w:r>
    </w:p>
    <w:p w14:paraId="6B9D1863" w14:textId="7C066833" w:rsidR="00E41640" w:rsidRPr="00E41640" w:rsidRDefault="00E41640" w:rsidP="0072362E">
      <w:pPr>
        <w:pStyle w:val="ListParagraph"/>
        <w:numPr>
          <w:ilvl w:val="1"/>
          <w:numId w:val="52"/>
        </w:numPr>
        <w:spacing w:line="240" w:lineRule="auto"/>
        <w:ind w:left="709" w:hanging="357"/>
        <w:contextualSpacing w:val="0"/>
        <w:textAlignment w:val="baseline"/>
        <w:rPr>
          <w:rFonts w:ascii="Calibri" w:eastAsia="Times New Roman" w:hAnsi="Calibri" w:cs="Calibri"/>
          <w:color w:val="333F48"/>
          <w:szCs w:val="22"/>
          <w:lang w:eastAsia="en-AU"/>
        </w:rPr>
      </w:pPr>
      <w:r w:rsidRPr="00E41640">
        <w:rPr>
          <w:rFonts w:ascii="Calibri" w:eastAsia="Times New Roman" w:hAnsi="Calibri" w:cs="Calibri"/>
          <w:szCs w:val="22"/>
          <w:lang w:eastAsia="en-AU"/>
        </w:rPr>
        <w:t>Available for use as an Active Ingredient in Export Only, Over the Counter</w:t>
      </w:r>
      <w:r w:rsidR="00B27F70">
        <w:rPr>
          <w:rFonts w:ascii="Calibri" w:eastAsia="Times New Roman" w:hAnsi="Calibri" w:cs="Calibri"/>
          <w:szCs w:val="22"/>
          <w:lang w:eastAsia="en-AU"/>
        </w:rPr>
        <w:t xml:space="preserve"> and</w:t>
      </w:r>
      <w:r w:rsidRPr="00E41640">
        <w:rPr>
          <w:rFonts w:ascii="Calibri" w:eastAsia="Times New Roman" w:hAnsi="Calibri" w:cs="Calibri"/>
          <w:szCs w:val="22"/>
          <w:lang w:eastAsia="en-AU"/>
        </w:rPr>
        <w:t xml:space="preserve"> Prescription Medicines</w:t>
      </w:r>
    </w:p>
    <w:p w14:paraId="60ABDC07" w14:textId="5E963649" w:rsidR="00E41640" w:rsidRPr="00E41640" w:rsidRDefault="00E41640" w:rsidP="0072362E">
      <w:pPr>
        <w:pStyle w:val="ListParagraph"/>
        <w:numPr>
          <w:ilvl w:val="1"/>
          <w:numId w:val="52"/>
        </w:numPr>
        <w:spacing w:line="240" w:lineRule="auto"/>
        <w:ind w:left="709" w:hanging="357"/>
        <w:contextualSpacing w:val="0"/>
        <w:textAlignment w:val="baseline"/>
        <w:rPr>
          <w:rFonts w:ascii="Calibri" w:eastAsia="Times New Roman" w:hAnsi="Calibri" w:cs="Calibri"/>
          <w:color w:val="333F48"/>
          <w:szCs w:val="22"/>
          <w:lang w:eastAsia="en-AU"/>
        </w:rPr>
      </w:pPr>
      <w:r w:rsidRPr="00E41640">
        <w:rPr>
          <w:rFonts w:ascii="Calibri" w:eastAsia="Times New Roman" w:hAnsi="Calibri" w:cs="Calibri"/>
          <w:szCs w:val="22"/>
          <w:lang w:eastAsia="en-AU"/>
        </w:rPr>
        <w:t>Not available as an Excipient Ingredient in any application</w:t>
      </w:r>
    </w:p>
    <w:p w14:paraId="471E0903" w14:textId="5C001BD3" w:rsidR="00E41640" w:rsidRPr="0072362E" w:rsidRDefault="00E41640" w:rsidP="0072362E">
      <w:pPr>
        <w:pStyle w:val="ListParagraph"/>
        <w:numPr>
          <w:ilvl w:val="1"/>
          <w:numId w:val="52"/>
        </w:numPr>
        <w:spacing w:line="240" w:lineRule="auto"/>
        <w:ind w:left="709" w:hanging="357"/>
        <w:contextualSpacing w:val="0"/>
        <w:textAlignment w:val="baseline"/>
        <w:rPr>
          <w:rFonts w:ascii="Calibri" w:eastAsia="Times New Roman" w:hAnsi="Calibri" w:cs="Calibri"/>
          <w:szCs w:val="22"/>
          <w:lang w:eastAsia="en-AU"/>
        </w:rPr>
      </w:pPr>
      <w:r w:rsidRPr="00E41640">
        <w:rPr>
          <w:rFonts w:ascii="Calibri" w:eastAsia="Times New Roman" w:hAnsi="Calibri" w:cs="Calibri"/>
          <w:szCs w:val="22"/>
          <w:lang w:eastAsia="en-AU"/>
        </w:rPr>
        <w:t>Not available as an Equivalent Ingredient in any application.</w:t>
      </w:r>
    </w:p>
    <w:p w14:paraId="7A77701F" w14:textId="127E6488" w:rsidR="00E41640" w:rsidRPr="0072362E" w:rsidRDefault="00E41640" w:rsidP="0072362E">
      <w:pPr>
        <w:pStyle w:val="ListParagraph"/>
        <w:numPr>
          <w:ilvl w:val="0"/>
          <w:numId w:val="33"/>
        </w:numPr>
        <w:spacing w:line="240" w:lineRule="auto"/>
        <w:ind w:left="357" w:hanging="357"/>
        <w:contextualSpacing w:val="0"/>
        <w:textAlignment w:val="baseline"/>
        <w:rPr>
          <w:rFonts w:ascii="Calibri" w:eastAsia="Times New Roman" w:hAnsi="Calibri" w:cs="Calibri"/>
          <w:color w:val="333F48"/>
          <w:szCs w:val="22"/>
          <w:lang w:eastAsia="en-AU"/>
        </w:rPr>
      </w:pPr>
      <w:r w:rsidRPr="00E41640">
        <w:rPr>
          <w:rFonts w:ascii="Calibri" w:eastAsia="Times New Roman" w:hAnsi="Calibri" w:cs="Calibri"/>
          <w:szCs w:val="22"/>
          <w:lang w:eastAsia="en-AU"/>
        </w:rPr>
        <w:t xml:space="preserve">As of July 2023, there was </w:t>
      </w:r>
      <w:r w:rsidR="00B27F70">
        <w:rPr>
          <w:rFonts w:ascii="Calibri" w:eastAsia="Times New Roman" w:hAnsi="Calibri" w:cs="Calibri"/>
          <w:szCs w:val="22"/>
          <w:lang w:eastAsia="en-AU"/>
        </w:rPr>
        <w:t>one</w:t>
      </w:r>
      <w:r w:rsidRPr="00E41640">
        <w:rPr>
          <w:rFonts w:ascii="Calibri" w:eastAsia="Times New Roman" w:hAnsi="Calibri" w:cs="Calibri"/>
          <w:szCs w:val="22"/>
          <w:lang w:eastAsia="en-AU"/>
        </w:rPr>
        <w:t xml:space="preserve"> medicine currently active on the </w:t>
      </w:r>
      <w:hyperlink r:id="rId39" w:tgtFrame="_blank" w:history="1">
        <w:r w:rsidR="00EB1099">
          <w:rPr>
            <w:rFonts w:ascii="Calibri" w:eastAsia="Times New Roman" w:hAnsi="Calibri" w:cs="Calibri"/>
            <w:color w:val="0000FF"/>
            <w:szCs w:val="22"/>
            <w:u w:val="single"/>
            <w:lang w:eastAsia="en-AU"/>
          </w:rPr>
          <w:t>Australian Register of Therapeutic Goods</w:t>
        </w:r>
      </w:hyperlink>
      <w:r w:rsidR="006269E4" w:rsidRPr="006269E4">
        <w:rPr>
          <w:rStyle w:val="FootnoteReference"/>
          <w:rFonts w:asciiTheme="minorHAnsi" w:hAnsiTheme="minorHAnsi" w:cstheme="minorHAnsi"/>
        </w:rPr>
        <w:t xml:space="preserve"> </w:t>
      </w:r>
      <w:r w:rsidR="00EB1099" w:rsidRPr="00EB1099">
        <w:rPr>
          <w:rStyle w:val="FootnoteReference"/>
          <w:rFonts w:asciiTheme="minorHAnsi" w:hAnsiTheme="minorHAnsi" w:cstheme="minorHAnsi"/>
          <w:vertAlign w:val="baseline"/>
        </w:rPr>
        <w:t>(</w:t>
      </w:r>
      <w:r w:rsidR="00EB1099">
        <w:rPr>
          <w:rFonts w:asciiTheme="minorHAnsi" w:hAnsiTheme="minorHAnsi" w:cstheme="minorHAnsi"/>
        </w:rPr>
        <w:t xml:space="preserve">ARTG) </w:t>
      </w:r>
      <w:r w:rsidRPr="00E41640">
        <w:rPr>
          <w:rFonts w:ascii="Calibri" w:eastAsia="Times New Roman" w:hAnsi="Calibri" w:cs="Calibri"/>
          <w:szCs w:val="22"/>
          <w:lang w:eastAsia="en-AU"/>
        </w:rPr>
        <w:t>that contain bilastine as an active ingredient. It is a non-prescription medicine.</w:t>
      </w:r>
    </w:p>
    <w:p w14:paraId="48EF0441" w14:textId="74183D38" w:rsidR="00E41640" w:rsidRPr="0072362E" w:rsidRDefault="00E41640" w:rsidP="0072362E">
      <w:pPr>
        <w:pStyle w:val="ListParagraph"/>
        <w:numPr>
          <w:ilvl w:val="0"/>
          <w:numId w:val="33"/>
        </w:numPr>
        <w:spacing w:line="240" w:lineRule="auto"/>
        <w:ind w:left="357" w:hanging="357"/>
        <w:contextualSpacing w:val="0"/>
        <w:textAlignment w:val="baseline"/>
        <w:rPr>
          <w:rFonts w:ascii="Calibri" w:eastAsia="Times New Roman" w:hAnsi="Calibri" w:cs="Calibri"/>
          <w:szCs w:val="22"/>
          <w:lang w:eastAsia="en-AU"/>
        </w:rPr>
      </w:pPr>
      <w:r w:rsidRPr="00E41640">
        <w:rPr>
          <w:rFonts w:ascii="Calibri" w:eastAsia="Times New Roman" w:hAnsi="Calibri" w:cs="Calibri"/>
          <w:szCs w:val="22"/>
          <w:lang w:eastAsia="en-AU"/>
        </w:rPr>
        <w:t xml:space="preserve">Bilastine is not permitted to be included in listed medicines as it is not included in the </w:t>
      </w:r>
      <w:hyperlink r:id="rId40" w:tgtFrame="_blank" w:history="1">
        <w:r w:rsidRPr="00E41640">
          <w:rPr>
            <w:rFonts w:ascii="Calibri" w:eastAsia="Times New Roman" w:hAnsi="Calibri" w:cs="Calibri"/>
            <w:color w:val="0000FF"/>
            <w:szCs w:val="22"/>
            <w:u w:val="single"/>
            <w:lang w:eastAsia="en-AU"/>
          </w:rPr>
          <w:t>Therapeutic Goods (Permissible Ingredients) Determination</w:t>
        </w:r>
      </w:hyperlink>
      <w:r w:rsidRPr="00E41640">
        <w:rPr>
          <w:rFonts w:ascii="Calibri" w:eastAsia="Times New Roman" w:hAnsi="Calibri" w:cs="Calibri"/>
          <w:color w:val="333F48"/>
          <w:szCs w:val="22"/>
          <w:lang w:eastAsia="en-AU"/>
        </w:rPr>
        <w:t xml:space="preserve"> </w:t>
      </w:r>
      <w:r w:rsidRPr="00E41640">
        <w:rPr>
          <w:rFonts w:ascii="Calibri" w:eastAsia="Times New Roman" w:hAnsi="Calibri" w:cs="Calibri"/>
          <w:szCs w:val="22"/>
          <w:lang w:eastAsia="en-AU"/>
        </w:rPr>
        <w:t>No.3 of 2023.</w:t>
      </w:r>
    </w:p>
    <w:p w14:paraId="3660F3D9" w14:textId="5C82A445" w:rsidR="00E41640" w:rsidRPr="00E41640" w:rsidRDefault="00E41640" w:rsidP="0072362E">
      <w:pPr>
        <w:pStyle w:val="ListParagraph"/>
        <w:keepNext/>
        <w:numPr>
          <w:ilvl w:val="0"/>
          <w:numId w:val="33"/>
        </w:numPr>
        <w:spacing w:line="240" w:lineRule="auto"/>
        <w:ind w:left="357" w:hanging="357"/>
        <w:contextualSpacing w:val="0"/>
        <w:textAlignment w:val="baseline"/>
        <w:rPr>
          <w:rFonts w:ascii="Calibri" w:eastAsia="Times New Roman" w:hAnsi="Calibri" w:cs="Calibri"/>
          <w:color w:val="333F48"/>
          <w:szCs w:val="22"/>
          <w:lang w:eastAsia="en-AU"/>
        </w:rPr>
      </w:pPr>
      <w:r w:rsidRPr="00E41640">
        <w:rPr>
          <w:rFonts w:ascii="Calibri" w:eastAsia="Times New Roman" w:hAnsi="Calibri" w:cs="Calibri"/>
          <w:szCs w:val="22"/>
          <w:lang w:eastAsia="en-AU"/>
        </w:rPr>
        <w:t>The</w:t>
      </w:r>
      <w:r w:rsidRPr="00E41640">
        <w:rPr>
          <w:rFonts w:ascii="Calibri" w:eastAsia="Times New Roman" w:hAnsi="Calibri" w:cs="Calibri"/>
          <w:color w:val="333F48"/>
          <w:szCs w:val="22"/>
          <w:lang w:eastAsia="en-AU"/>
        </w:rPr>
        <w:t xml:space="preserve"> </w:t>
      </w:r>
      <w:hyperlink r:id="rId41" w:tgtFrame="_blank" w:history="1">
        <w:r w:rsidRPr="00E41640">
          <w:rPr>
            <w:rFonts w:ascii="Calibri" w:eastAsia="Times New Roman" w:hAnsi="Calibri" w:cs="Calibri"/>
            <w:color w:val="0000FF"/>
            <w:szCs w:val="22"/>
            <w:u w:val="single"/>
            <w:lang w:eastAsia="en-AU"/>
          </w:rPr>
          <w:t>TGA prescribing medicines in pregnancy database</w:t>
        </w:r>
      </w:hyperlink>
      <w:r w:rsidRPr="00E41640">
        <w:rPr>
          <w:rFonts w:ascii="Calibri" w:eastAsia="Times New Roman" w:hAnsi="Calibri" w:cs="Calibri"/>
          <w:szCs w:val="22"/>
          <w:lang w:eastAsia="en-AU"/>
        </w:rPr>
        <w:t xml:space="preserve"> classifies bilastine as:</w:t>
      </w:r>
    </w:p>
    <w:tbl>
      <w:tblPr>
        <w:tblW w:w="8664" w:type="dxa"/>
        <w:tblInd w:w="39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04"/>
        <w:gridCol w:w="1117"/>
        <w:gridCol w:w="1984"/>
        <w:gridCol w:w="1985"/>
        <w:gridCol w:w="1974"/>
      </w:tblGrid>
      <w:tr w:rsidR="00E41640" w:rsidRPr="00B27F70" w14:paraId="3D7B023F" w14:textId="77777777" w:rsidTr="00E22509">
        <w:trPr>
          <w:trHeight w:val="300"/>
        </w:trPr>
        <w:tc>
          <w:tcPr>
            <w:tcW w:w="1604" w:type="dxa"/>
            <w:tcBorders>
              <w:top w:val="single" w:sz="6" w:space="0" w:color="002C47"/>
              <w:left w:val="single" w:sz="6" w:space="0" w:color="002C47"/>
              <w:bottom w:val="single" w:sz="6" w:space="0" w:color="002C47"/>
              <w:right w:val="nil"/>
            </w:tcBorders>
            <w:shd w:val="clear" w:color="auto" w:fill="006DA7"/>
            <w:hideMark/>
          </w:tcPr>
          <w:p w14:paraId="4077A812" w14:textId="0A374B06" w:rsidR="00E41640" w:rsidRPr="00B27F70" w:rsidRDefault="00E41640" w:rsidP="0072362E">
            <w:pPr>
              <w:keepNext/>
              <w:spacing w:before="60" w:after="60" w:line="240" w:lineRule="auto"/>
              <w:textAlignment w:val="baseline"/>
              <w:rPr>
                <w:rFonts w:ascii="Times New Roman" w:eastAsia="Times New Roman" w:hAnsi="Times New Roman" w:cs="Times New Roman"/>
                <w:b/>
                <w:bCs/>
                <w:color w:val="FFFFFF"/>
                <w:sz w:val="20"/>
                <w:lang w:eastAsia="en-AU"/>
              </w:rPr>
            </w:pPr>
            <w:r w:rsidRPr="00B27F70">
              <w:rPr>
                <w:rFonts w:ascii="Calibri" w:eastAsia="Times New Roman" w:hAnsi="Calibri" w:cs="Calibri"/>
                <w:b/>
                <w:bCs/>
                <w:color w:val="FFFFFF"/>
                <w:sz w:val="20"/>
                <w:lang w:eastAsia="en-AU"/>
              </w:rPr>
              <w:t>Drug name </w:t>
            </w:r>
          </w:p>
        </w:tc>
        <w:tc>
          <w:tcPr>
            <w:tcW w:w="1117" w:type="dxa"/>
            <w:tcBorders>
              <w:top w:val="single" w:sz="6" w:space="0" w:color="002C47"/>
              <w:left w:val="nil"/>
              <w:bottom w:val="single" w:sz="6" w:space="0" w:color="002C47"/>
              <w:right w:val="nil"/>
            </w:tcBorders>
            <w:shd w:val="clear" w:color="auto" w:fill="006DA7"/>
            <w:hideMark/>
          </w:tcPr>
          <w:p w14:paraId="49778504" w14:textId="0645EA0B" w:rsidR="00E41640" w:rsidRPr="00B27F70" w:rsidRDefault="00E41640" w:rsidP="0072362E">
            <w:pPr>
              <w:keepNext/>
              <w:spacing w:before="60" w:after="60" w:line="240" w:lineRule="auto"/>
              <w:textAlignment w:val="baseline"/>
              <w:rPr>
                <w:rFonts w:ascii="Times New Roman" w:eastAsia="Times New Roman" w:hAnsi="Times New Roman" w:cs="Times New Roman"/>
                <w:b/>
                <w:bCs/>
                <w:color w:val="FFFFFF"/>
                <w:sz w:val="20"/>
                <w:lang w:eastAsia="en-AU"/>
              </w:rPr>
            </w:pPr>
            <w:r w:rsidRPr="00B27F70">
              <w:rPr>
                <w:rFonts w:ascii="Calibri" w:eastAsia="Times New Roman" w:hAnsi="Calibri" w:cs="Calibri"/>
                <w:b/>
                <w:bCs/>
                <w:color w:val="FFFFFF"/>
                <w:sz w:val="20"/>
                <w:lang w:eastAsia="en-AU"/>
              </w:rPr>
              <w:t>Category </w:t>
            </w:r>
          </w:p>
        </w:tc>
        <w:tc>
          <w:tcPr>
            <w:tcW w:w="1984" w:type="dxa"/>
            <w:tcBorders>
              <w:top w:val="single" w:sz="6" w:space="0" w:color="002C47"/>
              <w:left w:val="nil"/>
              <w:bottom w:val="single" w:sz="6" w:space="0" w:color="002C47"/>
              <w:right w:val="nil"/>
            </w:tcBorders>
            <w:shd w:val="clear" w:color="auto" w:fill="006DA7"/>
            <w:hideMark/>
          </w:tcPr>
          <w:p w14:paraId="0936D96D" w14:textId="4CFFE443" w:rsidR="00E41640" w:rsidRPr="00B27F70" w:rsidRDefault="00E41640" w:rsidP="0072362E">
            <w:pPr>
              <w:keepNext/>
              <w:spacing w:before="60" w:after="60" w:line="240" w:lineRule="auto"/>
              <w:textAlignment w:val="baseline"/>
              <w:rPr>
                <w:rFonts w:ascii="Times New Roman" w:eastAsia="Times New Roman" w:hAnsi="Times New Roman" w:cs="Times New Roman"/>
                <w:b/>
                <w:bCs/>
                <w:color w:val="FFFFFF"/>
                <w:sz w:val="20"/>
                <w:lang w:eastAsia="en-AU"/>
              </w:rPr>
            </w:pPr>
            <w:r w:rsidRPr="00B27F70">
              <w:rPr>
                <w:rFonts w:ascii="Calibri" w:eastAsia="Times New Roman" w:hAnsi="Calibri" w:cs="Calibri"/>
                <w:b/>
                <w:bCs/>
                <w:color w:val="FFFFFF"/>
                <w:sz w:val="20"/>
                <w:lang w:eastAsia="en-AU"/>
              </w:rPr>
              <w:t>Classification Level 1 </w:t>
            </w:r>
          </w:p>
        </w:tc>
        <w:tc>
          <w:tcPr>
            <w:tcW w:w="1985" w:type="dxa"/>
            <w:tcBorders>
              <w:top w:val="single" w:sz="6" w:space="0" w:color="002C47"/>
              <w:left w:val="nil"/>
              <w:bottom w:val="single" w:sz="6" w:space="0" w:color="002C47"/>
              <w:right w:val="nil"/>
            </w:tcBorders>
            <w:shd w:val="clear" w:color="auto" w:fill="006DA7"/>
            <w:hideMark/>
          </w:tcPr>
          <w:p w14:paraId="183FDE73" w14:textId="0FE4C046" w:rsidR="00E41640" w:rsidRPr="00B27F70" w:rsidRDefault="00E41640" w:rsidP="0072362E">
            <w:pPr>
              <w:keepNext/>
              <w:spacing w:before="60" w:after="60" w:line="240" w:lineRule="auto"/>
              <w:textAlignment w:val="baseline"/>
              <w:rPr>
                <w:rFonts w:ascii="Times New Roman" w:eastAsia="Times New Roman" w:hAnsi="Times New Roman" w:cs="Times New Roman"/>
                <w:b/>
                <w:bCs/>
                <w:color w:val="FFFFFF"/>
                <w:sz w:val="20"/>
                <w:lang w:eastAsia="en-AU"/>
              </w:rPr>
            </w:pPr>
            <w:r w:rsidRPr="00B27F70">
              <w:rPr>
                <w:rFonts w:ascii="Calibri" w:eastAsia="Times New Roman" w:hAnsi="Calibri" w:cs="Calibri"/>
                <w:b/>
                <w:bCs/>
                <w:color w:val="FFFFFF"/>
                <w:sz w:val="20"/>
                <w:lang w:eastAsia="en-AU"/>
              </w:rPr>
              <w:t>Classification Level 2 </w:t>
            </w:r>
          </w:p>
        </w:tc>
        <w:tc>
          <w:tcPr>
            <w:tcW w:w="1974" w:type="dxa"/>
            <w:tcBorders>
              <w:top w:val="single" w:sz="6" w:space="0" w:color="002C47"/>
              <w:left w:val="nil"/>
              <w:bottom w:val="single" w:sz="6" w:space="0" w:color="002C47"/>
              <w:right w:val="single" w:sz="6" w:space="0" w:color="002C47"/>
            </w:tcBorders>
            <w:shd w:val="clear" w:color="auto" w:fill="006DA7"/>
            <w:hideMark/>
          </w:tcPr>
          <w:p w14:paraId="6545AFED" w14:textId="55B1006A" w:rsidR="00E41640" w:rsidRPr="00B27F70" w:rsidRDefault="00E41640" w:rsidP="0072362E">
            <w:pPr>
              <w:keepNext/>
              <w:spacing w:before="60" w:after="60" w:line="240" w:lineRule="auto"/>
              <w:textAlignment w:val="baseline"/>
              <w:rPr>
                <w:rFonts w:ascii="Times New Roman" w:eastAsia="Times New Roman" w:hAnsi="Times New Roman" w:cs="Times New Roman"/>
                <w:b/>
                <w:bCs/>
                <w:color w:val="FFFFFF"/>
                <w:sz w:val="20"/>
                <w:lang w:eastAsia="en-AU"/>
              </w:rPr>
            </w:pPr>
            <w:r w:rsidRPr="00B27F70">
              <w:rPr>
                <w:rFonts w:ascii="Calibri" w:eastAsia="Times New Roman" w:hAnsi="Calibri" w:cs="Calibri"/>
                <w:b/>
                <w:bCs/>
                <w:color w:val="FFFFFF"/>
                <w:sz w:val="20"/>
                <w:lang w:eastAsia="en-AU"/>
              </w:rPr>
              <w:t>Classification Level 3 </w:t>
            </w:r>
          </w:p>
        </w:tc>
      </w:tr>
      <w:tr w:rsidR="00E41640" w:rsidRPr="00B27F70" w14:paraId="0D00F35E" w14:textId="77777777" w:rsidTr="00E22509">
        <w:trPr>
          <w:trHeight w:val="300"/>
        </w:trPr>
        <w:tc>
          <w:tcPr>
            <w:tcW w:w="1604" w:type="dxa"/>
            <w:tcBorders>
              <w:top w:val="single" w:sz="6" w:space="0" w:color="002C47"/>
              <w:left w:val="single" w:sz="6" w:space="0" w:color="002C47"/>
              <w:bottom w:val="single" w:sz="6" w:space="0" w:color="002C47"/>
              <w:right w:val="single" w:sz="6" w:space="0" w:color="002C47"/>
            </w:tcBorders>
            <w:shd w:val="clear" w:color="auto" w:fill="auto"/>
            <w:hideMark/>
          </w:tcPr>
          <w:p w14:paraId="3311FAFC" w14:textId="3F8F3A43" w:rsidR="00E41640" w:rsidRPr="00B27F70" w:rsidRDefault="00AC5E26" w:rsidP="0072362E">
            <w:pPr>
              <w:keepNext/>
              <w:spacing w:before="60" w:after="60" w:line="240" w:lineRule="auto"/>
              <w:textAlignment w:val="baseline"/>
              <w:rPr>
                <w:rFonts w:ascii="Times New Roman" w:eastAsia="Times New Roman" w:hAnsi="Times New Roman" w:cs="Times New Roman"/>
                <w:color w:val="000000"/>
                <w:sz w:val="20"/>
                <w:lang w:eastAsia="en-AU"/>
              </w:rPr>
            </w:pPr>
            <w:r w:rsidRPr="00B27F70">
              <w:rPr>
                <w:rFonts w:ascii="Calibri" w:eastAsia="Times New Roman" w:hAnsi="Calibri" w:cs="Calibri"/>
                <w:color w:val="000000"/>
                <w:sz w:val="20"/>
                <w:lang w:eastAsia="en-AU"/>
              </w:rPr>
              <w:t>B</w:t>
            </w:r>
            <w:r w:rsidR="00E41640" w:rsidRPr="00B27F70">
              <w:rPr>
                <w:rFonts w:ascii="Calibri" w:eastAsia="Times New Roman" w:hAnsi="Calibri" w:cs="Calibri"/>
                <w:color w:val="000000"/>
                <w:sz w:val="20"/>
                <w:lang w:eastAsia="en-AU"/>
              </w:rPr>
              <w:t>ilastine </w:t>
            </w:r>
          </w:p>
        </w:tc>
        <w:tc>
          <w:tcPr>
            <w:tcW w:w="1117" w:type="dxa"/>
            <w:tcBorders>
              <w:top w:val="single" w:sz="6" w:space="0" w:color="002C47"/>
              <w:left w:val="single" w:sz="6" w:space="0" w:color="002C47"/>
              <w:bottom w:val="single" w:sz="6" w:space="0" w:color="002C47"/>
              <w:right w:val="single" w:sz="6" w:space="0" w:color="002C47"/>
            </w:tcBorders>
            <w:shd w:val="clear" w:color="auto" w:fill="auto"/>
            <w:hideMark/>
          </w:tcPr>
          <w:p w14:paraId="53D6760E" w14:textId="77777777" w:rsidR="00E41640" w:rsidRPr="00B27F70" w:rsidRDefault="00E41640" w:rsidP="0072362E">
            <w:pPr>
              <w:keepNext/>
              <w:spacing w:before="60" w:after="60" w:line="240" w:lineRule="auto"/>
              <w:ind w:left="57"/>
              <w:textAlignment w:val="baseline"/>
              <w:rPr>
                <w:rFonts w:ascii="Times New Roman" w:eastAsia="Times New Roman" w:hAnsi="Times New Roman" w:cs="Times New Roman"/>
                <w:color w:val="000000"/>
                <w:sz w:val="20"/>
                <w:lang w:eastAsia="en-AU"/>
              </w:rPr>
            </w:pPr>
            <w:r w:rsidRPr="00B27F70">
              <w:rPr>
                <w:rFonts w:ascii="Calibri" w:eastAsia="Times New Roman" w:hAnsi="Calibri" w:cs="Calibri"/>
                <w:color w:val="000000"/>
                <w:sz w:val="20"/>
                <w:lang w:eastAsia="en-AU"/>
              </w:rPr>
              <w:t>B3 </w:t>
            </w:r>
          </w:p>
        </w:tc>
        <w:tc>
          <w:tcPr>
            <w:tcW w:w="1984" w:type="dxa"/>
            <w:tcBorders>
              <w:top w:val="single" w:sz="6" w:space="0" w:color="002C47"/>
              <w:left w:val="single" w:sz="6" w:space="0" w:color="002C47"/>
              <w:bottom w:val="single" w:sz="6" w:space="0" w:color="002C47"/>
              <w:right w:val="single" w:sz="6" w:space="0" w:color="002C47"/>
            </w:tcBorders>
            <w:shd w:val="clear" w:color="auto" w:fill="auto"/>
            <w:hideMark/>
          </w:tcPr>
          <w:p w14:paraId="657BCF20" w14:textId="77777777" w:rsidR="00E41640" w:rsidRPr="00B27F70" w:rsidRDefault="00E41640" w:rsidP="0072362E">
            <w:pPr>
              <w:keepNext/>
              <w:spacing w:before="60" w:after="60" w:line="240" w:lineRule="auto"/>
              <w:ind w:left="57"/>
              <w:textAlignment w:val="baseline"/>
              <w:rPr>
                <w:rFonts w:ascii="Times New Roman" w:eastAsia="Times New Roman" w:hAnsi="Times New Roman" w:cs="Times New Roman"/>
                <w:color w:val="000000"/>
                <w:sz w:val="20"/>
                <w:lang w:eastAsia="en-AU"/>
              </w:rPr>
            </w:pPr>
            <w:r w:rsidRPr="00B27F70">
              <w:rPr>
                <w:rFonts w:ascii="Calibri" w:eastAsia="Times New Roman" w:hAnsi="Calibri" w:cs="Calibri"/>
                <w:color w:val="000000"/>
                <w:sz w:val="20"/>
                <w:lang w:eastAsia="en-AU"/>
              </w:rPr>
              <w:t>Allergy and Immune System </w:t>
            </w:r>
          </w:p>
        </w:tc>
        <w:tc>
          <w:tcPr>
            <w:tcW w:w="1985" w:type="dxa"/>
            <w:tcBorders>
              <w:top w:val="single" w:sz="6" w:space="0" w:color="002C47"/>
              <w:left w:val="single" w:sz="6" w:space="0" w:color="002C47"/>
              <w:bottom w:val="single" w:sz="6" w:space="0" w:color="002C47"/>
              <w:right w:val="single" w:sz="6" w:space="0" w:color="002C47"/>
            </w:tcBorders>
            <w:shd w:val="clear" w:color="auto" w:fill="auto"/>
            <w:hideMark/>
          </w:tcPr>
          <w:p w14:paraId="59C5E8DF" w14:textId="77777777" w:rsidR="00E41640" w:rsidRPr="00B27F70" w:rsidRDefault="00E41640" w:rsidP="0072362E">
            <w:pPr>
              <w:keepNext/>
              <w:spacing w:before="60" w:after="60" w:line="240" w:lineRule="auto"/>
              <w:ind w:left="57"/>
              <w:textAlignment w:val="baseline"/>
              <w:rPr>
                <w:rFonts w:ascii="Times New Roman" w:eastAsia="Times New Roman" w:hAnsi="Times New Roman" w:cs="Times New Roman"/>
                <w:color w:val="000000"/>
                <w:sz w:val="20"/>
                <w:lang w:eastAsia="en-AU"/>
              </w:rPr>
            </w:pPr>
            <w:r w:rsidRPr="00B27F70">
              <w:rPr>
                <w:rFonts w:ascii="Calibri" w:eastAsia="Times New Roman" w:hAnsi="Calibri" w:cs="Calibri"/>
                <w:color w:val="000000"/>
                <w:sz w:val="20"/>
                <w:lang w:eastAsia="en-AU"/>
              </w:rPr>
              <w:t>Antihistamines </w:t>
            </w:r>
          </w:p>
        </w:tc>
        <w:tc>
          <w:tcPr>
            <w:tcW w:w="1974" w:type="dxa"/>
            <w:tcBorders>
              <w:top w:val="single" w:sz="6" w:space="0" w:color="002C47"/>
              <w:left w:val="single" w:sz="6" w:space="0" w:color="002C47"/>
              <w:bottom w:val="single" w:sz="6" w:space="0" w:color="002C47"/>
              <w:right w:val="single" w:sz="6" w:space="0" w:color="002C47"/>
            </w:tcBorders>
            <w:shd w:val="clear" w:color="auto" w:fill="auto"/>
            <w:hideMark/>
          </w:tcPr>
          <w:p w14:paraId="1883A295" w14:textId="77777777" w:rsidR="00E41640" w:rsidRPr="00B27F70" w:rsidRDefault="00E41640" w:rsidP="0072362E">
            <w:pPr>
              <w:keepNext/>
              <w:spacing w:before="60" w:after="60" w:line="240" w:lineRule="auto"/>
              <w:textAlignment w:val="baseline"/>
              <w:rPr>
                <w:rFonts w:ascii="Times New Roman" w:eastAsia="Times New Roman" w:hAnsi="Times New Roman" w:cs="Times New Roman"/>
                <w:color w:val="000000"/>
                <w:sz w:val="20"/>
                <w:lang w:eastAsia="en-AU"/>
              </w:rPr>
            </w:pPr>
            <w:r w:rsidRPr="00B27F70">
              <w:rPr>
                <w:rFonts w:ascii="Calibri" w:eastAsia="Times New Roman" w:hAnsi="Calibri" w:cs="Calibri"/>
                <w:color w:val="000000"/>
                <w:sz w:val="20"/>
                <w:lang w:eastAsia="en-AU"/>
              </w:rPr>
              <w:t> </w:t>
            </w:r>
          </w:p>
        </w:tc>
      </w:tr>
      <w:tr w:rsidR="00E41640" w:rsidRPr="00B27F70" w14:paraId="0BD9FBD6" w14:textId="77777777" w:rsidTr="00B27F70">
        <w:trPr>
          <w:trHeight w:val="300"/>
        </w:trPr>
        <w:tc>
          <w:tcPr>
            <w:tcW w:w="8664" w:type="dxa"/>
            <w:gridSpan w:val="5"/>
            <w:tcBorders>
              <w:top w:val="single" w:sz="6" w:space="0" w:color="002C47"/>
              <w:left w:val="single" w:sz="6" w:space="0" w:color="002C47"/>
              <w:bottom w:val="single" w:sz="6" w:space="0" w:color="002C47"/>
              <w:right w:val="single" w:sz="6" w:space="0" w:color="002C47"/>
            </w:tcBorders>
            <w:shd w:val="clear" w:color="auto" w:fill="auto"/>
            <w:hideMark/>
          </w:tcPr>
          <w:p w14:paraId="78850A54" w14:textId="77777777" w:rsidR="00E41640" w:rsidRPr="00C67045" w:rsidRDefault="00E41640" w:rsidP="0072362E">
            <w:pPr>
              <w:keepNext/>
              <w:spacing w:before="60" w:after="60" w:line="240" w:lineRule="auto"/>
              <w:textAlignment w:val="baseline"/>
              <w:rPr>
                <w:rFonts w:ascii="Times New Roman" w:eastAsia="Times New Roman" w:hAnsi="Times New Roman" w:cs="Times New Roman"/>
                <w:color w:val="000000"/>
                <w:sz w:val="18"/>
                <w:szCs w:val="18"/>
                <w:lang w:eastAsia="en-AU"/>
              </w:rPr>
            </w:pPr>
            <w:r w:rsidRPr="00C67045">
              <w:rPr>
                <w:rFonts w:ascii="Calibri" w:eastAsia="Times New Roman" w:hAnsi="Calibri" w:cs="Calibri"/>
                <w:b/>
                <w:bCs/>
                <w:color w:val="000000"/>
                <w:sz w:val="18"/>
                <w:szCs w:val="18"/>
                <w:lang w:eastAsia="en-AU"/>
              </w:rPr>
              <w:t>Category B3</w:t>
            </w:r>
            <w:r w:rsidRPr="00C67045">
              <w:rPr>
                <w:rFonts w:ascii="Calibri" w:eastAsia="Times New Roman" w:hAnsi="Calibri" w:cs="Calibri"/>
                <w:color w:val="000000"/>
                <w:sz w:val="18"/>
                <w:szCs w:val="18"/>
                <w:lang w:eastAsia="en-AU"/>
              </w:rPr>
              <w:t xml:space="preserve"> – Drugs which have been taken by only a limited number of pregnant women and women of childbearing age, without an increase in the frequency of malformation or other direct or indirect harmful effects on the human foetus having been observed. </w:t>
            </w:r>
          </w:p>
          <w:p w14:paraId="22EA26AA" w14:textId="77777777" w:rsidR="00E41640" w:rsidRPr="00B27F70" w:rsidRDefault="00E41640" w:rsidP="0072362E">
            <w:pPr>
              <w:keepNext/>
              <w:spacing w:before="60" w:after="60" w:line="240" w:lineRule="auto"/>
              <w:textAlignment w:val="baseline"/>
              <w:rPr>
                <w:rFonts w:ascii="Times New Roman" w:eastAsia="Times New Roman" w:hAnsi="Times New Roman" w:cs="Times New Roman"/>
                <w:color w:val="000000"/>
                <w:sz w:val="20"/>
                <w:lang w:eastAsia="en-AU"/>
              </w:rPr>
            </w:pPr>
            <w:r w:rsidRPr="00C67045">
              <w:rPr>
                <w:rFonts w:ascii="Calibri" w:eastAsia="Times New Roman" w:hAnsi="Calibri" w:cs="Calibri"/>
                <w:color w:val="000000"/>
                <w:sz w:val="18"/>
                <w:szCs w:val="18"/>
                <w:lang w:eastAsia="en-AU"/>
              </w:rPr>
              <w:t>Studies in animals have shown evidence of an increased occurrence of foetal damage, the significance of which is considered uncertain in humans. </w:t>
            </w:r>
          </w:p>
        </w:tc>
      </w:tr>
    </w:tbl>
    <w:p w14:paraId="449EFD6F" w14:textId="165DB849" w:rsidR="00E41640" w:rsidRDefault="00E41640" w:rsidP="0072362E">
      <w:pPr>
        <w:pStyle w:val="ListParagraph"/>
        <w:numPr>
          <w:ilvl w:val="0"/>
          <w:numId w:val="34"/>
        </w:numPr>
        <w:spacing w:after="0" w:line="240" w:lineRule="auto"/>
        <w:ind w:left="357" w:hanging="357"/>
        <w:contextualSpacing w:val="0"/>
        <w:textAlignment w:val="baseline"/>
        <w:rPr>
          <w:rFonts w:ascii="Calibri" w:eastAsia="Times New Roman" w:hAnsi="Calibri" w:cs="Calibri"/>
          <w:color w:val="333F48"/>
          <w:szCs w:val="22"/>
          <w:lang w:eastAsia="en-AU"/>
        </w:rPr>
      </w:pPr>
      <w:r w:rsidRPr="00E41640">
        <w:rPr>
          <w:rFonts w:ascii="Calibri" w:eastAsia="Times New Roman" w:hAnsi="Calibri" w:cs="Calibri"/>
          <w:szCs w:val="22"/>
          <w:lang w:eastAsia="en-AU"/>
        </w:rPr>
        <w:t xml:space="preserve">There are no warning statements pertaining to bilastine in the </w:t>
      </w:r>
      <w:hyperlink r:id="rId42" w:tgtFrame="_blank" w:history="1">
        <w:r w:rsidRPr="00E41640">
          <w:rPr>
            <w:rFonts w:ascii="Calibri" w:eastAsia="Times New Roman" w:hAnsi="Calibri" w:cs="Calibri"/>
            <w:color w:val="0000FF"/>
            <w:szCs w:val="22"/>
            <w:u w:val="single"/>
            <w:lang w:eastAsia="en-AU"/>
          </w:rPr>
          <w:t>Therapeutic Goods (Medicines Advisory Statements) Specification 2021</w:t>
        </w:r>
      </w:hyperlink>
      <w:r w:rsidR="00D12920">
        <w:rPr>
          <w:rFonts w:ascii="Calibri" w:eastAsia="Times New Roman" w:hAnsi="Calibri" w:cs="Calibri"/>
          <w:szCs w:val="22"/>
          <w:lang w:eastAsia="en-AU"/>
        </w:rPr>
        <w:t>.</w:t>
      </w:r>
    </w:p>
    <w:p w14:paraId="08FC45D7" w14:textId="708FDFFB" w:rsidR="00E41640" w:rsidRPr="00E41640" w:rsidRDefault="00E41640" w:rsidP="0072362E">
      <w:pPr>
        <w:pStyle w:val="ListParagraph"/>
        <w:numPr>
          <w:ilvl w:val="0"/>
          <w:numId w:val="34"/>
        </w:numPr>
        <w:spacing w:after="0" w:line="240" w:lineRule="auto"/>
        <w:ind w:left="357" w:hanging="357"/>
        <w:contextualSpacing w:val="0"/>
        <w:textAlignment w:val="baseline"/>
        <w:rPr>
          <w:rFonts w:ascii="Calibri" w:eastAsia="Times New Roman" w:hAnsi="Calibri" w:cs="Calibri"/>
          <w:color w:val="333F48"/>
          <w:szCs w:val="22"/>
          <w:lang w:eastAsia="en-AU"/>
        </w:rPr>
      </w:pPr>
      <w:r w:rsidRPr="00E41640">
        <w:rPr>
          <w:rFonts w:ascii="Calibri" w:eastAsia="Times New Roman" w:hAnsi="Calibri" w:cs="Calibri"/>
          <w:szCs w:val="22"/>
          <w:lang w:eastAsia="en-AU"/>
        </w:rPr>
        <w:t xml:space="preserve">As of July 2023, there were 6 reports of adverse events for products containing bilastine as an active ingredient on the </w:t>
      </w:r>
      <w:hyperlink r:id="rId43" w:tgtFrame="_blank" w:history="1">
        <w:r w:rsidR="00EB1099">
          <w:rPr>
            <w:rFonts w:ascii="Calibri" w:eastAsia="Times New Roman" w:hAnsi="Calibri" w:cs="Calibri"/>
            <w:color w:val="0000FF"/>
            <w:szCs w:val="22"/>
            <w:u w:val="single"/>
            <w:lang w:eastAsia="en-AU"/>
          </w:rPr>
          <w:t>Database of Adverse Event Notifications</w:t>
        </w:r>
      </w:hyperlink>
      <w:r w:rsidR="00EB1099" w:rsidRPr="00EB1099">
        <w:rPr>
          <w:rFonts w:ascii="Calibri" w:eastAsia="Times New Roman" w:hAnsi="Calibri" w:cs="Calibri"/>
          <w:szCs w:val="22"/>
          <w:lang w:eastAsia="en-AU"/>
        </w:rPr>
        <w:t xml:space="preserve"> (DAEN)</w:t>
      </w:r>
      <w:r w:rsidRPr="00E41640">
        <w:rPr>
          <w:rFonts w:ascii="Calibri" w:eastAsia="Times New Roman" w:hAnsi="Calibri" w:cs="Calibri"/>
          <w:color w:val="333F48"/>
          <w:szCs w:val="22"/>
          <w:lang w:eastAsia="en-AU"/>
        </w:rPr>
        <w:t xml:space="preserve">, </w:t>
      </w:r>
      <w:r w:rsidRPr="00E41640">
        <w:rPr>
          <w:rFonts w:ascii="Calibri" w:eastAsia="Times New Roman" w:hAnsi="Calibri" w:cs="Calibri"/>
          <w:szCs w:val="22"/>
          <w:lang w:eastAsia="en-AU"/>
        </w:rPr>
        <w:t xml:space="preserve">with 6 reports where bilastine was the single suspected medicine. </w:t>
      </w:r>
      <w:r w:rsidR="00B21C87">
        <w:rPr>
          <w:rFonts w:ascii="Calibri" w:eastAsia="Times New Roman" w:hAnsi="Calibri" w:cs="Calibri"/>
          <w:szCs w:val="22"/>
          <w:lang w:eastAsia="en-AU"/>
        </w:rPr>
        <w:t>The reported events were diverse in nature.</w:t>
      </w:r>
    </w:p>
    <w:p w14:paraId="5A8C8565" w14:textId="4A97333F" w:rsidR="00E41640" w:rsidRPr="00E41640" w:rsidRDefault="00E41640" w:rsidP="0072362E">
      <w:pPr>
        <w:pStyle w:val="ListParagraph"/>
        <w:numPr>
          <w:ilvl w:val="0"/>
          <w:numId w:val="34"/>
        </w:numPr>
        <w:spacing w:after="0" w:line="240" w:lineRule="auto"/>
        <w:ind w:left="357" w:hanging="357"/>
        <w:contextualSpacing w:val="0"/>
        <w:textAlignment w:val="baseline"/>
        <w:rPr>
          <w:rFonts w:ascii="Calibri" w:eastAsia="Times New Roman" w:hAnsi="Calibri" w:cs="Calibri"/>
          <w:color w:val="333F48"/>
          <w:szCs w:val="22"/>
          <w:lang w:eastAsia="en-AU"/>
        </w:rPr>
      </w:pPr>
      <w:r w:rsidRPr="00E41640">
        <w:rPr>
          <w:rFonts w:ascii="Calibri" w:eastAsia="Times New Roman" w:hAnsi="Calibri" w:cs="Calibri"/>
          <w:szCs w:val="22"/>
          <w:lang w:eastAsia="en-AU"/>
        </w:rPr>
        <w:t xml:space="preserve">As of July 2023, there were no products containing bilastine as an active ingredient/constituent or scheduled substance listed on the </w:t>
      </w:r>
      <w:hyperlink r:id="rId44" w:tgtFrame="_blank" w:history="1">
        <w:r w:rsidR="00EB1099">
          <w:rPr>
            <w:rFonts w:ascii="Calibri" w:eastAsia="Times New Roman" w:hAnsi="Calibri" w:cs="Calibri"/>
            <w:color w:val="0000FF"/>
            <w:szCs w:val="22"/>
            <w:u w:val="single"/>
            <w:lang w:eastAsia="en-AU"/>
          </w:rPr>
          <w:t>Public Chemical Registration Information System Search</w:t>
        </w:r>
      </w:hyperlink>
      <w:r w:rsidR="00EB1099" w:rsidRPr="00EB1099">
        <w:rPr>
          <w:rFonts w:ascii="Calibri" w:eastAsia="Times New Roman" w:hAnsi="Calibri" w:cs="Calibri"/>
          <w:szCs w:val="22"/>
          <w:lang w:eastAsia="en-AU"/>
        </w:rPr>
        <w:t xml:space="preserve"> (PubCRIS)</w:t>
      </w:r>
      <w:r w:rsidRPr="00E41640">
        <w:rPr>
          <w:rFonts w:ascii="Calibri" w:eastAsia="Times New Roman" w:hAnsi="Calibri" w:cs="Calibri"/>
          <w:color w:val="333F48"/>
          <w:szCs w:val="22"/>
          <w:lang w:eastAsia="en-AU"/>
        </w:rPr>
        <w:t>.</w:t>
      </w:r>
    </w:p>
    <w:p w14:paraId="4CEF41B8" w14:textId="77777777" w:rsidR="00586A6E" w:rsidRPr="00CB687C" w:rsidRDefault="00586A6E" w:rsidP="00586A6E">
      <w:pPr>
        <w:pStyle w:val="Heading4"/>
      </w:pPr>
      <w:bookmarkStart w:id="44" w:name="_Toc144110851"/>
      <w:r>
        <w:t>International regulations</w:t>
      </w:r>
      <w:bookmarkEnd w:id="44"/>
    </w:p>
    <w:p w14:paraId="262E6A90" w14:textId="341A3357" w:rsidR="00586A6E" w:rsidRPr="00AC6F78" w:rsidRDefault="004A3ADB" w:rsidP="00EB1099">
      <w:pPr>
        <w:pStyle w:val="ListBullet"/>
        <w:numPr>
          <w:ilvl w:val="0"/>
          <w:numId w:val="83"/>
        </w:numPr>
        <w:rPr>
          <w:szCs w:val="22"/>
        </w:rPr>
      </w:pPr>
      <w:r>
        <w:rPr>
          <w:szCs w:val="22"/>
        </w:rPr>
        <w:t xml:space="preserve">Bilastine </w:t>
      </w:r>
      <w:r w:rsidRPr="004A3ADB">
        <w:rPr>
          <w:szCs w:val="22"/>
        </w:rPr>
        <w:t xml:space="preserve">is </w:t>
      </w:r>
      <w:r w:rsidR="00592FEE" w:rsidRPr="004A3ADB">
        <w:rPr>
          <w:szCs w:val="22"/>
        </w:rPr>
        <w:t xml:space="preserve">not found in the </w:t>
      </w:r>
      <w:hyperlink r:id="rId45" w:history="1">
        <w:r w:rsidR="00592FEE" w:rsidRPr="004A3ADB">
          <w:rPr>
            <w:rStyle w:val="Hyperlink"/>
            <w:rFonts w:asciiTheme="minorHAnsi" w:hAnsiTheme="minorHAnsi"/>
            <w:szCs w:val="22"/>
          </w:rPr>
          <w:t>US FDA database</w:t>
        </w:r>
      </w:hyperlink>
      <w:r w:rsidR="00EB1099" w:rsidRPr="004C7298">
        <w:rPr>
          <w:rStyle w:val="Hyperlink"/>
          <w:rFonts w:asciiTheme="minorHAnsi" w:hAnsiTheme="minorHAnsi"/>
          <w:color w:val="auto"/>
          <w:szCs w:val="22"/>
          <w:u w:val="none"/>
        </w:rPr>
        <w:t>.</w:t>
      </w:r>
      <w:r w:rsidR="00592FEE" w:rsidRPr="004A3ADB">
        <w:rPr>
          <w:szCs w:val="22"/>
        </w:rPr>
        <w:t xml:space="preserve"> </w:t>
      </w:r>
      <w:r w:rsidR="00EB1099">
        <w:rPr>
          <w:szCs w:val="22"/>
        </w:rPr>
        <w:t>H</w:t>
      </w:r>
      <w:r w:rsidR="00EB1099" w:rsidRPr="004A3ADB">
        <w:rPr>
          <w:szCs w:val="22"/>
        </w:rPr>
        <w:t>owever</w:t>
      </w:r>
      <w:r>
        <w:rPr>
          <w:szCs w:val="22"/>
        </w:rPr>
        <w:t xml:space="preserve">, </w:t>
      </w:r>
      <w:r w:rsidR="004C7298">
        <w:rPr>
          <w:szCs w:val="22"/>
        </w:rPr>
        <w:t xml:space="preserve">it </w:t>
      </w:r>
      <w:r>
        <w:rPr>
          <w:szCs w:val="22"/>
        </w:rPr>
        <w:t xml:space="preserve">is </w:t>
      </w:r>
      <w:r w:rsidR="004C7298">
        <w:rPr>
          <w:szCs w:val="22"/>
        </w:rPr>
        <w:t>listed</w:t>
      </w:r>
      <w:r>
        <w:rPr>
          <w:szCs w:val="22"/>
        </w:rPr>
        <w:t xml:space="preserve"> in the US </w:t>
      </w:r>
      <w:hyperlink r:id="rId46" w:history="1">
        <w:r w:rsidRPr="004A3ADB">
          <w:rPr>
            <w:rStyle w:val="Hyperlink"/>
            <w:rFonts w:asciiTheme="minorHAnsi" w:hAnsiTheme="minorHAnsi"/>
            <w:szCs w:val="22"/>
          </w:rPr>
          <w:t>Global Substance Registration System</w:t>
        </w:r>
      </w:hyperlink>
      <w:r>
        <w:rPr>
          <w:szCs w:val="22"/>
        </w:rPr>
        <w:t>.</w:t>
      </w:r>
    </w:p>
    <w:p w14:paraId="5DBACAEA" w14:textId="2B83387D" w:rsidR="00586A6E" w:rsidRPr="00592FEE" w:rsidRDefault="00592FEE" w:rsidP="00EB1099">
      <w:pPr>
        <w:pStyle w:val="ListBullet"/>
        <w:numPr>
          <w:ilvl w:val="0"/>
          <w:numId w:val="83"/>
        </w:numPr>
        <w:rPr>
          <w:u w:val="single"/>
        </w:rPr>
      </w:pPr>
      <w:r>
        <w:t xml:space="preserve">In the EU according to the </w:t>
      </w:r>
      <w:hyperlink r:id="rId47" w:history="1">
        <w:r w:rsidRPr="00592FEE">
          <w:rPr>
            <w:rStyle w:val="Hyperlink"/>
            <w:rFonts w:asciiTheme="minorHAnsi" w:hAnsiTheme="minorHAnsi"/>
            <w:szCs w:val="22"/>
          </w:rPr>
          <w:t>European Medicines Agency</w:t>
        </w:r>
      </w:hyperlink>
      <w:r w:rsidR="00D12920">
        <w:rPr>
          <w:rStyle w:val="Hyperlink"/>
          <w:rFonts w:asciiTheme="minorHAnsi" w:hAnsiTheme="minorHAnsi"/>
          <w:szCs w:val="22"/>
        </w:rPr>
        <w:t>,</w:t>
      </w:r>
      <w:r>
        <w:t xml:space="preserve"> bilastine is available in 20 mg preparations.</w:t>
      </w:r>
    </w:p>
    <w:p w14:paraId="44A42322" w14:textId="00382D1F" w:rsidR="00592FEE" w:rsidRPr="004A3ADB" w:rsidRDefault="00592FEE" w:rsidP="00EB1099">
      <w:pPr>
        <w:pStyle w:val="ListBullet"/>
        <w:numPr>
          <w:ilvl w:val="0"/>
          <w:numId w:val="83"/>
        </w:numPr>
        <w:rPr>
          <w:rStyle w:val="Hyperlink"/>
          <w:rFonts w:asciiTheme="minorHAnsi" w:eastAsiaTheme="minorHAnsi" w:hAnsiTheme="minorHAnsi" w:cstheme="minorBidi"/>
          <w:color w:val="auto"/>
          <w:szCs w:val="22"/>
        </w:rPr>
      </w:pPr>
      <w:r>
        <w:rPr>
          <w:rStyle w:val="Hyperlink"/>
          <w:rFonts w:asciiTheme="minorHAnsi" w:hAnsiTheme="minorHAnsi"/>
          <w:color w:val="auto"/>
          <w:szCs w:val="22"/>
          <w:u w:val="none"/>
        </w:rPr>
        <w:t xml:space="preserve">The </w:t>
      </w:r>
      <w:hyperlink r:id="rId48" w:history="1">
        <w:r w:rsidRPr="00592FEE">
          <w:rPr>
            <w:rStyle w:val="Hyperlink"/>
            <w:rFonts w:asciiTheme="minorHAnsi" w:hAnsiTheme="minorHAnsi"/>
            <w:szCs w:val="22"/>
          </w:rPr>
          <w:t>Ireland Health Products Regulation Authority</w:t>
        </w:r>
      </w:hyperlink>
      <w:r>
        <w:rPr>
          <w:rStyle w:val="Hyperlink"/>
          <w:rFonts w:asciiTheme="minorHAnsi" w:hAnsiTheme="minorHAnsi"/>
          <w:color w:val="auto"/>
          <w:szCs w:val="22"/>
          <w:u w:val="none"/>
        </w:rPr>
        <w:t xml:space="preserve"> has approved 6 products containing bilastine as an active ingredient. These products consist of 2.5 mg/</w:t>
      </w:r>
      <w:r w:rsidR="00EB1099">
        <w:rPr>
          <w:rStyle w:val="Hyperlink"/>
          <w:rFonts w:asciiTheme="minorHAnsi" w:hAnsiTheme="minorHAnsi"/>
          <w:color w:val="auto"/>
          <w:szCs w:val="22"/>
          <w:u w:val="none"/>
        </w:rPr>
        <w:t xml:space="preserve">mL </w:t>
      </w:r>
      <w:r>
        <w:rPr>
          <w:rStyle w:val="Hyperlink"/>
          <w:rFonts w:asciiTheme="minorHAnsi" w:hAnsiTheme="minorHAnsi"/>
          <w:color w:val="auto"/>
          <w:szCs w:val="22"/>
          <w:u w:val="none"/>
        </w:rPr>
        <w:t>oral solution, 6 mg/</w:t>
      </w:r>
      <w:r w:rsidR="00EB1099">
        <w:rPr>
          <w:rStyle w:val="Hyperlink"/>
          <w:rFonts w:asciiTheme="minorHAnsi" w:hAnsiTheme="minorHAnsi"/>
          <w:color w:val="auto"/>
          <w:szCs w:val="22"/>
          <w:u w:val="none"/>
        </w:rPr>
        <w:t xml:space="preserve">mL </w:t>
      </w:r>
      <w:r>
        <w:rPr>
          <w:rStyle w:val="Hyperlink"/>
          <w:rFonts w:asciiTheme="minorHAnsi" w:hAnsiTheme="minorHAnsi"/>
          <w:color w:val="auto"/>
          <w:szCs w:val="22"/>
          <w:u w:val="none"/>
        </w:rPr>
        <w:t>eye drop solution and 20 mg tablet preparations.</w:t>
      </w:r>
    </w:p>
    <w:p w14:paraId="2B9A4BD2" w14:textId="648DA03D" w:rsidR="004A3ADB" w:rsidRDefault="00013F20" w:rsidP="00EB1099">
      <w:pPr>
        <w:pStyle w:val="ListBullet"/>
        <w:numPr>
          <w:ilvl w:val="0"/>
          <w:numId w:val="83"/>
        </w:numPr>
        <w:rPr>
          <w:rStyle w:val="Hyperlink"/>
          <w:rFonts w:asciiTheme="minorHAnsi" w:eastAsiaTheme="minorHAnsi" w:hAnsiTheme="minorHAnsi" w:cstheme="minorBidi"/>
          <w:color w:val="auto"/>
          <w:szCs w:val="22"/>
        </w:rPr>
      </w:pPr>
      <w:hyperlink r:id="rId49" w:history="1">
        <w:r w:rsidR="00EB1099">
          <w:rPr>
            <w:rStyle w:val="Hyperlink"/>
            <w:rFonts w:asciiTheme="minorHAnsi" w:hAnsiTheme="minorHAnsi"/>
            <w:szCs w:val="22"/>
          </w:rPr>
          <w:t>New Zealand Medicines and Medical Devices Safety Authority</w:t>
        </w:r>
      </w:hyperlink>
      <w:r w:rsidR="00EB1099" w:rsidRPr="00EB1099">
        <w:rPr>
          <w:rStyle w:val="Hyperlink"/>
          <w:rFonts w:asciiTheme="minorHAnsi" w:hAnsiTheme="minorHAnsi"/>
          <w:color w:val="auto"/>
          <w:szCs w:val="22"/>
          <w:u w:val="none"/>
        </w:rPr>
        <w:t xml:space="preserve"> (MedSafe)</w:t>
      </w:r>
      <w:r w:rsidR="004A3ADB">
        <w:rPr>
          <w:rStyle w:val="Hyperlink"/>
          <w:rFonts w:asciiTheme="minorHAnsi" w:hAnsiTheme="minorHAnsi"/>
          <w:color w:val="auto"/>
          <w:szCs w:val="22"/>
          <w:u w:val="none"/>
        </w:rPr>
        <w:t xml:space="preserve"> list bilastine as a Prescription Only medicine, except when in divided solid dosage forms for oral use containing 20 mg or less for the treatment of allergic </w:t>
      </w:r>
      <w:r w:rsidR="000B01FC">
        <w:rPr>
          <w:rStyle w:val="Hyperlink"/>
          <w:rFonts w:asciiTheme="minorHAnsi" w:hAnsiTheme="minorHAnsi"/>
          <w:color w:val="auto"/>
          <w:szCs w:val="22"/>
          <w:u w:val="none"/>
        </w:rPr>
        <w:t>rhino-conjunctivitis</w:t>
      </w:r>
      <w:r w:rsidR="004A3ADB">
        <w:rPr>
          <w:rStyle w:val="Hyperlink"/>
          <w:rFonts w:asciiTheme="minorHAnsi" w:hAnsiTheme="minorHAnsi"/>
          <w:color w:val="auto"/>
          <w:szCs w:val="22"/>
          <w:u w:val="none"/>
        </w:rPr>
        <w:t xml:space="preserve"> (seasonal and perennial) and urticaria.</w:t>
      </w:r>
    </w:p>
    <w:p w14:paraId="5F88458F" w14:textId="4C8F5B08" w:rsidR="000B01FC" w:rsidRPr="000B01FC" w:rsidRDefault="000B01FC" w:rsidP="00EB1099">
      <w:pPr>
        <w:pStyle w:val="ListBullet"/>
        <w:numPr>
          <w:ilvl w:val="0"/>
          <w:numId w:val="83"/>
        </w:numPr>
        <w:rPr>
          <w:rStyle w:val="Hyperlink"/>
          <w:rFonts w:asciiTheme="minorHAnsi" w:eastAsiaTheme="minorHAnsi" w:hAnsiTheme="minorHAnsi" w:cstheme="minorBidi"/>
          <w:color w:val="auto"/>
          <w:szCs w:val="22"/>
        </w:rPr>
      </w:pPr>
      <w:r>
        <w:rPr>
          <w:rStyle w:val="Hyperlink"/>
          <w:rFonts w:asciiTheme="minorHAnsi" w:hAnsiTheme="minorHAnsi"/>
          <w:color w:val="auto"/>
          <w:szCs w:val="22"/>
          <w:u w:val="none"/>
        </w:rPr>
        <w:t xml:space="preserve">The </w:t>
      </w:r>
      <w:hyperlink r:id="rId50" w:history="1">
        <w:r w:rsidR="00EB1099">
          <w:rPr>
            <w:rStyle w:val="Hyperlink"/>
            <w:rFonts w:asciiTheme="minorHAnsi" w:hAnsiTheme="minorHAnsi"/>
            <w:szCs w:val="22"/>
          </w:rPr>
          <w:t>UK Electronic Medicines Compendium</w:t>
        </w:r>
      </w:hyperlink>
      <w:r w:rsidR="00EB1099" w:rsidRPr="00EB1099">
        <w:rPr>
          <w:rStyle w:val="Hyperlink"/>
          <w:rFonts w:asciiTheme="minorHAnsi" w:hAnsiTheme="minorHAnsi"/>
          <w:color w:val="auto"/>
          <w:szCs w:val="22"/>
          <w:u w:val="none"/>
        </w:rPr>
        <w:t xml:space="preserve"> (emc)</w:t>
      </w:r>
      <w:r>
        <w:rPr>
          <w:rStyle w:val="Hyperlink"/>
          <w:rFonts w:asciiTheme="minorHAnsi" w:hAnsiTheme="minorHAnsi"/>
          <w:color w:val="auto"/>
          <w:szCs w:val="22"/>
          <w:u w:val="none"/>
        </w:rPr>
        <w:t xml:space="preserve"> has approved bilastine in 10 and 20 mg tablets for oral use to treat allergic rhino-conjunctivitis (seasonal and perennial) and urticaria, for adults and adolescents aged 12 years and over. </w:t>
      </w:r>
      <w:r w:rsidR="00E22509">
        <w:rPr>
          <w:rStyle w:val="Hyperlink"/>
          <w:rFonts w:asciiTheme="minorHAnsi" w:hAnsiTheme="minorHAnsi"/>
          <w:color w:val="auto"/>
          <w:szCs w:val="22"/>
          <w:u w:val="none"/>
        </w:rPr>
        <w:t>T</w:t>
      </w:r>
      <w:r w:rsidR="00E4433A">
        <w:rPr>
          <w:rStyle w:val="Hyperlink"/>
          <w:rFonts w:asciiTheme="minorHAnsi" w:hAnsiTheme="minorHAnsi"/>
          <w:color w:val="auto"/>
          <w:szCs w:val="22"/>
          <w:u w:val="none"/>
        </w:rPr>
        <w:t xml:space="preserve">he </w:t>
      </w:r>
      <w:r w:rsidR="00E22509">
        <w:rPr>
          <w:rStyle w:val="Hyperlink"/>
          <w:rFonts w:asciiTheme="minorHAnsi" w:hAnsiTheme="minorHAnsi"/>
          <w:color w:val="auto"/>
          <w:szCs w:val="22"/>
          <w:u w:val="none"/>
        </w:rPr>
        <w:t>emc</w:t>
      </w:r>
      <w:r w:rsidR="00E4433A">
        <w:rPr>
          <w:rStyle w:val="Hyperlink"/>
          <w:rFonts w:asciiTheme="minorHAnsi" w:hAnsiTheme="minorHAnsi"/>
          <w:color w:val="auto"/>
          <w:szCs w:val="22"/>
          <w:u w:val="none"/>
        </w:rPr>
        <w:t xml:space="preserve"> </w:t>
      </w:r>
      <w:r w:rsidR="00E22509">
        <w:rPr>
          <w:rStyle w:val="Hyperlink"/>
          <w:rFonts w:asciiTheme="minorHAnsi" w:hAnsiTheme="minorHAnsi"/>
          <w:color w:val="auto"/>
          <w:szCs w:val="22"/>
          <w:u w:val="none"/>
        </w:rPr>
        <w:t xml:space="preserve">also </w:t>
      </w:r>
      <w:r w:rsidR="00E4433A">
        <w:rPr>
          <w:rStyle w:val="Hyperlink"/>
          <w:rFonts w:asciiTheme="minorHAnsi" w:hAnsiTheme="minorHAnsi"/>
          <w:color w:val="auto"/>
          <w:szCs w:val="22"/>
          <w:u w:val="none"/>
        </w:rPr>
        <w:t>lists a 2.5 mg/mL oral solution for the same indication for children aged 6-11 years of age, with a body weight of at least 20 kg.</w:t>
      </w:r>
    </w:p>
    <w:p w14:paraId="3B251820" w14:textId="0C7F4D98" w:rsidR="000B01FC" w:rsidRPr="00087545" w:rsidRDefault="00013F20" w:rsidP="00EB1099">
      <w:pPr>
        <w:pStyle w:val="ListBullet"/>
        <w:numPr>
          <w:ilvl w:val="0"/>
          <w:numId w:val="83"/>
        </w:numPr>
        <w:rPr>
          <w:rStyle w:val="Hyperlink"/>
          <w:rFonts w:asciiTheme="minorHAnsi" w:eastAsiaTheme="minorHAnsi" w:hAnsiTheme="minorHAnsi" w:cstheme="minorBidi"/>
          <w:color w:val="auto"/>
          <w:szCs w:val="22"/>
        </w:rPr>
      </w:pPr>
      <w:hyperlink r:id="rId51" w:history="1">
        <w:r w:rsidR="000B01FC" w:rsidRPr="000B01FC">
          <w:rPr>
            <w:rStyle w:val="Hyperlink"/>
            <w:rFonts w:asciiTheme="minorHAnsi" w:hAnsiTheme="minorHAnsi"/>
            <w:szCs w:val="22"/>
          </w:rPr>
          <w:t>Health Canada</w:t>
        </w:r>
      </w:hyperlink>
      <w:r w:rsidR="000B01FC">
        <w:rPr>
          <w:rStyle w:val="Hyperlink"/>
          <w:rFonts w:asciiTheme="minorHAnsi" w:hAnsiTheme="minorHAnsi"/>
          <w:color w:val="auto"/>
          <w:szCs w:val="22"/>
          <w:u w:val="none"/>
        </w:rPr>
        <w:t xml:space="preserve"> has bilastine approved as a prescription only medicine</w:t>
      </w:r>
      <w:r w:rsidR="00E4433A">
        <w:rPr>
          <w:rStyle w:val="Hyperlink"/>
          <w:rFonts w:asciiTheme="minorHAnsi" w:hAnsiTheme="minorHAnsi"/>
          <w:color w:val="auto"/>
          <w:szCs w:val="22"/>
          <w:u w:val="none"/>
        </w:rPr>
        <w:t xml:space="preserve"> and has a 10 mg and 20 mg oral tablet preparation, and a 2.5 mg/</w:t>
      </w:r>
      <w:r w:rsidR="00EB1099">
        <w:rPr>
          <w:rStyle w:val="Hyperlink"/>
          <w:rFonts w:asciiTheme="minorHAnsi" w:hAnsiTheme="minorHAnsi"/>
          <w:color w:val="auto"/>
          <w:szCs w:val="22"/>
          <w:u w:val="none"/>
        </w:rPr>
        <w:t xml:space="preserve">mL </w:t>
      </w:r>
      <w:r w:rsidR="00E4433A">
        <w:rPr>
          <w:rStyle w:val="Hyperlink"/>
          <w:rFonts w:asciiTheme="minorHAnsi" w:hAnsiTheme="minorHAnsi"/>
          <w:color w:val="auto"/>
          <w:szCs w:val="22"/>
          <w:u w:val="none"/>
        </w:rPr>
        <w:t>oral solution.</w:t>
      </w:r>
    </w:p>
    <w:p w14:paraId="5F788CAA" w14:textId="77777777" w:rsidR="00571A6E" w:rsidRDefault="00571A6E">
      <w:pPr>
        <w:rPr>
          <w:rFonts w:ascii="Arial" w:eastAsia="Times New Roman" w:hAnsi="Arial" w:cs="Times New Roman"/>
          <w:b/>
          <w:bCs/>
          <w:color w:val="001871"/>
          <w:sz w:val="32"/>
          <w:szCs w:val="32"/>
        </w:rPr>
      </w:pPr>
      <w:r>
        <w:br w:type="page"/>
      </w:r>
    </w:p>
    <w:p w14:paraId="37A40293" w14:textId="292A868D" w:rsidR="000E7528" w:rsidRPr="009401F6" w:rsidRDefault="001D5CC5" w:rsidP="000E7528">
      <w:pPr>
        <w:pStyle w:val="Heading3"/>
        <w:ind w:left="576" w:hanging="576"/>
      </w:pPr>
      <w:bookmarkStart w:id="45" w:name="_Toc144110852"/>
      <w:r>
        <w:t>1.3</w:t>
      </w:r>
      <w:r>
        <w:tab/>
      </w:r>
      <w:r w:rsidR="000E7528">
        <w:t>BPC-157</w:t>
      </w:r>
      <w:bookmarkEnd w:id="45"/>
    </w:p>
    <w:p w14:paraId="2A03A043" w14:textId="77777777" w:rsidR="000E7528" w:rsidRDefault="000E7528" w:rsidP="000E7528">
      <w:pPr>
        <w:pStyle w:val="Heading4"/>
      </w:pPr>
      <w:bookmarkStart w:id="46" w:name="_Toc130227362"/>
      <w:bookmarkStart w:id="47" w:name="_Toc144110853"/>
      <w:r>
        <w:t>Proposal</w:t>
      </w:r>
      <w:bookmarkEnd w:id="46"/>
      <w:bookmarkEnd w:id="47"/>
    </w:p>
    <w:p w14:paraId="68280287" w14:textId="126BC425" w:rsidR="000E7528" w:rsidRPr="00D75206" w:rsidRDefault="000E7528" w:rsidP="000E7528">
      <w:bookmarkStart w:id="48" w:name="_Hlk141450776"/>
      <w:r w:rsidRPr="003839B4">
        <w:t xml:space="preserve">The TGA is seeking public comment </w:t>
      </w:r>
      <w:r w:rsidR="00E22509">
        <w:t xml:space="preserve">regarding </w:t>
      </w:r>
      <w:r>
        <w:t>the creation of a Schedule 4 entry for BPC-157</w:t>
      </w:r>
      <w:r w:rsidR="00E22509">
        <w:t xml:space="preserve">, with </w:t>
      </w:r>
      <w:r>
        <w:t xml:space="preserve">an </w:t>
      </w:r>
      <w:r w:rsidR="00E22509">
        <w:t xml:space="preserve">additional entry </w:t>
      </w:r>
      <w:r>
        <w:t xml:space="preserve">Appendix D, clause </w:t>
      </w:r>
      <w:r w:rsidR="00B641B5">
        <w:t>5</w:t>
      </w:r>
      <w:r>
        <w:t xml:space="preserve"> entry. The new entries would restrict access to BPC-157 to be a prescription-only medicine with possession of the substance without authority being illegal.</w:t>
      </w:r>
    </w:p>
    <w:p w14:paraId="61F5ED3A" w14:textId="46AD75AC" w:rsidR="000E7528" w:rsidRDefault="000E7528" w:rsidP="000E7528">
      <w:pPr>
        <w:pStyle w:val="Heading4"/>
      </w:pPr>
      <w:bookmarkStart w:id="49" w:name="_Toc130227363"/>
      <w:bookmarkStart w:id="50" w:name="_Toc144110854"/>
      <w:bookmarkEnd w:id="48"/>
      <w:r>
        <w:t>CAS number</w:t>
      </w:r>
      <w:bookmarkEnd w:id="49"/>
      <w:bookmarkEnd w:id="50"/>
    </w:p>
    <w:p w14:paraId="329AB166" w14:textId="77777777" w:rsidR="000E7528" w:rsidRDefault="000E7528" w:rsidP="000E7528">
      <w:r w:rsidRPr="00992D89">
        <w:t>137525-51-0</w:t>
      </w:r>
    </w:p>
    <w:p w14:paraId="73945C09" w14:textId="77777777" w:rsidR="000E7528" w:rsidRDefault="000E7528" w:rsidP="000E7528">
      <w:pPr>
        <w:pStyle w:val="Heading4"/>
      </w:pPr>
      <w:bookmarkStart w:id="51" w:name="_Toc130227364"/>
      <w:bookmarkStart w:id="52" w:name="_Toc144110855"/>
      <w:r>
        <w:t>Alternative names</w:t>
      </w:r>
      <w:bookmarkEnd w:id="51"/>
      <w:bookmarkEnd w:id="52"/>
    </w:p>
    <w:p w14:paraId="1D9BB823" w14:textId="37622022" w:rsidR="000E7528" w:rsidRPr="00573B5F" w:rsidRDefault="000E7528" w:rsidP="000E7528">
      <w:bookmarkStart w:id="53" w:name="_Toc130227365"/>
      <w:r>
        <w:t>Bepecin, Bo</w:t>
      </w:r>
      <w:r w:rsidR="00A83E4F">
        <w:t>d</w:t>
      </w:r>
      <w:r>
        <w:t>y protection compound 15</w:t>
      </w:r>
      <w:r w:rsidR="00A83E4F">
        <w:t>7</w:t>
      </w:r>
      <w:r>
        <w:t xml:space="preserve">, </w:t>
      </w:r>
      <w:r w:rsidRPr="008E6483">
        <w:t>PL-10</w:t>
      </w:r>
      <w:r>
        <w:t xml:space="preserve">, </w:t>
      </w:r>
      <w:r w:rsidRPr="008E6483">
        <w:t>PL-14736</w:t>
      </w:r>
      <w:r>
        <w:t xml:space="preserve">, </w:t>
      </w:r>
      <w:r w:rsidRPr="008E6483">
        <w:t>PLD-116</w:t>
      </w:r>
    </w:p>
    <w:p w14:paraId="79F3DBB8" w14:textId="77777777" w:rsidR="000E7528" w:rsidRPr="002C1070" w:rsidRDefault="000E7528" w:rsidP="000E7528">
      <w:pPr>
        <w:pStyle w:val="Heading4"/>
      </w:pPr>
      <w:bookmarkStart w:id="54" w:name="_Toc144110856"/>
      <w:r>
        <w:t>Applicant</w:t>
      </w:r>
      <w:bookmarkEnd w:id="53"/>
      <w:bookmarkEnd w:id="54"/>
    </w:p>
    <w:p w14:paraId="1B412D37" w14:textId="77777777" w:rsidR="000E7528" w:rsidRDefault="000E7528" w:rsidP="00B638C9">
      <w:pPr>
        <w:rPr>
          <w:b/>
          <w:bCs/>
        </w:rPr>
      </w:pPr>
      <w:bookmarkStart w:id="55" w:name="_Toc130227366"/>
      <w:r w:rsidRPr="00F858A9">
        <w:t>Delegate of the Secretary of the Department of Health and Aged Care (Delegate-initiated proposal).</w:t>
      </w:r>
    </w:p>
    <w:p w14:paraId="2E7044C3" w14:textId="77777777" w:rsidR="000E7528" w:rsidRDefault="000E7528" w:rsidP="000E7528">
      <w:pPr>
        <w:pStyle w:val="Heading4"/>
      </w:pPr>
      <w:bookmarkStart w:id="56" w:name="_Toc144110857"/>
      <w:r>
        <w:t>Proposed Scheduling</w:t>
      </w:r>
      <w:bookmarkEnd w:id="55"/>
      <w:bookmarkEnd w:id="56"/>
    </w:p>
    <w:p w14:paraId="240AC602" w14:textId="77777777" w:rsidR="000E7528" w:rsidRPr="00DC3BC2" w:rsidRDefault="000E7528" w:rsidP="000E7528">
      <w:pPr>
        <w:rPr>
          <w:rFonts w:cstheme="minorHAnsi"/>
        </w:rPr>
      </w:pPr>
      <w:r w:rsidRPr="00EA0707">
        <w:rPr>
          <w:rFonts w:cstheme="minorHAnsi"/>
        </w:rPr>
        <w:t>BPC-157 is not currently listed on the Poisons Standard, nor is it regarded as a derivative of any listed substance on the Standard</w:t>
      </w:r>
      <w:r>
        <w:rPr>
          <w:rFonts w:cstheme="minorHAnsi"/>
        </w:rPr>
        <w:t>.</w:t>
      </w:r>
    </w:p>
    <w:p w14:paraId="4C5AF40C" w14:textId="7314AA9C" w:rsidR="000E7528" w:rsidRPr="00DC3BC2" w:rsidRDefault="000E7528" w:rsidP="000E7528">
      <w:pPr>
        <w:rPr>
          <w:bCs/>
        </w:rPr>
      </w:pPr>
      <w:r w:rsidRPr="00DC3BC2">
        <w:rPr>
          <w:bCs/>
        </w:rPr>
        <w:t xml:space="preserve">The </w:t>
      </w:r>
      <w:r>
        <w:rPr>
          <w:bCs/>
        </w:rPr>
        <w:t>Delegate’s</w:t>
      </w:r>
      <w:r w:rsidRPr="00DC3BC2">
        <w:rPr>
          <w:bCs/>
        </w:rPr>
        <w:t xml:space="preserve"> proposed amendments to the Poisons Standard are</w:t>
      </w:r>
      <w:r w:rsidR="00E22509">
        <w:rPr>
          <w:bCs/>
        </w:rPr>
        <w:t>:</w:t>
      </w:r>
      <w:r w:rsidRPr="00DC3BC2">
        <w:rPr>
          <w:rStyle w:val="FootnoteReference"/>
          <w:bCs/>
        </w:rPr>
        <w:footnoteReference w:id="3"/>
      </w:r>
    </w:p>
    <w:p w14:paraId="58514879" w14:textId="77777777" w:rsidR="000E7528" w:rsidRPr="00CD40FB" w:rsidRDefault="000E7528" w:rsidP="000E7528">
      <w:pPr>
        <w:ind w:left="426"/>
        <w:rPr>
          <w:b/>
        </w:rPr>
      </w:pPr>
      <w:r w:rsidRPr="00D054C5">
        <w:rPr>
          <w:b/>
        </w:rPr>
        <w:t xml:space="preserve">Schedule </w:t>
      </w:r>
      <w:r>
        <w:rPr>
          <w:b/>
        </w:rPr>
        <w:t>4</w:t>
      </w:r>
      <w:r w:rsidRPr="00D054C5">
        <w:rPr>
          <w:b/>
        </w:rPr>
        <w:t xml:space="preserve"> –</w:t>
      </w:r>
      <w:r>
        <w:rPr>
          <w:b/>
        </w:rPr>
        <w:t xml:space="preserve"> New</w:t>
      </w:r>
      <w:r w:rsidRPr="00D054C5">
        <w:rPr>
          <w:b/>
        </w:rPr>
        <w:t xml:space="preserve"> Entry</w:t>
      </w:r>
    </w:p>
    <w:p w14:paraId="41563B2D" w14:textId="5F41D31E" w:rsidR="000E7528" w:rsidRDefault="000E7528" w:rsidP="00D3329A">
      <w:pPr>
        <w:ind w:firstLine="720"/>
        <w:rPr>
          <w:rFonts w:cstheme="minorHAnsi"/>
          <w:color w:val="00B050"/>
          <w:u w:val="single"/>
        </w:rPr>
      </w:pPr>
      <w:bookmarkStart w:id="57" w:name="_Toc130227367"/>
      <w:r>
        <w:rPr>
          <w:rFonts w:cstheme="minorHAnsi"/>
          <w:color w:val="00B050"/>
          <w:u w:val="single"/>
        </w:rPr>
        <w:t>BPC-157</w:t>
      </w:r>
    </w:p>
    <w:p w14:paraId="7B4D1D7B" w14:textId="14A75B62" w:rsidR="005C1F31" w:rsidRPr="005C1F31" w:rsidRDefault="005C1F31" w:rsidP="005C1F31">
      <w:pPr>
        <w:ind w:firstLine="426"/>
        <w:rPr>
          <w:rFonts w:cstheme="minorHAnsi"/>
          <w:b/>
          <w:bCs/>
        </w:rPr>
      </w:pPr>
      <w:r w:rsidRPr="005C1F31">
        <w:rPr>
          <w:rFonts w:cstheme="minorHAnsi"/>
          <w:b/>
          <w:bCs/>
        </w:rPr>
        <w:t>Appendix D</w:t>
      </w:r>
      <w:r w:rsidR="00B21C87">
        <w:rPr>
          <w:rFonts w:cstheme="minorHAnsi"/>
          <w:b/>
          <w:bCs/>
        </w:rPr>
        <w:t>, clause 5</w:t>
      </w:r>
      <w:r w:rsidRPr="005C1F31">
        <w:rPr>
          <w:rFonts w:cstheme="minorHAnsi"/>
          <w:b/>
          <w:bCs/>
        </w:rPr>
        <w:t xml:space="preserve"> – New Entry</w:t>
      </w:r>
    </w:p>
    <w:tbl>
      <w:tblPr>
        <w:tblStyle w:val="TableTGAblue"/>
        <w:tblW w:w="2126" w:type="dxa"/>
        <w:tblInd w:w="699" w:type="dxa"/>
        <w:tblLook w:val="04A0" w:firstRow="1" w:lastRow="0" w:firstColumn="1" w:lastColumn="0" w:noHBand="0" w:noVBand="1"/>
      </w:tblPr>
      <w:tblGrid>
        <w:gridCol w:w="992"/>
        <w:gridCol w:w="1134"/>
      </w:tblGrid>
      <w:tr w:rsidR="005C1F31" w:rsidRPr="00C67045" w14:paraId="52411E39" w14:textId="77777777" w:rsidTr="00B21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1D740B59" w14:textId="02E51905" w:rsidR="005C1F31" w:rsidRPr="00C67045" w:rsidRDefault="005C1F31" w:rsidP="005C1F31">
            <w:pPr>
              <w:spacing w:before="60" w:after="60"/>
              <w:rPr>
                <w:rFonts w:asciiTheme="minorHAnsi" w:hAnsiTheme="minorHAnsi" w:cstheme="minorHAnsi"/>
                <w:color w:val="FFFFFF" w:themeColor="background1"/>
                <w:sz w:val="20"/>
                <w:szCs w:val="20"/>
              </w:rPr>
            </w:pPr>
            <w:r w:rsidRPr="00C67045">
              <w:rPr>
                <w:rFonts w:asciiTheme="minorHAnsi" w:hAnsiTheme="minorHAnsi" w:cstheme="minorHAnsi"/>
                <w:color w:val="FFFFFF" w:themeColor="background1"/>
                <w:sz w:val="20"/>
                <w:szCs w:val="20"/>
              </w:rPr>
              <w:t>Item</w:t>
            </w:r>
          </w:p>
        </w:tc>
        <w:tc>
          <w:tcPr>
            <w:tcW w:w="1134" w:type="dxa"/>
          </w:tcPr>
          <w:p w14:paraId="07E40930" w14:textId="57E0FE44" w:rsidR="005C1F31" w:rsidRPr="00C67045" w:rsidRDefault="005C1F31" w:rsidP="005C1F3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C67045">
              <w:rPr>
                <w:rFonts w:asciiTheme="minorHAnsi" w:hAnsiTheme="minorHAnsi" w:cstheme="minorHAnsi"/>
                <w:color w:val="FFFFFF" w:themeColor="background1"/>
                <w:sz w:val="20"/>
                <w:szCs w:val="20"/>
              </w:rPr>
              <w:t>Poison</w:t>
            </w:r>
          </w:p>
        </w:tc>
      </w:tr>
      <w:tr w:rsidR="005C1F31" w:rsidRPr="00C67045" w14:paraId="5B8EFD8A" w14:textId="77777777" w:rsidTr="00B21C87">
        <w:tc>
          <w:tcPr>
            <w:cnfStyle w:val="001000000000" w:firstRow="0" w:lastRow="0" w:firstColumn="1" w:lastColumn="0" w:oddVBand="0" w:evenVBand="0" w:oddHBand="0" w:evenHBand="0" w:firstRowFirstColumn="0" w:firstRowLastColumn="0" w:lastRowFirstColumn="0" w:lastRowLastColumn="0"/>
            <w:tcW w:w="992" w:type="dxa"/>
          </w:tcPr>
          <w:p w14:paraId="27315BDB" w14:textId="42BA52EB" w:rsidR="005C1F31" w:rsidRPr="00C67045" w:rsidRDefault="00A83E4F" w:rsidP="005C1F31">
            <w:pPr>
              <w:spacing w:before="60" w:after="60"/>
              <w:rPr>
                <w:rFonts w:asciiTheme="minorHAnsi" w:hAnsiTheme="minorHAnsi" w:cstheme="minorHAnsi"/>
                <w:color w:val="00B050"/>
                <w:sz w:val="20"/>
                <w:szCs w:val="20"/>
                <w:u w:val="single"/>
              </w:rPr>
            </w:pPr>
            <w:r>
              <w:rPr>
                <w:rFonts w:asciiTheme="minorHAnsi" w:hAnsiTheme="minorHAnsi" w:cstheme="minorHAnsi"/>
                <w:color w:val="00B050"/>
                <w:sz w:val="20"/>
                <w:szCs w:val="20"/>
                <w:u w:val="single"/>
              </w:rPr>
              <w:t>4a</w:t>
            </w:r>
          </w:p>
        </w:tc>
        <w:tc>
          <w:tcPr>
            <w:tcW w:w="1134" w:type="dxa"/>
          </w:tcPr>
          <w:p w14:paraId="2B9DB0A9" w14:textId="728A98E6" w:rsidR="005C1F31" w:rsidRPr="00C67045" w:rsidRDefault="005C1F31" w:rsidP="005C1F31">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B050"/>
                <w:sz w:val="20"/>
                <w:szCs w:val="20"/>
                <w:u w:val="single"/>
              </w:rPr>
            </w:pPr>
            <w:r w:rsidRPr="00C67045">
              <w:rPr>
                <w:rFonts w:asciiTheme="minorHAnsi" w:hAnsiTheme="minorHAnsi" w:cstheme="minorHAnsi"/>
                <w:color w:val="00B050"/>
                <w:sz w:val="20"/>
                <w:szCs w:val="20"/>
                <w:u w:val="single"/>
              </w:rPr>
              <w:t>BPC-157</w:t>
            </w:r>
          </w:p>
        </w:tc>
      </w:tr>
    </w:tbl>
    <w:p w14:paraId="2428F26F" w14:textId="77777777" w:rsidR="000E7528" w:rsidRPr="005C1F31" w:rsidRDefault="000E7528" w:rsidP="005C1F31">
      <w:pPr>
        <w:spacing w:before="120"/>
        <w:ind w:firstLine="425"/>
        <w:rPr>
          <w:rFonts w:cstheme="minorHAnsi"/>
          <w:b/>
          <w:bCs/>
        </w:rPr>
      </w:pPr>
      <w:r w:rsidRPr="005C1F31">
        <w:rPr>
          <w:rFonts w:cstheme="minorHAnsi"/>
          <w:b/>
          <w:bCs/>
        </w:rPr>
        <w:t>Index – New Entry</w:t>
      </w:r>
    </w:p>
    <w:p w14:paraId="51E951EF" w14:textId="77777777" w:rsidR="000E7528" w:rsidRDefault="000E7528" w:rsidP="000E7528">
      <w:pPr>
        <w:ind w:firstLine="720"/>
        <w:rPr>
          <w:rFonts w:cstheme="minorHAnsi"/>
          <w:b/>
          <w:bCs/>
          <w:color w:val="00B050"/>
          <w:u w:val="single"/>
        </w:rPr>
      </w:pPr>
      <w:r w:rsidRPr="00EE2CC3">
        <w:rPr>
          <w:rFonts w:cstheme="minorHAnsi"/>
          <w:b/>
          <w:bCs/>
          <w:color w:val="00B050"/>
          <w:u w:val="single"/>
        </w:rPr>
        <w:t>BPC-157</w:t>
      </w:r>
    </w:p>
    <w:p w14:paraId="7EF90DD8" w14:textId="3E1CA9DD" w:rsidR="000E7528" w:rsidRPr="00EE2CC3" w:rsidRDefault="000E7528" w:rsidP="000E7528">
      <w:pPr>
        <w:ind w:firstLine="720"/>
        <w:rPr>
          <w:rFonts w:cstheme="minorHAnsi"/>
          <w:color w:val="00B050"/>
          <w:u w:val="single"/>
        </w:rPr>
      </w:pPr>
      <w:r>
        <w:rPr>
          <w:rFonts w:cstheme="minorHAnsi"/>
          <w:color w:val="00B050"/>
          <w:u w:val="single"/>
        </w:rPr>
        <w:t>Schedule 4</w:t>
      </w:r>
      <w:r w:rsidR="005C1F31">
        <w:rPr>
          <w:rFonts w:cstheme="minorHAnsi"/>
          <w:color w:val="00B050"/>
          <w:u w:val="single"/>
        </w:rPr>
        <w:br/>
      </w:r>
      <w:r w:rsidR="005C1F31" w:rsidRPr="005C1F31">
        <w:rPr>
          <w:rFonts w:cstheme="minorHAnsi"/>
          <w:color w:val="00B050"/>
        </w:rPr>
        <w:tab/>
      </w:r>
      <w:r w:rsidR="005C1F31">
        <w:rPr>
          <w:rFonts w:cstheme="minorHAnsi"/>
          <w:color w:val="00B050"/>
          <w:u w:val="single"/>
        </w:rPr>
        <w:t>Appendix D, clause 5</w:t>
      </w:r>
    </w:p>
    <w:p w14:paraId="3395175F" w14:textId="77777777" w:rsidR="000E7528" w:rsidRDefault="000E7528" w:rsidP="000E7528">
      <w:pPr>
        <w:pStyle w:val="Heading4"/>
      </w:pPr>
      <w:bookmarkStart w:id="58" w:name="_Toc144110858"/>
      <w:bookmarkStart w:id="59" w:name="_Toc130227370"/>
      <w:bookmarkEnd w:id="57"/>
      <w:r>
        <w:t>Background</w:t>
      </w:r>
      <w:bookmarkEnd w:id="58"/>
    </w:p>
    <w:p w14:paraId="79AE73BF" w14:textId="66CE73AB" w:rsidR="000E7528" w:rsidRPr="00365FA5" w:rsidRDefault="000E7528" w:rsidP="000E7528">
      <w:pPr>
        <w:rPr>
          <w:rFonts w:cstheme="minorHAnsi"/>
        </w:rPr>
      </w:pPr>
      <w:bookmarkStart w:id="60" w:name="_Hlk141450899"/>
      <w:r>
        <w:t xml:space="preserve">BPC-157 is a synthetic </w:t>
      </w:r>
      <w:r w:rsidRPr="00265640">
        <w:t>pentadecapeptide</w:t>
      </w:r>
      <w:r>
        <w:t xml:space="preserve"> with unsubstantiated claims for enhancement of human</w:t>
      </w:r>
      <w:r w:rsidRPr="009476AE">
        <w:t xml:space="preserve"> healing from injuries and </w:t>
      </w:r>
      <w:r>
        <w:t xml:space="preserve">organ damage </w:t>
      </w:r>
      <w:r w:rsidR="00471508">
        <w:t>(</w:t>
      </w:r>
      <w:r>
        <w:t xml:space="preserve">including </w:t>
      </w:r>
      <w:r w:rsidRPr="00FA244F">
        <w:t>bone or joint healing, stomach ulcers,</w:t>
      </w:r>
      <w:r>
        <w:t xml:space="preserve"> </w:t>
      </w:r>
      <w:r w:rsidR="00471508">
        <w:t xml:space="preserve">and </w:t>
      </w:r>
      <w:r w:rsidRPr="00FA244F">
        <w:t>organ damage</w:t>
      </w:r>
      <w:r w:rsidR="00471508">
        <w:t>)</w:t>
      </w:r>
      <w:r>
        <w:t xml:space="preserve"> and enhanced athletic performance. In January 2022</w:t>
      </w:r>
      <w:r w:rsidR="00471508">
        <w:t>,</w:t>
      </w:r>
      <w:r>
        <w:t xml:space="preserve"> BPC-157 was listed </w:t>
      </w:r>
      <w:r w:rsidR="00397354">
        <w:t xml:space="preserve">under the </w:t>
      </w:r>
      <w:r w:rsidR="00397354" w:rsidRPr="00397354">
        <w:t>S0</w:t>
      </w:r>
      <w:r w:rsidR="00397354">
        <w:t xml:space="preserve"> Non-Approved</w:t>
      </w:r>
      <w:r w:rsidR="00397354" w:rsidRPr="00397354">
        <w:t xml:space="preserve"> Substances category of the </w:t>
      </w:r>
      <w:hyperlink r:id="rId52" w:history="1">
        <w:r w:rsidRPr="000A63B2">
          <w:rPr>
            <w:rStyle w:val="Hyperlink"/>
            <w:rFonts w:asciiTheme="minorHAnsi" w:hAnsiTheme="minorHAnsi"/>
          </w:rPr>
          <w:t>World Anti-Doping Agency</w:t>
        </w:r>
      </w:hyperlink>
      <w:r>
        <w:t xml:space="preserve"> (WADA)</w:t>
      </w:r>
      <w:r w:rsidR="00397354">
        <w:t xml:space="preserve"> list</w:t>
      </w:r>
      <w:r w:rsidR="00B94718">
        <w:rPr>
          <w:rStyle w:val="FootnoteReference"/>
        </w:rPr>
        <w:footnoteReference w:id="4"/>
      </w:r>
      <w:r w:rsidR="00397354">
        <w:t xml:space="preserve"> and is prohibited for use in sports at all times (in and out of competition).</w:t>
      </w:r>
    </w:p>
    <w:p w14:paraId="349B573B" w14:textId="0A055FD6" w:rsidR="000E7528" w:rsidRDefault="000E7528" w:rsidP="000E7528">
      <w:pPr>
        <w:pStyle w:val="Heading4"/>
      </w:pPr>
      <w:bookmarkStart w:id="61" w:name="_Toc130227368"/>
      <w:bookmarkStart w:id="62" w:name="_Toc144110859"/>
      <w:bookmarkEnd w:id="60"/>
      <w:r>
        <w:t xml:space="preserve">Summary of </w:t>
      </w:r>
      <w:r w:rsidR="00571A6E">
        <w:t>the</w:t>
      </w:r>
      <w:r>
        <w:t xml:space="preserve"> reasons for the proposal</w:t>
      </w:r>
      <w:bookmarkEnd w:id="61"/>
      <w:bookmarkEnd w:id="62"/>
    </w:p>
    <w:p w14:paraId="466E3B30" w14:textId="77777777" w:rsidR="000E7528" w:rsidRPr="00E22509" w:rsidRDefault="000E7528" w:rsidP="00EB1099">
      <w:pPr>
        <w:pStyle w:val="ListBullet"/>
        <w:numPr>
          <w:ilvl w:val="0"/>
          <w:numId w:val="83"/>
        </w:numPr>
      </w:pPr>
      <w:bookmarkStart w:id="63" w:name="_Hlk141451104"/>
      <w:r w:rsidRPr="00E22509">
        <w:t>BPC-157 is acknowledged in open sources as an experimental therapy with no related clinical data in humans. The experimental nature of BPC-157 justifies medical professional oversight to monitor for potential side effects, especially for continued or repeated use.</w:t>
      </w:r>
    </w:p>
    <w:p w14:paraId="0DE18897" w14:textId="70D709AA" w:rsidR="000E7528" w:rsidRPr="00E22509" w:rsidRDefault="000E7528" w:rsidP="00EB1099">
      <w:pPr>
        <w:pStyle w:val="ListBullet"/>
        <w:numPr>
          <w:ilvl w:val="0"/>
          <w:numId w:val="83"/>
        </w:numPr>
        <w:rPr>
          <w:i/>
        </w:rPr>
      </w:pPr>
      <w:r w:rsidRPr="00E22509">
        <w:t xml:space="preserve">Group entries for growth hormone releasing hormones, peptides and secretagogues are included under Schedule 4 and Appendix D of the Act. Similar substances, such as THYMOSIN BETA-4, AOD-9604, CJC-1295, PRALMORELIN, GROWTH HORMONE RELEASING PEPTIDE 6, HEXARELIN, and IPAMORELIN have been included </w:t>
      </w:r>
      <w:r w:rsidR="00E22509">
        <w:t xml:space="preserve">in </w:t>
      </w:r>
      <w:r w:rsidRPr="00E22509">
        <w:t>Schedule 4 with additional Appendix D condition</w:t>
      </w:r>
      <w:r w:rsidR="00E22509">
        <w:t>s</w:t>
      </w:r>
      <w:r w:rsidRPr="00E22509">
        <w:t>.</w:t>
      </w:r>
    </w:p>
    <w:p w14:paraId="2041CEC4" w14:textId="77777777" w:rsidR="000E7528" w:rsidRPr="00E22509" w:rsidRDefault="000E7528" w:rsidP="00EB1099">
      <w:pPr>
        <w:pStyle w:val="ListBullet"/>
        <w:numPr>
          <w:ilvl w:val="0"/>
          <w:numId w:val="83"/>
        </w:numPr>
        <w:rPr>
          <w:i/>
        </w:rPr>
      </w:pPr>
      <w:r w:rsidRPr="00E22509">
        <w:t xml:space="preserve">The limited available research on the risks and benefits of use and associated toxicity, the experimental </w:t>
      </w:r>
      <w:r w:rsidRPr="00EE4793">
        <w:t>nature</w:t>
      </w:r>
      <w:r w:rsidRPr="00E22509">
        <w:t xml:space="preserve"> of the substances, and the potential for abuse given that the substances are used as performance enhancing drugs satisfy criteria for inclusion in Schedule 4 and Appendix D (Item 5) of the Act.</w:t>
      </w:r>
    </w:p>
    <w:p w14:paraId="17A5FABD" w14:textId="77777777" w:rsidR="000E7528" w:rsidRPr="00E22509" w:rsidRDefault="000E7528" w:rsidP="00EB1099">
      <w:pPr>
        <w:pStyle w:val="ListBullet"/>
        <w:numPr>
          <w:ilvl w:val="0"/>
          <w:numId w:val="83"/>
        </w:numPr>
        <w:rPr>
          <w:i/>
        </w:rPr>
      </w:pPr>
      <w:r w:rsidRPr="00E22509">
        <w:t>BPC-157 aligns with several Schedule 4 factors in the SPF, particularly:</w:t>
      </w:r>
    </w:p>
    <w:p w14:paraId="5590EDB7" w14:textId="77777777" w:rsidR="000E7528" w:rsidRPr="00E22509" w:rsidRDefault="000E7528" w:rsidP="000E7528">
      <w:pPr>
        <w:pStyle w:val="ListParagraph"/>
        <w:numPr>
          <w:ilvl w:val="0"/>
          <w:numId w:val="67"/>
        </w:numPr>
        <w:spacing w:before="0" w:after="0" w:line="276" w:lineRule="auto"/>
        <w:contextualSpacing w:val="0"/>
        <w:rPr>
          <w:rFonts w:asciiTheme="minorHAnsi" w:eastAsia="Times New Roman" w:hAnsiTheme="minorHAnsi" w:cstheme="minorHAnsi"/>
        </w:rPr>
      </w:pPr>
      <w:r w:rsidRPr="00E22509">
        <w:rPr>
          <w:rFonts w:asciiTheme="minorHAnsi" w:eastAsia="Times New Roman" w:hAnsiTheme="minorHAnsi" w:cstheme="minorHAnsi"/>
        </w:rPr>
        <w:t>The ailments or symptoms that the substance is used for require medical, veterinary or dental intervention,</w:t>
      </w:r>
    </w:p>
    <w:p w14:paraId="33FC6324" w14:textId="77777777" w:rsidR="000E7528" w:rsidRPr="00E22509" w:rsidRDefault="000E7528" w:rsidP="000E7528">
      <w:pPr>
        <w:pStyle w:val="ListParagraph"/>
        <w:numPr>
          <w:ilvl w:val="0"/>
          <w:numId w:val="67"/>
        </w:numPr>
        <w:spacing w:before="0" w:after="0" w:line="276" w:lineRule="auto"/>
        <w:contextualSpacing w:val="0"/>
        <w:rPr>
          <w:rFonts w:asciiTheme="minorHAnsi" w:eastAsia="Times New Roman" w:hAnsiTheme="minorHAnsi" w:cstheme="minorHAnsi"/>
        </w:rPr>
      </w:pPr>
      <w:r w:rsidRPr="00E22509">
        <w:rPr>
          <w:rFonts w:asciiTheme="minorHAnsi" w:eastAsia="Times New Roman" w:hAnsiTheme="minorHAnsi" w:cstheme="minorHAnsi"/>
        </w:rPr>
        <w:t>The use of the substance requires adjunctive therapy or evaluation or specialised handling for administration, and</w:t>
      </w:r>
    </w:p>
    <w:p w14:paraId="747437DD" w14:textId="77777777" w:rsidR="000E7528" w:rsidRPr="00E22509" w:rsidRDefault="000E7528" w:rsidP="000E7528">
      <w:pPr>
        <w:pStyle w:val="ListParagraph"/>
        <w:numPr>
          <w:ilvl w:val="0"/>
          <w:numId w:val="68"/>
        </w:numPr>
        <w:spacing w:before="0" w:after="160" w:line="276" w:lineRule="auto"/>
        <w:contextualSpacing w:val="0"/>
        <w:rPr>
          <w:rFonts w:asciiTheme="minorHAnsi" w:eastAsia="Times New Roman" w:hAnsiTheme="minorHAnsi" w:cstheme="minorHAnsi"/>
        </w:rPr>
      </w:pPr>
      <w:r w:rsidRPr="00E22509">
        <w:rPr>
          <w:rFonts w:asciiTheme="minorHAnsi" w:hAnsiTheme="minorHAnsi" w:cstheme="minorHAnsi"/>
        </w:rPr>
        <w:t>The experience of the use of the substance under normal clinical conditions is limited.</w:t>
      </w:r>
    </w:p>
    <w:p w14:paraId="299006AF" w14:textId="77777777" w:rsidR="000E7528" w:rsidRDefault="000E7528" w:rsidP="000E7528">
      <w:pPr>
        <w:pStyle w:val="Heading4"/>
      </w:pPr>
      <w:bookmarkStart w:id="64" w:name="_Toc130227369"/>
      <w:bookmarkStart w:id="65" w:name="_Toc144110860"/>
      <w:bookmarkEnd w:id="63"/>
      <w:r>
        <w:t>Key uses / expected use</w:t>
      </w:r>
      <w:bookmarkEnd w:id="64"/>
      <w:bookmarkEnd w:id="65"/>
    </w:p>
    <w:p w14:paraId="155D228C" w14:textId="77777777" w:rsidR="000E7528" w:rsidRDefault="000E7528" w:rsidP="000E7528">
      <w:r w:rsidRPr="00DC4268">
        <w:t>Medicines</w:t>
      </w:r>
    </w:p>
    <w:p w14:paraId="31030677" w14:textId="77777777" w:rsidR="000E7528" w:rsidRDefault="000E7528" w:rsidP="000E7528">
      <w:pPr>
        <w:pStyle w:val="Heading4"/>
      </w:pPr>
      <w:bookmarkStart w:id="66" w:name="_Toc144110861"/>
      <w:r>
        <w:t>Australian regulations</w:t>
      </w:r>
      <w:bookmarkEnd w:id="59"/>
      <w:bookmarkEnd w:id="66"/>
    </w:p>
    <w:p w14:paraId="5C1BC025" w14:textId="25BDAD58" w:rsidR="000E7528" w:rsidRPr="00F75788" w:rsidRDefault="000E7528" w:rsidP="00EB1099">
      <w:pPr>
        <w:pStyle w:val="ListBullet"/>
        <w:numPr>
          <w:ilvl w:val="0"/>
          <w:numId w:val="83"/>
        </w:numPr>
      </w:pPr>
      <w:r>
        <w:t xml:space="preserve">BPC-157 is not a listed ingredient on </w:t>
      </w:r>
      <w:r w:rsidRPr="008007EB">
        <w:t xml:space="preserve">the </w:t>
      </w:r>
      <w:hyperlink r:id="rId53" w:history="1">
        <w:r w:rsidRPr="008007EB">
          <w:rPr>
            <w:rStyle w:val="Hyperlink"/>
            <w:rFonts w:asciiTheme="minorHAnsi" w:hAnsiTheme="minorHAnsi"/>
          </w:rPr>
          <w:t>TGA Ingredient Database</w:t>
        </w:r>
      </w:hyperlink>
      <w:r w:rsidR="00EE4793">
        <w:t>.</w:t>
      </w:r>
    </w:p>
    <w:p w14:paraId="2FA73F22" w14:textId="04C5B8E5" w:rsidR="000E7528" w:rsidRPr="008007EB" w:rsidRDefault="000E7528" w:rsidP="00EB1099">
      <w:pPr>
        <w:pStyle w:val="ListBullet"/>
        <w:numPr>
          <w:ilvl w:val="0"/>
          <w:numId w:val="83"/>
        </w:numPr>
      </w:pPr>
      <w:r w:rsidRPr="008007EB">
        <w:t xml:space="preserve">As of </w:t>
      </w:r>
      <w:r>
        <w:t>August 2023</w:t>
      </w:r>
      <w:r w:rsidRPr="008007EB">
        <w:t xml:space="preserve">, there were </w:t>
      </w:r>
      <w:r>
        <w:t>no</w:t>
      </w:r>
      <w:r w:rsidRPr="008007EB">
        <w:t xml:space="preserve"> medicines currently active on the </w:t>
      </w:r>
      <w:hyperlink r:id="rId54" w:history="1">
        <w:r w:rsidR="00EB1099">
          <w:rPr>
            <w:rStyle w:val="Hyperlink"/>
            <w:rFonts w:asciiTheme="minorHAnsi" w:hAnsiTheme="minorHAnsi"/>
          </w:rPr>
          <w:t>Australian Register of Therapeutic Goods</w:t>
        </w:r>
      </w:hyperlink>
      <w:r w:rsidR="00EB1099" w:rsidRPr="00EB1099">
        <w:rPr>
          <w:rStyle w:val="Hyperlink"/>
          <w:rFonts w:asciiTheme="minorHAnsi" w:hAnsiTheme="minorHAnsi"/>
          <w:color w:val="auto"/>
          <w:u w:val="none"/>
        </w:rPr>
        <w:t xml:space="preserve"> (ARTG)</w:t>
      </w:r>
      <w:r w:rsidRPr="008007EB">
        <w:t xml:space="preserve"> that contain </w:t>
      </w:r>
      <w:r>
        <w:t>BPC-157</w:t>
      </w:r>
      <w:r w:rsidRPr="008007EB">
        <w:t xml:space="preserve"> as an active ingredient.</w:t>
      </w:r>
    </w:p>
    <w:p w14:paraId="3E2DC036" w14:textId="779A6A43" w:rsidR="000E7528" w:rsidRPr="008007EB" w:rsidRDefault="000E7528" w:rsidP="00EB1099">
      <w:pPr>
        <w:pStyle w:val="ListBullet"/>
        <w:numPr>
          <w:ilvl w:val="0"/>
          <w:numId w:val="83"/>
        </w:numPr>
      </w:pPr>
      <w:r>
        <w:t>BPC-157</w:t>
      </w:r>
      <w:r w:rsidRPr="008007EB">
        <w:t xml:space="preserve"> is not permitted to be included in listed medicines as it is not included in the </w:t>
      </w:r>
      <w:hyperlink r:id="rId55" w:history="1">
        <w:r w:rsidRPr="008007EB">
          <w:rPr>
            <w:rStyle w:val="Hyperlink"/>
            <w:rFonts w:asciiTheme="minorHAnsi" w:hAnsiTheme="minorHAnsi"/>
          </w:rPr>
          <w:t>Therapeutic Goods (Permissible Ingredients) Determination</w:t>
        </w:r>
      </w:hyperlink>
      <w:r w:rsidRPr="008007EB">
        <w:t xml:space="preserve"> No.</w:t>
      </w:r>
      <w:r>
        <w:t>3</w:t>
      </w:r>
      <w:r w:rsidRPr="008007EB">
        <w:t xml:space="preserve"> of 20</w:t>
      </w:r>
      <w:r>
        <w:t>23</w:t>
      </w:r>
      <w:r w:rsidRPr="008007EB">
        <w:t>.</w:t>
      </w:r>
    </w:p>
    <w:p w14:paraId="7C33AEAE" w14:textId="79EB839F" w:rsidR="000E7528" w:rsidRPr="008007EB" w:rsidRDefault="000E7528" w:rsidP="00EB1099">
      <w:pPr>
        <w:pStyle w:val="ListBullet"/>
        <w:numPr>
          <w:ilvl w:val="0"/>
          <w:numId w:val="83"/>
        </w:numPr>
      </w:pPr>
      <w:r w:rsidRPr="008007EB">
        <w:t xml:space="preserve">The </w:t>
      </w:r>
      <w:hyperlink r:id="rId56" w:history="1">
        <w:r w:rsidRPr="008007EB">
          <w:rPr>
            <w:rStyle w:val="Hyperlink"/>
            <w:rFonts w:asciiTheme="minorHAnsi" w:hAnsiTheme="minorHAnsi"/>
          </w:rPr>
          <w:t>TGA prescribing medicines in pregnancy database</w:t>
        </w:r>
      </w:hyperlink>
      <w:r w:rsidRPr="008007EB">
        <w:t xml:space="preserve"> </w:t>
      </w:r>
      <w:r>
        <w:t xml:space="preserve">does not include a </w:t>
      </w:r>
      <w:r w:rsidRPr="008007EB">
        <w:t>classif</w:t>
      </w:r>
      <w:r>
        <w:t>ication for BPC-157.</w:t>
      </w:r>
    </w:p>
    <w:p w14:paraId="65C14BF5" w14:textId="5B25718E" w:rsidR="000E7528" w:rsidRPr="0053500A" w:rsidRDefault="000E7528" w:rsidP="00EB1099">
      <w:pPr>
        <w:pStyle w:val="ListBullet"/>
        <w:numPr>
          <w:ilvl w:val="0"/>
          <w:numId w:val="83"/>
        </w:numPr>
      </w:pPr>
      <w:r w:rsidRPr="008007EB">
        <w:t xml:space="preserve">There are no warning statements pertaining to </w:t>
      </w:r>
      <w:r>
        <w:t>BPC-157</w:t>
      </w:r>
      <w:r w:rsidRPr="008007EB">
        <w:t xml:space="preserve"> in the </w:t>
      </w:r>
      <w:hyperlink r:id="rId57" w:history="1">
        <w:r w:rsidRPr="008007EB">
          <w:rPr>
            <w:rStyle w:val="Hyperlink"/>
            <w:rFonts w:asciiTheme="minorHAnsi" w:hAnsiTheme="minorHAnsi"/>
          </w:rPr>
          <w:t>Therapeutic Goods (Medicines Advisory Statements) Specification 2021</w:t>
        </w:r>
      </w:hyperlink>
      <w:r w:rsidR="00EE4793" w:rsidRPr="00EE4793">
        <w:rPr>
          <w:rStyle w:val="Hyperlink"/>
          <w:rFonts w:asciiTheme="minorHAnsi" w:hAnsiTheme="minorHAnsi"/>
          <w:color w:val="auto"/>
          <w:u w:val="none"/>
        </w:rPr>
        <w:t>.</w:t>
      </w:r>
    </w:p>
    <w:p w14:paraId="438BF4DC" w14:textId="27904629" w:rsidR="000E7528" w:rsidRPr="008007EB" w:rsidRDefault="000E7528" w:rsidP="00EB1099">
      <w:pPr>
        <w:pStyle w:val="ListBullet"/>
        <w:numPr>
          <w:ilvl w:val="0"/>
          <w:numId w:val="83"/>
        </w:numPr>
      </w:pPr>
      <w:r w:rsidRPr="008007EB">
        <w:t xml:space="preserve">As of </w:t>
      </w:r>
      <w:r>
        <w:t>August 2023</w:t>
      </w:r>
      <w:r w:rsidRPr="008007EB">
        <w:t>, there w</w:t>
      </w:r>
      <w:r>
        <w:t xml:space="preserve">as </w:t>
      </w:r>
      <w:r w:rsidR="00EE4793">
        <w:t>one</w:t>
      </w:r>
      <w:r w:rsidRPr="008007EB">
        <w:t xml:space="preserve"> report of </w:t>
      </w:r>
      <w:r w:rsidR="00B21C87">
        <w:t xml:space="preserve">an </w:t>
      </w:r>
      <w:r w:rsidRPr="008007EB">
        <w:t xml:space="preserve">adverse event for products containing </w:t>
      </w:r>
      <w:r>
        <w:t>BPC-157</w:t>
      </w:r>
      <w:r w:rsidRPr="008007EB">
        <w:t xml:space="preserve"> as an active ingredient on the </w:t>
      </w:r>
      <w:hyperlink r:id="rId58" w:history="1">
        <w:r w:rsidR="00EB1099">
          <w:rPr>
            <w:rStyle w:val="Hyperlink"/>
            <w:rFonts w:asciiTheme="minorHAnsi" w:hAnsiTheme="minorHAnsi"/>
          </w:rPr>
          <w:t>Database of Adverse Event Notifications</w:t>
        </w:r>
      </w:hyperlink>
      <w:r w:rsidR="00EB1099" w:rsidRPr="00EB1099">
        <w:rPr>
          <w:rStyle w:val="Hyperlink"/>
          <w:rFonts w:asciiTheme="minorHAnsi" w:hAnsiTheme="minorHAnsi"/>
          <w:color w:val="auto"/>
          <w:u w:val="none"/>
        </w:rPr>
        <w:t xml:space="preserve"> (DAEN)</w:t>
      </w:r>
      <w:r w:rsidRPr="008007EB">
        <w:t xml:space="preserve">, with </w:t>
      </w:r>
      <w:r>
        <w:t>no</w:t>
      </w:r>
      <w:r w:rsidRPr="008007EB">
        <w:t xml:space="preserve"> reports where </w:t>
      </w:r>
      <w:r>
        <w:t>BPC-157</w:t>
      </w:r>
      <w:r w:rsidRPr="008007EB">
        <w:t xml:space="preserve"> was the single suspected medicine.</w:t>
      </w:r>
      <w:r w:rsidR="00B21C87">
        <w:t xml:space="preserve"> The report related to a hypersensitive reaction.</w:t>
      </w:r>
    </w:p>
    <w:p w14:paraId="6B3D6340" w14:textId="16B11CF9" w:rsidR="000E7528" w:rsidRPr="008007EB" w:rsidRDefault="000E7528" w:rsidP="00EB1099">
      <w:pPr>
        <w:pStyle w:val="ListBullet"/>
        <w:numPr>
          <w:ilvl w:val="0"/>
          <w:numId w:val="83"/>
        </w:numPr>
      </w:pPr>
      <w:r w:rsidRPr="008007EB">
        <w:t>As o</w:t>
      </w:r>
      <w:r w:rsidRPr="00183D61">
        <w:t>f August 2023, there were no products</w:t>
      </w:r>
      <w:r w:rsidRPr="008007EB">
        <w:t xml:space="preserve"> containing </w:t>
      </w:r>
      <w:r>
        <w:t>BPC-157</w:t>
      </w:r>
      <w:r w:rsidRPr="008007EB">
        <w:t xml:space="preserve"> as an active ingredient/constituent or scheduled substance listed on the </w:t>
      </w:r>
      <w:hyperlink r:id="rId59" w:history="1">
        <w:r w:rsidR="00EB1099">
          <w:rPr>
            <w:rStyle w:val="Hyperlink"/>
            <w:rFonts w:asciiTheme="minorHAnsi" w:hAnsiTheme="minorHAnsi"/>
          </w:rPr>
          <w:t>Public Chemical Registration Information System Search</w:t>
        </w:r>
      </w:hyperlink>
      <w:r w:rsidR="00EB1099" w:rsidRPr="00EB1099">
        <w:rPr>
          <w:rStyle w:val="Hyperlink"/>
          <w:rFonts w:asciiTheme="minorHAnsi" w:hAnsiTheme="minorHAnsi"/>
          <w:color w:val="auto"/>
          <w:u w:val="none"/>
        </w:rPr>
        <w:t xml:space="preserve"> (PubCRIS)</w:t>
      </w:r>
      <w:r w:rsidRPr="008007EB">
        <w:t>.</w:t>
      </w:r>
    </w:p>
    <w:p w14:paraId="2E93CF10" w14:textId="77777777" w:rsidR="000E7528" w:rsidRPr="00CB687C" w:rsidRDefault="000E7528" w:rsidP="000E7528">
      <w:pPr>
        <w:pStyle w:val="Heading4"/>
      </w:pPr>
      <w:bookmarkStart w:id="67" w:name="_Toc130227371"/>
      <w:bookmarkStart w:id="68" w:name="_Toc144110862"/>
      <w:r>
        <w:t>International regulations</w:t>
      </w:r>
      <w:bookmarkEnd w:id="67"/>
      <w:bookmarkEnd w:id="68"/>
    </w:p>
    <w:p w14:paraId="2911A609" w14:textId="0AE28449" w:rsidR="00087545" w:rsidRPr="009B313A" w:rsidRDefault="000E7528" w:rsidP="00EB1099">
      <w:pPr>
        <w:pStyle w:val="ListBullet"/>
        <w:numPr>
          <w:ilvl w:val="0"/>
          <w:numId w:val="83"/>
        </w:numPr>
        <w:rPr>
          <w:rStyle w:val="Hyperlink"/>
          <w:rFonts w:asciiTheme="minorHAnsi" w:hAnsiTheme="minorHAnsi" w:cs="Times New Roman"/>
          <w:b/>
          <w:bCs/>
          <w:color w:val="333F48"/>
          <w:sz w:val="28"/>
          <w:szCs w:val="22"/>
          <w:u w:val="none"/>
        </w:rPr>
      </w:pPr>
      <w:r>
        <w:t xml:space="preserve">BPC-157 is not registered with the </w:t>
      </w:r>
      <w:hyperlink r:id="rId60" w:history="1">
        <w:r w:rsidRPr="009441F8">
          <w:rPr>
            <w:rStyle w:val="Hyperlink"/>
            <w:rFonts w:asciiTheme="minorHAnsi" w:hAnsiTheme="minorHAnsi"/>
          </w:rPr>
          <w:t>United States Food and Drug Administration</w:t>
        </w:r>
      </w:hyperlink>
      <w:r>
        <w:t xml:space="preserve">, the European Commission database for information on </w:t>
      </w:r>
      <w:hyperlink r:id="rId61" w:history="1">
        <w:r w:rsidRPr="009441F8">
          <w:rPr>
            <w:rStyle w:val="Hyperlink"/>
            <w:rFonts w:asciiTheme="minorHAnsi" w:hAnsiTheme="minorHAnsi"/>
          </w:rPr>
          <w:t>cosmetic substances</w:t>
        </w:r>
      </w:hyperlink>
      <w:r>
        <w:t xml:space="preserve"> and ingredients or the European Commission Union Register of </w:t>
      </w:r>
      <w:hyperlink r:id="rId62" w:history="1">
        <w:r w:rsidRPr="009441F8">
          <w:rPr>
            <w:rStyle w:val="Hyperlink"/>
            <w:rFonts w:asciiTheme="minorHAnsi" w:hAnsiTheme="minorHAnsi"/>
          </w:rPr>
          <w:t>medicinal products</w:t>
        </w:r>
      </w:hyperlink>
      <w:r>
        <w:t>.</w:t>
      </w:r>
      <w:r w:rsidR="00F0481F">
        <w:t xml:space="preserve"> Similarly,</w:t>
      </w:r>
      <w:r>
        <w:t xml:space="preserve"> BPC-157 is not listed in the </w:t>
      </w:r>
      <w:hyperlink r:id="rId63" w:history="1">
        <w:r w:rsidR="00EB1099">
          <w:rPr>
            <w:rStyle w:val="Hyperlink"/>
            <w:rFonts w:asciiTheme="minorHAnsi" w:hAnsiTheme="minorHAnsi"/>
          </w:rPr>
          <w:t>New Zealand MedSafe database</w:t>
        </w:r>
      </w:hyperlink>
      <w:r>
        <w:t xml:space="preserve">, the </w:t>
      </w:r>
      <w:hyperlink r:id="rId64" w:history="1">
        <w:r w:rsidRPr="009C55B5">
          <w:rPr>
            <w:rStyle w:val="Hyperlink"/>
            <w:rFonts w:asciiTheme="minorHAnsi" w:hAnsiTheme="minorHAnsi"/>
          </w:rPr>
          <w:t>Canadian Drug Product Database</w:t>
        </w:r>
      </w:hyperlink>
      <w:r>
        <w:t xml:space="preserve">, the </w:t>
      </w:r>
      <w:hyperlink r:id="rId65" w:history="1">
        <w:r w:rsidRPr="009C55B5">
          <w:rPr>
            <w:rStyle w:val="Hyperlink"/>
            <w:rFonts w:asciiTheme="minorHAnsi" w:hAnsiTheme="minorHAnsi"/>
          </w:rPr>
          <w:t>United Kingdom MHRA database</w:t>
        </w:r>
      </w:hyperlink>
      <w:r>
        <w:t xml:space="preserve"> or the </w:t>
      </w:r>
      <w:hyperlink r:id="rId66" w:history="1">
        <w:r w:rsidRPr="009C55B5">
          <w:rPr>
            <w:rStyle w:val="Hyperlink"/>
            <w:rFonts w:asciiTheme="minorHAnsi" w:hAnsiTheme="minorHAnsi"/>
          </w:rPr>
          <w:t>HPRA of Ireland database</w:t>
        </w:r>
      </w:hyperlink>
      <w:r>
        <w:t>.</w:t>
      </w:r>
    </w:p>
    <w:p w14:paraId="595950A3" w14:textId="4BC09180" w:rsidR="00586A6E" w:rsidRPr="009401F6" w:rsidRDefault="001D5CC5" w:rsidP="00D63639">
      <w:pPr>
        <w:pStyle w:val="Heading3"/>
      </w:pPr>
      <w:bookmarkStart w:id="69" w:name="_Toc144110863"/>
      <w:r>
        <w:t>1.4</w:t>
      </w:r>
      <w:r>
        <w:tab/>
      </w:r>
      <w:r w:rsidR="00586A6E">
        <w:t>Glycopyrronium</w:t>
      </w:r>
      <w:bookmarkEnd w:id="69"/>
    </w:p>
    <w:p w14:paraId="527760A5" w14:textId="77777777" w:rsidR="00586A6E" w:rsidRDefault="00586A6E" w:rsidP="00586A6E">
      <w:pPr>
        <w:pStyle w:val="Heading4"/>
      </w:pPr>
      <w:bookmarkStart w:id="70" w:name="_Toc144110864"/>
      <w:r>
        <w:t>Proposal</w:t>
      </w:r>
      <w:bookmarkEnd w:id="70"/>
    </w:p>
    <w:p w14:paraId="48C37534" w14:textId="10639B73" w:rsidR="00586A6E" w:rsidRPr="00D75206" w:rsidRDefault="00B2729D" w:rsidP="00586A6E">
      <w:r>
        <w:rPr>
          <w:rStyle w:val="normaltextrun"/>
          <w:rFonts w:ascii="Calibri" w:hAnsi="Calibri" w:cs="Calibri"/>
          <w:color w:val="000000"/>
          <w:szCs w:val="22"/>
          <w:shd w:val="clear" w:color="auto" w:fill="FFFFFF"/>
        </w:rPr>
        <w:t xml:space="preserve">The applicant </w:t>
      </w:r>
      <w:r w:rsidR="00686370">
        <w:rPr>
          <w:rStyle w:val="normaltextrun"/>
          <w:rFonts w:ascii="Calibri" w:hAnsi="Calibri" w:cs="Calibri"/>
          <w:color w:val="000000"/>
          <w:szCs w:val="22"/>
          <w:shd w:val="clear" w:color="auto" w:fill="FFFFFF"/>
        </w:rPr>
        <w:t xml:space="preserve">has </w:t>
      </w:r>
      <w:r>
        <w:rPr>
          <w:rStyle w:val="normaltextrun"/>
          <w:rFonts w:ascii="Calibri" w:hAnsi="Calibri" w:cs="Calibri"/>
          <w:color w:val="000000"/>
          <w:szCs w:val="22"/>
          <w:shd w:val="clear" w:color="auto" w:fill="FFFFFF"/>
        </w:rPr>
        <w:t>proposed an Appendix H listing for glycopyrronium to allow the advertisement of</w:t>
      </w:r>
      <w:r w:rsidR="00D3329A">
        <w:rPr>
          <w:rStyle w:val="normaltextrun"/>
          <w:rFonts w:ascii="Calibri" w:hAnsi="Calibri" w:cs="Calibri"/>
          <w:color w:val="000000"/>
          <w:szCs w:val="22"/>
          <w:shd w:val="clear" w:color="auto" w:fill="FFFFFF"/>
        </w:rPr>
        <w:t xml:space="preserve"> Schedule 3 preparations containing</w:t>
      </w:r>
      <w:r>
        <w:rPr>
          <w:rStyle w:val="normaltextrun"/>
          <w:rFonts w:ascii="Calibri" w:hAnsi="Calibri" w:cs="Calibri"/>
          <w:color w:val="000000"/>
          <w:szCs w:val="22"/>
          <w:shd w:val="clear" w:color="auto" w:fill="FFFFFF"/>
        </w:rPr>
        <w:t xml:space="preserve"> this substance.</w:t>
      </w:r>
    </w:p>
    <w:p w14:paraId="0D742EE0" w14:textId="2EF99BE5" w:rsidR="00586A6E" w:rsidRDefault="00586A6E" w:rsidP="00586A6E">
      <w:pPr>
        <w:pStyle w:val="Heading4"/>
      </w:pPr>
      <w:bookmarkStart w:id="71" w:name="_Toc144110865"/>
      <w:r>
        <w:t>CAS number</w:t>
      </w:r>
      <w:bookmarkEnd w:id="71"/>
    </w:p>
    <w:p w14:paraId="32484884" w14:textId="12B4C8F7" w:rsidR="00B2729D" w:rsidRPr="00B2729D" w:rsidRDefault="00B2729D" w:rsidP="00B2729D">
      <w:pPr>
        <w:spacing w:after="0" w:line="240" w:lineRule="auto"/>
        <w:textAlignment w:val="baseline"/>
        <w:rPr>
          <w:rFonts w:ascii="Calibri" w:eastAsia="Times New Roman" w:hAnsi="Calibri" w:cs="Calibri"/>
          <w:szCs w:val="22"/>
          <w:lang w:eastAsia="en-AU"/>
        </w:rPr>
      </w:pPr>
      <w:r w:rsidRPr="00B2729D">
        <w:rPr>
          <w:rFonts w:ascii="Calibri" w:eastAsia="Times New Roman" w:hAnsi="Calibri" w:cs="Calibri"/>
          <w:szCs w:val="22"/>
          <w:lang w:eastAsia="en-AU"/>
        </w:rPr>
        <w:t>596-51-0</w:t>
      </w:r>
    </w:p>
    <w:p w14:paraId="00F4B25D" w14:textId="1B4CA687" w:rsidR="00586A6E" w:rsidRDefault="00586A6E" w:rsidP="00586A6E">
      <w:pPr>
        <w:pStyle w:val="Heading4"/>
      </w:pPr>
      <w:bookmarkStart w:id="72" w:name="_Toc144110866"/>
      <w:r>
        <w:t>Alternative names</w:t>
      </w:r>
      <w:bookmarkEnd w:id="72"/>
    </w:p>
    <w:p w14:paraId="5A37F21C" w14:textId="3381E596" w:rsidR="00B2729D" w:rsidRPr="007405F1" w:rsidRDefault="00B2729D" w:rsidP="0072362E">
      <w:pPr>
        <w:spacing w:line="240" w:lineRule="auto"/>
        <w:textAlignment w:val="baseline"/>
        <w:rPr>
          <w:rFonts w:ascii="Segoe UI" w:eastAsia="Times New Roman" w:hAnsi="Segoe UI" w:cs="Segoe UI"/>
          <w:sz w:val="18"/>
          <w:szCs w:val="18"/>
          <w:lang w:eastAsia="en-AU"/>
        </w:rPr>
      </w:pPr>
      <w:r w:rsidRPr="0072362E">
        <w:rPr>
          <w:rFonts w:ascii="Calibri" w:eastAsia="Times New Roman" w:hAnsi="Calibri" w:cs="Calibri"/>
          <w:szCs w:val="22"/>
          <w:lang w:eastAsia="en-AU"/>
        </w:rPr>
        <w:t>Glycopyrrolate</w:t>
      </w:r>
      <w:r w:rsidR="00C82500">
        <w:rPr>
          <w:rFonts w:ascii="Calibri" w:eastAsia="Times New Roman" w:hAnsi="Calibri" w:cs="Calibri"/>
          <w:szCs w:val="22"/>
          <w:lang w:eastAsia="en-AU"/>
        </w:rPr>
        <w:t xml:space="preserve">; </w:t>
      </w:r>
      <w:r w:rsidR="00C82500" w:rsidRPr="00C82500">
        <w:rPr>
          <w:rFonts w:ascii="Calibri" w:eastAsia="Times New Roman" w:hAnsi="Calibri" w:cs="Calibri"/>
          <w:szCs w:val="22"/>
          <w:lang w:eastAsia="en-AU"/>
        </w:rPr>
        <w:t>3-[2-Cyclopentyl(hydroxy)phenylacetoxy]-1,1-dimethylpyrrolidinium bromide</w:t>
      </w:r>
    </w:p>
    <w:p w14:paraId="1CDBFC63" w14:textId="77777777" w:rsidR="00586A6E" w:rsidRPr="002C1070" w:rsidRDefault="00586A6E" w:rsidP="00586A6E">
      <w:pPr>
        <w:pStyle w:val="Heading4"/>
      </w:pPr>
      <w:bookmarkStart w:id="73" w:name="_Toc144110867"/>
      <w:r>
        <w:t>Applicant</w:t>
      </w:r>
      <w:bookmarkEnd w:id="73"/>
    </w:p>
    <w:p w14:paraId="07C24233" w14:textId="41825C33" w:rsidR="008F2D16" w:rsidRPr="008F2D16" w:rsidRDefault="00586A6E" w:rsidP="008F2D16">
      <w:r w:rsidRPr="00B2729D">
        <w:t>Private</w:t>
      </w:r>
      <w:r w:rsidR="00571A6E">
        <w:t xml:space="preserve"> applicant</w:t>
      </w:r>
    </w:p>
    <w:p w14:paraId="6952D121" w14:textId="2B9001FF" w:rsidR="00AC5E26" w:rsidRPr="000F6508" w:rsidRDefault="00586A6E" w:rsidP="000F6508">
      <w:pPr>
        <w:pStyle w:val="Heading4"/>
      </w:pPr>
      <w:bookmarkStart w:id="74" w:name="_Toc144110868"/>
      <w:r>
        <w:t>Proposed Scheduling</w:t>
      </w:r>
      <w:bookmarkEnd w:id="74"/>
    </w:p>
    <w:p w14:paraId="7B088E73" w14:textId="1C469D3B" w:rsidR="00B2729D" w:rsidRDefault="000F6508" w:rsidP="00586A6E">
      <w:pPr>
        <w:rPr>
          <w:rStyle w:val="normaltextrun"/>
          <w:rFonts w:eastAsia="Cambria" w:cstheme="minorHAnsi"/>
          <w:color w:val="000000"/>
          <w:szCs w:val="22"/>
          <w:shd w:val="clear" w:color="auto" w:fill="FFFFFF"/>
        </w:rPr>
      </w:pPr>
      <w:bookmarkStart w:id="75" w:name="_Hlk141871130"/>
      <w:r w:rsidRPr="00B2729D">
        <w:rPr>
          <w:rStyle w:val="normaltextrun"/>
          <w:rFonts w:eastAsia="Cambria" w:cstheme="minorHAnsi"/>
          <w:color w:val="000000"/>
          <w:szCs w:val="22"/>
          <w:shd w:val="clear" w:color="auto" w:fill="FFFFFF"/>
        </w:rPr>
        <w:t>Glycopyrronium is currently listed in Schedules 3 and 4 of the Poisons Standard</w:t>
      </w:r>
      <w:r>
        <w:rPr>
          <w:rStyle w:val="normaltextrun"/>
          <w:rFonts w:eastAsia="Cambria" w:cstheme="minorHAnsi"/>
          <w:color w:val="000000"/>
          <w:szCs w:val="22"/>
          <w:shd w:val="clear" w:color="auto" w:fill="FFFFFF"/>
        </w:rPr>
        <w:t>.</w:t>
      </w:r>
    </w:p>
    <w:bookmarkEnd w:id="75"/>
    <w:p w14:paraId="1FD9BBDD" w14:textId="70B6995F" w:rsidR="00586A6E" w:rsidRPr="0072362E" w:rsidRDefault="00586A6E" w:rsidP="00586A6E">
      <w:r w:rsidRPr="0072362E">
        <w:t xml:space="preserve">The </w:t>
      </w:r>
      <w:r w:rsidRPr="008D4FF7">
        <w:t>applicant’s</w:t>
      </w:r>
      <w:r w:rsidRPr="0072362E">
        <w:t xml:space="preserve"> proposed amendments to the Poisons Standard are</w:t>
      </w:r>
      <w:r w:rsidR="008D4FF7" w:rsidRPr="008D4FF7">
        <w:t>:</w:t>
      </w:r>
      <w:r w:rsidR="008D4FF7">
        <w:rPr>
          <w:rStyle w:val="FootnoteReference"/>
        </w:rPr>
        <w:footnoteReference w:id="5"/>
      </w:r>
    </w:p>
    <w:p w14:paraId="4AAFDFE7" w14:textId="77777777" w:rsidR="0072362E" w:rsidRDefault="0072362E" w:rsidP="0072362E">
      <w:pPr>
        <w:ind w:left="426"/>
        <w:rPr>
          <w:b/>
        </w:rPr>
      </w:pPr>
      <w:bookmarkStart w:id="76" w:name="_Hlk142393637"/>
      <w:r w:rsidRPr="00D3329A">
        <w:rPr>
          <w:b/>
        </w:rPr>
        <w:t>Schedule 4 </w:t>
      </w:r>
    </w:p>
    <w:p w14:paraId="582D82C7" w14:textId="206C8872" w:rsidR="0072362E" w:rsidRPr="00D3329A" w:rsidRDefault="0072362E" w:rsidP="0072362E">
      <w:pPr>
        <w:ind w:firstLine="720"/>
        <w:rPr>
          <w:bCs/>
        </w:rPr>
      </w:pPr>
      <w:r w:rsidRPr="00D3329A">
        <w:rPr>
          <w:bCs/>
        </w:rPr>
        <w:t>GLYCOPYRRONIUM in preparations for injection.</w:t>
      </w:r>
    </w:p>
    <w:p w14:paraId="48D057AB" w14:textId="7BC0061F" w:rsidR="00D3329A" w:rsidRDefault="00AC5E26" w:rsidP="00D3329A">
      <w:pPr>
        <w:ind w:left="426"/>
        <w:rPr>
          <w:b/>
        </w:rPr>
      </w:pPr>
      <w:r w:rsidRPr="00D3329A">
        <w:rPr>
          <w:b/>
        </w:rPr>
        <w:t>Schedule 3</w:t>
      </w:r>
    </w:p>
    <w:p w14:paraId="6AA9F771" w14:textId="2AC90CD1" w:rsidR="00AC5E26" w:rsidRPr="00D3329A" w:rsidRDefault="00AC5E26" w:rsidP="00D3329A">
      <w:pPr>
        <w:ind w:left="426" w:firstLine="294"/>
        <w:rPr>
          <w:bCs/>
        </w:rPr>
      </w:pPr>
      <w:r w:rsidRPr="00D3329A">
        <w:rPr>
          <w:bCs/>
        </w:rPr>
        <w:t>GLYCOPYRRONIUM except when included in Schedule 4.</w:t>
      </w:r>
    </w:p>
    <w:p w14:paraId="1E93B759" w14:textId="77777777" w:rsidR="000F3020" w:rsidRDefault="00AC5E26" w:rsidP="0072362E">
      <w:pPr>
        <w:pStyle w:val="paragraph"/>
        <w:keepNext/>
        <w:spacing w:before="240" w:beforeAutospacing="0" w:after="240" w:afterAutospacing="0"/>
        <w:ind w:left="851" w:hanging="437"/>
        <w:rPr>
          <w:rFonts w:asciiTheme="minorHAnsi" w:eastAsia="Cambria" w:hAnsiTheme="minorHAnsi" w:cstheme="minorHAnsi"/>
          <w:b/>
          <w:bCs/>
          <w:sz w:val="22"/>
          <w:szCs w:val="22"/>
        </w:rPr>
      </w:pPr>
      <w:r w:rsidRPr="00B2729D">
        <w:rPr>
          <w:rFonts w:asciiTheme="minorHAnsi" w:eastAsia="Cambria" w:hAnsiTheme="minorHAnsi" w:cstheme="minorHAnsi"/>
          <w:b/>
          <w:bCs/>
          <w:sz w:val="22"/>
          <w:szCs w:val="22"/>
        </w:rPr>
        <w:t>Index </w:t>
      </w:r>
      <w:r w:rsidR="00A95B6F">
        <w:rPr>
          <w:rFonts w:asciiTheme="minorHAnsi" w:eastAsia="Cambria" w:hAnsiTheme="minorHAnsi" w:cstheme="minorHAnsi"/>
          <w:b/>
          <w:bCs/>
          <w:sz w:val="22"/>
          <w:szCs w:val="22"/>
        </w:rPr>
        <w:t>– Amend entry</w:t>
      </w:r>
    </w:p>
    <w:p w14:paraId="36CCA575" w14:textId="463E76CF" w:rsidR="00D3329A" w:rsidRDefault="00AC5E26" w:rsidP="00C41085">
      <w:pPr>
        <w:pStyle w:val="paragraph"/>
        <w:spacing w:before="240" w:beforeAutospacing="0" w:after="240" w:afterAutospacing="0"/>
        <w:ind w:left="709"/>
        <w:rPr>
          <w:rFonts w:asciiTheme="minorHAnsi" w:eastAsia="Cambria" w:hAnsiTheme="minorHAnsi" w:cstheme="minorHAnsi"/>
          <w:b/>
          <w:bCs/>
          <w:sz w:val="22"/>
          <w:szCs w:val="22"/>
        </w:rPr>
      </w:pPr>
      <w:r w:rsidRPr="00B2729D">
        <w:rPr>
          <w:rFonts w:asciiTheme="minorHAnsi" w:eastAsia="Cambria" w:hAnsiTheme="minorHAnsi" w:cstheme="minorHAnsi"/>
          <w:b/>
          <w:bCs/>
          <w:sz w:val="22"/>
          <w:szCs w:val="22"/>
        </w:rPr>
        <w:t>GLYCOPYRRONIUM</w:t>
      </w:r>
    </w:p>
    <w:p w14:paraId="65CEE45E" w14:textId="68770E07" w:rsidR="00AC5E26" w:rsidRPr="00D3329A" w:rsidRDefault="00AC5E26" w:rsidP="00D3329A">
      <w:pPr>
        <w:pStyle w:val="paragraph"/>
        <w:spacing w:before="240" w:beforeAutospacing="0" w:after="240" w:afterAutospacing="0"/>
        <w:ind w:left="709" w:firstLine="11"/>
        <w:rPr>
          <w:rFonts w:asciiTheme="minorHAnsi" w:eastAsia="Cambria" w:hAnsiTheme="minorHAnsi" w:cstheme="minorHAnsi"/>
          <w:b/>
          <w:bCs/>
          <w:sz w:val="22"/>
          <w:szCs w:val="22"/>
        </w:rPr>
      </w:pPr>
      <w:r w:rsidRPr="00B2729D">
        <w:rPr>
          <w:rFonts w:asciiTheme="minorHAnsi" w:eastAsia="Cambria" w:hAnsiTheme="minorHAnsi" w:cstheme="minorHAnsi"/>
          <w:sz w:val="22"/>
          <w:szCs w:val="22"/>
        </w:rPr>
        <w:t>Schedule 4</w:t>
      </w:r>
      <w:r w:rsidR="00D3329A">
        <w:rPr>
          <w:rFonts w:asciiTheme="minorHAnsi" w:eastAsia="Cambria" w:hAnsiTheme="minorHAnsi" w:cstheme="minorHAnsi"/>
          <w:b/>
          <w:bCs/>
          <w:sz w:val="22"/>
          <w:szCs w:val="22"/>
        </w:rPr>
        <w:br/>
      </w:r>
      <w:r w:rsidRPr="00B2729D">
        <w:rPr>
          <w:rFonts w:asciiTheme="minorHAnsi" w:eastAsia="Cambria" w:hAnsiTheme="minorHAnsi" w:cstheme="minorHAnsi"/>
          <w:sz w:val="22"/>
          <w:szCs w:val="22"/>
        </w:rPr>
        <w:t>Schedule 3</w:t>
      </w:r>
      <w:r>
        <w:rPr>
          <w:rFonts w:ascii="Calibri" w:eastAsia="Cambria" w:hAnsi="Calibri" w:cs="Calibri"/>
          <w:szCs w:val="22"/>
        </w:rPr>
        <w:br/>
      </w:r>
      <w:r w:rsidRPr="004246BD">
        <w:rPr>
          <w:rFonts w:asciiTheme="minorHAnsi" w:eastAsia="Cambria" w:hAnsiTheme="minorHAnsi" w:cstheme="minorHAnsi"/>
          <w:color w:val="00B050"/>
          <w:sz w:val="22"/>
          <w:szCs w:val="22"/>
          <w:u w:val="single"/>
        </w:rPr>
        <w:t xml:space="preserve">Appendix H, </w:t>
      </w:r>
      <w:r w:rsidR="00657EF9">
        <w:rPr>
          <w:rFonts w:asciiTheme="minorHAnsi" w:eastAsia="Cambria" w:hAnsiTheme="minorHAnsi" w:cstheme="minorHAnsi"/>
          <w:color w:val="00B050"/>
          <w:sz w:val="22"/>
          <w:szCs w:val="22"/>
          <w:u w:val="single"/>
        </w:rPr>
        <w:t>c</w:t>
      </w:r>
      <w:r w:rsidRPr="004246BD">
        <w:rPr>
          <w:rFonts w:asciiTheme="minorHAnsi" w:eastAsia="Cambria" w:hAnsiTheme="minorHAnsi" w:cstheme="minorHAnsi"/>
          <w:color w:val="00B050"/>
          <w:sz w:val="22"/>
          <w:szCs w:val="22"/>
          <w:u w:val="single"/>
        </w:rPr>
        <w:t>lause 1</w:t>
      </w:r>
    </w:p>
    <w:p w14:paraId="6F80380B" w14:textId="77777777" w:rsidR="00571A6E" w:rsidRDefault="00571A6E" w:rsidP="00AC7938">
      <w:pPr>
        <w:spacing w:before="240"/>
        <w:ind w:left="426"/>
        <w:rPr>
          <w:b/>
          <w:bCs/>
        </w:rPr>
      </w:pPr>
    </w:p>
    <w:p w14:paraId="4A3DB6BD" w14:textId="177E9E01" w:rsidR="00AC7938" w:rsidRPr="00AC7938" w:rsidRDefault="00AC5E26" w:rsidP="00AC7938">
      <w:pPr>
        <w:spacing w:before="240"/>
        <w:ind w:left="426"/>
        <w:rPr>
          <w:b/>
          <w:bCs/>
        </w:rPr>
      </w:pPr>
      <w:r w:rsidRPr="00AC7938">
        <w:rPr>
          <w:b/>
          <w:bCs/>
        </w:rPr>
        <w:t>Appendix H – New Entry</w:t>
      </w:r>
    </w:p>
    <w:tbl>
      <w:tblPr>
        <w:tblStyle w:val="TableTGAblue"/>
        <w:tblW w:w="0" w:type="auto"/>
        <w:tblInd w:w="699" w:type="dxa"/>
        <w:tblLook w:val="04A0" w:firstRow="1" w:lastRow="0" w:firstColumn="1" w:lastColumn="0" w:noHBand="0" w:noVBand="1"/>
      </w:tblPr>
      <w:tblGrid>
        <w:gridCol w:w="699"/>
        <w:gridCol w:w="1950"/>
      </w:tblGrid>
      <w:tr w:rsidR="00AC7938" w:rsidRPr="00C67045" w14:paraId="7D7C0334" w14:textId="77777777" w:rsidTr="00D332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14:paraId="3C985178" w14:textId="77777777" w:rsidR="00AC7938" w:rsidRPr="00C67045" w:rsidRDefault="00AC7938" w:rsidP="00D3329A">
            <w:pPr>
              <w:spacing w:before="60" w:after="60"/>
              <w:rPr>
                <w:rFonts w:asciiTheme="minorHAnsi" w:hAnsiTheme="minorHAnsi" w:cstheme="minorHAnsi"/>
                <w:sz w:val="20"/>
                <w:szCs w:val="20"/>
              </w:rPr>
            </w:pPr>
            <w:r w:rsidRPr="00C67045">
              <w:rPr>
                <w:rFonts w:asciiTheme="minorHAnsi" w:hAnsiTheme="minorHAnsi" w:cstheme="minorHAnsi"/>
                <w:sz w:val="20"/>
                <w:szCs w:val="20"/>
              </w:rPr>
              <w:t>Item</w:t>
            </w:r>
          </w:p>
        </w:tc>
        <w:tc>
          <w:tcPr>
            <w:tcW w:w="1950" w:type="dxa"/>
          </w:tcPr>
          <w:p w14:paraId="3A7A3625" w14:textId="77777777" w:rsidR="00AC7938" w:rsidRPr="00C67045" w:rsidRDefault="00AC7938" w:rsidP="00D3329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67045">
              <w:rPr>
                <w:rFonts w:asciiTheme="minorHAnsi" w:hAnsiTheme="minorHAnsi" w:cstheme="minorHAnsi"/>
                <w:sz w:val="20"/>
                <w:szCs w:val="20"/>
              </w:rPr>
              <w:t>Poison</w:t>
            </w:r>
          </w:p>
        </w:tc>
      </w:tr>
      <w:tr w:rsidR="00AC7938" w:rsidRPr="00C67045" w14:paraId="3D381BAD" w14:textId="77777777" w:rsidTr="00D3329A">
        <w:tc>
          <w:tcPr>
            <w:cnfStyle w:val="001000000000" w:firstRow="0" w:lastRow="0" w:firstColumn="1" w:lastColumn="0" w:oddVBand="0" w:evenVBand="0" w:oddHBand="0" w:evenHBand="0" w:firstRowFirstColumn="0" w:firstRowLastColumn="0" w:lastRowFirstColumn="0" w:lastRowLastColumn="0"/>
            <w:tcW w:w="699" w:type="dxa"/>
          </w:tcPr>
          <w:p w14:paraId="1993D2F6" w14:textId="535882FA" w:rsidR="00AC7938" w:rsidRPr="00C67045" w:rsidRDefault="00AC7938" w:rsidP="00D3329A">
            <w:pPr>
              <w:spacing w:before="60" w:after="60"/>
              <w:rPr>
                <w:rFonts w:asciiTheme="minorHAnsi" w:hAnsiTheme="minorHAnsi" w:cstheme="minorHAnsi"/>
                <w:color w:val="00B050"/>
                <w:sz w:val="20"/>
                <w:szCs w:val="20"/>
                <w:u w:val="single"/>
              </w:rPr>
            </w:pPr>
            <w:r w:rsidRPr="00C67045">
              <w:rPr>
                <w:rFonts w:asciiTheme="minorHAnsi" w:hAnsiTheme="minorHAnsi" w:cstheme="minorHAnsi"/>
                <w:color w:val="00B050"/>
                <w:sz w:val="20"/>
                <w:szCs w:val="20"/>
                <w:u w:val="single"/>
              </w:rPr>
              <w:t xml:space="preserve">19a </w:t>
            </w:r>
          </w:p>
        </w:tc>
        <w:tc>
          <w:tcPr>
            <w:tcW w:w="1950" w:type="dxa"/>
          </w:tcPr>
          <w:p w14:paraId="5710DE97" w14:textId="6A93B668" w:rsidR="00AC7938" w:rsidRPr="00C67045" w:rsidRDefault="00AC7938" w:rsidP="00D3329A">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B050"/>
                <w:sz w:val="20"/>
                <w:szCs w:val="20"/>
                <w:u w:val="single"/>
              </w:rPr>
            </w:pPr>
            <w:r w:rsidRPr="00C67045">
              <w:rPr>
                <w:rFonts w:asciiTheme="minorHAnsi" w:hAnsiTheme="minorHAnsi" w:cstheme="minorHAnsi"/>
                <w:color w:val="00B050"/>
                <w:sz w:val="20"/>
                <w:szCs w:val="20"/>
                <w:u w:val="single"/>
              </w:rPr>
              <w:t>GLYCOPYRRONIUM</w:t>
            </w:r>
          </w:p>
        </w:tc>
      </w:tr>
    </w:tbl>
    <w:p w14:paraId="15B3A4AD" w14:textId="3441E7CD" w:rsidR="00586A6E" w:rsidRDefault="00AC7938" w:rsidP="00586A6E">
      <w:pPr>
        <w:pStyle w:val="Heading4"/>
      </w:pPr>
      <w:bookmarkStart w:id="77" w:name="_Toc144110869"/>
      <w:bookmarkEnd w:id="76"/>
      <w:r>
        <w:t>B</w:t>
      </w:r>
      <w:r w:rsidR="00586A6E">
        <w:t>ackground</w:t>
      </w:r>
      <w:bookmarkEnd w:id="77"/>
    </w:p>
    <w:p w14:paraId="123CA9E3" w14:textId="709D9605" w:rsidR="004246BD" w:rsidRPr="00EB1099" w:rsidRDefault="004246BD" w:rsidP="006B2623">
      <w:pPr>
        <w:rPr>
          <w:rFonts w:ascii="Calibri" w:hAnsi="Calibri" w:cs="Calibri"/>
          <w:color w:val="000000"/>
          <w:szCs w:val="22"/>
          <w:shd w:val="clear" w:color="auto" w:fill="FFFFFF"/>
        </w:rPr>
      </w:pPr>
      <w:r>
        <w:rPr>
          <w:rStyle w:val="normaltextrun"/>
          <w:rFonts w:ascii="Calibri" w:hAnsi="Calibri" w:cs="Calibri"/>
          <w:color w:val="000000"/>
          <w:szCs w:val="22"/>
          <w:shd w:val="clear" w:color="auto" w:fill="FFFFFF"/>
        </w:rPr>
        <w:t>Glycopyrronium is an anticholinergic medicine that is available for inhalation for the symptomatic relief in patients with chronic obstructive pulmonary disease (COPD)</w:t>
      </w:r>
      <w:r w:rsidR="00C41085">
        <w:rPr>
          <w:rStyle w:val="normaltextrun"/>
          <w:rFonts w:ascii="Calibri" w:hAnsi="Calibri" w:cs="Calibri"/>
          <w:color w:val="000000"/>
          <w:szCs w:val="22"/>
          <w:shd w:val="clear" w:color="auto" w:fill="FFFFFF"/>
        </w:rPr>
        <w:t>. It is also available in preparation</w:t>
      </w:r>
      <w:r w:rsidR="00686370">
        <w:rPr>
          <w:rStyle w:val="normaltextrun"/>
          <w:rFonts w:ascii="Calibri" w:hAnsi="Calibri" w:cs="Calibri"/>
          <w:color w:val="000000"/>
          <w:szCs w:val="22"/>
          <w:shd w:val="clear" w:color="auto" w:fill="FFFFFF"/>
        </w:rPr>
        <w:t>s</w:t>
      </w:r>
      <w:r w:rsidR="00C41085">
        <w:rPr>
          <w:rStyle w:val="normaltextrun"/>
          <w:rFonts w:ascii="Calibri" w:hAnsi="Calibri" w:cs="Calibri"/>
          <w:color w:val="000000"/>
          <w:szCs w:val="22"/>
          <w:shd w:val="clear" w:color="auto" w:fill="FFFFFF"/>
        </w:rPr>
        <w:t xml:space="preserve"> </w:t>
      </w:r>
      <w:r>
        <w:rPr>
          <w:rStyle w:val="normaltextrun"/>
          <w:rFonts w:ascii="Calibri" w:hAnsi="Calibri" w:cs="Calibri"/>
          <w:color w:val="000000"/>
          <w:szCs w:val="22"/>
          <w:shd w:val="clear" w:color="auto" w:fill="FFFFFF"/>
        </w:rPr>
        <w:t>for injection for the reduction of salivary and tracheobronchial secretions and the reversal of residual non-depolarising neuromuscular block.</w:t>
      </w:r>
      <w:r w:rsidR="006B2623">
        <w:rPr>
          <w:rStyle w:val="normaltextrun"/>
          <w:rFonts w:ascii="Calibri" w:hAnsi="Calibri" w:cs="Calibri"/>
          <w:color w:val="000000"/>
          <w:szCs w:val="22"/>
          <w:shd w:val="clear" w:color="auto" w:fill="FFFFFF"/>
        </w:rPr>
        <w:t xml:space="preserve"> </w:t>
      </w:r>
      <w:r w:rsidR="006B2623" w:rsidRPr="006B2623">
        <w:rPr>
          <w:rStyle w:val="normaltextrun"/>
          <w:rFonts w:ascii="Calibri" w:hAnsi="Calibri" w:cs="Calibri"/>
          <w:color w:val="000000"/>
          <w:szCs w:val="22"/>
          <w:shd w:val="clear" w:color="auto" w:fill="FFFFFF"/>
        </w:rPr>
        <w:t>Glycopyrronium</w:t>
      </w:r>
      <w:r w:rsidR="006B656B">
        <w:rPr>
          <w:rStyle w:val="normaltextrun"/>
          <w:rFonts w:ascii="Calibri" w:hAnsi="Calibri" w:cs="Calibri"/>
          <w:color w:val="000000"/>
          <w:szCs w:val="22"/>
          <w:shd w:val="clear" w:color="auto" w:fill="FFFFFF"/>
        </w:rPr>
        <w:t xml:space="preserve"> </w:t>
      </w:r>
      <w:r w:rsidR="006B2623" w:rsidRPr="006B2623">
        <w:rPr>
          <w:rStyle w:val="normaltextrun"/>
          <w:rFonts w:ascii="Calibri" w:hAnsi="Calibri" w:cs="Calibri"/>
          <w:color w:val="000000"/>
          <w:szCs w:val="22"/>
          <w:shd w:val="clear" w:color="auto" w:fill="FFFFFF"/>
        </w:rPr>
        <w:t>for topical use,</w:t>
      </w:r>
      <w:r w:rsidR="006B2623">
        <w:rPr>
          <w:rStyle w:val="normaltextrun"/>
          <w:rFonts w:ascii="Calibri" w:hAnsi="Calibri" w:cs="Calibri"/>
          <w:color w:val="000000"/>
          <w:szCs w:val="22"/>
          <w:shd w:val="clear" w:color="auto" w:fill="FFFFFF"/>
        </w:rPr>
        <w:t xml:space="preserve"> </w:t>
      </w:r>
      <w:r w:rsidR="006B656B">
        <w:rPr>
          <w:rStyle w:val="normaltextrun"/>
          <w:rFonts w:ascii="Calibri" w:hAnsi="Calibri" w:cs="Calibri"/>
          <w:color w:val="000000"/>
          <w:szCs w:val="22"/>
          <w:shd w:val="clear" w:color="auto" w:fill="FFFFFF"/>
        </w:rPr>
        <w:t>in</w:t>
      </w:r>
      <w:r w:rsidR="006B2623" w:rsidRPr="006B2623">
        <w:rPr>
          <w:rStyle w:val="normaltextrun"/>
          <w:rFonts w:ascii="Calibri" w:hAnsi="Calibri" w:cs="Calibri"/>
          <w:color w:val="000000"/>
          <w:szCs w:val="22"/>
          <w:shd w:val="clear" w:color="auto" w:fill="FFFFFF"/>
        </w:rPr>
        <w:t xml:space="preserve"> </w:t>
      </w:r>
      <w:r w:rsidR="006B656B">
        <w:rPr>
          <w:rStyle w:val="normaltextrun"/>
          <w:rFonts w:ascii="Calibri" w:hAnsi="Calibri" w:cs="Calibri"/>
          <w:color w:val="000000"/>
          <w:szCs w:val="22"/>
          <w:shd w:val="clear" w:color="auto" w:fill="FFFFFF"/>
        </w:rPr>
        <w:t xml:space="preserve">the </w:t>
      </w:r>
      <w:r w:rsidR="006B2623" w:rsidRPr="006B2623">
        <w:rPr>
          <w:rStyle w:val="normaltextrun"/>
          <w:rFonts w:ascii="Calibri" w:hAnsi="Calibri" w:cs="Calibri"/>
          <w:color w:val="000000"/>
          <w:szCs w:val="22"/>
          <w:shd w:val="clear" w:color="auto" w:fill="FFFFFF"/>
        </w:rPr>
        <w:t xml:space="preserve">treatment of </w:t>
      </w:r>
      <w:r w:rsidR="006B656B" w:rsidRPr="006B656B">
        <w:rPr>
          <w:rStyle w:val="normaltextrun"/>
          <w:rFonts w:ascii="Calibri" w:hAnsi="Calibri" w:cs="Calibri"/>
          <w:color w:val="000000"/>
          <w:szCs w:val="22"/>
          <w:shd w:val="clear" w:color="auto" w:fill="FFFFFF"/>
        </w:rPr>
        <w:t xml:space="preserve">excessive underarm sweating </w:t>
      </w:r>
      <w:r w:rsidR="006B656B">
        <w:rPr>
          <w:rStyle w:val="normaltextrun"/>
          <w:rFonts w:ascii="Calibri" w:hAnsi="Calibri" w:cs="Calibri"/>
          <w:color w:val="000000"/>
          <w:szCs w:val="22"/>
          <w:shd w:val="clear" w:color="auto" w:fill="FFFFFF"/>
        </w:rPr>
        <w:t>(</w:t>
      </w:r>
      <w:r w:rsidR="006B2623" w:rsidRPr="006B2623">
        <w:rPr>
          <w:rStyle w:val="normaltextrun"/>
          <w:rFonts w:ascii="Calibri" w:hAnsi="Calibri" w:cs="Calibri"/>
          <w:color w:val="000000"/>
          <w:szCs w:val="22"/>
          <w:shd w:val="clear" w:color="auto" w:fill="FFFFFF"/>
        </w:rPr>
        <w:t>primary axillary</w:t>
      </w:r>
      <w:r w:rsidR="006B2623">
        <w:rPr>
          <w:rStyle w:val="normaltextrun"/>
          <w:rFonts w:ascii="Calibri" w:hAnsi="Calibri" w:cs="Calibri"/>
          <w:color w:val="000000"/>
          <w:szCs w:val="22"/>
          <w:shd w:val="clear" w:color="auto" w:fill="FFFFFF"/>
        </w:rPr>
        <w:t xml:space="preserve"> </w:t>
      </w:r>
      <w:r w:rsidR="006B2623" w:rsidRPr="006B2623">
        <w:rPr>
          <w:rStyle w:val="normaltextrun"/>
          <w:rFonts w:ascii="Calibri" w:hAnsi="Calibri" w:cs="Calibri"/>
          <w:color w:val="000000"/>
          <w:szCs w:val="22"/>
          <w:shd w:val="clear" w:color="auto" w:fill="FFFFFF"/>
        </w:rPr>
        <w:t>hyperhidrosis</w:t>
      </w:r>
      <w:r w:rsidR="006B656B">
        <w:rPr>
          <w:rStyle w:val="normaltextrun"/>
          <w:rFonts w:ascii="Calibri" w:hAnsi="Calibri" w:cs="Calibri"/>
          <w:color w:val="000000"/>
          <w:szCs w:val="22"/>
          <w:shd w:val="clear" w:color="auto" w:fill="FFFFFF"/>
        </w:rPr>
        <w:t>)</w:t>
      </w:r>
      <w:r w:rsidR="006B2623" w:rsidRPr="006B2623">
        <w:rPr>
          <w:rStyle w:val="normaltextrun"/>
          <w:rFonts w:ascii="Calibri" w:hAnsi="Calibri" w:cs="Calibri"/>
          <w:color w:val="000000"/>
          <w:szCs w:val="22"/>
          <w:shd w:val="clear" w:color="auto" w:fill="FFFFFF"/>
        </w:rPr>
        <w:t xml:space="preserve"> in adult</w:t>
      </w:r>
      <w:r w:rsidR="006B656B">
        <w:rPr>
          <w:rStyle w:val="normaltextrun"/>
          <w:rFonts w:ascii="Calibri" w:hAnsi="Calibri" w:cs="Calibri"/>
          <w:color w:val="000000"/>
          <w:szCs w:val="22"/>
          <w:shd w:val="clear" w:color="auto" w:fill="FFFFFF"/>
        </w:rPr>
        <w:t xml:space="preserve">s and adolescents 9 years and older was first approved by the FDA in 2018 as a </w:t>
      </w:r>
      <w:hyperlink r:id="rId67" w:history="1">
        <w:r w:rsidR="006B656B" w:rsidRPr="00664349">
          <w:rPr>
            <w:rStyle w:val="Hyperlink"/>
            <w:rFonts w:ascii="Calibri" w:hAnsi="Calibri" w:cs="Calibri"/>
            <w:szCs w:val="22"/>
            <w:shd w:val="clear" w:color="auto" w:fill="FFFFFF"/>
          </w:rPr>
          <w:t>prescription medication</w:t>
        </w:r>
      </w:hyperlink>
      <w:r w:rsidR="006B656B">
        <w:rPr>
          <w:rStyle w:val="normaltextrun"/>
          <w:rFonts w:ascii="Calibri" w:hAnsi="Calibri" w:cs="Calibri"/>
          <w:color w:val="000000"/>
          <w:szCs w:val="22"/>
          <w:shd w:val="clear" w:color="auto" w:fill="FFFFFF"/>
        </w:rPr>
        <w:t>.</w:t>
      </w:r>
    </w:p>
    <w:p w14:paraId="3CD1356E" w14:textId="4051E9F4" w:rsidR="00586A6E" w:rsidRDefault="00586A6E" w:rsidP="00586A6E">
      <w:pPr>
        <w:pStyle w:val="Heading4"/>
      </w:pPr>
      <w:bookmarkStart w:id="78" w:name="_Toc144110870"/>
      <w:r>
        <w:t>Summary of applicant’s reasons for the proposal</w:t>
      </w:r>
      <w:bookmarkEnd w:id="78"/>
    </w:p>
    <w:p w14:paraId="21891819" w14:textId="2497F255" w:rsidR="004246BD" w:rsidRPr="004C7298" w:rsidRDefault="004246BD" w:rsidP="004C7298">
      <w:pPr>
        <w:pStyle w:val="ListParagraph"/>
        <w:numPr>
          <w:ilvl w:val="0"/>
          <w:numId w:val="44"/>
        </w:numPr>
        <w:spacing w:before="0" w:after="120" w:line="259" w:lineRule="auto"/>
        <w:ind w:left="419" w:hanging="357"/>
        <w:contextualSpacing w:val="0"/>
      </w:pPr>
      <w:r>
        <w:rPr>
          <w:rStyle w:val="normaltextrun"/>
          <w:rFonts w:ascii="Calibri" w:hAnsi="Calibri" w:cs="Calibri"/>
          <w:color w:val="000000"/>
          <w:szCs w:val="22"/>
          <w:shd w:val="clear" w:color="auto" w:fill="FFFFFF"/>
        </w:rPr>
        <w:t>The applicant is proposing to include glycopyrronium in Appendix H of the Poisons Standard to permit advertising of a proposed Schedule 3 (Pharmacist Only) product, a topical cream that contains glycopyrronium as an active ingredient, for the treatment of primary axillary hyperhidrosis in adults.</w:t>
      </w:r>
    </w:p>
    <w:p w14:paraId="167D187C" w14:textId="635A1615" w:rsidR="004246BD" w:rsidRPr="004246BD" w:rsidRDefault="004246BD" w:rsidP="004C7298">
      <w:pPr>
        <w:pStyle w:val="ListParagraph"/>
        <w:numPr>
          <w:ilvl w:val="0"/>
          <w:numId w:val="44"/>
        </w:numPr>
        <w:spacing w:before="0" w:after="120" w:line="259" w:lineRule="auto"/>
        <w:ind w:left="419" w:hanging="357"/>
        <w:contextualSpacing w:val="0"/>
        <w:rPr>
          <w:rStyle w:val="normaltextrun"/>
          <w:rFonts w:asciiTheme="minorHAnsi" w:eastAsiaTheme="minorHAnsi" w:hAnsiTheme="minorHAnsi" w:cstheme="minorBidi"/>
        </w:rPr>
      </w:pPr>
      <w:r>
        <w:rPr>
          <w:rStyle w:val="normaltextrun"/>
          <w:rFonts w:ascii="Calibri" w:hAnsi="Calibri" w:cs="Calibri"/>
          <w:color w:val="000000"/>
          <w:szCs w:val="22"/>
          <w:shd w:val="clear" w:color="auto" w:fill="FFFFFF"/>
        </w:rPr>
        <w:t xml:space="preserve">Primary hyperhidrosis is a stigmatising disease </w:t>
      </w:r>
      <w:r w:rsidR="00C41085">
        <w:rPr>
          <w:rStyle w:val="normaltextrun"/>
          <w:rFonts w:ascii="Calibri" w:hAnsi="Calibri" w:cs="Calibri"/>
          <w:color w:val="000000"/>
          <w:szCs w:val="22"/>
          <w:shd w:val="clear" w:color="auto" w:fill="FFFFFF"/>
        </w:rPr>
        <w:t>characterised by excessive perspiration. The</w:t>
      </w:r>
      <w:r>
        <w:rPr>
          <w:rStyle w:val="normaltextrun"/>
          <w:rFonts w:ascii="Calibri" w:hAnsi="Calibri" w:cs="Calibri"/>
          <w:color w:val="000000"/>
          <w:szCs w:val="22"/>
          <w:shd w:val="clear" w:color="auto" w:fill="FFFFFF"/>
        </w:rPr>
        <w:t xml:space="preserve"> physical and psychological symptoms affect</w:t>
      </w:r>
      <w:r w:rsidR="00C41085">
        <w:rPr>
          <w:rStyle w:val="normaltextrun"/>
          <w:rFonts w:ascii="Calibri" w:hAnsi="Calibri" w:cs="Calibri"/>
          <w:color w:val="000000"/>
          <w:szCs w:val="22"/>
          <w:shd w:val="clear" w:color="auto" w:fill="FFFFFF"/>
        </w:rPr>
        <w:t xml:space="preserve"> a</w:t>
      </w:r>
      <w:r>
        <w:rPr>
          <w:rStyle w:val="normaltextrun"/>
          <w:rFonts w:ascii="Calibri" w:hAnsi="Calibri" w:cs="Calibri"/>
          <w:color w:val="000000"/>
          <w:szCs w:val="22"/>
          <w:shd w:val="clear" w:color="auto" w:fill="FFFFFF"/>
        </w:rPr>
        <w:t xml:space="preserve"> patients’ quality of life</w:t>
      </w:r>
      <w:r w:rsidR="00C41085">
        <w:rPr>
          <w:rStyle w:val="normaltextrun"/>
          <w:rFonts w:ascii="Calibri" w:hAnsi="Calibri" w:cs="Calibri"/>
          <w:color w:val="000000"/>
          <w:szCs w:val="22"/>
          <w:shd w:val="clear" w:color="auto" w:fill="FFFFFF"/>
        </w:rPr>
        <w:t>,</w:t>
      </w:r>
      <w:r>
        <w:rPr>
          <w:rStyle w:val="normaltextrun"/>
          <w:rFonts w:ascii="Calibri" w:hAnsi="Calibri" w:cs="Calibri"/>
          <w:color w:val="000000"/>
          <w:szCs w:val="22"/>
          <w:shd w:val="clear" w:color="auto" w:fill="FFFFFF"/>
        </w:rPr>
        <w:t xml:space="preserve"> </w:t>
      </w:r>
      <w:r w:rsidR="00C41085">
        <w:rPr>
          <w:rStyle w:val="normaltextrun"/>
          <w:rFonts w:ascii="Calibri" w:hAnsi="Calibri" w:cs="Calibri"/>
          <w:color w:val="000000"/>
          <w:szCs w:val="22"/>
          <w:shd w:val="clear" w:color="auto" w:fill="FFFFFF"/>
        </w:rPr>
        <w:t xml:space="preserve">including </w:t>
      </w:r>
      <w:r>
        <w:rPr>
          <w:rStyle w:val="normaltextrun"/>
          <w:rFonts w:ascii="Calibri" w:hAnsi="Calibri" w:cs="Calibri"/>
          <w:color w:val="000000"/>
          <w:szCs w:val="22"/>
          <w:shd w:val="clear" w:color="auto" w:fill="FFFFFF"/>
        </w:rPr>
        <w:t>limitations to daily activities, social relationships, study and work life and emotional wellbeing.</w:t>
      </w:r>
    </w:p>
    <w:p w14:paraId="5A1A132C" w14:textId="4592A967" w:rsidR="004246BD" w:rsidRPr="004246BD" w:rsidRDefault="004246BD" w:rsidP="004C7298">
      <w:pPr>
        <w:pStyle w:val="ListParagraph"/>
        <w:numPr>
          <w:ilvl w:val="0"/>
          <w:numId w:val="44"/>
        </w:numPr>
        <w:spacing w:before="0" w:after="120" w:line="259" w:lineRule="auto"/>
        <w:ind w:left="419" w:hanging="357"/>
        <w:contextualSpacing w:val="0"/>
        <w:rPr>
          <w:rStyle w:val="normaltextrun"/>
          <w:rFonts w:asciiTheme="minorHAnsi" w:eastAsiaTheme="minorHAnsi" w:hAnsiTheme="minorHAnsi" w:cstheme="minorBidi"/>
        </w:rPr>
      </w:pPr>
      <w:r>
        <w:rPr>
          <w:rStyle w:val="normaltextrun"/>
          <w:rFonts w:ascii="Calibri" w:hAnsi="Calibri" w:cs="Calibri"/>
          <w:color w:val="000000"/>
          <w:szCs w:val="22"/>
          <w:shd w:val="clear" w:color="auto" w:fill="FFFFFF"/>
        </w:rPr>
        <w:t>A medical diagnosis is required to confirm primary hyperhidrosis and to rule out secondary hyperhidrosis (</w:t>
      </w:r>
      <w:r w:rsidR="00800740">
        <w:rPr>
          <w:rStyle w:val="normaltextrun"/>
          <w:rFonts w:ascii="Calibri" w:hAnsi="Calibri" w:cs="Calibri"/>
          <w:color w:val="000000"/>
          <w:szCs w:val="22"/>
          <w:shd w:val="clear" w:color="auto" w:fill="FFFFFF"/>
        </w:rPr>
        <w:t>i.e.,</w:t>
      </w:r>
      <w:r>
        <w:rPr>
          <w:rStyle w:val="normaltextrun"/>
          <w:rFonts w:ascii="Calibri" w:hAnsi="Calibri" w:cs="Calibri"/>
          <w:color w:val="000000"/>
          <w:szCs w:val="22"/>
          <w:shd w:val="clear" w:color="auto" w:fill="FFFFFF"/>
        </w:rPr>
        <w:t xml:space="preserve"> resulting from an underlying medical condition). </w:t>
      </w:r>
      <w:r w:rsidR="00FC34B2">
        <w:rPr>
          <w:rStyle w:val="normaltextrun"/>
          <w:rFonts w:ascii="Calibri" w:hAnsi="Calibri" w:cs="Calibri"/>
          <w:color w:val="000000"/>
          <w:szCs w:val="22"/>
          <w:shd w:val="clear" w:color="auto" w:fill="FFFFFF"/>
        </w:rPr>
        <w:t>However, f</w:t>
      </w:r>
      <w:r>
        <w:rPr>
          <w:rStyle w:val="normaltextrun"/>
          <w:rFonts w:ascii="Calibri" w:hAnsi="Calibri" w:cs="Calibri"/>
          <w:color w:val="000000"/>
          <w:szCs w:val="22"/>
          <w:shd w:val="clear" w:color="auto" w:fill="FFFFFF"/>
        </w:rPr>
        <w:t>ollowing initial medical diagnosis, primary hyperhidrosis is suitable for self-treatment and management by the patient</w:t>
      </w:r>
      <w:r w:rsidR="00FC34B2">
        <w:rPr>
          <w:rStyle w:val="normaltextrun"/>
          <w:rFonts w:ascii="Calibri" w:hAnsi="Calibri" w:cs="Calibri"/>
          <w:color w:val="000000"/>
          <w:szCs w:val="22"/>
          <w:shd w:val="clear" w:color="auto" w:fill="FFFFFF"/>
        </w:rPr>
        <w:t xml:space="preserve"> and does</w:t>
      </w:r>
      <w:r>
        <w:rPr>
          <w:rStyle w:val="normaltextrun"/>
          <w:rFonts w:ascii="Calibri" w:hAnsi="Calibri" w:cs="Calibri"/>
          <w:color w:val="000000"/>
          <w:szCs w:val="22"/>
          <w:shd w:val="clear" w:color="auto" w:fill="FFFFFF"/>
        </w:rPr>
        <w:t xml:space="preserve"> not requir</w:t>
      </w:r>
      <w:r w:rsidR="00FC34B2">
        <w:rPr>
          <w:rStyle w:val="normaltextrun"/>
          <w:rFonts w:ascii="Calibri" w:hAnsi="Calibri" w:cs="Calibri"/>
          <w:color w:val="000000"/>
          <w:szCs w:val="22"/>
          <w:shd w:val="clear" w:color="auto" w:fill="FFFFFF"/>
        </w:rPr>
        <w:t>e</w:t>
      </w:r>
      <w:r>
        <w:rPr>
          <w:rStyle w:val="normaltextrun"/>
          <w:rFonts w:ascii="Calibri" w:hAnsi="Calibri" w:cs="Calibri"/>
          <w:color w:val="000000"/>
          <w:szCs w:val="22"/>
          <w:shd w:val="clear" w:color="auto" w:fill="FFFFFF"/>
        </w:rPr>
        <w:t xml:space="preserve"> close medical management by a doctor. Being a Schedule 3 medicine, the availability of a pharmacist may also assist in the monitoring of safe ongoing use of the medicine following the initial diagnosis by a doctor.</w:t>
      </w:r>
    </w:p>
    <w:p w14:paraId="60EBD79F" w14:textId="4E613D4A" w:rsidR="004246BD" w:rsidRPr="004246BD" w:rsidRDefault="004246BD" w:rsidP="004C7298">
      <w:pPr>
        <w:pStyle w:val="ListParagraph"/>
        <w:numPr>
          <w:ilvl w:val="0"/>
          <w:numId w:val="44"/>
        </w:numPr>
        <w:spacing w:before="0" w:after="120" w:line="259" w:lineRule="auto"/>
        <w:ind w:left="419" w:hanging="357"/>
        <w:contextualSpacing w:val="0"/>
      </w:pPr>
      <w:r>
        <w:rPr>
          <w:rStyle w:val="normaltextrun"/>
          <w:rFonts w:ascii="Calibri" w:hAnsi="Calibri" w:cs="Calibri"/>
          <w:color w:val="000000"/>
          <w:szCs w:val="22"/>
          <w:shd w:val="clear" w:color="auto" w:fill="FFFFFF"/>
        </w:rPr>
        <w:t>Advertising of Schedule 3 glycopyrronium medicines will not exacerbate any potential issues that cannot be mitigated by pharmacist supervision and none that are of concern to public health. It will only serve to inform suffer</w:t>
      </w:r>
      <w:r w:rsidR="00FC34B2">
        <w:rPr>
          <w:rStyle w:val="normaltextrun"/>
          <w:rFonts w:ascii="Calibri" w:hAnsi="Calibri" w:cs="Calibri"/>
          <w:color w:val="000000"/>
          <w:szCs w:val="22"/>
          <w:shd w:val="clear" w:color="auto" w:fill="FFFFFF"/>
        </w:rPr>
        <w:t>er</w:t>
      </w:r>
      <w:r>
        <w:rPr>
          <w:rStyle w:val="normaltextrun"/>
          <w:rFonts w:ascii="Calibri" w:hAnsi="Calibri" w:cs="Calibri"/>
          <w:color w:val="000000"/>
          <w:szCs w:val="22"/>
          <w:shd w:val="clear" w:color="auto" w:fill="FFFFFF"/>
        </w:rPr>
        <w:t>s of primary axillary hyperhidrosis of the availability of a non-invasive, efficacious and generally well tolerated medicine for the treatment of their condition.</w:t>
      </w:r>
    </w:p>
    <w:p w14:paraId="0C6993FB" w14:textId="77777777" w:rsidR="00586A6E" w:rsidRDefault="00586A6E" w:rsidP="00586A6E">
      <w:pPr>
        <w:pStyle w:val="Heading4"/>
      </w:pPr>
      <w:bookmarkStart w:id="79" w:name="_Toc144110871"/>
      <w:r>
        <w:t>Key uses / expected use</w:t>
      </w:r>
      <w:bookmarkEnd w:id="79"/>
    </w:p>
    <w:p w14:paraId="495EB975" w14:textId="7A3E5B86" w:rsidR="00586A6E" w:rsidRDefault="00586A6E" w:rsidP="00586A6E">
      <w:r w:rsidRPr="004246BD">
        <w:t>Medicines</w:t>
      </w:r>
    </w:p>
    <w:p w14:paraId="51FD9CF6" w14:textId="77777777" w:rsidR="00586A6E" w:rsidRDefault="00586A6E" w:rsidP="00586A6E">
      <w:pPr>
        <w:pStyle w:val="Heading4"/>
      </w:pPr>
      <w:bookmarkStart w:id="80" w:name="_Toc144110872"/>
      <w:r>
        <w:t>Australian regulations</w:t>
      </w:r>
      <w:bookmarkEnd w:id="80"/>
    </w:p>
    <w:p w14:paraId="64FA624C" w14:textId="2679B620" w:rsidR="00586A6E" w:rsidRPr="004246BD" w:rsidRDefault="00586A6E" w:rsidP="00EB1099">
      <w:pPr>
        <w:pStyle w:val="ListBullet"/>
        <w:numPr>
          <w:ilvl w:val="0"/>
          <w:numId w:val="83"/>
        </w:numPr>
      </w:pPr>
      <w:r w:rsidRPr="004246BD">
        <w:t xml:space="preserve">According to the </w:t>
      </w:r>
      <w:hyperlink r:id="rId68" w:history="1">
        <w:r w:rsidRPr="008007EB">
          <w:rPr>
            <w:rStyle w:val="Hyperlink"/>
            <w:rFonts w:asciiTheme="minorHAnsi" w:hAnsiTheme="minorHAnsi"/>
          </w:rPr>
          <w:t>TGA Ingredient Database</w:t>
        </w:r>
      </w:hyperlink>
      <w:r w:rsidRPr="004246BD">
        <w:t xml:space="preserve">, </w:t>
      </w:r>
      <w:r w:rsidR="004246BD" w:rsidRPr="004246BD">
        <w:t xml:space="preserve">glycopyrronium </w:t>
      </w:r>
      <w:r w:rsidRPr="004246BD">
        <w:t>is:</w:t>
      </w:r>
    </w:p>
    <w:p w14:paraId="74CD42C9" w14:textId="747DC5EE" w:rsidR="004246BD" w:rsidRPr="004246BD" w:rsidRDefault="004246BD" w:rsidP="00EB1099">
      <w:pPr>
        <w:pStyle w:val="ListBullet2"/>
        <w:numPr>
          <w:ilvl w:val="1"/>
          <w:numId w:val="83"/>
        </w:numPr>
        <w:ind w:left="782" w:hanging="425"/>
        <w:rPr>
          <w:rStyle w:val="eop"/>
          <w:rFonts w:eastAsiaTheme="minorHAnsi" w:cstheme="minorHAnsi"/>
          <w:color w:val="auto"/>
        </w:rPr>
      </w:pPr>
      <w:r w:rsidRPr="004246BD">
        <w:rPr>
          <w:rStyle w:val="normaltextrun"/>
          <w:rFonts w:cstheme="minorHAnsi"/>
          <w:color w:val="auto"/>
          <w:szCs w:val="22"/>
          <w:shd w:val="clear" w:color="auto" w:fill="FFFFFF"/>
        </w:rPr>
        <w:t>Available for use as an Active Ingredient in Export Only, Prescription Medicines</w:t>
      </w:r>
    </w:p>
    <w:p w14:paraId="5970DD82" w14:textId="425148D3" w:rsidR="004246BD" w:rsidRPr="004246BD" w:rsidRDefault="004246BD" w:rsidP="00EB1099">
      <w:pPr>
        <w:pStyle w:val="ListBullet2"/>
        <w:numPr>
          <w:ilvl w:val="1"/>
          <w:numId w:val="83"/>
        </w:numPr>
        <w:ind w:left="782" w:hanging="425"/>
        <w:rPr>
          <w:rFonts w:cstheme="minorHAnsi"/>
          <w:color w:val="auto"/>
          <w:lang w:eastAsia="en-AU"/>
        </w:rPr>
      </w:pPr>
      <w:r w:rsidRPr="004246BD">
        <w:rPr>
          <w:rFonts w:cstheme="minorHAnsi"/>
          <w:color w:val="auto"/>
          <w:lang w:eastAsia="en-AU"/>
        </w:rPr>
        <w:t>Not available as an Excipient Ingredient in any application</w:t>
      </w:r>
    </w:p>
    <w:p w14:paraId="2BA7F04E" w14:textId="589102FC" w:rsidR="004246BD" w:rsidRPr="004246BD" w:rsidRDefault="004246BD" w:rsidP="00EB1099">
      <w:pPr>
        <w:pStyle w:val="ListBullet2"/>
        <w:numPr>
          <w:ilvl w:val="1"/>
          <w:numId w:val="83"/>
        </w:numPr>
        <w:ind w:left="782" w:hanging="425"/>
        <w:rPr>
          <w:rFonts w:cstheme="minorHAnsi"/>
          <w:color w:val="auto"/>
          <w:lang w:eastAsia="en-AU"/>
        </w:rPr>
      </w:pPr>
      <w:r w:rsidRPr="004246BD">
        <w:rPr>
          <w:rFonts w:cstheme="minorHAnsi"/>
          <w:color w:val="auto"/>
          <w:lang w:eastAsia="en-AU"/>
        </w:rPr>
        <w:t>Not available as an Equivalent Ingredient in any application.</w:t>
      </w:r>
    </w:p>
    <w:p w14:paraId="7499F963" w14:textId="3964182E" w:rsidR="00586A6E" w:rsidRPr="008007EB" w:rsidRDefault="00586A6E" w:rsidP="00EB1099">
      <w:pPr>
        <w:pStyle w:val="ListBullet"/>
        <w:numPr>
          <w:ilvl w:val="0"/>
          <w:numId w:val="83"/>
        </w:numPr>
      </w:pPr>
      <w:r w:rsidRPr="004246BD">
        <w:t>As of</w:t>
      </w:r>
      <w:r w:rsidR="004246BD" w:rsidRPr="004246BD">
        <w:t xml:space="preserve"> July 2023</w:t>
      </w:r>
      <w:r w:rsidRPr="004246BD">
        <w:t xml:space="preserve">, there were </w:t>
      </w:r>
      <w:r w:rsidR="004246BD" w:rsidRPr="004246BD">
        <w:t>20</w:t>
      </w:r>
      <w:r w:rsidRPr="004246BD">
        <w:t xml:space="preserve"> medicines currently active on the </w:t>
      </w:r>
      <w:hyperlink r:id="rId69" w:history="1">
        <w:r w:rsidR="00EB1099">
          <w:rPr>
            <w:rStyle w:val="Hyperlink"/>
            <w:rFonts w:asciiTheme="minorHAnsi" w:hAnsiTheme="minorHAnsi"/>
          </w:rPr>
          <w:t>Australian Register of Therapeutic Goods</w:t>
        </w:r>
      </w:hyperlink>
      <w:r w:rsidR="00EB1099" w:rsidRPr="00EB1099">
        <w:rPr>
          <w:rStyle w:val="Hyperlink"/>
          <w:rFonts w:asciiTheme="minorHAnsi" w:hAnsiTheme="minorHAnsi"/>
          <w:color w:val="auto"/>
          <w:u w:val="none"/>
        </w:rPr>
        <w:t xml:space="preserve"> (ARTG)</w:t>
      </w:r>
      <w:r w:rsidRPr="004246BD">
        <w:t xml:space="preserve"> that contain </w:t>
      </w:r>
      <w:r w:rsidR="004246BD" w:rsidRPr="004246BD">
        <w:t>glycopyrronium</w:t>
      </w:r>
      <w:r w:rsidRPr="004246BD">
        <w:t xml:space="preserve"> as an active ingredient. </w:t>
      </w:r>
      <w:r w:rsidR="004246BD" w:rsidRPr="004246BD">
        <w:t xml:space="preserve">All </w:t>
      </w:r>
      <w:r w:rsidR="00C41085">
        <w:t>we</w:t>
      </w:r>
      <w:r w:rsidR="004246BD" w:rsidRPr="004246BD">
        <w:t>re prescription</w:t>
      </w:r>
      <w:r w:rsidRPr="004246BD">
        <w:t xml:space="preserve"> medicines.</w:t>
      </w:r>
    </w:p>
    <w:p w14:paraId="45BFA151" w14:textId="50007653" w:rsidR="00586A6E" w:rsidRPr="008007EB" w:rsidRDefault="004246BD" w:rsidP="00EB1099">
      <w:pPr>
        <w:pStyle w:val="ListBullet"/>
        <w:numPr>
          <w:ilvl w:val="0"/>
          <w:numId w:val="83"/>
        </w:numPr>
      </w:pPr>
      <w:r w:rsidRPr="004246BD">
        <w:t>Glycopyrronium</w:t>
      </w:r>
      <w:r w:rsidR="00586A6E" w:rsidRPr="004246BD">
        <w:t xml:space="preserve"> is not permitted to be included in listed medicines as it is not included in the </w:t>
      </w:r>
      <w:hyperlink r:id="rId70" w:history="1">
        <w:r w:rsidR="00586A6E" w:rsidRPr="008007EB">
          <w:rPr>
            <w:rStyle w:val="Hyperlink"/>
            <w:rFonts w:asciiTheme="minorHAnsi" w:hAnsiTheme="minorHAnsi"/>
          </w:rPr>
          <w:t>Therapeutic Goods (Permissible Ingredients) Determination</w:t>
        </w:r>
      </w:hyperlink>
      <w:r w:rsidR="00586A6E" w:rsidRPr="004246BD">
        <w:t xml:space="preserve"> No.</w:t>
      </w:r>
      <w:r w:rsidRPr="004246BD">
        <w:t>3</w:t>
      </w:r>
      <w:r w:rsidR="00586A6E" w:rsidRPr="004246BD">
        <w:t xml:space="preserve"> of 20</w:t>
      </w:r>
      <w:r w:rsidRPr="004246BD">
        <w:t>23</w:t>
      </w:r>
      <w:r w:rsidR="00C41085">
        <w:t>.</w:t>
      </w:r>
    </w:p>
    <w:p w14:paraId="790F90B7" w14:textId="3CC83148" w:rsidR="00586A6E" w:rsidRPr="004246BD" w:rsidRDefault="00586A6E" w:rsidP="00EB1099">
      <w:pPr>
        <w:pStyle w:val="ListBullet"/>
        <w:numPr>
          <w:ilvl w:val="0"/>
          <w:numId w:val="83"/>
        </w:numPr>
      </w:pPr>
      <w:r w:rsidRPr="004246BD">
        <w:t xml:space="preserve">The </w:t>
      </w:r>
      <w:hyperlink r:id="rId71" w:history="1">
        <w:r w:rsidRPr="008007EB">
          <w:rPr>
            <w:rStyle w:val="Hyperlink"/>
            <w:rFonts w:asciiTheme="minorHAnsi" w:hAnsiTheme="minorHAnsi"/>
          </w:rPr>
          <w:t>TGA prescribing medicines in pregnancy database</w:t>
        </w:r>
      </w:hyperlink>
      <w:r w:rsidRPr="004246BD">
        <w:t xml:space="preserve"> classifies </w:t>
      </w:r>
      <w:r w:rsidR="004246BD" w:rsidRPr="004246BD">
        <w:t>glycopyrronium</w:t>
      </w:r>
      <w:r w:rsidRPr="004246BD">
        <w:t xml:space="preserve"> as:</w:t>
      </w:r>
    </w:p>
    <w:tbl>
      <w:tblPr>
        <w:tblStyle w:val="TableTGAblue"/>
        <w:tblW w:w="8670" w:type="dxa"/>
        <w:tblInd w:w="392" w:type="dxa"/>
        <w:tblLook w:val="04A0" w:firstRow="1" w:lastRow="0" w:firstColumn="1" w:lastColumn="0" w:noHBand="0" w:noVBand="1"/>
      </w:tblPr>
      <w:tblGrid>
        <w:gridCol w:w="2537"/>
        <w:gridCol w:w="1298"/>
        <w:gridCol w:w="1611"/>
        <w:gridCol w:w="1663"/>
        <w:gridCol w:w="1561"/>
      </w:tblGrid>
      <w:tr w:rsidR="00586A6E" w:rsidRPr="00C41085" w14:paraId="4A5F189F" w14:textId="77777777" w:rsidTr="004246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14:paraId="652FAAB3" w14:textId="77777777" w:rsidR="00586A6E" w:rsidRPr="00C41085" w:rsidRDefault="00586A6E" w:rsidP="00C41085">
            <w:pPr>
              <w:keepLines/>
              <w:spacing w:before="60" w:after="60"/>
              <w:rPr>
                <w:rFonts w:asciiTheme="minorHAnsi" w:hAnsiTheme="minorHAnsi" w:cstheme="minorHAnsi"/>
                <w:sz w:val="20"/>
                <w:szCs w:val="20"/>
              </w:rPr>
            </w:pPr>
            <w:r w:rsidRPr="00C41085">
              <w:rPr>
                <w:rFonts w:asciiTheme="minorHAnsi" w:hAnsiTheme="minorHAnsi" w:cstheme="minorHAnsi"/>
                <w:sz w:val="20"/>
                <w:szCs w:val="20"/>
              </w:rPr>
              <w:t>Drug name</w:t>
            </w:r>
          </w:p>
        </w:tc>
        <w:tc>
          <w:tcPr>
            <w:tcW w:w="1298" w:type="dxa"/>
          </w:tcPr>
          <w:p w14:paraId="70B4765B" w14:textId="77777777" w:rsidR="00586A6E" w:rsidRPr="00C41085" w:rsidRDefault="00586A6E" w:rsidP="00C41085">
            <w:pPr>
              <w:keepLine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41085">
              <w:rPr>
                <w:rFonts w:asciiTheme="minorHAnsi" w:hAnsiTheme="minorHAnsi" w:cstheme="minorHAnsi"/>
                <w:sz w:val="20"/>
                <w:szCs w:val="20"/>
              </w:rPr>
              <w:t>Category</w:t>
            </w:r>
          </w:p>
        </w:tc>
        <w:tc>
          <w:tcPr>
            <w:tcW w:w="1611" w:type="dxa"/>
          </w:tcPr>
          <w:p w14:paraId="562D7F63" w14:textId="77777777" w:rsidR="00586A6E" w:rsidRPr="00C41085" w:rsidRDefault="00586A6E" w:rsidP="00C41085">
            <w:pPr>
              <w:keepLine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41085">
              <w:rPr>
                <w:rFonts w:asciiTheme="minorHAnsi" w:hAnsiTheme="minorHAnsi" w:cstheme="minorHAnsi"/>
                <w:sz w:val="20"/>
                <w:szCs w:val="20"/>
              </w:rPr>
              <w:t>Classification Level 1</w:t>
            </w:r>
          </w:p>
        </w:tc>
        <w:tc>
          <w:tcPr>
            <w:tcW w:w="1663" w:type="dxa"/>
          </w:tcPr>
          <w:p w14:paraId="2A7CDC65" w14:textId="77777777" w:rsidR="00586A6E" w:rsidRPr="00C41085" w:rsidRDefault="00586A6E" w:rsidP="00C41085">
            <w:pPr>
              <w:keepLine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41085">
              <w:rPr>
                <w:rFonts w:asciiTheme="minorHAnsi" w:hAnsiTheme="minorHAnsi" w:cstheme="minorHAnsi"/>
                <w:sz w:val="20"/>
                <w:szCs w:val="20"/>
              </w:rPr>
              <w:t>Classification Level 2</w:t>
            </w:r>
          </w:p>
        </w:tc>
        <w:tc>
          <w:tcPr>
            <w:tcW w:w="1561" w:type="dxa"/>
          </w:tcPr>
          <w:p w14:paraId="131FE9F5" w14:textId="77777777" w:rsidR="00586A6E" w:rsidRPr="00C41085" w:rsidRDefault="00586A6E" w:rsidP="00C41085">
            <w:pPr>
              <w:keepLine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41085">
              <w:rPr>
                <w:rFonts w:asciiTheme="minorHAnsi" w:hAnsiTheme="minorHAnsi" w:cstheme="minorHAnsi"/>
                <w:sz w:val="20"/>
                <w:szCs w:val="20"/>
              </w:rPr>
              <w:t>Classification Level 3</w:t>
            </w:r>
          </w:p>
        </w:tc>
      </w:tr>
      <w:tr w:rsidR="004246BD" w:rsidRPr="00C41085" w14:paraId="627A0E19" w14:textId="77777777" w:rsidTr="004246BD">
        <w:tc>
          <w:tcPr>
            <w:cnfStyle w:val="001000000000" w:firstRow="0" w:lastRow="0" w:firstColumn="1" w:lastColumn="0" w:oddVBand="0" w:evenVBand="0" w:oddHBand="0" w:evenHBand="0" w:firstRowFirstColumn="0" w:firstRowLastColumn="0" w:lastRowFirstColumn="0" w:lastRowLastColumn="0"/>
            <w:tcW w:w="2537" w:type="dxa"/>
          </w:tcPr>
          <w:p w14:paraId="3D406394" w14:textId="24519E81" w:rsidR="004246BD" w:rsidRPr="00C41085" w:rsidRDefault="00AC5E26" w:rsidP="00C41085">
            <w:pPr>
              <w:keepNext/>
              <w:keepLines/>
              <w:spacing w:before="60" w:after="60"/>
              <w:rPr>
                <w:rFonts w:asciiTheme="minorHAnsi" w:hAnsiTheme="minorHAnsi" w:cstheme="minorHAnsi"/>
                <w:sz w:val="20"/>
                <w:szCs w:val="20"/>
              </w:rPr>
            </w:pPr>
            <w:r w:rsidRPr="00C41085">
              <w:rPr>
                <w:rStyle w:val="normaltextrun"/>
                <w:rFonts w:ascii="Calibri" w:hAnsi="Calibri" w:cs="Calibri"/>
                <w:sz w:val="20"/>
                <w:szCs w:val="20"/>
              </w:rPr>
              <w:t>G</w:t>
            </w:r>
            <w:r w:rsidR="004246BD" w:rsidRPr="00C41085">
              <w:rPr>
                <w:rStyle w:val="normaltextrun"/>
                <w:rFonts w:ascii="Calibri" w:hAnsi="Calibri" w:cs="Calibri"/>
                <w:sz w:val="20"/>
                <w:szCs w:val="20"/>
              </w:rPr>
              <w:t>lycopyrronium bromide</w:t>
            </w:r>
          </w:p>
        </w:tc>
        <w:tc>
          <w:tcPr>
            <w:tcW w:w="1298" w:type="dxa"/>
          </w:tcPr>
          <w:p w14:paraId="6A38FA1B" w14:textId="4590FF2F" w:rsidR="004246BD" w:rsidRPr="00C41085" w:rsidRDefault="004246BD" w:rsidP="00C41085">
            <w:pPr>
              <w:keepNext/>
              <w:keepLine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41085">
              <w:rPr>
                <w:rStyle w:val="normaltextrun"/>
                <w:rFonts w:ascii="Calibri" w:hAnsi="Calibri" w:cs="Calibri"/>
                <w:sz w:val="20"/>
                <w:szCs w:val="20"/>
              </w:rPr>
              <w:t>B2</w:t>
            </w:r>
          </w:p>
        </w:tc>
        <w:tc>
          <w:tcPr>
            <w:tcW w:w="1611" w:type="dxa"/>
          </w:tcPr>
          <w:p w14:paraId="26DFD9BE" w14:textId="4F53D1B2" w:rsidR="004246BD" w:rsidRPr="00C41085" w:rsidRDefault="004246BD" w:rsidP="00C41085">
            <w:pPr>
              <w:keepNext/>
              <w:keepLine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41085">
              <w:rPr>
                <w:rStyle w:val="normaltextrun"/>
                <w:rFonts w:ascii="Calibri" w:hAnsi="Calibri" w:cs="Calibri"/>
                <w:sz w:val="20"/>
                <w:szCs w:val="20"/>
              </w:rPr>
              <w:t>Alimentary System</w:t>
            </w:r>
          </w:p>
        </w:tc>
        <w:tc>
          <w:tcPr>
            <w:tcW w:w="1663" w:type="dxa"/>
          </w:tcPr>
          <w:p w14:paraId="74B11221" w14:textId="4547CDD2" w:rsidR="004246BD" w:rsidRPr="00C41085" w:rsidRDefault="004246BD" w:rsidP="00C41085">
            <w:pPr>
              <w:keepNext/>
              <w:keepLine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41085">
              <w:rPr>
                <w:rStyle w:val="normaltextrun"/>
                <w:rFonts w:ascii="Calibri" w:hAnsi="Calibri" w:cs="Calibri"/>
                <w:sz w:val="20"/>
                <w:szCs w:val="20"/>
              </w:rPr>
              <w:t>Antispasmodics</w:t>
            </w:r>
          </w:p>
        </w:tc>
        <w:tc>
          <w:tcPr>
            <w:tcW w:w="1561" w:type="dxa"/>
          </w:tcPr>
          <w:p w14:paraId="48118076" w14:textId="15469F64" w:rsidR="004246BD" w:rsidRPr="00C41085" w:rsidRDefault="004246BD" w:rsidP="00C41085">
            <w:pPr>
              <w:keepNext/>
              <w:keepLine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4246BD" w:rsidRPr="00C41085" w14:paraId="4AB6F94B" w14:textId="77777777" w:rsidTr="004246BD">
        <w:tc>
          <w:tcPr>
            <w:cnfStyle w:val="001000000000" w:firstRow="0" w:lastRow="0" w:firstColumn="1" w:lastColumn="0" w:oddVBand="0" w:evenVBand="0" w:oddHBand="0" w:evenHBand="0" w:firstRowFirstColumn="0" w:firstRowLastColumn="0" w:lastRowFirstColumn="0" w:lastRowLastColumn="0"/>
            <w:tcW w:w="2537" w:type="dxa"/>
          </w:tcPr>
          <w:p w14:paraId="6D493E6E" w14:textId="62D1F5D2" w:rsidR="004246BD" w:rsidRPr="00C41085" w:rsidRDefault="00AC5E26" w:rsidP="00C41085">
            <w:pPr>
              <w:keepNext/>
              <w:keepLines/>
              <w:spacing w:before="60" w:after="60"/>
              <w:rPr>
                <w:rStyle w:val="normaltextrun"/>
                <w:rFonts w:ascii="Calibri" w:hAnsi="Calibri" w:cs="Calibri"/>
                <w:sz w:val="20"/>
                <w:szCs w:val="20"/>
              </w:rPr>
            </w:pPr>
            <w:r w:rsidRPr="00C41085">
              <w:rPr>
                <w:rStyle w:val="normaltextrun"/>
                <w:rFonts w:ascii="Calibri" w:hAnsi="Calibri" w:cs="Calibri"/>
                <w:sz w:val="20"/>
                <w:szCs w:val="20"/>
              </w:rPr>
              <w:t>G</w:t>
            </w:r>
            <w:r w:rsidR="004246BD" w:rsidRPr="00C41085">
              <w:rPr>
                <w:rStyle w:val="normaltextrun"/>
                <w:rFonts w:ascii="Calibri" w:hAnsi="Calibri" w:cs="Calibri"/>
                <w:sz w:val="20"/>
                <w:szCs w:val="20"/>
              </w:rPr>
              <w:t>lycopyrronium bromide</w:t>
            </w:r>
          </w:p>
        </w:tc>
        <w:tc>
          <w:tcPr>
            <w:tcW w:w="1298" w:type="dxa"/>
          </w:tcPr>
          <w:p w14:paraId="2DECF98C" w14:textId="2CF76C87" w:rsidR="004246BD" w:rsidRPr="00C41085" w:rsidRDefault="004246BD" w:rsidP="00C41085">
            <w:pPr>
              <w:keepNext/>
              <w:keepLines/>
              <w:spacing w:before="60" w:after="60"/>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0"/>
                <w:szCs w:val="20"/>
              </w:rPr>
            </w:pPr>
            <w:r w:rsidRPr="00C41085">
              <w:rPr>
                <w:rStyle w:val="normaltextrun"/>
                <w:rFonts w:ascii="Calibri" w:hAnsi="Calibri" w:cs="Calibri"/>
                <w:sz w:val="20"/>
                <w:szCs w:val="20"/>
              </w:rPr>
              <w:t>B2</w:t>
            </w:r>
          </w:p>
        </w:tc>
        <w:tc>
          <w:tcPr>
            <w:tcW w:w="1611" w:type="dxa"/>
          </w:tcPr>
          <w:p w14:paraId="772E45CD" w14:textId="05CB2E60" w:rsidR="004246BD" w:rsidRPr="00C41085" w:rsidRDefault="004246BD" w:rsidP="00C41085">
            <w:pPr>
              <w:keepNext/>
              <w:keepLines/>
              <w:spacing w:before="60" w:after="60"/>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0"/>
                <w:szCs w:val="20"/>
              </w:rPr>
            </w:pPr>
            <w:r w:rsidRPr="00C41085">
              <w:rPr>
                <w:rStyle w:val="normaltextrun"/>
                <w:rFonts w:ascii="Calibri" w:hAnsi="Calibri" w:cs="Calibri"/>
                <w:sz w:val="20"/>
                <w:szCs w:val="20"/>
              </w:rPr>
              <w:t>Cholinergic and Anticholinergic Agents</w:t>
            </w:r>
          </w:p>
        </w:tc>
        <w:tc>
          <w:tcPr>
            <w:tcW w:w="1663" w:type="dxa"/>
          </w:tcPr>
          <w:p w14:paraId="4538B06D" w14:textId="6FF1BFAC" w:rsidR="004246BD" w:rsidRPr="00C41085" w:rsidRDefault="004246BD" w:rsidP="00C41085">
            <w:pPr>
              <w:keepNext/>
              <w:keepLines/>
              <w:spacing w:before="60" w:after="60"/>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0"/>
                <w:szCs w:val="20"/>
              </w:rPr>
            </w:pPr>
          </w:p>
        </w:tc>
        <w:tc>
          <w:tcPr>
            <w:tcW w:w="1561" w:type="dxa"/>
          </w:tcPr>
          <w:p w14:paraId="2AD50F41" w14:textId="7E251E01" w:rsidR="004246BD" w:rsidRPr="00C41085" w:rsidRDefault="004246BD" w:rsidP="00C41085">
            <w:pPr>
              <w:keepNext/>
              <w:keepLines/>
              <w:spacing w:before="60" w:after="60"/>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20"/>
                <w:szCs w:val="20"/>
              </w:rPr>
            </w:pPr>
          </w:p>
        </w:tc>
      </w:tr>
      <w:tr w:rsidR="004246BD" w:rsidRPr="00C41085" w14:paraId="071E49A5" w14:textId="77777777" w:rsidTr="004246BD">
        <w:tc>
          <w:tcPr>
            <w:cnfStyle w:val="001000000000" w:firstRow="0" w:lastRow="0" w:firstColumn="1" w:lastColumn="0" w:oddVBand="0" w:evenVBand="0" w:oddHBand="0" w:evenHBand="0" w:firstRowFirstColumn="0" w:firstRowLastColumn="0" w:lastRowFirstColumn="0" w:lastRowLastColumn="0"/>
            <w:tcW w:w="2537" w:type="dxa"/>
          </w:tcPr>
          <w:p w14:paraId="1F158462" w14:textId="6A6265AA" w:rsidR="004246BD" w:rsidRPr="00C41085" w:rsidRDefault="00AC5E26" w:rsidP="00C41085">
            <w:pPr>
              <w:keepNext/>
              <w:keepLines/>
              <w:spacing w:before="60" w:after="60"/>
              <w:rPr>
                <w:rStyle w:val="normaltextrun"/>
                <w:rFonts w:ascii="Calibri" w:hAnsi="Calibri" w:cs="Calibri"/>
                <w:sz w:val="20"/>
                <w:szCs w:val="20"/>
              </w:rPr>
            </w:pPr>
            <w:r w:rsidRPr="00C41085">
              <w:rPr>
                <w:rStyle w:val="normaltextrun"/>
                <w:rFonts w:ascii="Calibri" w:hAnsi="Calibri" w:cs="Calibri"/>
                <w:sz w:val="20"/>
                <w:szCs w:val="20"/>
              </w:rPr>
              <w:t>G</w:t>
            </w:r>
            <w:r w:rsidR="004246BD" w:rsidRPr="00C41085">
              <w:rPr>
                <w:rStyle w:val="normaltextrun"/>
                <w:rFonts w:ascii="Calibri" w:hAnsi="Calibri" w:cs="Calibri"/>
                <w:sz w:val="20"/>
                <w:szCs w:val="20"/>
              </w:rPr>
              <w:t>lycopyrronium bromide</w:t>
            </w:r>
          </w:p>
        </w:tc>
        <w:tc>
          <w:tcPr>
            <w:tcW w:w="1298" w:type="dxa"/>
          </w:tcPr>
          <w:p w14:paraId="17845BE0" w14:textId="0C48B227" w:rsidR="004246BD" w:rsidRPr="00C41085" w:rsidRDefault="004246BD" w:rsidP="00C41085">
            <w:pPr>
              <w:keepNext/>
              <w:keepLines/>
              <w:spacing w:before="60" w:after="60"/>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0"/>
                <w:szCs w:val="20"/>
              </w:rPr>
            </w:pPr>
            <w:r w:rsidRPr="00C41085">
              <w:rPr>
                <w:rStyle w:val="normaltextrun"/>
                <w:rFonts w:ascii="Calibri" w:hAnsi="Calibri" w:cs="Calibri"/>
                <w:sz w:val="20"/>
                <w:szCs w:val="20"/>
              </w:rPr>
              <w:t>B3</w:t>
            </w:r>
          </w:p>
        </w:tc>
        <w:tc>
          <w:tcPr>
            <w:tcW w:w="1611" w:type="dxa"/>
          </w:tcPr>
          <w:p w14:paraId="4BC563A9" w14:textId="4BA7BA9C" w:rsidR="004246BD" w:rsidRPr="00C41085" w:rsidRDefault="004246BD" w:rsidP="00C41085">
            <w:pPr>
              <w:keepNext/>
              <w:keepLines/>
              <w:spacing w:before="60" w:after="60"/>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0"/>
                <w:szCs w:val="20"/>
              </w:rPr>
            </w:pPr>
            <w:r w:rsidRPr="00C41085">
              <w:rPr>
                <w:rStyle w:val="normaltextrun"/>
                <w:rFonts w:ascii="Calibri" w:hAnsi="Calibri" w:cs="Calibri"/>
                <w:sz w:val="20"/>
                <w:szCs w:val="20"/>
              </w:rPr>
              <w:t>Respiratory System</w:t>
            </w:r>
          </w:p>
        </w:tc>
        <w:tc>
          <w:tcPr>
            <w:tcW w:w="1663" w:type="dxa"/>
          </w:tcPr>
          <w:p w14:paraId="6E8D2894" w14:textId="611C218E" w:rsidR="004246BD" w:rsidRPr="00C41085" w:rsidRDefault="004246BD" w:rsidP="00C41085">
            <w:pPr>
              <w:keepNext/>
              <w:keepLines/>
              <w:spacing w:before="60" w:after="60"/>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0"/>
                <w:szCs w:val="20"/>
              </w:rPr>
            </w:pPr>
            <w:r w:rsidRPr="00C41085">
              <w:rPr>
                <w:rStyle w:val="normaltextrun"/>
                <w:rFonts w:ascii="Calibri" w:hAnsi="Calibri" w:cs="Calibri"/>
                <w:sz w:val="20"/>
                <w:szCs w:val="20"/>
              </w:rPr>
              <w:t>Inhalation agents</w:t>
            </w:r>
          </w:p>
        </w:tc>
        <w:tc>
          <w:tcPr>
            <w:tcW w:w="1561" w:type="dxa"/>
          </w:tcPr>
          <w:p w14:paraId="385A9BF8" w14:textId="71FE7B90" w:rsidR="004246BD" w:rsidRPr="00C41085" w:rsidRDefault="004246BD" w:rsidP="00C41085">
            <w:pPr>
              <w:keepNext/>
              <w:keepLines/>
              <w:spacing w:before="60" w:after="60"/>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20"/>
                <w:szCs w:val="20"/>
              </w:rPr>
            </w:pPr>
            <w:r w:rsidRPr="00C41085">
              <w:rPr>
                <w:rStyle w:val="normaltextrun"/>
                <w:rFonts w:ascii="Calibri" w:hAnsi="Calibri" w:cs="Calibri"/>
                <w:sz w:val="20"/>
                <w:szCs w:val="20"/>
              </w:rPr>
              <w:t>Bronchospasm relaxants</w:t>
            </w:r>
          </w:p>
        </w:tc>
      </w:tr>
      <w:tr w:rsidR="004246BD" w:rsidRPr="00C41085" w14:paraId="65571489" w14:textId="77777777" w:rsidTr="004246BD">
        <w:tc>
          <w:tcPr>
            <w:cnfStyle w:val="001000000000" w:firstRow="0" w:lastRow="0" w:firstColumn="1" w:lastColumn="0" w:oddVBand="0" w:evenVBand="0" w:oddHBand="0" w:evenHBand="0" w:firstRowFirstColumn="0" w:firstRowLastColumn="0" w:lastRowFirstColumn="0" w:lastRowLastColumn="0"/>
            <w:tcW w:w="2537" w:type="dxa"/>
          </w:tcPr>
          <w:p w14:paraId="4F2263D4" w14:textId="3E4D628A" w:rsidR="004246BD" w:rsidRPr="00C41085" w:rsidRDefault="00AC5E26" w:rsidP="00C41085">
            <w:pPr>
              <w:keepNext/>
              <w:keepLines/>
              <w:spacing w:before="60" w:after="60"/>
              <w:rPr>
                <w:rStyle w:val="normaltextrun"/>
                <w:rFonts w:ascii="Calibri" w:hAnsi="Calibri" w:cs="Calibri"/>
                <w:sz w:val="20"/>
                <w:szCs w:val="20"/>
              </w:rPr>
            </w:pPr>
            <w:r w:rsidRPr="00C41085">
              <w:rPr>
                <w:rStyle w:val="normaltextrun"/>
                <w:rFonts w:ascii="Calibri" w:hAnsi="Calibri" w:cs="Calibri"/>
                <w:sz w:val="20"/>
                <w:szCs w:val="20"/>
              </w:rPr>
              <w:t>G</w:t>
            </w:r>
            <w:r w:rsidR="004246BD" w:rsidRPr="00C41085">
              <w:rPr>
                <w:rStyle w:val="normaltextrun"/>
                <w:rFonts w:ascii="Calibri" w:hAnsi="Calibri" w:cs="Calibri"/>
                <w:sz w:val="20"/>
                <w:szCs w:val="20"/>
              </w:rPr>
              <w:t>lycopyrronium bromide / formoterol fumarate</w:t>
            </w:r>
          </w:p>
        </w:tc>
        <w:tc>
          <w:tcPr>
            <w:tcW w:w="1298" w:type="dxa"/>
          </w:tcPr>
          <w:p w14:paraId="755C8A50" w14:textId="32156967" w:rsidR="004246BD" w:rsidRPr="00C41085" w:rsidRDefault="004246BD" w:rsidP="00C41085">
            <w:pPr>
              <w:keepNext/>
              <w:keepLines/>
              <w:spacing w:before="60" w:after="60"/>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0"/>
                <w:szCs w:val="20"/>
              </w:rPr>
            </w:pPr>
            <w:r w:rsidRPr="00C41085">
              <w:rPr>
                <w:rStyle w:val="normaltextrun"/>
                <w:rFonts w:ascii="Calibri" w:hAnsi="Calibri" w:cs="Calibri"/>
                <w:sz w:val="20"/>
                <w:szCs w:val="20"/>
              </w:rPr>
              <w:t>B3</w:t>
            </w:r>
          </w:p>
        </w:tc>
        <w:tc>
          <w:tcPr>
            <w:tcW w:w="1611" w:type="dxa"/>
          </w:tcPr>
          <w:p w14:paraId="7A331825" w14:textId="3B977122" w:rsidR="004246BD" w:rsidRPr="00C41085" w:rsidRDefault="004246BD" w:rsidP="00C41085">
            <w:pPr>
              <w:keepNext/>
              <w:keepLines/>
              <w:spacing w:before="60" w:after="60"/>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0"/>
                <w:szCs w:val="20"/>
              </w:rPr>
            </w:pPr>
            <w:r w:rsidRPr="00C41085">
              <w:rPr>
                <w:rStyle w:val="normaltextrun"/>
                <w:rFonts w:ascii="Calibri" w:hAnsi="Calibri" w:cs="Calibri"/>
                <w:sz w:val="20"/>
                <w:szCs w:val="20"/>
              </w:rPr>
              <w:t>Respiratory System</w:t>
            </w:r>
          </w:p>
        </w:tc>
        <w:tc>
          <w:tcPr>
            <w:tcW w:w="1663" w:type="dxa"/>
          </w:tcPr>
          <w:p w14:paraId="153231AA" w14:textId="67B994EC" w:rsidR="004246BD" w:rsidRPr="00C41085" w:rsidRDefault="004246BD" w:rsidP="00C41085">
            <w:pPr>
              <w:keepNext/>
              <w:keepLines/>
              <w:spacing w:before="60" w:after="60"/>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0"/>
                <w:szCs w:val="20"/>
              </w:rPr>
            </w:pPr>
            <w:r w:rsidRPr="00C41085">
              <w:rPr>
                <w:rStyle w:val="normaltextrun"/>
                <w:rFonts w:ascii="Calibri" w:hAnsi="Calibri" w:cs="Calibri"/>
                <w:sz w:val="20"/>
                <w:szCs w:val="20"/>
              </w:rPr>
              <w:t>Inhalation agents</w:t>
            </w:r>
          </w:p>
        </w:tc>
        <w:tc>
          <w:tcPr>
            <w:tcW w:w="1561" w:type="dxa"/>
          </w:tcPr>
          <w:p w14:paraId="41A801BA" w14:textId="727D4488" w:rsidR="004246BD" w:rsidRPr="00C41085" w:rsidRDefault="004246BD" w:rsidP="00C41085">
            <w:pPr>
              <w:keepNext/>
              <w:keepLines/>
              <w:spacing w:before="60" w:after="60"/>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20"/>
                <w:szCs w:val="20"/>
              </w:rPr>
            </w:pPr>
            <w:r w:rsidRPr="00C41085">
              <w:rPr>
                <w:rStyle w:val="eop"/>
                <w:rFonts w:ascii="Calibri" w:hAnsi="Calibri" w:cs="Calibri"/>
                <w:sz w:val="20"/>
                <w:szCs w:val="20"/>
              </w:rPr>
              <w:t> </w:t>
            </w:r>
          </w:p>
        </w:tc>
      </w:tr>
      <w:tr w:rsidR="004246BD" w:rsidRPr="00C41085" w14:paraId="4E485A24" w14:textId="77777777" w:rsidTr="004246BD">
        <w:tc>
          <w:tcPr>
            <w:cnfStyle w:val="001000000000" w:firstRow="0" w:lastRow="0" w:firstColumn="1" w:lastColumn="0" w:oddVBand="0" w:evenVBand="0" w:oddHBand="0" w:evenHBand="0" w:firstRowFirstColumn="0" w:firstRowLastColumn="0" w:lastRowFirstColumn="0" w:lastRowLastColumn="0"/>
            <w:tcW w:w="2537" w:type="dxa"/>
          </w:tcPr>
          <w:p w14:paraId="3835D145" w14:textId="4FC6F27D" w:rsidR="004246BD" w:rsidRPr="00C41085" w:rsidRDefault="004246BD" w:rsidP="00C41085">
            <w:pPr>
              <w:keepNext/>
              <w:keepLines/>
              <w:spacing w:before="60" w:after="60"/>
              <w:rPr>
                <w:rStyle w:val="normaltextrun"/>
                <w:rFonts w:ascii="Calibri" w:hAnsi="Calibri" w:cs="Calibri"/>
                <w:sz w:val="20"/>
                <w:szCs w:val="20"/>
              </w:rPr>
            </w:pPr>
            <w:r w:rsidRPr="00C41085">
              <w:rPr>
                <w:rStyle w:val="normaltextrun"/>
                <w:rFonts w:ascii="Calibri" w:hAnsi="Calibri" w:cs="Calibri"/>
                <w:sz w:val="20"/>
                <w:szCs w:val="20"/>
              </w:rPr>
              <w:t xml:space="preserve">indacaterol maleate / </w:t>
            </w:r>
            <w:r w:rsidR="00AC5E26" w:rsidRPr="00C41085">
              <w:rPr>
                <w:rStyle w:val="normaltextrun"/>
                <w:rFonts w:ascii="Calibri" w:hAnsi="Calibri" w:cs="Calibri"/>
                <w:sz w:val="20"/>
                <w:szCs w:val="20"/>
              </w:rPr>
              <w:t>G</w:t>
            </w:r>
            <w:r w:rsidRPr="00C41085">
              <w:rPr>
                <w:rStyle w:val="normaltextrun"/>
                <w:rFonts w:ascii="Calibri" w:hAnsi="Calibri" w:cs="Calibri"/>
                <w:sz w:val="20"/>
                <w:szCs w:val="20"/>
              </w:rPr>
              <w:t>lycopyrronium bromide</w:t>
            </w:r>
          </w:p>
        </w:tc>
        <w:tc>
          <w:tcPr>
            <w:tcW w:w="1298" w:type="dxa"/>
          </w:tcPr>
          <w:p w14:paraId="03AA1BE3" w14:textId="5E8EE150" w:rsidR="004246BD" w:rsidRPr="00C41085" w:rsidRDefault="004246BD" w:rsidP="00C41085">
            <w:pPr>
              <w:keepNext/>
              <w:keepLines/>
              <w:spacing w:before="60" w:after="60"/>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0"/>
                <w:szCs w:val="20"/>
              </w:rPr>
            </w:pPr>
            <w:r w:rsidRPr="00C41085">
              <w:rPr>
                <w:rStyle w:val="normaltextrun"/>
                <w:rFonts w:ascii="Calibri" w:hAnsi="Calibri" w:cs="Calibri"/>
                <w:sz w:val="20"/>
                <w:szCs w:val="20"/>
              </w:rPr>
              <w:t>B3</w:t>
            </w:r>
          </w:p>
        </w:tc>
        <w:tc>
          <w:tcPr>
            <w:tcW w:w="1611" w:type="dxa"/>
          </w:tcPr>
          <w:p w14:paraId="2FFC8272" w14:textId="2A66AF41" w:rsidR="004246BD" w:rsidRPr="00C41085" w:rsidRDefault="004246BD" w:rsidP="00C41085">
            <w:pPr>
              <w:keepNext/>
              <w:keepLines/>
              <w:spacing w:before="60" w:after="60"/>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0"/>
                <w:szCs w:val="20"/>
              </w:rPr>
            </w:pPr>
            <w:r w:rsidRPr="00C41085">
              <w:rPr>
                <w:rStyle w:val="normaltextrun"/>
                <w:rFonts w:ascii="Calibri" w:hAnsi="Calibri" w:cs="Calibri"/>
                <w:sz w:val="20"/>
                <w:szCs w:val="20"/>
              </w:rPr>
              <w:t>Respiratory System</w:t>
            </w:r>
          </w:p>
        </w:tc>
        <w:tc>
          <w:tcPr>
            <w:tcW w:w="1663" w:type="dxa"/>
          </w:tcPr>
          <w:p w14:paraId="052524FC" w14:textId="51AAE57B" w:rsidR="004246BD" w:rsidRPr="00C41085" w:rsidRDefault="004246BD" w:rsidP="00C41085">
            <w:pPr>
              <w:keepNext/>
              <w:keepLines/>
              <w:spacing w:before="60" w:after="60"/>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0"/>
                <w:szCs w:val="20"/>
              </w:rPr>
            </w:pPr>
            <w:r w:rsidRPr="00C41085">
              <w:rPr>
                <w:rStyle w:val="normaltextrun"/>
                <w:rFonts w:ascii="Calibri" w:hAnsi="Calibri" w:cs="Calibri"/>
                <w:sz w:val="20"/>
                <w:szCs w:val="20"/>
              </w:rPr>
              <w:t>Inhalation agents</w:t>
            </w:r>
          </w:p>
        </w:tc>
        <w:tc>
          <w:tcPr>
            <w:tcW w:w="1561" w:type="dxa"/>
          </w:tcPr>
          <w:p w14:paraId="7D089BA7" w14:textId="412D6102" w:rsidR="004246BD" w:rsidRPr="00C41085" w:rsidRDefault="004246BD" w:rsidP="00C41085">
            <w:pPr>
              <w:keepNext/>
              <w:keepLines/>
              <w:spacing w:before="60" w:after="60"/>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20"/>
                <w:szCs w:val="20"/>
              </w:rPr>
            </w:pPr>
            <w:r w:rsidRPr="00C41085">
              <w:rPr>
                <w:rStyle w:val="eop"/>
                <w:rFonts w:ascii="Calibri" w:hAnsi="Calibri" w:cs="Calibri"/>
                <w:sz w:val="20"/>
                <w:szCs w:val="20"/>
              </w:rPr>
              <w:t> </w:t>
            </w:r>
          </w:p>
        </w:tc>
      </w:tr>
      <w:tr w:rsidR="004246BD" w:rsidRPr="00C41085" w14:paraId="574C1E01" w14:textId="77777777" w:rsidTr="004246BD">
        <w:tc>
          <w:tcPr>
            <w:cnfStyle w:val="001000000000" w:firstRow="0" w:lastRow="0" w:firstColumn="1" w:lastColumn="0" w:oddVBand="0" w:evenVBand="0" w:oddHBand="0" w:evenHBand="0" w:firstRowFirstColumn="0" w:firstRowLastColumn="0" w:lastRowFirstColumn="0" w:lastRowLastColumn="0"/>
            <w:tcW w:w="2537" w:type="dxa"/>
          </w:tcPr>
          <w:p w14:paraId="12E8744C" w14:textId="031B5DD5" w:rsidR="004246BD" w:rsidRPr="00C41085" w:rsidRDefault="00AC5E26" w:rsidP="00C41085">
            <w:pPr>
              <w:keepNext/>
              <w:keepLines/>
              <w:spacing w:before="60" w:after="60"/>
              <w:rPr>
                <w:rStyle w:val="normaltextrun"/>
                <w:rFonts w:ascii="Calibri" w:hAnsi="Calibri" w:cs="Calibri"/>
                <w:sz w:val="20"/>
                <w:szCs w:val="20"/>
              </w:rPr>
            </w:pPr>
            <w:r w:rsidRPr="00C41085">
              <w:rPr>
                <w:rStyle w:val="normaltextrun"/>
                <w:rFonts w:ascii="Calibri" w:hAnsi="Calibri" w:cs="Calibri"/>
                <w:sz w:val="20"/>
                <w:szCs w:val="20"/>
              </w:rPr>
              <w:t>I</w:t>
            </w:r>
            <w:r w:rsidR="004246BD" w:rsidRPr="00C41085">
              <w:rPr>
                <w:rStyle w:val="normaltextrun"/>
                <w:rFonts w:ascii="Calibri" w:hAnsi="Calibri" w:cs="Calibri"/>
                <w:sz w:val="20"/>
                <w:szCs w:val="20"/>
              </w:rPr>
              <w:t>ndacaterol/</w:t>
            </w:r>
            <w:r w:rsidRPr="00C41085">
              <w:rPr>
                <w:rStyle w:val="normaltextrun"/>
                <w:rFonts w:ascii="Calibri" w:hAnsi="Calibri" w:cs="Calibri"/>
                <w:sz w:val="20"/>
                <w:szCs w:val="20"/>
              </w:rPr>
              <w:t>G</w:t>
            </w:r>
            <w:r w:rsidR="004246BD" w:rsidRPr="00C41085">
              <w:rPr>
                <w:rStyle w:val="normaltextrun"/>
                <w:rFonts w:ascii="Calibri" w:hAnsi="Calibri" w:cs="Calibri"/>
                <w:sz w:val="20"/>
                <w:szCs w:val="20"/>
              </w:rPr>
              <w:t>lycopyrronium</w:t>
            </w:r>
          </w:p>
        </w:tc>
        <w:tc>
          <w:tcPr>
            <w:tcW w:w="1298" w:type="dxa"/>
          </w:tcPr>
          <w:p w14:paraId="7AC254B5" w14:textId="30E5AC76" w:rsidR="004246BD" w:rsidRPr="00C41085" w:rsidRDefault="004246BD" w:rsidP="00C41085">
            <w:pPr>
              <w:keepNext/>
              <w:keepLines/>
              <w:spacing w:before="60" w:after="60"/>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0"/>
                <w:szCs w:val="20"/>
              </w:rPr>
            </w:pPr>
            <w:r w:rsidRPr="00C41085">
              <w:rPr>
                <w:rStyle w:val="normaltextrun"/>
                <w:rFonts w:ascii="Calibri" w:hAnsi="Calibri" w:cs="Calibri"/>
                <w:sz w:val="20"/>
                <w:szCs w:val="20"/>
              </w:rPr>
              <w:t>B3</w:t>
            </w:r>
          </w:p>
        </w:tc>
        <w:tc>
          <w:tcPr>
            <w:tcW w:w="1611" w:type="dxa"/>
          </w:tcPr>
          <w:p w14:paraId="0C38A070" w14:textId="75628791" w:rsidR="004246BD" w:rsidRPr="00C41085" w:rsidRDefault="004246BD" w:rsidP="00C41085">
            <w:pPr>
              <w:keepNext/>
              <w:keepLines/>
              <w:spacing w:before="60" w:after="60"/>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0"/>
                <w:szCs w:val="20"/>
              </w:rPr>
            </w:pPr>
            <w:r w:rsidRPr="00C41085">
              <w:rPr>
                <w:rStyle w:val="normaltextrun"/>
                <w:rFonts w:ascii="Calibri" w:hAnsi="Calibri" w:cs="Calibri"/>
                <w:sz w:val="20"/>
                <w:szCs w:val="20"/>
              </w:rPr>
              <w:t>Respiratory System</w:t>
            </w:r>
          </w:p>
        </w:tc>
        <w:tc>
          <w:tcPr>
            <w:tcW w:w="1663" w:type="dxa"/>
          </w:tcPr>
          <w:p w14:paraId="736FA5C0" w14:textId="633E2E91" w:rsidR="004246BD" w:rsidRPr="00C41085" w:rsidRDefault="004246BD" w:rsidP="00C41085">
            <w:pPr>
              <w:keepNext/>
              <w:keepLines/>
              <w:spacing w:before="60" w:after="60"/>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20"/>
                <w:szCs w:val="20"/>
              </w:rPr>
            </w:pPr>
            <w:r w:rsidRPr="00C41085">
              <w:rPr>
                <w:rStyle w:val="normaltextrun"/>
                <w:rFonts w:ascii="Calibri" w:hAnsi="Calibri" w:cs="Calibri"/>
                <w:sz w:val="20"/>
                <w:szCs w:val="20"/>
              </w:rPr>
              <w:t>Inhalation agents</w:t>
            </w:r>
          </w:p>
        </w:tc>
        <w:tc>
          <w:tcPr>
            <w:tcW w:w="1561" w:type="dxa"/>
          </w:tcPr>
          <w:p w14:paraId="1D36B861" w14:textId="53C2115A" w:rsidR="004246BD" w:rsidRPr="00C41085" w:rsidRDefault="004246BD" w:rsidP="00C41085">
            <w:pPr>
              <w:keepNext/>
              <w:keepLines/>
              <w:spacing w:before="60" w:after="60"/>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20"/>
                <w:szCs w:val="20"/>
              </w:rPr>
            </w:pPr>
            <w:r w:rsidRPr="00C41085">
              <w:rPr>
                <w:rStyle w:val="normaltextrun"/>
                <w:rFonts w:ascii="Calibri" w:hAnsi="Calibri" w:cs="Calibri"/>
                <w:sz w:val="20"/>
                <w:szCs w:val="20"/>
              </w:rPr>
              <w:t>Bronchospasm relaxants</w:t>
            </w:r>
          </w:p>
        </w:tc>
      </w:tr>
      <w:tr w:rsidR="00586A6E" w:rsidRPr="00C41085" w14:paraId="0BBFF94E" w14:textId="77777777" w:rsidTr="00AC5E26">
        <w:tc>
          <w:tcPr>
            <w:cnfStyle w:val="001000000000" w:firstRow="0" w:lastRow="0" w:firstColumn="1" w:lastColumn="0" w:oddVBand="0" w:evenVBand="0" w:oddHBand="0" w:evenHBand="0" w:firstRowFirstColumn="0" w:firstRowLastColumn="0" w:lastRowFirstColumn="0" w:lastRowLastColumn="0"/>
            <w:tcW w:w="8670" w:type="dxa"/>
            <w:gridSpan w:val="5"/>
          </w:tcPr>
          <w:p w14:paraId="65D5AFE7" w14:textId="77777777" w:rsidR="00586A6E" w:rsidRPr="00C67045" w:rsidRDefault="00586A6E" w:rsidP="00C41085">
            <w:pPr>
              <w:keepNext/>
              <w:keepLines/>
              <w:spacing w:before="60" w:after="60"/>
              <w:rPr>
                <w:rFonts w:asciiTheme="minorHAnsi" w:hAnsiTheme="minorHAnsi" w:cstheme="minorHAnsi"/>
                <w:sz w:val="18"/>
                <w:szCs w:val="18"/>
              </w:rPr>
            </w:pPr>
            <w:r w:rsidRPr="00C67045">
              <w:rPr>
                <w:rFonts w:asciiTheme="minorHAnsi" w:hAnsiTheme="minorHAnsi" w:cstheme="minorHAnsi"/>
                <w:b/>
                <w:sz w:val="18"/>
                <w:szCs w:val="18"/>
              </w:rPr>
              <w:t>Category B2</w:t>
            </w:r>
            <w:r w:rsidRPr="00C67045">
              <w:rPr>
                <w:rFonts w:asciiTheme="minorHAnsi" w:hAnsiTheme="minorHAnsi" w:cstheme="minorHAnsi"/>
                <w:sz w:val="18"/>
                <w:szCs w:val="18"/>
              </w:rPr>
              <w:t xml:space="preserve"> – Drugs which have been taken by only a limited number of pregnant women and women of childbearing age, without an increase in the frequency of malformation or other direct or indirect harmful effects on the human foetus having been observed.</w:t>
            </w:r>
          </w:p>
          <w:p w14:paraId="51CA2BBA" w14:textId="77777777" w:rsidR="00586A6E" w:rsidRPr="00C67045" w:rsidRDefault="00586A6E" w:rsidP="00C41085">
            <w:pPr>
              <w:keepNext/>
              <w:keepLines/>
              <w:spacing w:before="60" w:after="60"/>
              <w:rPr>
                <w:rFonts w:asciiTheme="minorHAnsi" w:hAnsiTheme="minorHAnsi" w:cstheme="minorHAnsi"/>
                <w:sz w:val="18"/>
                <w:szCs w:val="18"/>
              </w:rPr>
            </w:pPr>
            <w:r w:rsidRPr="00C67045">
              <w:rPr>
                <w:rFonts w:asciiTheme="minorHAnsi" w:hAnsiTheme="minorHAnsi" w:cstheme="minorHAnsi"/>
                <w:sz w:val="18"/>
                <w:szCs w:val="18"/>
              </w:rPr>
              <w:t>Studies in animals are inadequate or may be lacking, but available data show no evidence of an increased occurrence of foetal damage.</w:t>
            </w:r>
          </w:p>
          <w:p w14:paraId="53FC4D3E" w14:textId="77777777" w:rsidR="00586A6E" w:rsidRPr="00C67045" w:rsidRDefault="00586A6E" w:rsidP="00C41085">
            <w:pPr>
              <w:keepNext/>
              <w:keepLines/>
              <w:spacing w:before="60" w:after="60"/>
              <w:rPr>
                <w:rFonts w:asciiTheme="minorHAnsi" w:hAnsiTheme="minorHAnsi" w:cstheme="minorHAnsi"/>
                <w:sz w:val="18"/>
                <w:szCs w:val="18"/>
              </w:rPr>
            </w:pPr>
            <w:r w:rsidRPr="00C67045">
              <w:rPr>
                <w:rFonts w:asciiTheme="minorHAnsi" w:hAnsiTheme="minorHAnsi" w:cstheme="minorHAnsi"/>
                <w:b/>
                <w:sz w:val="18"/>
                <w:szCs w:val="18"/>
              </w:rPr>
              <w:t>Category B3</w:t>
            </w:r>
            <w:r w:rsidRPr="00C67045">
              <w:rPr>
                <w:rFonts w:asciiTheme="minorHAnsi" w:hAnsiTheme="minorHAnsi" w:cstheme="minorHAnsi"/>
                <w:sz w:val="18"/>
                <w:szCs w:val="18"/>
              </w:rPr>
              <w:t xml:space="preserve"> – Drugs which have been taken by only a limited number of pregnant women and women of childbearing age, without an increase in the frequency of malformation or other direct or indirect harmful effects on the human foetus having been observed.</w:t>
            </w:r>
          </w:p>
          <w:p w14:paraId="76ED6170" w14:textId="290BFEFC" w:rsidR="00586A6E" w:rsidRPr="00C41085" w:rsidRDefault="00586A6E" w:rsidP="00C41085">
            <w:pPr>
              <w:keepNext/>
              <w:keepLines/>
              <w:spacing w:before="60" w:after="60"/>
              <w:rPr>
                <w:rFonts w:asciiTheme="minorHAnsi" w:hAnsiTheme="minorHAnsi" w:cstheme="minorHAnsi"/>
                <w:sz w:val="20"/>
                <w:szCs w:val="20"/>
              </w:rPr>
            </w:pPr>
            <w:r w:rsidRPr="00C67045">
              <w:rPr>
                <w:rFonts w:asciiTheme="minorHAnsi" w:hAnsiTheme="minorHAnsi" w:cstheme="minorHAnsi"/>
                <w:sz w:val="18"/>
                <w:szCs w:val="18"/>
              </w:rPr>
              <w:t>Studies in animals have shown evidence of an increased occurrence of foetal damage, the significance of which is considered uncertain in humans</w:t>
            </w:r>
            <w:r w:rsidRPr="00C41085">
              <w:rPr>
                <w:rFonts w:asciiTheme="minorHAnsi" w:hAnsiTheme="minorHAnsi" w:cstheme="minorHAnsi"/>
                <w:sz w:val="20"/>
                <w:szCs w:val="20"/>
              </w:rPr>
              <w:t>.</w:t>
            </w:r>
          </w:p>
        </w:tc>
      </w:tr>
    </w:tbl>
    <w:p w14:paraId="18A15529" w14:textId="67177CE8" w:rsidR="00586A6E" w:rsidRPr="008007EB" w:rsidRDefault="00586A6E" w:rsidP="00EB1099">
      <w:pPr>
        <w:pStyle w:val="ListBullet"/>
        <w:numPr>
          <w:ilvl w:val="0"/>
          <w:numId w:val="83"/>
        </w:numPr>
      </w:pPr>
      <w:r w:rsidRPr="004246BD">
        <w:t xml:space="preserve">There are no warning statements pertaining to </w:t>
      </w:r>
      <w:r w:rsidR="004246BD" w:rsidRPr="004246BD">
        <w:t>glycopyrronium</w:t>
      </w:r>
      <w:r w:rsidRPr="004246BD">
        <w:t xml:space="preserve"> in the </w:t>
      </w:r>
      <w:hyperlink r:id="rId72" w:history="1">
        <w:r w:rsidRPr="008007EB">
          <w:rPr>
            <w:rStyle w:val="Hyperlink"/>
            <w:rFonts w:asciiTheme="minorHAnsi" w:hAnsiTheme="minorHAnsi"/>
          </w:rPr>
          <w:t>Therapeutic Goods (Medicines Advisory Statements) Specification 2021</w:t>
        </w:r>
      </w:hyperlink>
      <w:r w:rsidR="004246BD">
        <w:rPr>
          <w:rStyle w:val="Hyperlink"/>
          <w:rFonts w:asciiTheme="minorHAnsi" w:hAnsiTheme="minorHAnsi"/>
        </w:rPr>
        <w:t>.</w:t>
      </w:r>
    </w:p>
    <w:p w14:paraId="2F155256" w14:textId="08E06335" w:rsidR="00586A6E" w:rsidRPr="00603580" w:rsidRDefault="004246BD" w:rsidP="00EB1099">
      <w:pPr>
        <w:pStyle w:val="ListBullet"/>
        <w:numPr>
          <w:ilvl w:val="0"/>
          <w:numId w:val="83"/>
        </w:numPr>
      </w:pPr>
      <w:r w:rsidRPr="00603580">
        <w:t>From July 2013 to July 2023</w:t>
      </w:r>
      <w:r w:rsidR="00586A6E" w:rsidRPr="00603580">
        <w:t xml:space="preserve">, there were </w:t>
      </w:r>
      <w:r w:rsidRPr="00603580">
        <w:t>130</w:t>
      </w:r>
      <w:r w:rsidR="00586A6E" w:rsidRPr="00603580">
        <w:t xml:space="preserve"> reports of adverse events for products containing </w:t>
      </w:r>
      <w:r w:rsidRPr="00603580">
        <w:t>glycopyrronium</w:t>
      </w:r>
      <w:r w:rsidR="00586A6E" w:rsidRPr="00603580">
        <w:t xml:space="preserve"> as an active ingredient on the </w:t>
      </w:r>
      <w:hyperlink r:id="rId73" w:history="1">
        <w:r w:rsidR="00EB1099">
          <w:rPr>
            <w:rStyle w:val="Hyperlink"/>
            <w:rFonts w:asciiTheme="minorHAnsi" w:hAnsiTheme="minorHAnsi"/>
          </w:rPr>
          <w:t>Database of Adverse Event Notifications</w:t>
        </w:r>
      </w:hyperlink>
      <w:r w:rsidR="00EB1099" w:rsidRPr="00EB1099">
        <w:rPr>
          <w:rStyle w:val="Hyperlink"/>
          <w:rFonts w:asciiTheme="minorHAnsi" w:hAnsiTheme="minorHAnsi"/>
          <w:color w:val="auto"/>
          <w:u w:val="none"/>
        </w:rPr>
        <w:t xml:space="preserve"> (DAEN)</w:t>
      </w:r>
      <w:r w:rsidR="00586A6E" w:rsidRPr="008007EB">
        <w:t xml:space="preserve">, </w:t>
      </w:r>
      <w:r w:rsidR="00586A6E" w:rsidRPr="00603580">
        <w:t xml:space="preserve">with </w:t>
      </w:r>
      <w:r w:rsidRPr="00603580">
        <w:t>88</w:t>
      </w:r>
      <w:r w:rsidR="00586A6E" w:rsidRPr="00603580">
        <w:t xml:space="preserve"> reports where </w:t>
      </w:r>
      <w:r w:rsidRPr="00603580">
        <w:t>glycopyrronium</w:t>
      </w:r>
      <w:r w:rsidR="00586A6E" w:rsidRPr="00603580">
        <w:t xml:space="preserve"> was the single suspected medicine.</w:t>
      </w:r>
      <w:r w:rsidR="00AE7276" w:rsidRPr="00603580">
        <w:t xml:space="preserve"> The major of reports appear to be related to preparations for inhalation and involved pulmonary and cardiac disorders, including dyspnoea, COPD and bradycardia.</w:t>
      </w:r>
    </w:p>
    <w:p w14:paraId="07BFA190" w14:textId="1660E8EE" w:rsidR="00586A6E" w:rsidRPr="008007EB" w:rsidRDefault="00586A6E" w:rsidP="00EB1099">
      <w:pPr>
        <w:pStyle w:val="ListBullet"/>
        <w:numPr>
          <w:ilvl w:val="0"/>
          <w:numId w:val="83"/>
        </w:numPr>
      </w:pPr>
      <w:r w:rsidRPr="00603580">
        <w:t xml:space="preserve">As of </w:t>
      </w:r>
      <w:r w:rsidR="004246BD" w:rsidRPr="00603580">
        <w:t>July 2023</w:t>
      </w:r>
      <w:r w:rsidRPr="00603580">
        <w:t xml:space="preserve">, there were no products containing </w:t>
      </w:r>
      <w:r w:rsidR="004246BD" w:rsidRPr="00603580">
        <w:t>glycopyrronium</w:t>
      </w:r>
      <w:r w:rsidRPr="00603580">
        <w:t xml:space="preserve"> as an active ingredient/constituent or scheduled substance listed on the </w:t>
      </w:r>
      <w:hyperlink r:id="rId74" w:history="1">
        <w:r w:rsidR="00EB1099">
          <w:rPr>
            <w:rStyle w:val="Hyperlink"/>
            <w:rFonts w:asciiTheme="minorHAnsi" w:hAnsiTheme="minorHAnsi"/>
          </w:rPr>
          <w:t>Public Chemical Registration Information System Search</w:t>
        </w:r>
      </w:hyperlink>
      <w:r w:rsidR="00EB1099" w:rsidRPr="00EB1099">
        <w:rPr>
          <w:rStyle w:val="Hyperlink"/>
          <w:rFonts w:asciiTheme="minorHAnsi" w:hAnsiTheme="minorHAnsi"/>
          <w:color w:val="auto"/>
          <w:u w:val="none"/>
        </w:rPr>
        <w:t xml:space="preserve"> (PubCRIS)</w:t>
      </w:r>
      <w:r w:rsidRPr="008007EB">
        <w:t>.</w:t>
      </w:r>
    </w:p>
    <w:p w14:paraId="767C5BED" w14:textId="77777777" w:rsidR="00571A6E" w:rsidRDefault="00571A6E">
      <w:pPr>
        <w:rPr>
          <w:rFonts w:ascii="Arial" w:eastAsia="Cambria" w:hAnsi="Arial" w:cs="Times New Roman"/>
          <w:b/>
          <w:bCs/>
          <w:color w:val="001871"/>
          <w:sz w:val="28"/>
          <w:szCs w:val="26"/>
        </w:rPr>
      </w:pPr>
      <w:r>
        <w:br w:type="page"/>
      </w:r>
    </w:p>
    <w:p w14:paraId="3EC24BC5" w14:textId="20264045" w:rsidR="00586A6E" w:rsidRDefault="00586A6E" w:rsidP="00586A6E">
      <w:pPr>
        <w:pStyle w:val="Heading4"/>
      </w:pPr>
      <w:bookmarkStart w:id="81" w:name="_Toc144110873"/>
      <w:r>
        <w:t>International regulations</w:t>
      </w:r>
      <w:bookmarkEnd w:id="81"/>
    </w:p>
    <w:p w14:paraId="72EFCE1A" w14:textId="62E2B4EC" w:rsidR="004246BD" w:rsidRPr="004246BD" w:rsidRDefault="004246BD" w:rsidP="004C7298">
      <w:pPr>
        <w:pStyle w:val="ListParagraph"/>
        <w:numPr>
          <w:ilvl w:val="0"/>
          <w:numId w:val="48"/>
        </w:numPr>
        <w:spacing w:before="0" w:after="120" w:line="259" w:lineRule="auto"/>
        <w:ind w:left="284" w:hanging="284"/>
        <w:contextualSpacing w:val="0"/>
        <w:textAlignment w:val="baseline"/>
        <w:rPr>
          <w:rFonts w:ascii="Calibri" w:eastAsia="Times New Roman" w:hAnsi="Calibri" w:cs="Calibri"/>
          <w:color w:val="333F48"/>
          <w:szCs w:val="22"/>
          <w:lang w:eastAsia="en-AU"/>
        </w:rPr>
      </w:pPr>
      <w:r w:rsidRPr="004246BD">
        <w:rPr>
          <w:rFonts w:ascii="Calibri" w:eastAsia="Times New Roman" w:hAnsi="Calibri" w:cs="Calibri"/>
          <w:szCs w:val="22"/>
          <w:lang w:eastAsia="en-AU"/>
        </w:rPr>
        <w:t xml:space="preserve">The </w:t>
      </w:r>
      <w:hyperlink r:id="rId75" w:tgtFrame="_blank" w:history="1">
        <w:r w:rsidRPr="004246BD">
          <w:rPr>
            <w:rFonts w:ascii="Calibri" w:eastAsia="Times New Roman" w:hAnsi="Calibri" w:cs="Calibri"/>
            <w:color w:val="0000FF"/>
            <w:szCs w:val="22"/>
            <w:u w:val="single"/>
            <w:lang w:eastAsia="en-AU"/>
          </w:rPr>
          <w:t>United States Food and Drug Administration Approved Drug Products Database</w:t>
        </w:r>
      </w:hyperlink>
      <w:r w:rsidRPr="004246BD">
        <w:rPr>
          <w:rFonts w:ascii="Calibri" w:eastAsia="Times New Roman" w:hAnsi="Calibri" w:cs="Calibri"/>
          <w:szCs w:val="22"/>
          <w:lang w:eastAsia="en-AU"/>
        </w:rPr>
        <w:t xml:space="preserve"> lists 45 active approved products containing glycopyrronium. </w:t>
      </w:r>
      <w:r w:rsidR="0005721D">
        <w:rPr>
          <w:rFonts w:ascii="Calibri" w:eastAsia="Times New Roman" w:hAnsi="Calibri" w:cs="Calibri"/>
          <w:szCs w:val="22"/>
          <w:lang w:eastAsia="en-AU"/>
        </w:rPr>
        <w:t xml:space="preserve">Of these </w:t>
      </w:r>
      <w:r w:rsidRPr="004246BD">
        <w:rPr>
          <w:rFonts w:ascii="Calibri" w:eastAsia="Times New Roman" w:hAnsi="Calibri" w:cs="Calibri"/>
          <w:szCs w:val="22"/>
          <w:lang w:eastAsia="en-AU"/>
        </w:rPr>
        <w:t>44 of these products are in the form of oral tablets, injections and inhalers that contain glycopyrrolate as an active ingredient, and 1 product contains glycopyrronium tosylate for topical use. All of these are available by prescription only.</w:t>
      </w:r>
    </w:p>
    <w:p w14:paraId="1F86D09E" w14:textId="141A19E9" w:rsidR="004246BD" w:rsidRPr="004246BD" w:rsidRDefault="004246BD" w:rsidP="004C7298">
      <w:pPr>
        <w:pStyle w:val="ListParagraph"/>
        <w:numPr>
          <w:ilvl w:val="0"/>
          <w:numId w:val="48"/>
        </w:numPr>
        <w:spacing w:before="0" w:after="120" w:line="259" w:lineRule="auto"/>
        <w:ind w:left="284" w:hanging="284"/>
        <w:contextualSpacing w:val="0"/>
        <w:textAlignment w:val="baseline"/>
        <w:rPr>
          <w:rFonts w:ascii="Calibri" w:eastAsia="Times New Roman" w:hAnsi="Calibri" w:cs="Calibri"/>
          <w:color w:val="333F48"/>
          <w:szCs w:val="22"/>
          <w:lang w:eastAsia="en-AU"/>
        </w:rPr>
      </w:pPr>
      <w:r w:rsidRPr="004246BD">
        <w:rPr>
          <w:rFonts w:ascii="Calibri" w:eastAsia="Times New Roman" w:hAnsi="Calibri" w:cs="Calibri"/>
          <w:szCs w:val="22"/>
          <w:lang w:eastAsia="en-AU"/>
        </w:rPr>
        <w:t xml:space="preserve">The </w:t>
      </w:r>
      <w:hyperlink r:id="rId76" w:tgtFrame="_blank" w:history="1">
        <w:r w:rsidRPr="004246BD">
          <w:rPr>
            <w:rFonts w:ascii="Calibri" w:eastAsia="Times New Roman" w:hAnsi="Calibri" w:cs="Calibri"/>
            <w:color w:val="0000FF"/>
            <w:szCs w:val="22"/>
            <w:u w:val="single"/>
            <w:lang w:eastAsia="en-AU"/>
          </w:rPr>
          <w:t>European Commission Union Register of medical products</w:t>
        </w:r>
      </w:hyperlink>
      <w:r w:rsidRPr="004246BD">
        <w:rPr>
          <w:rFonts w:ascii="Calibri" w:eastAsia="Times New Roman" w:hAnsi="Calibri" w:cs="Calibri"/>
          <w:szCs w:val="22"/>
          <w:lang w:eastAsia="en-AU"/>
        </w:rPr>
        <w:t xml:space="preserve"> lists 15 approved products containing glycopyrronium. These products are available as inhalers and oral solution. Glycopyrronium cream is approved as a prescription only medicine in </w:t>
      </w:r>
      <w:hyperlink r:id="rId77" w:history="1">
        <w:r w:rsidRPr="004C751C">
          <w:rPr>
            <w:rStyle w:val="Hyperlink"/>
            <w:rFonts w:ascii="Calibri" w:eastAsia="Times New Roman" w:hAnsi="Calibri" w:cs="Calibri"/>
            <w:szCs w:val="22"/>
            <w:lang w:eastAsia="en-AU"/>
          </w:rPr>
          <w:t>Austria</w:t>
        </w:r>
      </w:hyperlink>
      <w:r w:rsidR="007F0D81">
        <w:rPr>
          <w:rFonts w:ascii="Calibri" w:eastAsia="Times New Roman" w:hAnsi="Calibri" w:cs="Calibri"/>
          <w:szCs w:val="22"/>
          <w:lang w:eastAsia="en-AU"/>
        </w:rPr>
        <w:t xml:space="preserve">, </w:t>
      </w:r>
      <w:hyperlink r:id="rId78" w:history="1">
        <w:r w:rsidRPr="004C751C">
          <w:rPr>
            <w:rStyle w:val="Hyperlink"/>
            <w:rFonts w:ascii="Calibri" w:eastAsia="Times New Roman" w:hAnsi="Calibri" w:cs="Calibri"/>
            <w:szCs w:val="22"/>
            <w:lang w:eastAsia="en-AU"/>
          </w:rPr>
          <w:t>Sweden</w:t>
        </w:r>
      </w:hyperlink>
      <w:r w:rsidRPr="004246BD">
        <w:rPr>
          <w:rFonts w:ascii="Calibri" w:eastAsia="Times New Roman" w:hAnsi="Calibri" w:cs="Calibri"/>
          <w:szCs w:val="22"/>
          <w:lang w:eastAsia="en-AU"/>
        </w:rPr>
        <w:t xml:space="preserve">, </w:t>
      </w:r>
      <w:hyperlink r:id="rId79" w:history="1">
        <w:r w:rsidRPr="004C751C">
          <w:rPr>
            <w:rStyle w:val="Hyperlink"/>
            <w:rFonts w:ascii="Calibri" w:eastAsia="Times New Roman" w:hAnsi="Calibri" w:cs="Calibri"/>
            <w:szCs w:val="22"/>
            <w:lang w:eastAsia="en-AU"/>
          </w:rPr>
          <w:t>Finland</w:t>
        </w:r>
      </w:hyperlink>
      <w:r w:rsidRPr="004246BD">
        <w:rPr>
          <w:rFonts w:ascii="Calibri" w:eastAsia="Times New Roman" w:hAnsi="Calibri" w:cs="Calibri"/>
          <w:szCs w:val="22"/>
          <w:lang w:eastAsia="en-AU"/>
        </w:rPr>
        <w:t xml:space="preserve"> and</w:t>
      </w:r>
      <w:r w:rsidR="00471508">
        <w:rPr>
          <w:rFonts w:ascii="Calibri" w:eastAsia="Times New Roman" w:hAnsi="Calibri" w:cs="Calibri"/>
          <w:szCs w:val="22"/>
          <w:lang w:eastAsia="en-AU"/>
        </w:rPr>
        <w:t xml:space="preserve"> the</w:t>
      </w:r>
      <w:r w:rsidRPr="004246BD">
        <w:rPr>
          <w:rFonts w:ascii="Calibri" w:eastAsia="Times New Roman" w:hAnsi="Calibri" w:cs="Calibri"/>
          <w:szCs w:val="22"/>
          <w:lang w:eastAsia="en-AU"/>
        </w:rPr>
        <w:t xml:space="preserve"> </w:t>
      </w:r>
      <w:hyperlink r:id="rId80" w:history="1">
        <w:r w:rsidR="00471508">
          <w:rPr>
            <w:rStyle w:val="Hyperlink"/>
            <w:rFonts w:ascii="Calibri" w:eastAsia="Times New Roman" w:hAnsi="Calibri" w:cs="Calibri"/>
            <w:szCs w:val="22"/>
            <w:lang w:eastAsia="en-AU"/>
          </w:rPr>
          <w:t>Netherlands</w:t>
        </w:r>
      </w:hyperlink>
      <w:r w:rsidRPr="004246BD">
        <w:rPr>
          <w:rFonts w:ascii="Calibri" w:eastAsia="Times New Roman" w:hAnsi="Calibri" w:cs="Calibri"/>
          <w:szCs w:val="22"/>
          <w:lang w:eastAsia="en-AU"/>
        </w:rPr>
        <w:t>.</w:t>
      </w:r>
    </w:p>
    <w:p w14:paraId="2FD8D9A9" w14:textId="395EB831" w:rsidR="004246BD" w:rsidRPr="004246BD" w:rsidRDefault="00013F20" w:rsidP="004C7298">
      <w:pPr>
        <w:pStyle w:val="ListParagraph"/>
        <w:numPr>
          <w:ilvl w:val="0"/>
          <w:numId w:val="48"/>
        </w:numPr>
        <w:spacing w:before="0" w:after="120" w:line="259" w:lineRule="auto"/>
        <w:ind w:left="284" w:hanging="284"/>
        <w:contextualSpacing w:val="0"/>
        <w:textAlignment w:val="baseline"/>
        <w:rPr>
          <w:rFonts w:ascii="Calibri" w:eastAsia="Times New Roman" w:hAnsi="Calibri" w:cs="Calibri"/>
          <w:color w:val="333F48"/>
          <w:szCs w:val="22"/>
          <w:lang w:eastAsia="en-AU"/>
        </w:rPr>
      </w:pPr>
      <w:hyperlink r:id="rId81" w:tgtFrame="_blank" w:history="1">
        <w:r w:rsidR="00471508">
          <w:rPr>
            <w:rFonts w:ascii="Calibri" w:eastAsia="Times New Roman" w:hAnsi="Calibri" w:cs="Calibri"/>
            <w:color w:val="0000FF"/>
            <w:szCs w:val="22"/>
            <w:u w:val="single"/>
            <w:lang w:eastAsia="en-AU"/>
          </w:rPr>
          <w:t>New Zealand Medicines and Medical Devices Safety Authority</w:t>
        </w:r>
      </w:hyperlink>
      <w:r w:rsidR="004246BD" w:rsidRPr="004246BD">
        <w:rPr>
          <w:rFonts w:ascii="Calibri" w:eastAsia="Times New Roman" w:hAnsi="Calibri" w:cs="Calibri"/>
          <w:szCs w:val="22"/>
          <w:lang w:eastAsia="en-AU"/>
        </w:rPr>
        <w:t xml:space="preserve"> </w:t>
      </w:r>
      <w:r w:rsidR="00471508" w:rsidRPr="00471508">
        <w:rPr>
          <w:rFonts w:ascii="Calibri" w:eastAsia="Times New Roman" w:hAnsi="Calibri" w:cs="Calibri"/>
          <w:szCs w:val="22"/>
          <w:lang w:eastAsia="en-AU"/>
        </w:rPr>
        <w:t xml:space="preserve">(Medsafe) </w:t>
      </w:r>
      <w:r w:rsidR="004246BD" w:rsidRPr="004246BD">
        <w:rPr>
          <w:rFonts w:ascii="Calibri" w:eastAsia="Times New Roman" w:hAnsi="Calibri" w:cs="Calibri"/>
          <w:szCs w:val="22"/>
          <w:lang w:eastAsia="en-AU"/>
        </w:rPr>
        <w:t>lists glycopyrronium as prescription only.</w:t>
      </w:r>
    </w:p>
    <w:p w14:paraId="39FB8BBB" w14:textId="3115E011" w:rsidR="004246BD" w:rsidRPr="004246BD" w:rsidRDefault="00013F20" w:rsidP="004C7298">
      <w:pPr>
        <w:pStyle w:val="ListParagraph"/>
        <w:numPr>
          <w:ilvl w:val="0"/>
          <w:numId w:val="48"/>
        </w:numPr>
        <w:spacing w:before="0" w:after="120" w:line="259" w:lineRule="auto"/>
        <w:ind w:left="284" w:hanging="284"/>
        <w:contextualSpacing w:val="0"/>
        <w:textAlignment w:val="baseline"/>
        <w:rPr>
          <w:rFonts w:ascii="Calibri" w:eastAsia="Times New Roman" w:hAnsi="Calibri" w:cs="Calibri"/>
          <w:color w:val="333F48"/>
          <w:szCs w:val="22"/>
          <w:lang w:eastAsia="en-AU"/>
        </w:rPr>
      </w:pPr>
      <w:hyperlink r:id="rId82" w:tgtFrame="_blank" w:history="1">
        <w:r w:rsidR="004246BD" w:rsidRPr="004246BD">
          <w:rPr>
            <w:rFonts w:ascii="Calibri" w:eastAsia="Times New Roman" w:hAnsi="Calibri" w:cs="Calibri"/>
            <w:color w:val="0000FF"/>
            <w:szCs w:val="22"/>
            <w:u w:val="single"/>
            <w:lang w:eastAsia="en-AU"/>
          </w:rPr>
          <w:t>Canada’s Drug Product Database</w:t>
        </w:r>
      </w:hyperlink>
      <w:r w:rsidR="004246BD" w:rsidRPr="004246BD">
        <w:rPr>
          <w:rFonts w:ascii="Calibri" w:eastAsia="Times New Roman" w:hAnsi="Calibri" w:cs="Calibri"/>
          <w:szCs w:val="22"/>
          <w:lang w:eastAsia="en-AU"/>
        </w:rPr>
        <w:t xml:space="preserve"> lists 15 approved products containing glycopyrronium in the form of inhalers, oral solution and injectables. All of these products are listed as prescription only products except for injectables which are classified as ethical products.</w:t>
      </w:r>
    </w:p>
    <w:p w14:paraId="7B64E778" w14:textId="4A1D0C8A" w:rsidR="004246BD" w:rsidRPr="004246BD" w:rsidRDefault="004246BD" w:rsidP="004C7298">
      <w:pPr>
        <w:pStyle w:val="ListParagraph"/>
        <w:numPr>
          <w:ilvl w:val="0"/>
          <w:numId w:val="48"/>
        </w:numPr>
        <w:spacing w:before="0" w:after="120" w:line="259" w:lineRule="auto"/>
        <w:ind w:left="284" w:hanging="284"/>
        <w:contextualSpacing w:val="0"/>
        <w:textAlignment w:val="baseline"/>
        <w:rPr>
          <w:rFonts w:ascii="Calibri" w:eastAsia="Times New Roman" w:hAnsi="Calibri" w:cs="Calibri"/>
          <w:color w:val="333F48"/>
          <w:szCs w:val="22"/>
          <w:lang w:eastAsia="en-AU"/>
        </w:rPr>
      </w:pPr>
      <w:r w:rsidRPr="004246BD">
        <w:rPr>
          <w:rFonts w:ascii="Calibri" w:eastAsia="Times New Roman" w:hAnsi="Calibri" w:cs="Calibri"/>
          <w:szCs w:val="22"/>
          <w:lang w:eastAsia="en-AU"/>
        </w:rPr>
        <w:t xml:space="preserve">The UK </w:t>
      </w:r>
      <w:hyperlink r:id="rId83" w:tgtFrame="_blank" w:history="1">
        <w:r w:rsidR="00471508">
          <w:rPr>
            <w:rFonts w:ascii="Calibri" w:eastAsia="Times New Roman" w:hAnsi="Calibri" w:cs="Calibri"/>
            <w:color w:val="0000FF"/>
            <w:szCs w:val="22"/>
            <w:u w:val="single"/>
            <w:lang w:eastAsia="en-AU"/>
          </w:rPr>
          <w:t>Electronic Medicines Compendium</w:t>
        </w:r>
      </w:hyperlink>
      <w:r w:rsidRPr="004246BD">
        <w:rPr>
          <w:rFonts w:ascii="Calibri" w:eastAsia="Times New Roman" w:hAnsi="Calibri" w:cs="Calibri"/>
          <w:szCs w:val="22"/>
          <w:lang w:eastAsia="en-AU"/>
        </w:rPr>
        <w:t xml:space="preserve"> </w:t>
      </w:r>
      <w:r w:rsidR="00471508" w:rsidRPr="00471508">
        <w:rPr>
          <w:rFonts w:ascii="Calibri" w:eastAsia="Times New Roman" w:hAnsi="Calibri" w:cs="Calibri"/>
          <w:szCs w:val="22"/>
          <w:lang w:eastAsia="en-AU"/>
        </w:rPr>
        <w:t xml:space="preserve">(emc) </w:t>
      </w:r>
      <w:r w:rsidRPr="004246BD">
        <w:rPr>
          <w:rFonts w:ascii="Calibri" w:eastAsia="Times New Roman" w:hAnsi="Calibri" w:cs="Calibri"/>
          <w:szCs w:val="22"/>
          <w:lang w:eastAsia="en-AU"/>
        </w:rPr>
        <w:t>lists 22 approved products containing glycopyrronium. These products are present in the form of inhalers, oral tablets, oral solution and injections. All of these are available by prescription only.</w:t>
      </w:r>
    </w:p>
    <w:p w14:paraId="4B1E0BE8" w14:textId="254FBFC5" w:rsidR="004246BD" w:rsidRPr="00F318D9" w:rsidRDefault="004246BD" w:rsidP="004C7298">
      <w:pPr>
        <w:pStyle w:val="ListParagraph"/>
        <w:numPr>
          <w:ilvl w:val="0"/>
          <w:numId w:val="48"/>
        </w:numPr>
        <w:spacing w:before="0" w:after="120" w:line="259" w:lineRule="auto"/>
        <w:ind w:left="284" w:hanging="284"/>
        <w:contextualSpacing w:val="0"/>
        <w:textAlignment w:val="baseline"/>
        <w:rPr>
          <w:rFonts w:ascii="Calibri" w:eastAsia="Times New Roman" w:hAnsi="Calibri" w:cs="Calibri"/>
          <w:color w:val="333F48"/>
          <w:szCs w:val="22"/>
          <w:lang w:eastAsia="en-AU"/>
        </w:rPr>
      </w:pPr>
      <w:r w:rsidRPr="004246BD">
        <w:rPr>
          <w:rFonts w:ascii="Calibri" w:eastAsia="Times New Roman" w:hAnsi="Calibri" w:cs="Calibri"/>
          <w:szCs w:val="22"/>
          <w:lang w:eastAsia="en-AU"/>
        </w:rPr>
        <w:t xml:space="preserve">The </w:t>
      </w:r>
      <w:hyperlink r:id="rId84" w:tgtFrame="_blank" w:history="1">
        <w:r w:rsidRPr="004246BD">
          <w:rPr>
            <w:rFonts w:ascii="Calibri" w:eastAsia="Times New Roman" w:hAnsi="Calibri" w:cs="Calibri"/>
            <w:color w:val="0000FF"/>
            <w:szCs w:val="22"/>
            <w:u w:val="single"/>
            <w:lang w:eastAsia="en-AU"/>
          </w:rPr>
          <w:t>Ireland Health Products Regulation Authority</w:t>
        </w:r>
      </w:hyperlink>
      <w:r w:rsidRPr="004246BD">
        <w:rPr>
          <w:rFonts w:ascii="Calibri" w:eastAsia="Times New Roman" w:hAnsi="Calibri" w:cs="Calibri"/>
          <w:szCs w:val="22"/>
          <w:lang w:eastAsia="en-AU"/>
        </w:rPr>
        <w:t xml:space="preserve"> has 25 approved products containing glycopyrronium. These products are in the form of topical cream, inhaler, injection and oral solution. All are listed as prescription-only medicines.</w:t>
      </w:r>
    </w:p>
    <w:p w14:paraId="7FB46699" w14:textId="143B09B5" w:rsidR="00586A6E" w:rsidRPr="009401F6" w:rsidRDefault="001D5CC5" w:rsidP="00F2313E">
      <w:pPr>
        <w:pStyle w:val="Heading3"/>
      </w:pPr>
      <w:bookmarkStart w:id="82" w:name="_Toc144110874"/>
      <w:r>
        <w:t>1.5</w:t>
      </w:r>
      <w:r>
        <w:tab/>
      </w:r>
      <w:r w:rsidR="00586A6E">
        <w:t>Methenamine</w:t>
      </w:r>
      <w:bookmarkEnd w:id="82"/>
    </w:p>
    <w:p w14:paraId="46D0EBE6" w14:textId="77777777" w:rsidR="00586A6E" w:rsidRDefault="00586A6E" w:rsidP="00586A6E">
      <w:pPr>
        <w:pStyle w:val="Heading4"/>
      </w:pPr>
      <w:bookmarkStart w:id="83" w:name="_Toc144110875"/>
      <w:r>
        <w:t>Proposal</w:t>
      </w:r>
      <w:bookmarkEnd w:id="83"/>
    </w:p>
    <w:p w14:paraId="57F6BB2F" w14:textId="5D8CC408" w:rsidR="00586A6E" w:rsidRPr="00D75206" w:rsidRDefault="003B28D7" w:rsidP="00586A6E">
      <w:r>
        <w:t>The applicant has proposed to create a Schedule 2 entry for methenamine and its derivatives, in preparations for oral therapeutic use</w:t>
      </w:r>
      <w:r w:rsidR="00EA3F74">
        <w:t>. Methenamine</w:t>
      </w:r>
      <w:r w:rsidR="00817840">
        <w:t xml:space="preserve"> </w:t>
      </w:r>
      <w:r w:rsidR="00C41085">
        <w:t xml:space="preserve">is </w:t>
      </w:r>
      <w:r w:rsidR="00817840">
        <w:t xml:space="preserve">approved for </w:t>
      </w:r>
      <w:r w:rsidR="00EA3F74">
        <w:t xml:space="preserve">the </w:t>
      </w:r>
      <w:r w:rsidR="00817840">
        <w:t xml:space="preserve">suppression or elimination of bacteriuria associated with chronic or recurrent urinary tract infections (UTIs) and is currently available </w:t>
      </w:r>
      <w:r w:rsidR="00C41085">
        <w:t xml:space="preserve">for </w:t>
      </w:r>
      <w:r w:rsidR="00817840">
        <w:t>general sale.</w:t>
      </w:r>
      <w:r w:rsidR="00F729C6">
        <w:t xml:space="preserve"> </w:t>
      </w:r>
    </w:p>
    <w:p w14:paraId="2F77D1BE" w14:textId="7B9A3CB5" w:rsidR="00586A6E" w:rsidRDefault="00586A6E" w:rsidP="00586A6E">
      <w:pPr>
        <w:pStyle w:val="Heading4"/>
      </w:pPr>
      <w:bookmarkStart w:id="84" w:name="_Toc144110876"/>
      <w:r>
        <w:t>CAS number</w:t>
      </w:r>
      <w:bookmarkEnd w:id="84"/>
    </w:p>
    <w:p w14:paraId="22B62D6F" w14:textId="0AF51947" w:rsidR="00586A6E" w:rsidRDefault="00094EF3" w:rsidP="00586A6E">
      <w:r w:rsidRPr="00094EF3">
        <w:t>5714-73-8</w:t>
      </w:r>
    </w:p>
    <w:p w14:paraId="41F9B2C5" w14:textId="77777777" w:rsidR="00586A6E" w:rsidRDefault="00586A6E" w:rsidP="00586A6E">
      <w:pPr>
        <w:pStyle w:val="Heading4"/>
      </w:pPr>
      <w:bookmarkStart w:id="85" w:name="_Toc144110877"/>
      <w:r>
        <w:t>Alternative names</w:t>
      </w:r>
      <w:bookmarkEnd w:id="85"/>
    </w:p>
    <w:p w14:paraId="1A027AC5" w14:textId="7D4E86A0" w:rsidR="00094EF3" w:rsidRDefault="00094EF3" w:rsidP="00586A6E">
      <w:r>
        <w:t xml:space="preserve">Methenamine </w:t>
      </w:r>
      <w:r w:rsidR="00C41085">
        <w:t xml:space="preserve">hippurate; </w:t>
      </w:r>
      <w:r>
        <w:t xml:space="preserve">Hexamine </w:t>
      </w:r>
      <w:r w:rsidR="00C41085">
        <w:t>h</w:t>
      </w:r>
      <w:r>
        <w:t>ippurate</w:t>
      </w:r>
    </w:p>
    <w:p w14:paraId="39731109" w14:textId="77777777" w:rsidR="00586A6E" w:rsidRPr="002C1070" w:rsidRDefault="00586A6E" w:rsidP="00586A6E">
      <w:pPr>
        <w:pStyle w:val="Heading4"/>
      </w:pPr>
      <w:bookmarkStart w:id="86" w:name="_Toc144110878"/>
      <w:r>
        <w:t>Applicant</w:t>
      </w:r>
      <w:bookmarkEnd w:id="86"/>
    </w:p>
    <w:p w14:paraId="0E61685B" w14:textId="65C889BD" w:rsidR="00586A6E" w:rsidRPr="003639D9" w:rsidRDefault="00586A6E" w:rsidP="00586A6E">
      <w:r w:rsidRPr="00094EF3">
        <w:t>Private applicant</w:t>
      </w:r>
    </w:p>
    <w:p w14:paraId="5F2AE1E6" w14:textId="77777777" w:rsidR="00571A6E" w:rsidRDefault="00571A6E">
      <w:pPr>
        <w:rPr>
          <w:rFonts w:ascii="Arial" w:eastAsia="Cambria" w:hAnsi="Arial" w:cs="Times New Roman"/>
          <w:b/>
          <w:bCs/>
          <w:color w:val="001871"/>
          <w:sz w:val="28"/>
          <w:szCs w:val="26"/>
        </w:rPr>
      </w:pPr>
      <w:r>
        <w:br w:type="page"/>
      </w:r>
    </w:p>
    <w:p w14:paraId="49ED159E" w14:textId="4D876B44" w:rsidR="00586A6E" w:rsidRDefault="00586A6E" w:rsidP="00586A6E">
      <w:pPr>
        <w:pStyle w:val="Heading4"/>
      </w:pPr>
      <w:bookmarkStart w:id="87" w:name="_Toc144110879"/>
      <w:r>
        <w:t>Proposed Scheduling</w:t>
      </w:r>
      <w:bookmarkEnd w:id="87"/>
    </w:p>
    <w:p w14:paraId="58B7EA91" w14:textId="30A040B3" w:rsidR="000F6508" w:rsidRPr="00657EF9" w:rsidRDefault="000F6508" w:rsidP="000F6508">
      <w:r>
        <w:rPr>
          <w:rStyle w:val="normaltextrun"/>
          <w:rFonts w:eastAsia="Cambria" w:cstheme="minorHAnsi"/>
          <w:color w:val="000000"/>
          <w:szCs w:val="22"/>
          <w:shd w:val="clear" w:color="auto" w:fill="FFFFFF"/>
        </w:rPr>
        <w:t>Methenamine</w:t>
      </w:r>
      <w:r w:rsidRPr="00B2729D">
        <w:rPr>
          <w:rStyle w:val="normaltextrun"/>
          <w:rFonts w:eastAsia="Cambria" w:cstheme="minorHAnsi"/>
          <w:color w:val="000000"/>
          <w:szCs w:val="22"/>
          <w:shd w:val="clear" w:color="auto" w:fill="FFFFFF"/>
        </w:rPr>
        <w:t xml:space="preserve"> is currently listed </w:t>
      </w:r>
      <w:r>
        <w:rPr>
          <w:rStyle w:val="normaltextrun"/>
          <w:rFonts w:eastAsia="Cambria" w:cstheme="minorHAnsi"/>
          <w:color w:val="000000"/>
          <w:szCs w:val="22"/>
          <w:shd w:val="clear" w:color="auto" w:fill="FFFFFF"/>
        </w:rPr>
        <w:t>in Schedule 5 of the Poisons Standard.</w:t>
      </w:r>
    </w:p>
    <w:p w14:paraId="0EDC4F17" w14:textId="0700A0BC" w:rsidR="00586A6E" w:rsidRPr="0072362E" w:rsidRDefault="00586A6E" w:rsidP="00586A6E">
      <w:r w:rsidRPr="0072362E">
        <w:t>The applicant’s proposed amendments to the Poisons Standard are</w:t>
      </w:r>
      <w:r w:rsidR="00C41085">
        <w:t>:</w:t>
      </w:r>
      <w:r w:rsidR="008D4FF7">
        <w:rPr>
          <w:rStyle w:val="FootnoteReference"/>
        </w:rPr>
        <w:footnoteReference w:id="6"/>
      </w:r>
      <w:r w:rsidR="008D4FF7" w:rsidRPr="0072362E">
        <w:t xml:space="preserve"> </w:t>
      </w:r>
    </w:p>
    <w:p w14:paraId="4A408361" w14:textId="5E1AA8E9" w:rsidR="00E80E3F" w:rsidRPr="00E80E3F" w:rsidRDefault="00A95B6F" w:rsidP="00E80E3F">
      <w:pPr>
        <w:ind w:left="426"/>
        <w:rPr>
          <w:b/>
        </w:rPr>
      </w:pPr>
      <w:r>
        <w:rPr>
          <w:b/>
          <w:bCs/>
        </w:rPr>
        <w:t>Schedule</w:t>
      </w:r>
      <w:r w:rsidRPr="00E80E3F">
        <w:rPr>
          <w:b/>
          <w:bCs/>
        </w:rPr>
        <w:t xml:space="preserve"> </w:t>
      </w:r>
      <w:r w:rsidR="00E80E3F" w:rsidRPr="00E80E3F">
        <w:rPr>
          <w:b/>
          <w:bCs/>
        </w:rPr>
        <w:t>5</w:t>
      </w:r>
    </w:p>
    <w:p w14:paraId="27FCEA7E" w14:textId="5918226E" w:rsidR="00E80E3F" w:rsidRPr="00E80E3F" w:rsidRDefault="00E80E3F" w:rsidP="0072362E">
      <w:pPr>
        <w:ind w:left="720"/>
        <w:rPr>
          <w:bCs/>
        </w:rPr>
      </w:pPr>
      <w:r w:rsidRPr="00C41085">
        <w:rPr>
          <w:bCs/>
        </w:rPr>
        <w:t>METHENAMINE</w:t>
      </w:r>
      <w:r w:rsidRPr="00E80E3F">
        <w:rPr>
          <w:bCs/>
        </w:rPr>
        <w:t xml:space="preserve"> in cosmetic preparations, </w:t>
      </w:r>
      <w:r w:rsidRPr="00E80E3F">
        <w:rPr>
          <w:b/>
        </w:rPr>
        <w:t>except</w:t>
      </w:r>
      <w:r w:rsidRPr="00E80E3F">
        <w:rPr>
          <w:bCs/>
        </w:rPr>
        <w:t xml:space="preserve"> in preparations containing 0.15% or less of methenamine</w:t>
      </w:r>
    </w:p>
    <w:p w14:paraId="2CBCBDD7" w14:textId="3FCEE296" w:rsidR="00E80E3F" w:rsidRPr="0072362E" w:rsidRDefault="00A95B6F" w:rsidP="00E80E3F">
      <w:pPr>
        <w:ind w:left="426"/>
        <w:rPr>
          <w:b/>
          <w:bCs/>
        </w:rPr>
      </w:pPr>
      <w:r>
        <w:rPr>
          <w:b/>
          <w:bCs/>
        </w:rPr>
        <w:t>Schedule</w:t>
      </w:r>
      <w:r w:rsidRPr="0072362E">
        <w:rPr>
          <w:b/>
          <w:bCs/>
        </w:rPr>
        <w:t xml:space="preserve"> </w:t>
      </w:r>
      <w:r w:rsidR="00E80E3F" w:rsidRPr="0072362E">
        <w:rPr>
          <w:b/>
          <w:bCs/>
        </w:rPr>
        <w:t>2</w:t>
      </w:r>
      <w:r w:rsidR="004A5739" w:rsidRPr="0072362E">
        <w:rPr>
          <w:b/>
          <w:bCs/>
        </w:rPr>
        <w:t xml:space="preserve"> – New entry</w:t>
      </w:r>
    </w:p>
    <w:p w14:paraId="5FCBA151" w14:textId="48D3E986" w:rsidR="00E80E3F" w:rsidRPr="00E80E3F" w:rsidRDefault="00E80E3F" w:rsidP="0072362E">
      <w:pPr>
        <w:ind w:left="720"/>
        <w:rPr>
          <w:color w:val="00B050"/>
        </w:rPr>
      </w:pPr>
      <w:r w:rsidRPr="00E80E3F">
        <w:rPr>
          <w:color w:val="00B050"/>
          <w:u w:val="single"/>
        </w:rPr>
        <w:t>METHENAMINE and its derivatives in preparations for oral therapeutic use</w:t>
      </w:r>
    </w:p>
    <w:p w14:paraId="7C772DD0" w14:textId="79CA38A7" w:rsidR="00586A6E" w:rsidRDefault="00586A6E" w:rsidP="00586A6E">
      <w:pPr>
        <w:ind w:left="426"/>
        <w:rPr>
          <w:b/>
        </w:rPr>
      </w:pPr>
      <w:r w:rsidRPr="0072362E">
        <w:rPr>
          <w:b/>
        </w:rPr>
        <w:t>Index – Amend Entry</w:t>
      </w:r>
    </w:p>
    <w:p w14:paraId="56E7B250" w14:textId="6717E7C2" w:rsidR="004A5739" w:rsidRDefault="004A5739">
      <w:pPr>
        <w:ind w:left="720"/>
        <w:rPr>
          <w:rFonts w:cstheme="minorHAnsi"/>
        </w:rPr>
      </w:pPr>
      <w:r w:rsidRPr="0072362E">
        <w:rPr>
          <w:rFonts w:cstheme="minorHAnsi"/>
          <w:b/>
          <w:bCs/>
        </w:rPr>
        <w:t>METHENAMINE</w:t>
      </w:r>
      <w:r>
        <w:rPr>
          <w:rFonts w:cstheme="minorHAnsi"/>
        </w:rPr>
        <w:t xml:space="preserve"> </w:t>
      </w:r>
      <w:r>
        <w:rPr>
          <w:rFonts w:cstheme="minorHAnsi"/>
        </w:rPr>
        <w:br/>
      </w:r>
      <w:r w:rsidRPr="00094EF3">
        <w:rPr>
          <w:rFonts w:cstheme="minorHAnsi"/>
        </w:rPr>
        <w:t>cross reference: 1,3,5,7-TETRAAZATRICYLO</w:t>
      </w:r>
      <w:r w:rsidR="00B57EB5">
        <w:t>[3.3.1.1</w:t>
      </w:r>
      <w:r w:rsidR="00B57EB5">
        <w:rPr>
          <w:vertAlign w:val="superscript"/>
        </w:rPr>
        <w:t>3,7</w:t>
      </w:r>
      <w:r w:rsidR="00B57EB5">
        <w:t>]</w:t>
      </w:r>
      <w:r w:rsidRPr="00094EF3">
        <w:rPr>
          <w:rFonts w:cstheme="minorHAnsi"/>
        </w:rPr>
        <w:t xml:space="preserve"> DECANE, HEXAMINE, HEXAMETHYLENETETRAMINE</w:t>
      </w:r>
    </w:p>
    <w:p w14:paraId="03256CDE" w14:textId="49B7BC5A" w:rsidR="00586A6E" w:rsidRDefault="004A5739" w:rsidP="0072362E">
      <w:pPr>
        <w:ind w:left="720"/>
        <w:rPr>
          <w:rFonts w:cstheme="minorHAnsi"/>
        </w:rPr>
      </w:pPr>
      <w:r w:rsidRPr="00094EF3">
        <w:rPr>
          <w:rFonts w:cstheme="minorHAnsi"/>
        </w:rPr>
        <w:t>Schedule 5</w:t>
      </w:r>
      <w:r>
        <w:rPr>
          <w:rFonts w:cstheme="minorHAnsi"/>
        </w:rPr>
        <w:br/>
      </w:r>
      <w:r w:rsidRPr="004A5739">
        <w:rPr>
          <w:rFonts w:cstheme="minorHAnsi"/>
          <w:color w:val="00B050"/>
          <w:u w:val="single"/>
        </w:rPr>
        <w:t>Schedule 2</w:t>
      </w:r>
    </w:p>
    <w:p w14:paraId="371619C0" w14:textId="77777777" w:rsidR="00586A6E" w:rsidRDefault="00586A6E" w:rsidP="00586A6E">
      <w:pPr>
        <w:pStyle w:val="Heading4"/>
      </w:pPr>
      <w:bookmarkStart w:id="88" w:name="_Toc144110880"/>
      <w:r>
        <w:t>Background</w:t>
      </w:r>
      <w:bookmarkEnd w:id="88"/>
    </w:p>
    <w:p w14:paraId="1AB2DE7D" w14:textId="2BCD0DC1" w:rsidR="00C12EE3" w:rsidRDefault="00EA3F74" w:rsidP="00586A6E">
      <w:r>
        <w:t xml:space="preserve">Methenamine has several uses across the cosmetic, therapeutic, domestic, and industrial environments. </w:t>
      </w:r>
      <w:r w:rsidR="00817840">
        <w:t>Methenamine</w:t>
      </w:r>
      <w:r w:rsidR="00C12EE3">
        <w:t xml:space="preserve"> has not previously been considered for scheduling for therapeutic purposes but was placed in Schedule 5 for cosmetic </w:t>
      </w:r>
      <w:r w:rsidR="00817840">
        <w:t>uses</w:t>
      </w:r>
      <w:r w:rsidR="00C12EE3">
        <w:t xml:space="preserve"> in March 2014. </w:t>
      </w:r>
      <w:r w:rsidR="00C41085">
        <w:t>M</w:t>
      </w:r>
      <w:r w:rsidR="00C12EE3">
        <w:t xml:space="preserve">ethenamine hippurate has been supplied and sold in </w:t>
      </w:r>
      <w:r w:rsidR="00C41085">
        <w:t xml:space="preserve">therapeutic products in </w:t>
      </w:r>
      <w:r w:rsidR="00C12EE3">
        <w:t>Australia since 1991.</w:t>
      </w:r>
    </w:p>
    <w:p w14:paraId="5CD36BBC" w14:textId="77777777" w:rsidR="00586A6E" w:rsidRDefault="00586A6E" w:rsidP="00586A6E">
      <w:pPr>
        <w:pStyle w:val="Heading4"/>
      </w:pPr>
      <w:bookmarkStart w:id="89" w:name="_Toc144110881"/>
      <w:r>
        <w:t>Summary of applicant’s reasons for the proposal</w:t>
      </w:r>
      <w:bookmarkEnd w:id="89"/>
    </w:p>
    <w:p w14:paraId="13419760" w14:textId="1A3F003D" w:rsidR="00B57EB5" w:rsidRPr="00EA3F74" w:rsidRDefault="00EF335F" w:rsidP="004C7298">
      <w:pPr>
        <w:pStyle w:val="ListParagraph"/>
        <w:numPr>
          <w:ilvl w:val="0"/>
          <w:numId w:val="17"/>
        </w:numPr>
        <w:spacing w:before="0" w:after="120" w:line="259" w:lineRule="auto"/>
        <w:ind w:left="425" w:hanging="357"/>
        <w:rPr>
          <w:rFonts w:asciiTheme="minorHAnsi" w:hAnsiTheme="minorHAnsi" w:cstheme="minorHAnsi"/>
        </w:rPr>
      </w:pPr>
      <w:r w:rsidRPr="00EA3F74">
        <w:rPr>
          <w:rFonts w:asciiTheme="minorHAnsi" w:hAnsiTheme="minorHAnsi" w:cstheme="minorHAnsi"/>
        </w:rPr>
        <w:t>The applicant has proposed to create a Schedule 2 entry for therapeutic use of methenamine. This amendment would require all products currently available at the general sales level, to be sold in pharmacies only</w:t>
      </w:r>
      <w:r w:rsidR="00B57EB5">
        <w:rPr>
          <w:rFonts w:asciiTheme="minorHAnsi" w:hAnsiTheme="minorHAnsi" w:cstheme="minorHAnsi"/>
        </w:rPr>
        <w:t>.</w:t>
      </w:r>
    </w:p>
    <w:p w14:paraId="2E011B4C" w14:textId="1EA0DFAA" w:rsidR="00EF335F" w:rsidRPr="00EB1099" w:rsidRDefault="00EF335F" w:rsidP="004C7298">
      <w:pPr>
        <w:pStyle w:val="ListParagraph"/>
        <w:numPr>
          <w:ilvl w:val="0"/>
          <w:numId w:val="17"/>
        </w:numPr>
        <w:spacing w:before="0" w:after="120" w:line="259" w:lineRule="auto"/>
        <w:ind w:left="425" w:hanging="357"/>
        <w:rPr>
          <w:rFonts w:asciiTheme="minorHAnsi" w:hAnsiTheme="minorHAnsi" w:cstheme="minorHAnsi"/>
        </w:rPr>
      </w:pPr>
      <w:r w:rsidRPr="00EB1099">
        <w:rPr>
          <w:rFonts w:asciiTheme="minorHAnsi" w:hAnsiTheme="minorHAnsi" w:cstheme="minorHAnsi"/>
        </w:rPr>
        <w:t xml:space="preserve">The availability of methenamine to </w:t>
      </w:r>
      <w:r w:rsidR="00B57EB5" w:rsidRPr="00EB1099">
        <w:rPr>
          <w:rFonts w:asciiTheme="minorHAnsi" w:hAnsiTheme="minorHAnsi" w:cstheme="minorHAnsi"/>
        </w:rPr>
        <w:t xml:space="preserve">suppress or eliminate bacteriuria associated with chronic or recurrent urinary tract infection (UTI) </w:t>
      </w:r>
      <w:r w:rsidR="00EA3F74" w:rsidRPr="00EB1099">
        <w:rPr>
          <w:rFonts w:asciiTheme="minorHAnsi" w:hAnsiTheme="minorHAnsi" w:cstheme="minorHAnsi"/>
        </w:rPr>
        <w:t>poses a risk to public health as the indications could mask a more serious disease, ailment, or injury. Access to discussion with a pharmacist to ensure proper use of the substance is required.</w:t>
      </w:r>
    </w:p>
    <w:p w14:paraId="5EF1C216" w14:textId="2591876E" w:rsidR="00EA3F74" w:rsidRDefault="00EA3F74" w:rsidP="004C7298">
      <w:pPr>
        <w:pStyle w:val="ListParagraph"/>
        <w:numPr>
          <w:ilvl w:val="0"/>
          <w:numId w:val="17"/>
        </w:numPr>
        <w:spacing w:before="0" w:after="120" w:line="259" w:lineRule="auto"/>
        <w:ind w:left="425" w:hanging="357"/>
        <w:rPr>
          <w:rFonts w:asciiTheme="minorHAnsi" w:hAnsiTheme="minorHAnsi" w:cstheme="minorHAnsi"/>
        </w:rPr>
      </w:pPr>
      <w:r w:rsidRPr="000074BA">
        <w:rPr>
          <w:rFonts w:asciiTheme="minorHAnsi" w:hAnsiTheme="minorHAnsi" w:cstheme="minorHAnsi"/>
        </w:rPr>
        <w:t>The move to pharmacy only medicine (Schedule 2), would ensure that a pharmacist is available to assist patients who are new to the product that it is the correct treatment option for their condition</w:t>
      </w:r>
      <w:r w:rsidR="000074BA" w:rsidRPr="000074BA">
        <w:rPr>
          <w:rFonts w:asciiTheme="minorHAnsi" w:hAnsiTheme="minorHAnsi" w:cstheme="minorHAnsi"/>
        </w:rPr>
        <w:t xml:space="preserve"> and </w:t>
      </w:r>
      <w:r w:rsidR="000074BA" w:rsidRPr="00EB1099">
        <w:rPr>
          <w:rFonts w:asciiTheme="minorHAnsi" w:hAnsiTheme="minorHAnsi" w:cstheme="minorHAnsi"/>
        </w:rPr>
        <w:t xml:space="preserve">patients who are familiar with using the product </w:t>
      </w:r>
      <w:r w:rsidR="000074BA">
        <w:rPr>
          <w:rFonts w:asciiTheme="minorHAnsi" w:hAnsiTheme="minorHAnsi" w:cstheme="minorHAnsi"/>
        </w:rPr>
        <w:t xml:space="preserve">will continue to be able </w:t>
      </w:r>
      <w:r w:rsidR="0038013C">
        <w:rPr>
          <w:rFonts w:asciiTheme="minorHAnsi" w:hAnsiTheme="minorHAnsi" w:cstheme="minorHAnsi"/>
        </w:rPr>
        <w:t xml:space="preserve">to </w:t>
      </w:r>
      <w:r w:rsidR="0038013C" w:rsidRPr="0038013C">
        <w:rPr>
          <w:rFonts w:asciiTheme="minorHAnsi" w:hAnsiTheme="minorHAnsi" w:cstheme="minorHAnsi"/>
        </w:rPr>
        <w:t>access</w:t>
      </w:r>
      <w:r w:rsidR="000074BA" w:rsidRPr="00EB1099">
        <w:rPr>
          <w:rFonts w:asciiTheme="minorHAnsi" w:hAnsiTheme="minorHAnsi" w:cstheme="minorHAnsi"/>
        </w:rPr>
        <w:t xml:space="preserve"> it as needed over the counter in a pharmacy</w:t>
      </w:r>
      <w:r w:rsidR="000074BA">
        <w:rPr>
          <w:rFonts w:asciiTheme="minorHAnsi" w:hAnsiTheme="minorHAnsi" w:cstheme="minorHAnsi"/>
        </w:rPr>
        <w:t>.</w:t>
      </w:r>
    </w:p>
    <w:p w14:paraId="22E7C9DC" w14:textId="5BFC394B" w:rsidR="00EA3F74" w:rsidRPr="00EA3F74" w:rsidRDefault="00EA3F74" w:rsidP="004C7298">
      <w:pPr>
        <w:pStyle w:val="ListParagraph"/>
        <w:numPr>
          <w:ilvl w:val="0"/>
          <w:numId w:val="17"/>
        </w:numPr>
        <w:spacing w:before="0" w:after="120" w:line="259" w:lineRule="auto"/>
        <w:ind w:left="425" w:hanging="357"/>
        <w:rPr>
          <w:rFonts w:asciiTheme="minorHAnsi" w:hAnsiTheme="minorHAnsi" w:cstheme="minorHAnsi"/>
        </w:rPr>
      </w:pPr>
      <w:r>
        <w:rPr>
          <w:rFonts w:asciiTheme="minorHAnsi" w:hAnsiTheme="minorHAnsi" w:cstheme="minorHAnsi"/>
        </w:rPr>
        <w:t xml:space="preserve">Moving therapeutic use of methenamine to Schedule 2 will align with </w:t>
      </w:r>
      <w:r w:rsidR="008C5788">
        <w:rPr>
          <w:rFonts w:asciiTheme="minorHAnsi" w:hAnsiTheme="minorHAnsi" w:cstheme="minorHAnsi"/>
        </w:rPr>
        <w:t xml:space="preserve">the controls of </w:t>
      </w:r>
      <w:r>
        <w:rPr>
          <w:rFonts w:asciiTheme="minorHAnsi" w:hAnsiTheme="minorHAnsi" w:cstheme="minorHAnsi"/>
        </w:rPr>
        <w:t>other international regulatory bodies</w:t>
      </w:r>
      <w:r w:rsidR="008C5788">
        <w:rPr>
          <w:rFonts w:asciiTheme="minorHAnsi" w:hAnsiTheme="minorHAnsi" w:cstheme="minorHAnsi"/>
        </w:rPr>
        <w:t xml:space="preserve"> and the </w:t>
      </w:r>
      <w:hyperlink r:id="rId85" w:history="1">
        <w:r w:rsidR="008C5788" w:rsidRPr="008B4FA7">
          <w:rPr>
            <w:rStyle w:val="Hyperlink"/>
            <w:rFonts w:asciiTheme="minorHAnsi" w:hAnsiTheme="minorHAnsi" w:cstheme="minorHAnsi"/>
          </w:rPr>
          <w:t>scheduling factors</w:t>
        </w:r>
      </w:hyperlink>
      <w:r w:rsidR="008C5788">
        <w:rPr>
          <w:rFonts w:asciiTheme="minorHAnsi" w:hAnsiTheme="minorHAnsi" w:cstheme="minorHAnsi"/>
        </w:rPr>
        <w:t xml:space="preserve"> for pharmacy only medicines</w:t>
      </w:r>
      <w:r w:rsidR="0038013C">
        <w:rPr>
          <w:rFonts w:asciiTheme="minorHAnsi" w:hAnsiTheme="minorHAnsi" w:cstheme="minorHAnsi"/>
        </w:rPr>
        <w:t xml:space="preserve"> in Australia.</w:t>
      </w:r>
    </w:p>
    <w:p w14:paraId="200B5BB5" w14:textId="77777777" w:rsidR="00571A6E" w:rsidRDefault="00571A6E">
      <w:pPr>
        <w:rPr>
          <w:rFonts w:ascii="Arial" w:eastAsia="Cambria" w:hAnsi="Arial" w:cs="Times New Roman"/>
          <w:b/>
          <w:bCs/>
          <w:color w:val="001871"/>
          <w:sz w:val="28"/>
          <w:szCs w:val="26"/>
        </w:rPr>
      </w:pPr>
      <w:r>
        <w:br w:type="page"/>
      </w:r>
    </w:p>
    <w:p w14:paraId="6056594B" w14:textId="3B1497AB" w:rsidR="00586A6E" w:rsidRDefault="00586A6E" w:rsidP="00586A6E">
      <w:pPr>
        <w:pStyle w:val="Heading4"/>
      </w:pPr>
      <w:bookmarkStart w:id="90" w:name="_Toc144110882"/>
      <w:r>
        <w:t>Key uses / expected use</w:t>
      </w:r>
      <w:bookmarkEnd w:id="90"/>
    </w:p>
    <w:p w14:paraId="6BAC8675" w14:textId="5CF55826" w:rsidR="00586A6E" w:rsidRDefault="00C41085" w:rsidP="00586A6E">
      <w:r>
        <w:t>M</w:t>
      </w:r>
      <w:r w:rsidR="00E32F16">
        <w:t>edicines</w:t>
      </w:r>
      <w:r>
        <w:t xml:space="preserve">, </w:t>
      </w:r>
      <w:r w:rsidR="00E32F16">
        <w:t>cosmetics, domestic use, industrial use</w:t>
      </w:r>
      <w:r>
        <w:t xml:space="preserve">, </w:t>
      </w:r>
      <w:r w:rsidR="00E32F16">
        <w:t xml:space="preserve">food </w:t>
      </w:r>
      <w:r>
        <w:t>(</w:t>
      </w:r>
      <w:r w:rsidR="00E32F16">
        <w:t>preservative)</w:t>
      </w:r>
    </w:p>
    <w:p w14:paraId="54AF2C24" w14:textId="77777777" w:rsidR="00586A6E" w:rsidRDefault="00586A6E" w:rsidP="00586A6E">
      <w:pPr>
        <w:pStyle w:val="Heading4"/>
      </w:pPr>
      <w:bookmarkStart w:id="91" w:name="_Toc144110883"/>
      <w:r>
        <w:t>Australian regulations</w:t>
      </w:r>
      <w:bookmarkEnd w:id="91"/>
    </w:p>
    <w:p w14:paraId="2F58AF9E" w14:textId="4239ABBE" w:rsidR="00586A6E" w:rsidRPr="00603580" w:rsidRDefault="00586A6E" w:rsidP="00EB1099">
      <w:pPr>
        <w:pStyle w:val="ListBullet"/>
        <w:numPr>
          <w:ilvl w:val="0"/>
          <w:numId w:val="83"/>
        </w:numPr>
      </w:pPr>
      <w:r w:rsidRPr="00603580">
        <w:t xml:space="preserve">According to the </w:t>
      </w:r>
      <w:hyperlink r:id="rId86" w:history="1">
        <w:r w:rsidRPr="008007EB">
          <w:rPr>
            <w:rStyle w:val="Hyperlink"/>
            <w:rFonts w:asciiTheme="minorHAnsi" w:hAnsiTheme="minorHAnsi"/>
          </w:rPr>
          <w:t>TGA Ingredient Database</w:t>
        </w:r>
      </w:hyperlink>
      <w:r w:rsidRPr="00603580">
        <w:t xml:space="preserve">, </w:t>
      </w:r>
      <w:r w:rsidR="00E32F16" w:rsidRPr="00603580">
        <w:t>methenamine</w:t>
      </w:r>
      <w:r w:rsidRPr="00603580">
        <w:t xml:space="preserve"> </w:t>
      </w:r>
      <w:r w:rsidR="009531B4" w:rsidRPr="00603580">
        <w:t xml:space="preserve">(hippurate) </w:t>
      </w:r>
      <w:r w:rsidRPr="00603580">
        <w:t>is:</w:t>
      </w:r>
    </w:p>
    <w:p w14:paraId="51D4F3BF" w14:textId="5301F8F2" w:rsidR="00E32F16" w:rsidRPr="00603580" w:rsidRDefault="00E32F16" w:rsidP="00EB1099">
      <w:pPr>
        <w:pStyle w:val="ListBullet"/>
        <w:numPr>
          <w:ilvl w:val="0"/>
          <w:numId w:val="53"/>
        </w:numPr>
        <w:ind w:left="714" w:hanging="357"/>
      </w:pPr>
      <w:r w:rsidRPr="00603580">
        <w:t>Available for use as an Active Ingredient in Biologicals</w:t>
      </w:r>
      <w:r w:rsidR="009531B4" w:rsidRPr="00603580">
        <w:t>, Export Only, Over the Counter</w:t>
      </w:r>
      <w:r w:rsidRPr="00603580">
        <w:t xml:space="preserve"> and Prescription Medicines.</w:t>
      </w:r>
    </w:p>
    <w:p w14:paraId="7B9926B0" w14:textId="6032F0B3" w:rsidR="00E32F16" w:rsidRPr="00603580" w:rsidRDefault="00E32F16" w:rsidP="00EB1099">
      <w:pPr>
        <w:pStyle w:val="ListBullet"/>
        <w:numPr>
          <w:ilvl w:val="0"/>
          <w:numId w:val="53"/>
        </w:numPr>
        <w:ind w:left="714" w:hanging="357"/>
      </w:pPr>
      <w:r w:rsidRPr="00603580">
        <w:t>Available for use as an Excipient ingredient in Biologicals, Devices and Prescription Medicines.</w:t>
      </w:r>
    </w:p>
    <w:p w14:paraId="425F5701" w14:textId="642637BA" w:rsidR="00E32F16" w:rsidRPr="00603580" w:rsidRDefault="00E32F16" w:rsidP="00EB1099">
      <w:pPr>
        <w:pStyle w:val="ListBullet"/>
        <w:numPr>
          <w:ilvl w:val="0"/>
          <w:numId w:val="53"/>
        </w:numPr>
        <w:ind w:left="714" w:hanging="357"/>
      </w:pPr>
      <w:r w:rsidRPr="00603580">
        <w:t>Not available as an Equivalent Ingredient in any application.</w:t>
      </w:r>
    </w:p>
    <w:p w14:paraId="78561D28" w14:textId="1DCA7B9E" w:rsidR="00586A6E" w:rsidRPr="00E32F16" w:rsidRDefault="00586A6E" w:rsidP="00EB1099">
      <w:pPr>
        <w:pStyle w:val="ListBullet"/>
        <w:numPr>
          <w:ilvl w:val="0"/>
          <w:numId w:val="83"/>
        </w:numPr>
      </w:pPr>
      <w:r w:rsidRPr="00603580">
        <w:t xml:space="preserve">As of </w:t>
      </w:r>
      <w:r w:rsidR="0076461D" w:rsidRPr="00603580">
        <w:t xml:space="preserve">July 2023, </w:t>
      </w:r>
      <w:r w:rsidRPr="00603580">
        <w:t xml:space="preserve">there were </w:t>
      </w:r>
      <w:r w:rsidR="009531B4" w:rsidRPr="00603580">
        <w:t>10</w:t>
      </w:r>
      <w:r w:rsidRPr="00603580">
        <w:t xml:space="preserve"> medicines currently active on the </w:t>
      </w:r>
      <w:hyperlink r:id="rId87" w:history="1">
        <w:r w:rsidR="00EB1099">
          <w:rPr>
            <w:rStyle w:val="Hyperlink"/>
            <w:rFonts w:asciiTheme="minorHAnsi" w:hAnsiTheme="minorHAnsi"/>
          </w:rPr>
          <w:t>Australian Register of Therapeutic Goods</w:t>
        </w:r>
      </w:hyperlink>
      <w:r w:rsidR="00EB1099" w:rsidRPr="00EB1099">
        <w:rPr>
          <w:rStyle w:val="Hyperlink"/>
          <w:rFonts w:asciiTheme="minorHAnsi" w:hAnsiTheme="minorHAnsi"/>
          <w:color w:val="auto"/>
          <w:u w:val="none"/>
        </w:rPr>
        <w:t xml:space="preserve"> (ARTG)</w:t>
      </w:r>
      <w:r w:rsidRPr="008007EB">
        <w:t xml:space="preserve"> </w:t>
      </w:r>
      <w:r w:rsidRPr="00603580">
        <w:t xml:space="preserve">that contain </w:t>
      </w:r>
      <w:r w:rsidR="009531B4" w:rsidRPr="00603580">
        <w:t>methenamine (hippurate)</w:t>
      </w:r>
      <w:r w:rsidRPr="00603580">
        <w:t xml:space="preserve"> as an active ingredient</w:t>
      </w:r>
      <w:r w:rsidR="009531B4" w:rsidRPr="00603580">
        <w:t>, all of which are non-prescription products.</w:t>
      </w:r>
    </w:p>
    <w:p w14:paraId="0EB49E8E" w14:textId="59771100" w:rsidR="00586A6E" w:rsidRPr="0076461D" w:rsidRDefault="009531B4" w:rsidP="00EB1099">
      <w:pPr>
        <w:pStyle w:val="ListBullet"/>
        <w:numPr>
          <w:ilvl w:val="0"/>
          <w:numId w:val="83"/>
        </w:numPr>
      </w:pPr>
      <w:r>
        <w:t>Methenamine</w:t>
      </w:r>
      <w:r w:rsidR="00586A6E" w:rsidRPr="009531B4">
        <w:t xml:space="preserve"> is not permitted to be included in listed medicines as it is not included in the</w:t>
      </w:r>
      <w:r w:rsidR="009C26DB">
        <w:t xml:space="preserve"> </w:t>
      </w:r>
      <w:hyperlink r:id="rId88" w:history="1">
        <w:r w:rsidR="00586A6E" w:rsidRPr="008007EB">
          <w:rPr>
            <w:rStyle w:val="Hyperlink"/>
            <w:rFonts w:asciiTheme="minorHAnsi" w:hAnsiTheme="minorHAnsi"/>
          </w:rPr>
          <w:t>Therapeutic Goods (Permissible Ingredients) Determination</w:t>
        </w:r>
      </w:hyperlink>
      <w:r w:rsidR="00586A6E" w:rsidRPr="008007EB">
        <w:t xml:space="preserve"> </w:t>
      </w:r>
      <w:r w:rsidR="00586A6E" w:rsidRPr="009531B4">
        <w:t>No.</w:t>
      </w:r>
      <w:r>
        <w:t>3</w:t>
      </w:r>
      <w:r w:rsidR="00586A6E" w:rsidRPr="009531B4">
        <w:t xml:space="preserve"> of 20</w:t>
      </w:r>
      <w:r>
        <w:t>23.</w:t>
      </w:r>
    </w:p>
    <w:p w14:paraId="4A2E03C8" w14:textId="55AF7FF9" w:rsidR="00586A6E" w:rsidRPr="008007EB" w:rsidRDefault="00586A6E" w:rsidP="00EB1099">
      <w:pPr>
        <w:pStyle w:val="ListBullet"/>
        <w:numPr>
          <w:ilvl w:val="0"/>
          <w:numId w:val="83"/>
        </w:numPr>
      </w:pPr>
      <w:r w:rsidRPr="008007EB">
        <w:t xml:space="preserve">The </w:t>
      </w:r>
      <w:hyperlink r:id="rId89" w:history="1">
        <w:r w:rsidRPr="008007EB">
          <w:rPr>
            <w:rStyle w:val="Hyperlink"/>
            <w:rFonts w:asciiTheme="minorHAnsi" w:hAnsiTheme="minorHAnsi"/>
          </w:rPr>
          <w:t>TGA prescribing medicines in pregnancy database</w:t>
        </w:r>
      </w:hyperlink>
      <w:r w:rsidRPr="00D85AA6">
        <w:t xml:space="preserve"> classifies </w:t>
      </w:r>
      <w:r w:rsidR="00D85AA6" w:rsidRPr="00D85AA6">
        <w:t>methenamine</w:t>
      </w:r>
      <w:r w:rsidRPr="00D85AA6">
        <w:t xml:space="preserve"> as:</w:t>
      </w:r>
    </w:p>
    <w:tbl>
      <w:tblPr>
        <w:tblStyle w:val="TableTGAblue"/>
        <w:tblW w:w="8670" w:type="dxa"/>
        <w:tblInd w:w="392" w:type="dxa"/>
        <w:tblLook w:val="04A0" w:firstRow="1" w:lastRow="0" w:firstColumn="1" w:lastColumn="0" w:noHBand="0" w:noVBand="1"/>
      </w:tblPr>
      <w:tblGrid>
        <w:gridCol w:w="1607"/>
        <w:gridCol w:w="1535"/>
        <w:gridCol w:w="2835"/>
        <w:gridCol w:w="2693"/>
      </w:tblGrid>
      <w:tr w:rsidR="009C26DB" w:rsidRPr="008007EB" w14:paraId="1223002E" w14:textId="77777777" w:rsidTr="008D4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6253F76E" w14:textId="77777777" w:rsidR="009C26DB" w:rsidRPr="008007EB" w:rsidRDefault="009C26DB" w:rsidP="00C67045">
            <w:pPr>
              <w:keepLines/>
              <w:spacing w:before="60" w:after="60"/>
              <w:rPr>
                <w:rFonts w:asciiTheme="minorHAnsi" w:hAnsiTheme="minorHAnsi" w:cstheme="minorHAnsi"/>
                <w:sz w:val="20"/>
                <w:szCs w:val="20"/>
              </w:rPr>
            </w:pPr>
            <w:r w:rsidRPr="008007EB">
              <w:rPr>
                <w:rFonts w:asciiTheme="minorHAnsi" w:hAnsiTheme="minorHAnsi" w:cstheme="minorHAnsi"/>
                <w:sz w:val="20"/>
                <w:szCs w:val="20"/>
              </w:rPr>
              <w:t>Drug name</w:t>
            </w:r>
          </w:p>
        </w:tc>
        <w:tc>
          <w:tcPr>
            <w:tcW w:w="1535" w:type="dxa"/>
          </w:tcPr>
          <w:p w14:paraId="4A4826C1" w14:textId="77777777" w:rsidR="009C26DB" w:rsidRPr="008007EB" w:rsidRDefault="009C26DB" w:rsidP="00C67045">
            <w:pPr>
              <w:keepLine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007EB">
              <w:rPr>
                <w:rFonts w:asciiTheme="minorHAnsi" w:hAnsiTheme="minorHAnsi" w:cstheme="minorHAnsi"/>
                <w:sz w:val="20"/>
                <w:szCs w:val="20"/>
              </w:rPr>
              <w:t>Category</w:t>
            </w:r>
          </w:p>
        </w:tc>
        <w:tc>
          <w:tcPr>
            <w:tcW w:w="2835" w:type="dxa"/>
          </w:tcPr>
          <w:p w14:paraId="4D039440" w14:textId="77777777" w:rsidR="009C26DB" w:rsidRPr="008007EB" w:rsidRDefault="009C26DB" w:rsidP="00C67045">
            <w:pPr>
              <w:keepLine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007EB">
              <w:rPr>
                <w:rFonts w:asciiTheme="minorHAnsi" w:hAnsiTheme="minorHAnsi" w:cstheme="minorHAnsi"/>
                <w:sz w:val="20"/>
                <w:szCs w:val="20"/>
              </w:rPr>
              <w:t>Classification Level 1</w:t>
            </w:r>
          </w:p>
        </w:tc>
        <w:tc>
          <w:tcPr>
            <w:tcW w:w="2693" w:type="dxa"/>
          </w:tcPr>
          <w:p w14:paraId="1D5B48CC" w14:textId="77777777" w:rsidR="009C26DB" w:rsidRPr="008007EB" w:rsidRDefault="009C26DB" w:rsidP="00C67045">
            <w:pPr>
              <w:keepLine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007EB">
              <w:rPr>
                <w:rFonts w:asciiTheme="minorHAnsi" w:hAnsiTheme="minorHAnsi" w:cstheme="minorHAnsi"/>
                <w:sz w:val="20"/>
                <w:szCs w:val="20"/>
              </w:rPr>
              <w:t>Classification Level 2</w:t>
            </w:r>
          </w:p>
        </w:tc>
      </w:tr>
      <w:tr w:rsidR="009C26DB" w:rsidRPr="008007EB" w14:paraId="0CE80E9D" w14:textId="77777777" w:rsidTr="008D4FF7">
        <w:tc>
          <w:tcPr>
            <w:cnfStyle w:val="001000000000" w:firstRow="0" w:lastRow="0" w:firstColumn="1" w:lastColumn="0" w:oddVBand="0" w:evenVBand="0" w:oddHBand="0" w:evenHBand="0" w:firstRowFirstColumn="0" w:firstRowLastColumn="0" w:lastRowFirstColumn="0" w:lastRowLastColumn="0"/>
            <w:tcW w:w="1607" w:type="dxa"/>
          </w:tcPr>
          <w:p w14:paraId="63CAA260" w14:textId="4CB90658" w:rsidR="009C26DB" w:rsidRPr="008007EB" w:rsidRDefault="009C26DB" w:rsidP="00C67045">
            <w:pPr>
              <w:keepNext/>
              <w:keepLines/>
              <w:spacing w:before="60" w:after="60"/>
              <w:rPr>
                <w:rFonts w:asciiTheme="minorHAnsi" w:hAnsiTheme="minorHAnsi" w:cstheme="minorHAnsi"/>
                <w:sz w:val="20"/>
                <w:szCs w:val="20"/>
              </w:rPr>
            </w:pPr>
            <w:r>
              <w:rPr>
                <w:rFonts w:asciiTheme="minorHAnsi" w:hAnsiTheme="minorHAnsi" w:cstheme="minorHAnsi"/>
                <w:sz w:val="20"/>
                <w:szCs w:val="20"/>
              </w:rPr>
              <w:t>Methenamine</w:t>
            </w:r>
          </w:p>
        </w:tc>
        <w:tc>
          <w:tcPr>
            <w:tcW w:w="1535" w:type="dxa"/>
          </w:tcPr>
          <w:p w14:paraId="6FC42985" w14:textId="71352EE3" w:rsidR="009C26DB" w:rsidRPr="008007EB" w:rsidRDefault="009C26DB" w:rsidP="00C67045">
            <w:pPr>
              <w:keepNext/>
              <w:keepLine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w:t>
            </w:r>
          </w:p>
        </w:tc>
        <w:tc>
          <w:tcPr>
            <w:tcW w:w="2835" w:type="dxa"/>
          </w:tcPr>
          <w:p w14:paraId="5379BBB1" w14:textId="32F12422" w:rsidR="009C26DB" w:rsidRPr="008007EB" w:rsidRDefault="009C26DB" w:rsidP="00C67045">
            <w:pPr>
              <w:keepNext/>
              <w:keepLine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Genitourinary system</w:t>
            </w:r>
          </w:p>
        </w:tc>
        <w:tc>
          <w:tcPr>
            <w:tcW w:w="2693" w:type="dxa"/>
          </w:tcPr>
          <w:p w14:paraId="00225031" w14:textId="010B36C9" w:rsidR="009C26DB" w:rsidRPr="008007EB" w:rsidRDefault="009C26DB" w:rsidP="00C67045">
            <w:pPr>
              <w:keepNext/>
              <w:keepLine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Urinary antiseptics</w:t>
            </w:r>
          </w:p>
        </w:tc>
      </w:tr>
      <w:tr w:rsidR="009C26DB" w:rsidRPr="00C67045" w14:paraId="2A45CB9D" w14:textId="77777777" w:rsidTr="008D4FF7">
        <w:tc>
          <w:tcPr>
            <w:cnfStyle w:val="001000000000" w:firstRow="0" w:lastRow="0" w:firstColumn="1" w:lastColumn="0" w:oddVBand="0" w:evenVBand="0" w:oddHBand="0" w:evenHBand="0" w:firstRowFirstColumn="0" w:firstRowLastColumn="0" w:lastRowFirstColumn="0" w:lastRowLastColumn="0"/>
            <w:tcW w:w="8670" w:type="dxa"/>
            <w:gridSpan w:val="4"/>
          </w:tcPr>
          <w:p w14:paraId="6A286208" w14:textId="08BC223F" w:rsidR="009C26DB" w:rsidRPr="00C67045" w:rsidRDefault="009C26DB" w:rsidP="00C67045">
            <w:pPr>
              <w:keepNext/>
              <w:keepLines/>
              <w:spacing w:before="60" w:after="60"/>
              <w:rPr>
                <w:rFonts w:cstheme="minorHAnsi"/>
                <w:sz w:val="18"/>
                <w:szCs w:val="18"/>
              </w:rPr>
            </w:pPr>
            <w:r w:rsidRPr="00C67045">
              <w:rPr>
                <w:rFonts w:asciiTheme="minorHAnsi" w:hAnsiTheme="minorHAnsi" w:cstheme="minorHAnsi"/>
                <w:b/>
                <w:sz w:val="18"/>
                <w:szCs w:val="18"/>
              </w:rPr>
              <w:t>Category A</w:t>
            </w:r>
            <w:r w:rsidRPr="00C67045">
              <w:rPr>
                <w:rFonts w:asciiTheme="minorHAnsi" w:hAnsiTheme="minorHAnsi" w:cstheme="minorHAnsi"/>
                <w:sz w:val="18"/>
                <w:szCs w:val="18"/>
              </w:rPr>
              <w:t xml:space="preserve"> – Drugs which have been taken by a large number of pregnant women and women of childbearing age without any proven increase in the frequency of malformations or other direct or indirect harmful effects on the foetus having been observed</w:t>
            </w:r>
          </w:p>
        </w:tc>
      </w:tr>
    </w:tbl>
    <w:p w14:paraId="2E7DD574" w14:textId="48CD613A" w:rsidR="00586A6E" w:rsidRPr="00D85AA6" w:rsidRDefault="00586A6E" w:rsidP="00EB1099">
      <w:pPr>
        <w:pStyle w:val="ListBullet"/>
        <w:numPr>
          <w:ilvl w:val="0"/>
          <w:numId w:val="83"/>
        </w:numPr>
      </w:pPr>
      <w:r w:rsidRPr="00D85AA6">
        <w:t xml:space="preserve">There are no warning statements pertaining to </w:t>
      </w:r>
      <w:r w:rsidR="00D85AA6">
        <w:t>methenamine</w:t>
      </w:r>
      <w:r w:rsidRPr="00D85AA6">
        <w:t xml:space="preserve"> in the </w:t>
      </w:r>
      <w:hyperlink r:id="rId90" w:history="1">
        <w:r w:rsidRPr="008007EB">
          <w:rPr>
            <w:rStyle w:val="Hyperlink"/>
            <w:rFonts w:asciiTheme="minorHAnsi" w:hAnsiTheme="minorHAnsi"/>
          </w:rPr>
          <w:t>Therapeutic Goods (Medicines Advisory Statements) Specification 2021</w:t>
        </w:r>
      </w:hyperlink>
      <w:r w:rsidR="00C67045" w:rsidRPr="00C67045">
        <w:rPr>
          <w:rStyle w:val="Hyperlink"/>
          <w:rFonts w:asciiTheme="minorHAnsi" w:hAnsiTheme="minorHAnsi"/>
          <w:color w:val="auto"/>
          <w:u w:val="none"/>
        </w:rPr>
        <w:t>.</w:t>
      </w:r>
    </w:p>
    <w:p w14:paraId="2C7290B1" w14:textId="1819D97B" w:rsidR="00586A6E" w:rsidRPr="007405F1" w:rsidRDefault="008D4FF7" w:rsidP="00EB1099">
      <w:pPr>
        <w:pStyle w:val="ListBullet"/>
        <w:numPr>
          <w:ilvl w:val="0"/>
          <w:numId w:val="83"/>
        </w:numPr>
      </w:pPr>
      <w:r w:rsidRPr="00603580">
        <w:t>Between July 2013 and</w:t>
      </w:r>
      <w:r w:rsidR="00586A6E" w:rsidRPr="00603580">
        <w:t xml:space="preserve"> </w:t>
      </w:r>
      <w:r w:rsidR="00F318D9" w:rsidRPr="00603580">
        <w:t>July 2023</w:t>
      </w:r>
      <w:r w:rsidR="00586A6E" w:rsidRPr="00603580">
        <w:t xml:space="preserve">, there were </w:t>
      </w:r>
      <w:r w:rsidRPr="00603580">
        <w:t>21</w:t>
      </w:r>
      <w:r w:rsidR="00586A6E" w:rsidRPr="00603580">
        <w:t xml:space="preserve"> reports of adverse events for products containing </w:t>
      </w:r>
      <w:r w:rsidR="00D85AA6" w:rsidRPr="00603580">
        <w:t>methenamine</w:t>
      </w:r>
      <w:r w:rsidR="00586A6E" w:rsidRPr="00603580">
        <w:t xml:space="preserve"> as an active ingredient on the </w:t>
      </w:r>
      <w:hyperlink r:id="rId91" w:history="1">
        <w:r w:rsidR="00EB1099">
          <w:rPr>
            <w:rStyle w:val="Hyperlink"/>
            <w:rFonts w:asciiTheme="minorHAnsi" w:hAnsiTheme="minorHAnsi"/>
          </w:rPr>
          <w:t>Database of Adverse Event Notifications</w:t>
        </w:r>
      </w:hyperlink>
      <w:r w:rsidR="00EB1099" w:rsidRPr="00EB1099">
        <w:rPr>
          <w:rStyle w:val="Hyperlink"/>
          <w:rFonts w:asciiTheme="minorHAnsi" w:hAnsiTheme="minorHAnsi"/>
          <w:color w:val="auto"/>
          <w:u w:val="none"/>
        </w:rPr>
        <w:t xml:space="preserve"> (DAEN)</w:t>
      </w:r>
      <w:r w:rsidR="00586A6E" w:rsidRPr="007405F1">
        <w:t xml:space="preserve">, </w:t>
      </w:r>
      <w:r w:rsidR="00586A6E" w:rsidRPr="00603580">
        <w:t xml:space="preserve">with </w:t>
      </w:r>
      <w:r w:rsidRPr="00603580">
        <w:t>1</w:t>
      </w:r>
      <w:r w:rsidR="00D85AA6" w:rsidRPr="00603580">
        <w:t>7</w:t>
      </w:r>
      <w:r w:rsidR="00586A6E" w:rsidRPr="00603580">
        <w:t xml:space="preserve"> reports where </w:t>
      </w:r>
      <w:r w:rsidR="00D85AA6" w:rsidRPr="00603580">
        <w:t>methenamine</w:t>
      </w:r>
      <w:r w:rsidR="00586A6E" w:rsidRPr="00603580">
        <w:t xml:space="preserve"> was the single suspected medicine.</w:t>
      </w:r>
      <w:r w:rsidRPr="00603580">
        <w:t xml:space="preserve"> The reported events were diverse in nature.</w:t>
      </w:r>
    </w:p>
    <w:p w14:paraId="5BAC3393" w14:textId="19E8A952" w:rsidR="00586A6E" w:rsidRPr="008007EB" w:rsidRDefault="00586A6E" w:rsidP="00EB1099">
      <w:pPr>
        <w:pStyle w:val="ListBullet"/>
        <w:numPr>
          <w:ilvl w:val="0"/>
          <w:numId w:val="83"/>
        </w:numPr>
      </w:pPr>
      <w:r w:rsidRPr="00603580">
        <w:t xml:space="preserve">As of </w:t>
      </w:r>
      <w:r w:rsidR="00F318D9" w:rsidRPr="00603580">
        <w:t>July 2023</w:t>
      </w:r>
      <w:r w:rsidRPr="00603580">
        <w:t>, there were no</w:t>
      </w:r>
      <w:r w:rsidR="00D85AA6" w:rsidRPr="00603580">
        <w:t xml:space="preserve"> </w:t>
      </w:r>
      <w:r w:rsidRPr="00603580">
        <w:t xml:space="preserve">products containing </w:t>
      </w:r>
      <w:r w:rsidR="00D85AA6" w:rsidRPr="00603580">
        <w:t>methenamine</w:t>
      </w:r>
      <w:r w:rsidRPr="00603580">
        <w:t xml:space="preserve"> as an active ingredient/constituent or scheduled substance listed on the </w:t>
      </w:r>
      <w:hyperlink r:id="rId92" w:history="1">
        <w:r w:rsidR="00EB1099">
          <w:rPr>
            <w:rStyle w:val="Hyperlink"/>
            <w:rFonts w:asciiTheme="minorHAnsi" w:hAnsiTheme="minorHAnsi"/>
          </w:rPr>
          <w:t>Public Chemical Registration Information System Search</w:t>
        </w:r>
      </w:hyperlink>
      <w:r w:rsidR="00EB1099" w:rsidRPr="00EB1099">
        <w:rPr>
          <w:rStyle w:val="Hyperlink"/>
          <w:rFonts w:asciiTheme="minorHAnsi" w:hAnsiTheme="minorHAnsi"/>
          <w:color w:val="auto"/>
          <w:u w:val="none"/>
        </w:rPr>
        <w:t xml:space="preserve"> (PubCRIS)</w:t>
      </w:r>
      <w:r w:rsidRPr="008007EB">
        <w:t>.</w:t>
      </w:r>
    </w:p>
    <w:p w14:paraId="6124E3FB" w14:textId="77777777" w:rsidR="00586A6E" w:rsidRPr="00CB687C" w:rsidRDefault="00586A6E" w:rsidP="00586A6E">
      <w:pPr>
        <w:pStyle w:val="Heading4"/>
      </w:pPr>
      <w:bookmarkStart w:id="92" w:name="_Toc144110884"/>
      <w:r>
        <w:t>International regulations</w:t>
      </w:r>
      <w:bookmarkEnd w:id="92"/>
    </w:p>
    <w:p w14:paraId="4939051F" w14:textId="3EF2AF99" w:rsidR="00586A6E" w:rsidRPr="00D85AA6" w:rsidRDefault="00D85AA6" w:rsidP="00EB1099">
      <w:pPr>
        <w:pStyle w:val="ListBullet"/>
        <w:numPr>
          <w:ilvl w:val="0"/>
          <w:numId w:val="83"/>
        </w:numPr>
      </w:pPr>
      <w:r w:rsidRPr="00D85AA6">
        <w:t xml:space="preserve">The </w:t>
      </w:r>
      <w:hyperlink r:id="rId93" w:history="1">
        <w:r w:rsidRPr="00D85AA6">
          <w:rPr>
            <w:rStyle w:val="Hyperlink"/>
            <w:rFonts w:asciiTheme="minorHAnsi" w:hAnsiTheme="minorHAnsi"/>
            <w:szCs w:val="22"/>
          </w:rPr>
          <w:t>US Food and Drug Administration database</w:t>
        </w:r>
      </w:hyperlink>
      <w:r>
        <w:t xml:space="preserve"> </w:t>
      </w:r>
      <w:r w:rsidRPr="00D85AA6">
        <w:t>lists 4 products which contain methenamine. All products are prescription only medicines.</w:t>
      </w:r>
    </w:p>
    <w:p w14:paraId="136776A2" w14:textId="4AD7E97C" w:rsidR="00D85AA6" w:rsidRPr="00D85AA6" w:rsidRDefault="00D85AA6" w:rsidP="00EB1099">
      <w:pPr>
        <w:pStyle w:val="ListBullet"/>
        <w:numPr>
          <w:ilvl w:val="0"/>
          <w:numId w:val="83"/>
        </w:numPr>
        <w:rPr>
          <w:u w:val="single"/>
        </w:rPr>
      </w:pPr>
      <w:r w:rsidRPr="00D85AA6">
        <w:t xml:space="preserve">In 2022, the </w:t>
      </w:r>
      <w:hyperlink r:id="rId94" w:history="1">
        <w:r w:rsidRPr="00F01A56">
          <w:rPr>
            <w:rStyle w:val="Hyperlink"/>
            <w:rFonts w:asciiTheme="minorHAnsi" w:hAnsiTheme="minorHAnsi"/>
            <w:szCs w:val="22"/>
          </w:rPr>
          <w:t>New Zealand Medicines and Medical Devices Safety Authority</w:t>
        </w:r>
      </w:hyperlink>
      <w:r>
        <w:t xml:space="preserve"> (Medsafe)</w:t>
      </w:r>
      <w:r w:rsidRPr="00D85AA6">
        <w:t xml:space="preserve"> announced that products containing methenamine will be </w:t>
      </w:r>
      <w:hyperlink r:id="rId95" w:history="1">
        <w:r w:rsidR="0037341B" w:rsidRPr="0037341B">
          <w:rPr>
            <w:rStyle w:val="Hyperlink"/>
            <w:rFonts w:asciiTheme="minorHAnsi" w:hAnsiTheme="minorHAnsi"/>
          </w:rPr>
          <w:t xml:space="preserve">reclassified </w:t>
        </w:r>
        <w:r w:rsidRPr="0037341B">
          <w:rPr>
            <w:rStyle w:val="Hyperlink"/>
            <w:rFonts w:asciiTheme="minorHAnsi" w:hAnsiTheme="minorHAnsi"/>
          </w:rPr>
          <w:t>from general sale to pharmacy only</w:t>
        </w:r>
      </w:hyperlink>
      <w:r w:rsidRPr="00D85AA6">
        <w:t xml:space="preserve"> medicines. The decision is due to be implemented in December 2023.</w:t>
      </w:r>
    </w:p>
    <w:p w14:paraId="2B8648D6" w14:textId="2D810DAB" w:rsidR="00586A6E" w:rsidRPr="00811E6C" w:rsidRDefault="00D85AA6" w:rsidP="00EB1099">
      <w:pPr>
        <w:pStyle w:val="ListBullet"/>
        <w:numPr>
          <w:ilvl w:val="0"/>
          <w:numId w:val="83"/>
        </w:numPr>
        <w:rPr>
          <w:u w:val="single"/>
        </w:rPr>
      </w:pPr>
      <w:r w:rsidRPr="00D85AA6">
        <w:t xml:space="preserve"> </w:t>
      </w:r>
      <w:r w:rsidR="00F01A56">
        <w:t xml:space="preserve">The </w:t>
      </w:r>
      <w:hyperlink r:id="rId96" w:history="1">
        <w:r w:rsidR="00F01A56" w:rsidRPr="00811E6C">
          <w:rPr>
            <w:rStyle w:val="Hyperlink"/>
            <w:rFonts w:asciiTheme="minorHAnsi" w:hAnsiTheme="minorHAnsi"/>
            <w:szCs w:val="22"/>
          </w:rPr>
          <w:t>UK’s Electronic Medicines Compendium</w:t>
        </w:r>
      </w:hyperlink>
      <w:r w:rsidR="00F01A56">
        <w:t xml:space="preserve"> (</w:t>
      </w:r>
      <w:r w:rsidR="00C67045">
        <w:t>emc</w:t>
      </w:r>
      <w:r w:rsidR="00F01A56">
        <w:t>) lists 3 products containing methenamine</w:t>
      </w:r>
      <w:r w:rsidR="008343F6">
        <w:t xml:space="preserve">, </w:t>
      </w:r>
      <w:r w:rsidR="00494C70">
        <w:br/>
        <w:t xml:space="preserve"> </w:t>
      </w:r>
      <w:r w:rsidR="008343F6">
        <w:t xml:space="preserve">2 </w:t>
      </w:r>
      <w:r w:rsidR="00811E6C">
        <w:t xml:space="preserve">prescription only medicines and </w:t>
      </w:r>
      <w:r w:rsidR="008D4FF7">
        <w:t>one</w:t>
      </w:r>
      <w:r w:rsidR="00811E6C">
        <w:t xml:space="preserve"> pharmacy only medicine.</w:t>
      </w:r>
    </w:p>
    <w:p w14:paraId="59C8EE8F" w14:textId="62F70666" w:rsidR="00811E6C" w:rsidRPr="00811E6C" w:rsidRDefault="00811E6C" w:rsidP="00EB1099">
      <w:pPr>
        <w:pStyle w:val="ListBullet"/>
        <w:numPr>
          <w:ilvl w:val="0"/>
          <w:numId w:val="83"/>
        </w:numPr>
        <w:rPr>
          <w:rStyle w:val="Hyperlink"/>
          <w:rFonts w:asciiTheme="minorHAnsi" w:hAnsiTheme="minorHAnsi"/>
          <w:color w:val="auto"/>
          <w:szCs w:val="22"/>
        </w:rPr>
      </w:pPr>
      <w:r>
        <w:rPr>
          <w:rStyle w:val="Hyperlink"/>
          <w:rFonts w:asciiTheme="minorHAnsi" w:hAnsiTheme="minorHAnsi"/>
          <w:color w:val="auto"/>
          <w:szCs w:val="22"/>
          <w:u w:val="none"/>
        </w:rPr>
        <w:t xml:space="preserve">No products containing methenamine are listed in the </w:t>
      </w:r>
      <w:hyperlink r:id="rId97" w:history="1">
        <w:r w:rsidRPr="00811E6C">
          <w:rPr>
            <w:rStyle w:val="Hyperlink"/>
            <w:rFonts w:asciiTheme="minorHAnsi" w:hAnsiTheme="minorHAnsi"/>
            <w:szCs w:val="22"/>
          </w:rPr>
          <w:t>Ireland Health Product Regulation Authority</w:t>
        </w:r>
      </w:hyperlink>
      <w:r>
        <w:rPr>
          <w:rStyle w:val="Hyperlink"/>
          <w:rFonts w:asciiTheme="minorHAnsi" w:hAnsiTheme="minorHAnsi"/>
          <w:color w:val="auto"/>
          <w:szCs w:val="22"/>
          <w:u w:val="none"/>
        </w:rPr>
        <w:t xml:space="preserve"> database.</w:t>
      </w:r>
    </w:p>
    <w:p w14:paraId="0758DFC9" w14:textId="1E305BF9" w:rsidR="00BA2399" w:rsidRPr="00BA2399" w:rsidRDefault="00013F20" w:rsidP="00EB1099">
      <w:pPr>
        <w:pStyle w:val="ListBullet"/>
        <w:numPr>
          <w:ilvl w:val="0"/>
          <w:numId w:val="83"/>
        </w:numPr>
        <w:rPr>
          <w:rStyle w:val="Hyperlink"/>
          <w:rFonts w:asciiTheme="minorHAnsi" w:eastAsiaTheme="minorHAnsi" w:hAnsiTheme="minorHAnsi" w:cstheme="minorBidi"/>
          <w:color w:val="auto"/>
          <w:szCs w:val="22"/>
        </w:rPr>
      </w:pPr>
      <w:hyperlink r:id="rId98" w:history="1">
        <w:r w:rsidR="00811E6C" w:rsidRPr="00811E6C">
          <w:rPr>
            <w:rStyle w:val="Hyperlink"/>
            <w:rFonts w:asciiTheme="minorHAnsi" w:hAnsiTheme="minorHAnsi"/>
            <w:szCs w:val="22"/>
          </w:rPr>
          <w:t>Health Products Canada</w:t>
        </w:r>
      </w:hyperlink>
      <w:r w:rsidR="00811E6C">
        <w:rPr>
          <w:rStyle w:val="Hyperlink"/>
          <w:rFonts w:asciiTheme="minorHAnsi" w:hAnsiTheme="minorHAnsi"/>
          <w:color w:val="auto"/>
          <w:szCs w:val="22"/>
          <w:u w:val="none"/>
        </w:rPr>
        <w:t xml:space="preserve"> lists </w:t>
      </w:r>
      <w:r w:rsidR="00A24B5A">
        <w:rPr>
          <w:rStyle w:val="Hyperlink"/>
          <w:rFonts w:asciiTheme="minorHAnsi" w:hAnsiTheme="minorHAnsi"/>
          <w:color w:val="auto"/>
          <w:szCs w:val="22"/>
          <w:u w:val="none"/>
        </w:rPr>
        <w:t xml:space="preserve">methenamine products as ethical and OTC products. </w:t>
      </w:r>
      <w:hyperlink r:id="rId99" w:history="1">
        <w:r w:rsidR="00A24B5A" w:rsidRPr="00C85610">
          <w:rPr>
            <w:rStyle w:val="Hyperlink"/>
            <w:rFonts w:asciiTheme="minorHAnsi" w:hAnsiTheme="minorHAnsi"/>
            <w:szCs w:val="22"/>
          </w:rPr>
          <w:t>Ethical products</w:t>
        </w:r>
      </w:hyperlink>
      <w:r w:rsidR="00A24B5A">
        <w:rPr>
          <w:rStyle w:val="Hyperlink"/>
          <w:rFonts w:asciiTheme="minorHAnsi" w:hAnsiTheme="minorHAnsi"/>
          <w:color w:val="auto"/>
          <w:szCs w:val="22"/>
          <w:u w:val="none"/>
        </w:rPr>
        <w:t xml:space="preserve"> do not require a prescription but are generally prescribed by a medical practitioner.</w:t>
      </w:r>
    </w:p>
    <w:p w14:paraId="5533101A" w14:textId="0A2E3783" w:rsidR="00BA2399" w:rsidRPr="009401F6" w:rsidRDefault="001D5CC5" w:rsidP="007E6B9E">
      <w:pPr>
        <w:pStyle w:val="Heading3"/>
        <w:ind w:left="578" w:hanging="578"/>
      </w:pPr>
      <w:bookmarkStart w:id="93" w:name="_Toc144110885"/>
      <w:r>
        <w:t>1.6</w:t>
      </w:r>
      <w:r>
        <w:tab/>
      </w:r>
      <w:r w:rsidR="00BA2399">
        <w:t>Naratriptan</w:t>
      </w:r>
      <w:bookmarkEnd w:id="93"/>
    </w:p>
    <w:p w14:paraId="22FD9894" w14:textId="77777777" w:rsidR="00BA2399" w:rsidRDefault="00BA2399" w:rsidP="00BA2399">
      <w:pPr>
        <w:pStyle w:val="Heading4"/>
      </w:pPr>
      <w:bookmarkStart w:id="94" w:name="_Toc144110886"/>
      <w:r>
        <w:t>Proposal</w:t>
      </w:r>
      <w:bookmarkEnd w:id="94"/>
    </w:p>
    <w:p w14:paraId="75D32527" w14:textId="5B731F4F" w:rsidR="00BA2399" w:rsidRPr="00D75206" w:rsidRDefault="00BA2399" w:rsidP="00BA2399">
      <w:r>
        <w:t xml:space="preserve">The applicant has proposed to create a new Schedule 3 entry for </w:t>
      </w:r>
      <w:r w:rsidR="00277240">
        <w:t xml:space="preserve">certain preparations of </w:t>
      </w:r>
      <w:r>
        <w:t xml:space="preserve">naratriptan </w:t>
      </w:r>
      <w:r>
        <w:rPr>
          <w:rStyle w:val="normaltextrun"/>
          <w:rFonts w:ascii="Calibri" w:hAnsi="Calibri" w:cs="Calibri"/>
          <w:color w:val="000000"/>
          <w:szCs w:val="22"/>
          <w:shd w:val="clear" w:color="auto" w:fill="FFFFFF"/>
        </w:rPr>
        <w:t xml:space="preserve">for the acute relief of migraine in patients who have a stable, </w:t>
      </w:r>
      <w:r w:rsidR="00E33CE4">
        <w:rPr>
          <w:rStyle w:val="normaltextrun"/>
          <w:rFonts w:ascii="Calibri" w:hAnsi="Calibri" w:cs="Calibri"/>
          <w:color w:val="000000"/>
          <w:szCs w:val="22"/>
          <w:shd w:val="clear" w:color="auto" w:fill="FFFFFF"/>
        </w:rPr>
        <w:t>well-established</w:t>
      </w:r>
      <w:r>
        <w:rPr>
          <w:rStyle w:val="normaltextrun"/>
          <w:rFonts w:ascii="Calibri" w:hAnsi="Calibri" w:cs="Calibri"/>
          <w:color w:val="000000"/>
          <w:szCs w:val="22"/>
          <w:shd w:val="clear" w:color="auto" w:fill="FFFFFF"/>
        </w:rPr>
        <w:t xml:space="preserve"> pattern of symptoms</w:t>
      </w:r>
      <w:r>
        <w:t xml:space="preserve">. </w:t>
      </w:r>
      <w:r>
        <w:rPr>
          <w:rStyle w:val="normaltextrun"/>
          <w:rFonts w:ascii="Calibri" w:hAnsi="Calibri" w:cs="Calibri"/>
          <w:color w:val="000000"/>
          <w:szCs w:val="22"/>
          <w:shd w:val="clear" w:color="auto" w:fill="FFFFFF"/>
        </w:rPr>
        <w:t xml:space="preserve">The proposal includes listing naratriptan in Appendix H to </w:t>
      </w:r>
      <w:r w:rsidR="00277240">
        <w:rPr>
          <w:rStyle w:val="normaltextrun"/>
          <w:rFonts w:ascii="Calibri" w:hAnsi="Calibri" w:cs="Calibri"/>
          <w:color w:val="000000"/>
          <w:szCs w:val="22"/>
          <w:shd w:val="clear" w:color="auto" w:fill="FFFFFF"/>
        </w:rPr>
        <w:t>permit advertising for Schedule 3 preparations</w:t>
      </w:r>
      <w:r>
        <w:rPr>
          <w:rStyle w:val="normaltextrun"/>
          <w:rFonts w:ascii="Calibri" w:hAnsi="Calibri" w:cs="Calibri"/>
          <w:color w:val="000000"/>
          <w:szCs w:val="22"/>
          <w:shd w:val="clear" w:color="auto" w:fill="FFFFFF"/>
        </w:rPr>
        <w:t xml:space="preserve">. The proposal would align the scheduling of </w:t>
      </w:r>
      <w:r w:rsidR="00277240">
        <w:rPr>
          <w:rStyle w:val="normaltextrun"/>
          <w:rFonts w:ascii="Calibri" w:hAnsi="Calibri" w:cs="Calibri"/>
          <w:color w:val="000000"/>
          <w:szCs w:val="22"/>
          <w:shd w:val="clear" w:color="auto" w:fill="FFFFFF"/>
        </w:rPr>
        <w:t xml:space="preserve">naratriptan with other substances in the triptan class, including </w:t>
      </w:r>
      <w:r>
        <w:rPr>
          <w:rStyle w:val="normaltextrun"/>
          <w:rFonts w:ascii="Calibri" w:hAnsi="Calibri" w:cs="Calibri"/>
          <w:color w:val="000000"/>
          <w:szCs w:val="22"/>
          <w:shd w:val="clear" w:color="auto" w:fill="FFFFFF"/>
        </w:rPr>
        <w:t>sumatriptan, zolmitriptan, eletriptan and rizatriptan.</w:t>
      </w:r>
    </w:p>
    <w:p w14:paraId="40453CA2" w14:textId="6A850F69" w:rsidR="00BA2399" w:rsidRDefault="00BA2399" w:rsidP="00BA2399">
      <w:pPr>
        <w:pStyle w:val="Heading4"/>
      </w:pPr>
      <w:bookmarkStart w:id="95" w:name="_Toc144110887"/>
      <w:r>
        <w:t>CAS number</w:t>
      </w:r>
      <w:bookmarkEnd w:id="95"/>
    </w:p>
    <w:p w14:paraId="3B33E93F" w14:textId="05CE054B" w:rsidR="00BA2399" w:rsidRDefault="00BA2399" w:rsidP="00BA2399">
      <w:r>
        <w:rPr>
          <w:rStyle w:val="normaltextrun"/>
          <w:rFonts w:ascii="Calibri" w:hAnsi="Calibri" w:cs="Calibri"/>
          <w:color w:val="252729"/>
          <w:szCs w:val="22"/>
          <w:shd w:val="clear" w:color="auto" w:fill="FFFFFF"/>
        </w:rPr>
        <w:t>121679-13-8</w:t>
      </w:r>
    </w:p>
    <w:p w14:paraId="5187D9EC" w14:textId="77777777" w:rsidR="00BA2399" w:rsidRDefault="00BA2399" w:rsidP="00BA2399">
      <w:r w:rsidRPr="000232E5">
        <w:t>143388-64-1</w:t>
      </w:r>
      <w:r>
        <w:t xml:space="preserve"> (as hydrochloride)</w:t>
      </w:r>
    </w:p>
    <w:p w14:paraId="63C009E0" w14:textId="77777777" w:rsidR="00BA2399" w:rsidRDefault="00BA2399" w:rsidP="00BA2399">
      <w:pPr>
        <w:pStyle w:val="Heading4"/>
      </w:pPr>
      <w:bookmarkStart w:id="96" w:name="_Toc144110888"/>
      <w:r>
        <w:t>Alternative names</w:t>
      </w:r>
      <w:bookmarkEnd w:id="96"/>
    </w:p>
    <w:p w14:paraId="73C6B326" w14:textId="2A85CF1E" w:rsidR="00747422" w:rsidRPr="008A22BC" w:rsidRDefault="00BA2399" w:rsidP="00BA2399">
      <w:r>
        <w:t>Naratriptan hydrochloride</w:t>
      </w:r>
      <w:r w:rsidR="00277240">
        <w:t xml:space="preserve">; </w:t>
      </w:r>
      <w:r w:rsidR="00747422" w:rsidRPr="00747422">
        <w:rPr>
          <w:i/>
          <w:iCs/>
        </w:rPr>
        <w:t>N</w:t>
      </w:r>
      <w:r w:rsidR="00747422" w:rsidRPr="00747422">
        <w:t>-Methyl-3-(1-methyl-4-piperidinyl)-1</w:t>
      </w:r>
      <w:r w:rsidR="00747422" w:rsidRPr="00747422">
        <w:rPr>
          <w:i/>
          <w:iCs/>
        </w:rPr>
        <w:t>H</w:t>
      </w:r>
      <w:r w:rsidR="00747422" w:rsidRPr="00747422">
        <w:t>-indole-5-ethanesulfonamide</w:t>
      </w:r>
    </w:p>
    <w:p w14:paraId="2FAD0F3B" w14:textId="77777777" w:rsidR="00BA2399" w:rsidRPr="002C1070" w:rsidRDefault="00BA2399" w:rsidP="00BA2399">
      <w:pPr>
        <w:pStyle w:val="Heading4"/>
      </w:pPr>
      <w:bookmarkStart w:id="97" w:name="_Toc144110889"/>
      <w:r>
        <w:t>Applicant</w:t>
      </w:r>
      <w:bookmarkEnd w:id="97"/>
    </w:p>
    <w:p w14:paraId="1D2E0B2D" w14:textId="14F382A2" w:rsidR="00BA2399" w:rsidRPr="003639D9" w:rsidRDefault="00BA2399" w:rsidP="00BA2399">
      <w:r w:rsidRPr="00812272">
        <w:t>Private applicant</w:t>
      </w:r>
    </w:p>
    <w:p w14:paraId="0A6F6E6E" w14:textId="77777777" w:rsidR="00BA2399" w:rsidRDefault="00BA2399" w:rsidP="00BA2399">
      <w:pPr>
        <w:pStyle w:val="Heading4"/>
      </w:pPr>
      <w:bookmarkStart w:id="98" w:name="_Toc144110890"/>
      <w:r>
        <w:t>Proposed Scheduling</w:t>
      </w:r>
      <w:bookmarkEnd w:id="98"/>
    </w:p>
    <w:p w14:paraId="6FEC2476" w14:textId="77B81B89" w:rsidR="00BA2399" w:rsidRDefault="00BA2399" w:rsidP="00BA2399">
      <w:pPr>
        <w:rPr>
          <w:rFonts w:cstheme="minorHAnsi"/>
        </w:rPr>
      </w:pPr>
      <w:r>
        <w:rPr>
          <w:rFonts w:cstheme="minorHAnsi"/>
        </w:rPr>
        <w:t>Naratriptan is currently listed in Schedule 4 of the Poisons Standard.</w:t>
      </w:r>
    </w:p>
    <w:p w14:paraId="513FAD0A" w14:textId="3B2560E2" w:rsidR="00BA2399" w:rsidRPr="00812272" w:rsidRDefault="00BA2399" w:rsidP="00BA2399">
      <w:pPr>
        <w:rPr>
          <w:bCs/>
        </w:rPr>
      </w:pPr>
      <w:r w:rsidRPr="00103206">
        <w:rPr>
          <w:bCs/>
        </w:rPr>
        <w:t>The applicant’s proposed amendments to the Poisons Standard are</w:t>
      </w:r>
      <w:r w:rsidR="0072362E">
        <w:rPr>
          <w:bCs/>
        </w:rPr>
        <w:t>:</w:t>
      </w:r>
      <w:r w:rsidRPr="00103206">
        <w:rPr>
          <w:rStyle w:val="FootnoteReference"/>
          <w:bCs/>
        </w:rPr>
        <w:footnoteReference w:id="7"/>
      </w:r>
    </w:p>
    <w:p w14:paraId="12DE4150" w14:textId="16743E59" w:rsidR="00BA2399" w:rsidRDefault="00BA2399" w:rsidP="00BA2399">
      <w:pPr>
        <w:ind w:left="426"/>
        <w:rPr>
          <w:b/>
        </w:rPr>
      </w:pPr>
      <w:r>
        <w:rPr>
          <w:b/>
        </w:rPr>
        <w:t xml:space="preserve">Schedule 4 </w:t>
      </w:r>
      <w:r w:rsidR="0072362E">
        <w:rPr>
          <w:b/>
        </w:rPr>
        <w:t>– Amend Entry</w:t>
      </w:r>
    </w:p>
    <w:p w14:paraId="737C4405" w14:textId="751802E4" w:rsidR="00BA2399" w:rsidRPr="00812272" w:rsidRDefault="00BA2399" w:rsidP="00BA2399">
      <w:pPr>
        <w:ind w:left="709"/>
        <w:rPr>
          <w:bCs/>
        </w:rPr>
      </w:pPr>
      <w:r>
        <w:rPr>
          <w:bCs/>
        </w:rPr>
        <w:t>NARATRIPTAN</w:t>
      </w:r>
      <w:r w:rsidR="0072362E">
        <w:rPr>
          <w:bCs/>
        </w:rPr>
        <w:t xml:space="preserve"> </w:t>
      </w:r>
      <w:r w:rsidR="0072362E" w:rsidRPr="0072362E">
        <w:rPr>
          <w:b/>
          <w:color w:val="00B050"/>
          <w:u w:val="single"/>
        </w:rPr>
        <w:t>except</w:t>
      </w:r>
      <w:r w:rsidR="0072362E" w:rsidRPr="0072362E">
        <w:rPr>
          <w:bCs/>
          <w:color w:val="00B050"/>
          <w:u w:val="single"/>
        </w:rPr>
        <w:t xml:space="preserve"> when included in Schedule 3</w:t>
      </w:r>
      <w:r w:rsidR="0072362E">
        <w:rPr>
          <w:bCs/>
        </w:rPr>
        <w:t>.</w:t>
      </w:r>
    </w:p>
    <w:p w14:paraId="014A693C" w14:textId="77777777" w:rsidR="00BA2399" w:rsidRPr="00CD40FB" w:rsidRDefault="00BA2399" w:rsidP="00BA2399">
      <w:pPr>
        <w:ind w:left="426"/>
        <w:rPr>
          <w:b/>
        </w:rPr>
      </w:pPr>
      <w:r w:rsidRPr="00CD40FB">
        <w:rPr>
          <w:b/>
        </w:rPr>
        <w:t xml:space="preserve">Schedule </w:t>
      </w:r>
      <w:r>
        <w:rPr>
          <w:b/>
        </w:rPr>
        <w:t>3</w:t>
      </w:r>
      <w:r w:rsidRPr="00CD40FB">
        <w:rPr>
          <w:b/>
        </w:rPr>
        <w:t xml:space="preserve"> – </w:t>
      </w:r>
      <w:r w:rsidRPr="00812272">
        <w:rPr>
          <w:b/>
        </w:rPr>
        <w:t>New Entry</w:t>
      </w:r>
    </w:p>
    <w:p w14:paraId="1EB3C830" w14:textId="41D26A7B" w:rsidR="00BA2399" w:rsidRPr="004C0AC3" w:rsidRDefault="00BA2399" w:rsidP="00BA2399">
      <w:pPr>
        <w:ind w:left="709"/>
        <w:rPr>
          <w:rFonts w:cstheme="minorHAnsi"/>
          <w:color w:val="00B050"/>
          <w:u w:val="single"/>
        </w:rPr>
      </w:pPr>
      <w:r w:rsidRPr="004C0AC3">
        <w:rPr>
          <w:rFonts w:cstheme="minorHAnsi"/>
          <w:color w:val="00B050"/>
          <w:u w:val="single"/>
        </w:rPr>
        <w:t>NARATRIPTAN</w:t>
      </w:r>
      <w:r w:rsidRPr="00812272">
        <w:rPr>
          <w:rFonts w:cstheme="minorHAnsi"/>
          <w:color w:val="00B050"/>
          <w:u w:val="single"/>
        </w:rPr>
        <w:t xml:space="preserve"> when in divided oral preparations containing 2.5 mg or less per dosage unit and when sold in a pack containing not more than 2 dosage units for the acute relief of migraine in patients who have a stable, well-established pattern of symptoms.</w:t>
      </w:r>
    </w:p>
    <w:p w14:paraId="7213A56A" w14:textId="77777777" w:rsidR="00BA2399" w:rsidRDefault="00BA2399" w:rsidP="00BA2399">
      <w:pPr>
        <w:spacing w:before="240"/>
        <w:ind w:left="426"/>
        <w:rPr>
          <w:b/>
        </w:rPr>
      </w:pPr>
      <w:r w:rsidRPr="00812272">
        <w:rPr>
          <w:b/>
        </w:rPr>
        <w:t>Index – Amend Entry</w:t>
      </w:r>
    </w:p>
    <w:p w14:paraId="350037BA" w14:textId="77777777" w:rsidR="00277240" w:rsidRPr="00277240" w:rsidRDefault="00BA2399" w:rsidP="00277240">
      <w:pPr>
        <w:ind w:left="709"/>
        <w:rPr>
          <w:rFonts w:cstheme="minorHAnsi"/>
          <w:b/>
          <w:bCs/>
        </w:rPr>
      </w:pPr>
      <w:r w:rsidRPr="00277240">
        <w:rPr>
          <w:rFonts w:cstheme="minorHAnsi"/>
          <w:b/>
          <w:bCs/>
        </w:rPr>
        <w:t>NARATRIPTAN</w:t>
      </w:r>
    </w:p>
    <w:p w14:paraId="76BDBFE3" w14:textId="502BA25A" w:rsidR="00BA2399" w:rsidRPr="00277240" w:rsidRDefault="00BA2399" w:rsidP="00277240">
      <w:pPr>
        <w:ind w:left="709"/>
        <w:rPr>
          <w:rFonts w:cstheme="minorHAnsi"/>
          <w:color w:val="00B050"/>
          <w:u w:val="single"/>
        </w:rPr>
      </w:pPr>
      <w:r w:rsidRPr="0072362E">
        <w:rPr>
          <w:rFonts w:cstheme="minorHAnsi"/>
        </w:rPr>
        <w:t>Schedule 4</w:t>
      </w:r>
      <w:r w:rsidR="00277240" w:rsidRPr="0072362E">
        <w:rPr>
          <w:rFonts w:cstheme="minorHAnsi"/>
        </w:rPr>
        <w:br/>
      </w:r>
      <w:r w:rsidR="00277240" w:rsidRPr="0072362E">
        <w:rPr>
          <w:rFonts w:cstheme="minorHAnsi"/>
          <w:color w:val="00B050"/>
          <w:u w:val="single"/>
        </w:rPr>
        <w:t>Schedule 3</w:t>
      </w:r>
      <w:r w:rsidRPr="004A6448">
        <w:rPr>
          <w:rFonts w:cstheme="minorHAnsi"/>
          <w:color w:val="00B050"/>
          <w:u w:val="single"/>
        </w:rPr>
        <w:br/>
        <w:t>Appendix H, clause 1</w:t>
      </w:r>
    </w:p>
    <w:p w14:paraId="6877711B" w14:textId="2C0A8E35" w:rsidR="00BA2399" w:rsidRPr="004C0AC3" w:rsidRDefault="00BA2399" w:rsidP="00277240">
      <w:pPr>
        <w:spacing w:before="240"/>
        <w:ind w:left="425"/>
        <w:rPr>
          <w:rFonts w:cstheme="minorHAnsi"/>
          <w:b/>
          <w:bCs/>
        </w:rPr>
      </w:pPr>
      <w:r w:rsidRPr="00812272">
        <w:rPr>
          <w:b/>
        </w:rPr>
        <w:t>Appendix H – New Entry</w:t>
      </w:r>
      <w:r>
        <w:rPr>
          <w:b/>
        </w:rPr>
        <w:t xml:space="preserve"> - </w:t>
      </w:r>
      <w:r w:rsidRPr="00DF0A9C">
        <w:rPr>
          <w:rFonts w:cstheme="minorHAnsi"/>
        </w:rPr>
        <w:t xml:space="preserve">Schedule 3 medicines permitted to be </w:t>
      </w:r>
      <w:r w:rsidR="009C55B5" w:rsidRPr="00DF0A9C">
        <w:rPr>
          <w:rFonts w:cstheme="minorHAnsi"/>
        </w:rPr>
        <w:t>advertised.</w:t>
      </w:r>
    </w:p>
    <w:tbl>
      <w:tblPr>
        <w:tblStyle w:val="TableTGAblue"/>
        <w:tblW w:w="0" w:type="auto"/>
        <w:tblInd w:w="699" w:type="dxa"/>
        <w:tblLook w:val="04A0" w:firstRow="1" w:lastRow="0" w:firstColumn="1" w:lastColumn="0" w:noHBand="0" w:noVBand="1"/>
      </w:tblPr>
      <w:tblGrid>
        <w:gridCol w:w="1254"/>
        <w:gridCol w:w="1559"/>
      </w:tblGrid>
      <w:tr w:rsidR="00BA2399" w:rsidRPr="00277240" w14:paraId="2D46BD61" w14:textId="77777777" w:rsidTr="002772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4" w:type="dxa"/>
          </w:tcPr>
          <w:p w14:paraId="493B0C93" w14:textId="77777777" w:rsidR="00BA2399" w:rsidRPr="00277240" w:rsidRDefault="00BA2399" w:rsidP="00277240">
            <w:pPr>
              <w:spacing w:before="60" w:after="60"/>
              <w:rPr>
                <w:rFonts w:asciiTheme="minorHAnsi" w:hAnsiTheme="minorHAnsi" w:cstheme="minorHAnsi"/>
                <w:bCs/>
                <w:sz w:val="20"/>
                <w:szCs w:val="20"/>
              </w:rPr>
            </w:pPr>
            <w:r w:rsidRPr="00277240">
              <w:rPr>
                <w:rFonts w:asciiTheme="minorHAnsi" w:hAnsiTheme="minorHAnsi" w:cstheme="minorHAnsi"/>
                <w:bCs/>
                <w:sz w:val="20"/>
                <w:szCs w:val="20"/>
              </w:rPr>
              <w:t>Item</w:t>
            </w:r>
          </w:p>
        </w:tc>
        <w:tc>
          <w:tcPr>
            <w:tcW w:w="1559" w:type="dxa"/>
          </w:tcPr>
          <w:p w14:paraId="795E2F3A" w14:textId="77777777" w:rsidR="00BA2399" w:rsidRPr="00277240" w:rsidRDefault="00BA2399" w:rsidP="00277240">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277240">
              <w:rPr>
                <w:rFonts w:asciiTheme="minorHAnsi" w:hAnsiTheme="minorHAnsi" w:cstheme="minorHAnsi"/>
                <w:bCs/>
                <w:sz w:val="20"/>
                <w:szCs w:val="20"/>
              </w:rPr>
              <w:t xml:space="preserve">Poison </w:t>
            </w:r>
          </w:p>
        </w:tc>
      </w:tr>
      <w:tr w:rsidR="00BA2399" w:rsidRPr="00277240" w14:paraId="4E715834" w14:textId="77777777" w:rsidTr="00277240">
        <w:tc>
          <w:tcPr>
            <w:cnfStyle w:val="001000000000" w:firstRow="0" w:lastRow="0" w:firstColumn="1" w:lastColumn="0" w:oddVBand="0" w:evenVBand="0" w:oddHBand="0" w:evenHBand="0" w:firstRowFirstColumn="0" w:firstRowLastColumn="0" w:lastRowFirstColumn="0" w:lastRowLastColumn="0"/>
            <w:tcW w:w="1254" w:type="dxa"/>
          </w:tcPr>
          <w:p w14:paraId="0DDC0F14" w14:textId="77777777" w:rsidR="00BA2399" w:rsidRPr="00277240" w:rsidRDefault="00BA2399" w:rsidP="00277240">
            <w:pPr>
              <w:spacing w:before="60" w:after="60"/>
              <w:rPr>
                <w:rFonts w:asciiTheme="minorHAnsi" w:hAnsiTheme="minorHAnsi" w:cstheme="minorHAnsi"/>
                <w:bCs/>
                <w:color w:val="00B050"/>
                <w:sz w:val="20"/>
                <w:szCs w:val="20"/>
              </w:rPr>
            </w:pPr>
            <w:r w:rsidRPr="00277240">
              <w:rPr>
                <w:rFonts w:asciiTheme="minorHAnsi" w:hAnsiTheme="minorHAnsi" w:cstheme="minorHAnsi"/>
                <w:bCs/>
                <w:color w:val="00B050"/>
                <w:sz w:val="20"/>
                <w:szCs w:val="20"/>
              </w:rPr>
              <w:t>30a</w:t>
            </w:r>
          </w:p>
        </w:tc>
        <w:tc>
          <w:tcPr>
            <w:tcW w:w="1559" w:type="dxa"/>
          </w:tcPr>
          <w:p w14:paraId="4E3B27C4" w14:textId="77777777" w:rsidR="00BA2399" w:rsidRPr="00277240" w:rsidRDefault="00BA2399" w:rsidP="0027724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B050"/>
                <w:sz w:val="20"/>
                <w:szCs w:val="20"/>
              </w:rPr>
            </w:pPr>
            <w:r w:rsidRPr="00277240">
              <w:rPr>
                <w:rFonts w:asciiTheme="minorHAnsi" w:hAnsiTheme="minorHAnsi" w:cstheme="minorHAnsi"/>
                <w:bCs/>
                <w:color w:val="00B050"/>
                <w:sz w:val="20"/>
                <w:szCs w:val="20"/>
              </w:rPr>
              <w:t>NARATRIPTAN</w:t>
            </w:r>
          </w:p>
        </w:tc>
      </w:tr>
    </w:tbl>
    <w:p w14:paraId="6F77DDC9" w14:textId="77777777" w:rsidR="00BA2399" w:rsidRDefault="00BA2399" w:rsidP="00BA2399">
      <w:pPr>
        <w:pStyle w:val="Heading4"/>
      </w:pPr>
      <w:bookmarkStart w:id="99" w:name="_Toc144110891"/>
      <w:r>
        <w:t>Background</w:t>
      </w:r>
      <w:bookmarkEnd w:id="99"/>
    </w:p>
    <w:p w14:paraId="648447DA" w14:textId="42390ADB" w:rsidR="00BA2399" w:rsidRPr="00646BCA" w:rsidRDefault="00BA2399" w:rsidP="00BA2399">
      <w:pPr>
        <w:rPr>
          <w:rFonts w:ascii="Calibri" w:hAnsi="Calibri" w:cs="Calibri"/>
          <w:color w:val="000000"/>
          <w:szCs w:val="22"/>
          <w:shd w:val="clear" w:color="auto" w:fill="FFFFFF"/>
        </w:rPr>
      </w:pPr>
      <w:r>
        <w:rPr>
          <w:rStyle w:val="normaltextrun"/>
          <w:rFonts w:ascii="Calibri" w:hAnsi="Calibri" w:cs="Calibri"/>
          <w:color w:val="000000"/>
          <w:szCs w:val="22"/>
          <w:shd w:val="clear" w:color="auto" w:fill="FFFFFF"/>
        </w:rPr>
        <w:t xml:space="preserve">Naratriptan </w:t>
      </w:r>
      <w:r w:rsidR="00FD6A98">
        <w:rPr>
          <w:rStyle w:val="normaltextrun"/>
          <w:rFonts w:ascii="Calibri" w:hAnsi="Calibri" w:cs="Calibri"/>
          <w:color w:val="000000"/>
          <w:szCs w:val="22"/>
          <w:shd w:val="clear" w:color="auto" w:fill="FFFFFF"/>
        </w:rPr>
        <w:t xml:space="preserve">belongs to a class of </w:t>
      </w:r>
      <w:r w:rsidR="00FD6A98" w:rsidRPr="00FD6A98">
        <w:rPr>
          <w:rStyle w:val="normaltextrun"/>
          <w:rFonts w:ascii="Calibri" w:hAnsi="Calibri" w:cs="Calibri"/>
          <w:color w:val="000000"/>
          <w:szCs w:val="22"/>
          <w:shd w:val="clear" w:color="auto" w:fill="FFFFFF"/>
        </w:rPr>
        <w:t>medicines known as 5HT1-receptor agonists</w:t>
      </w:r>
      <w:r w:rsidR="00FD6A98">
        <w:rPr>
          <w:rStyle w:val="normaltextrun"/>
          <w:rFonts w:ascii="Calibri" w:hAnsi="Calibri" w:cs="Calibri"/>
          <w:color w:val="000000"/>
          <w:szCs w:val="22"/>
          <w:shd w:val="clear" w:color="auto" w:fill="FFFFFF"/>
        </w:rPr>
        <w:t xml:space="preserve"> </w:t>
      </w:r>
      <w:r w:rsidR="00157963">
        <w:rPr>
          <w:rStyle w:val="normaltextrun"/>
          <w:rFonts w:ascii="Calibri" w:hAnsi="Calibri" w:cs="Calibri"/>
          <w:color w:val="000000"/>
          <w:szCs w:val="22"/>
          <w:shd w:val="clear" w:color="auto" w:fill="FFFFFF"/>
        </w:rPr>
        <w:t>(</w:t>
      </w:r>
      <w:r>
        <w:rPr>
          <w:rStyle w:val="normaltextrun"/>
          <w:rFonts w:ascii="Calibri" w:hAnsi="Calibri" w:cs="Calibri"/>
          <w:color w:val="000000"/>
          <w:szCs w:val="22"/>
          <w:shd w:val="clear" w:color="auto" w:fill="FFFFFF"/>
        </w:rPr>
        <w:t>selective serotonin agonist</w:t>
      </w:r>
      <w:r w:rsidR="00FD6A98">
        <w:rPr>
          <w:rStyle w:val="normaltextrun"/>
          <w:rFonts w:ascii="Calibri" w:hAnsi="Calibri" w:cs="Calibri"/>
          <w:color w:val="000000"/>
          <w:szCs w:val="22"/>
          <w:shd w:val="clear" w:color="auto" w:fill="FFFFFF"/>
        </w:rPr>
        <w:t>s</w:t>
      </w:r>
      <w:r w:rsidR="00157963">
        <w:rPr>
          <w:rStyle w:val="normaltextrun"/>
          <w:rFonts w:ascii="Calibri" w:hAnsi="Calibri" w:cs="Calibri"/>
          <w:color w:val="000000"/>
          <w:szCs w:val="22"/>
          <w:shd w:val="clear" w:color="auto" w:fill="FFFFFF"/>
        </w:rPr>
        <w:t>) or</w:t>
      </w:r>
      <w:r w:rsidR="00980379">
        <w:rPr>
          <w:rStyle w:val="normaltextrun"/>
          <w:rFonts w:ascii="Calibri" w:hAnsi="Calibri" w:cs="Calibri"/>
          <w:color w:val="000000"/>
          <w:szCs w:val="22"/>
          <w:shd w:val="clear" w:color="auto" w:fill="FFFFFF"/>
        </w:rPr>
        <w:t xml:space="preserve"> are</w:t>
      </w:r>
      <w:r w:rsidR="00157963">
        <w:rPr>
          <w:rStyle w:val="normaltextrun"/>
          <w:rFonts w:ascii="Calibri" w:hAnsi="Calibri" w:cs="Calibri"/>
          <w:color w:val="000000"/>
          <w:szCs w:val="22"/>
          <w:shd w:val="clear" w:color="auto" w:fill="FFFFFF"/>
        </w:rPr>
        <w:t xml:space="preserve"> known more </w:t>
      </w:r>
      <w:r w:rsidR="00861E03">
        <w:rPr>
          <w:rStyle w:val="normaltextrun"/>
          <w:rFonts w:ascii="Calibri" w:hAnsi="Calibri" w:cs="Calibri"/>
          <w:color w:val="000000"/>
          <w:szCs w:val="22"/>
          <w:shd w:val="clear" w:color="auto" w:fill="FFFFFF"/>
        </w:rPr>
        <w:t>commonly</w:t>
      </w:r>
      <w:r w:rsidR="00157963">
        <w:rPr>
          <w:rStyle w:val="normaltextrun"/>
          <w:rFonts w:ascii="Calibri" w:hAnsi="Calibri" w:cs="Calibri"/>
          <w:color w:val="000000"/>
          <w:szCs w:val="22"/>
          <w:shd w:val="clear" w:color="auto" w:fill="FFFFFF"/>
        </w:rPr>
        <w:t xml:space="preserve"> as </w:t>
      </w:r>
      <w:hyperlink r:id="rId100" w:history="1">
        <w:r w:rsidR="00FD6A98" w:rsidRPr="006478D3">
          <w:rPr>
            <w:rStyle w:val="Hyperlink"/>
            <w:rFonts w:ascii="Calibri" w:hAnsi="Calibri" w:cs="Calibri"/>
            <w:szCs w:val="22"/>
            <w:shd w:val="clear" w:color="auto" w:fill="FFFFFF"/>
          </w:rPr>
          <w:t>triptans</w:t>
        </w:r>
      </w:hyperlink>
      <w:r w:rsidR="00980379">
        <w:rPr>
          <w:rStyle w:val="normaltextrun"/>
          <w:rFonts w:ascii="Calibri" w:hAnsi="Calibri" w:cs="Calibri"/>
          <w:color w:val="000000"/>
          <w:szCs w:val="22"/>
          <w:shd w:val="clear" w:color="auto" w:fill="FFFFFF"/>
        </w:rPr>
        <w:t>.</w:t>
      </w:r>
      <w:r w:rsidR="00FD6A98">
        <w:rPr>
          <w:rStyle w:val="normaltextrun"/>
          <w:rFonts w:ascii="Calibri" w:hAnsi="Calibri" w:cs="Calibri"/>
          <w:color w:val="000000"/>
          <w:szCs w:val="22"/>
          <w:shd w:val="clear" w:color="auto" w:fill="FFFFFF"/>
        </w:rPr>
        <w:t xml:space="preserve"> </w:t>
      </w:r>
      <w:r w:rsidR="00980379">
        <w:rPr>
          <w:rStyle w:val="normaltextrun"/>
          <w:rFonts w:ascii="Calibri" w:hAnsi="Calibri" w:cs="Calibri"/>
          <w:color w:val="000000"/>
          <w:szCs w:val="22"/>
          <w:shd w:val="clear" w:color="auto" w:fill="FFFFFF"/>
        </w:rPr>
        <w:t xml:space="preserve">They are </w:t>
      </w:r>
      <w:r w:rsidR="002C6128">
        <w:rPr>
          <w:rStyle w:val="normaltextrun"/>
          <w:rFonts w:ascii="Calibri" w:hAnsi="Calibri" w:cs="Calibri"/>
          <w:color w:val="000000"/>
          <w:szCs w:val="22"/>
          <w:shd w:val="clear" w:color="auto" w:fill="FFFFFF"/>
        </w:rPr>
        <w:t>used for the treatment of acute migraine attacks with or without aura</w:t>
      </w:r>
      <w:r>
        <w:rPr>
          <w:rStyle w:val="normaltextrun"/>
          <w:rFonts w:ascii="Calibri" w:hAnsi="Calibri" w:cs="Calibri"/>
          <w:color w:val="000000"/>
          <w:szCs w:val="22"/>
          <w:shd w:val="clear" w:color="auto" w:fill="FFFFFF"/>
        </w:rPr>
        <w:t xml:space="preserve">. </w:t>
      </w:r>
      <w:r w:rsidR="00FD6A98" w:rsidRPr="00FD6A98">
        <w:rPr>
          <w:rStyle w:val="normaltextrun"/>
          <w:rFonts w:ascii="Calibri" w:hAnsi="Calibri" w:cs="Calibri"/>
          <w:color w:val="000000"/>
          <w:szCs w:val="22"/>
          <w:shd w:val="clear" w:color="auto" w:fill="FFFFFF"/>
        </w:rPr>
        <w:t>Triptans work by stimulating the</w:t>
      </w:r>
      <w:r w:rsidR="00FD6A98">
        <w:rPr>
          <w:rStyle w:val="normaltextrun"/>
          <w:rFonts w:ascii="Calibri" w:hAnsi="Calibri" w:cs="Calibri"/>
          <w:color w:val="000000"/>
          <w:szCs w:val="22"/>
          <w:shd w:val="clear" w:color="auto" w:fill="FFFFFF"/>
        </w:rPr>
        <w:t xml:space="preserve"> serotonin</w:t>
      </w:r>
      <w:r w:rsidR="00FD6A98" w:rsidRPr="00FD6A98">
        <w:rPr>
          <w:rStyle w:val="normaltextrun"/>
          <w:rFonts w:ascii="Calibri" w:hAnsi="Calibri" w:cs="Calibri"/>
          <w:color w:val="000000"/>
          <w:szCs w:val="22"/>
          <w:shd w:val="clear" w:color="auto" w:fill="FFFFFF"/>
        </w:rPr>
        <w:t xml:space="preserve"> receptors in the brain </w:t>
      </w:r>
      <w:r w:rsidR="00FD6A98">
        <w:rPr>
          <w:rStyle w:val="normaltextrun"/>
          <w:rFonts w:ascii="Calibri" w:hAnsi="Calibri" w:cs="Calibri"/>
          <w:color w:val="000000"/>
          <w:szCs w:val="22"/>
          <w:shd w:val="clear" w:color="auto" w:fill="FFFFFF"/>
        </w:rPr>
        <w:t>and t</w:t>
      </w:r>
      <w:r w:rsidR="00FD6A98" w:rsidRPr="00FD6A98">
        <w:rPr>
          <w:rStyle w:val="normaltextrun"/>
          <w:rFonts w:ascii="Calibri" w:hAnsi="Calibri" w:cs="Calibri"/>
          <w:color w:val="000000"/>
          <w:szCs w:val="22"/>
          <w:shd w:val="clear" w:color="auto" w:fill="FFFFFF"/>
        </w:rPr>
        <w:t>his eases the symptoms of migraine</w:t>
      </w:r>
      <w:r w:rsidR="00157963">
        <w:t>.</w:t>
      </w:r>
      <w:r w:rsidR="00980379" w:rsidRPr="00980379">
        <w:t xml:space="preserve"> </w:t>
      </w:r>
      <w:r w:rsidR="00980379">
        <w:t xml:space="preserve">They are </w:t>
      </w:r>
      <w:r w:rsidR="00980379" w:rsidRPr="00980379">
        <w:t>designed to stop a migraine attack as the attack begins</w:t>
      </w:r>
      <w:r w:rsidR="00980379">
        <w:t xml:space="preserve">. </w:t>
      </w:r>
      <w:r w:rsidR="002C6128">
        <w:rPr>
          <w:rStyle w:val="normaltextrun"/>
          <w:rFonts w:ascii="Calibri" w:hAnsi="Calibri" w:cs="Calibri"/>
          <w:color w:val="000000"/>
          <w:szCs w:val="22"/>
          <w:shd w:val="clear" w:color="auto" w:fill="FFFFFF"/>
        </w:rPr>
        <w:t>Naratriptan</w:t>
      </w:r>
      <w:r>
        <w:rPr>
          <w:rStyle w:val="normaltextrun"/>
          <w:rFonts w:ascii="Calibri" w:hAnsi="Calibri" w:cs="Calibri"/>
          <w:color w:val="000000"/>
          <w:szCs w:val="22"/>
          <w:shd w:val="clear" w:color="auto" w:fill="FFFFFF"/>
        </w:rPr>
        <w:t xml:space="preserve"> is </w:t>
      </w:r>
      <w:r w:rsidR="002C6128">
        <w:rPr>
          <w:rStyle w:val="normaltextrun"/>
          <w:rFonts w:ascii="Calibri" w:hAnsi="Calibri" w:cs="Calibri"/>
          <w:color w:val="000000"/>
          <w:szCs w:val="22"/>
          <w:shd w:val="clear" w:color="auto" w:fill="FFFFFF"/>
        </w:rPr>
        <w:t xml:space="preserve">currently </w:t>
      </w:r>
      <w:r>
        <w:rPr>
          <w:rStyle w:val="normaltextrun"/>
          <w:rFonts w:ascii="Calibri" w:hAnsi="Calibri" w:cs="Calibri"/>
          <w:color w:val="000000"/>
          <w:szCs w:val="22"/>
          <w:shd w:val="clear" w:color="auto" w:fill="FFFFFF"/>
        </w:rPr>
        <w:t xml:space="preserve">available as </w:t>
      </w:r>
      <w:r w:rsidR="002C6128">
        <w:rPr>
          <w:rStyle w:val="normaltextrun"/>
          <w:rFonts w:ascii="Calibri" w:hAnsi="Calibri" w:cs="Calibri"/>
          <w:color w:val="000000"/>
          <w:szCs w:val="22"/>
          <w:shd w:val="clear" w:color="auto" w:fill="FFFFFF"/>
        </w:rPr>
        <w:t xml:space="preserve">2.5 mg </w:t>
      </w:r>
      <w:r>
        <w:rPr>
          <w:rStyle w:val="normaltextrun"/>
          <w:rFonts w:ascii="Calibri" w:hAnsi="Calibri" w:cs="Calibri"/>
          <w:color w:val="000000"/>
          <w:szCs w:val="22"/>
          <w:shd w:val="clear" w:color="auto" w:fill="FFFFFF"/>
        </w:rPr>
        <w:t xml:space="preserve">oral tablets </w:t>
      </w:r>
      <w:r w:rsidR="00B206FD">
        <w:rPr>
          <w:rStyle w:val="normaltextrun"/>
          <w:rFonts w:ascii="Calibri" w:hAnsi="Calibri" w:cs="Calibri"/>
          <w:color w:val="000000"/>
          <w:szCs w:val="22"/>
          <w:shd w:val="clear" w:color="auto" w:fill="FFFFFF"/>
        </w:rPr>
        <w:t>by prescription only</w:t>
      </w:r>
      <w:r>
        <w:rPr>
          <w:rStyle w:val="normaltextrun"/>
          <w:rFonts w:ascii="Calibri" w:hAnsi="Calibri" w:cs="Calibri"/>
          <w:color w:val="000000"/>
          <w:szCs w:val="22"/>
          <w:shd w:val="clear" w:color="auto" w:fill="FFFFFF"/>
        </w:rPr>
        <w:t>.</w:t>
      </w:r>
      <w:r w:rsidR="00EB1099">
        <w:rPr>
          <w:rStyle w:val="normaltextrun"/>
          <w:rFonts w:ascii="Calibri" w:hAnsi="Calibri" w:cs="Calibri"/>
          <w:color w:val="000000"/>
          <w:szCs w:val="22"/>
          <w:shd w:val="clear" w:color="auto" w:fill="FFFFFF"/>
        </w:rPr>
        <w:t xml:space="preserve"> </w:t>
      </w:r>
      <w:r>
        <w:rPr>
          <w:rStyle w:val="eop"/>
          <w:rFonts w:ascii="Calibri" w:hAnsi="Calibri" w:cs="Calibri"/>
          <w:color w:val="000000"/>
          <w:szCs w:val="22"/>
          <w:shd w:val="clear" w:color="auto" w:fill="FFFFFF"/>
        </w:rPr>
        <w:t>Naratriptan was listed in the Poisons Standard in 1998</w:t>
      </w:r>
      <w:r w:rsidR="005E4412">
        <w:rPr>
          <w:rStyle w:val="eop"/>
          <w:rFonts w:ascii="Calibri" w:hAnsi="Calibri" w:cs="Calibri"/>
          <w:color w:val="000000"/>
          <w:szCs w:val="22"/>
          <w:shd w:val="clear" w:color="auto" w:fill="FFFFFF"/>
        </w:rPr>
        <w:t xml:space="preserve"> as a Schedule 4 substance</w:t>
      </w:r>
      <w:r>
        <w:rPr>
          <w:rStyle w:val="eop"/>
          <w:rFonts w:ascii="Calibri" w:hAnsi="Calibri" w:cs="Calibri"/>
          <w:color w:val="000000"/>
          <w:szCs w:val="22"/>
          <w:shd w:val="clear" w:color="auto" w:fill="FFFFFF"/>
        </w:rPr>
        <w:t xml:space="preserve"> and has not been considered since.</w:t>
      </w:r>
    </w:p>
    <w:p w14:paraId="41C55C53" w14:textId="77777777" w:rsidR="00BA2399" w:rsidRDefault="00BA2399" w:rsidP="00BA2399">
      <w:pPr>
        <w:pStyle w:val="Heading4"/>
      </w:pPr>
      <w:bookmarkStart w:id="100" w:name="_Toc144110892"/>
      <w:r>
        <w:t>Summary of applicant’s reasons for the proposal</w:t>
      </w:r>
      <w:bookmarkEnd w:id="100"/>
    </w:p>
    <w:p w14:paraId="72B37C17" w14:textId="1D32FA2A" w:rsidR="00BA2399" w:rsidRDefault="00130019" w:rsidP="00EB1099">
      <w:pPr>
        <w:pStyle w:val="ListBullet"/>
        <w:numPr>
          <w:ilvl w:val="0"/>
          <w:numId w:val="83"/>
        </w:numPr>
      </w:pPr>
      <w:r w:rsidRPr="00130019">
        <w:rPr>
          <w:rStyle w:val="normaltextrun"/>
        </w:rPr>
        <w:t xml:space="preserve">Migraine is a common and debilitating recurrent condition that affects </w:t>
      </w:r>
      <w:r w:rsidR="00FB27EC">
        <w:rPr>
          <w:rStyle w:val="normaltextrun"/>
        </w:rPr>
        <w:t>12-20%</w:t>
      </w:r>
      <w:r w:rsidRPr="00130019">
        <w:rPr>
          <w:rStyle w:val="normaltextrun"/>
        </w:rPr>
        <w:t xml:space="preserve"> of women and 6% of </w:t>
      </w:r>
      <w:r w:rsidRPr="00FB27EC">
        <w:rPr>
          <w:rStyle w:val="normaltextrun"/>
        </w:rPr>
        <w:t>men.</w:t>
      </w:r>
      <w:r w:rsidR="00FB27EC" w:rsidRPr="00FB27EC">
        <w:rPr>
          <w:rStyle w:val="normaltextrun"/>
        </w:rPr>
        <w:t xml:space="preserve"> In Australia, </w:t>
      </w:r>
      <w:r w:rsidR="00FB27EC" w:rsidRPr="00FB27EC">
        <w:t xml:space="preserve">approximately 2.3 million people could potentially require triptan medication </w:t>
      </w:r>
      <w:r w:rsidR="00FB27EC">
        <w:t>for the treatment of</w:t>
      </w:r>
      <w:r w:rsidR="00FB27EC" w:rsidRPr="00FB27EC">
        <w:t xml:space="preserve"> migraine.</w:t>
      </w:r>
    </w:p>
    <w:p w14:paraId="2F4F29C5" w14:textId="5369E585" w:rsidR="00F9259D" w:rsidRPr="00F9259D" w:rsidRDefault="00FB27EC" w:rsidP="00EB1099">
      <w:pPr>
        <w:pStyle w:val="ListBullet"/>
        <w:numPr>
          <w:ilvl w:val="0"/>
          <w:numId w:val="83"/>
        </w:numPr>
        <w:rPr>
          <w:rStyle w:val="normaltextrun"/>
          <w:color w:val="000000"/>
          <w:szCs w:val="22"/>
          <w:shd w:val="clear" w:color="auto" w:fill="FFFFFF"/>
        </w:rPr>
      </w:pPr>
      <w:r w:rsidRPr="00F9259D">
        <w:rPr>
          <w:rStyle w:val="normaltextrun"/>
          <w:color w:val="000000"/>
          <w:szCs w:val="22"/>
          <w:shd w:val="clear" w:color="auto" w:fill="FFFFFF"/>
        </w:rPr>
        <w:t>Naratriptan is currently available by prescription only and this</w:t>
      </w:r>
      <w:r w:rsidR="00BA2399" w:rsidRPr="00F9259D">
        <w:rPr>
          <w:rStyle w:val="normaltextrun"/>
          <w:color w:val="000000"/>
          <w:szCs w:val="22"/>
          <w:shd w:val="clear" w:color="auto" w:fill="FFFFFF"/>
        </w:rPr>
        <w:t xml:space="preserve"> restriction</w:t>
      </w:r>
      <w:r w:rsidR="0091057E" w:rsidRPr="00F9259D">
        <w:rPr>
          <w:rStyle w:val="normaltextrun"/>
          <w:color w:val="000000"/>
          <w:szCs w:val="22"/>
          <w:shd w:val="clear" w:color="auto" w:fill="FFFFFF"/>
        </w:rPr>
        <w:t xml:space="preserve"> may</w:t>
      </w:r>
      <w:r w:rsidR="00BA2399" w:rsidRPr="00F9259D">
        <w:rPr>
          <w:rStyle w:val="normaltextrun"/>
          <w:color w:val="000000"/>
          <w:szCs w:val="22"/>
          <w:shd w:val="clear" w:color="auto" w:fill="FFFFFF"/>
        </w:rPr>
        <w:t xml:space="preserve"> </w:t>
      </w:r>
      <w:r w:rsidR="0091057E" w:rsidRPr="00F9259D">
        <w:rPr>
          <w:rStyle w:val="normaltextrun"/>
          <w:color w:val="000000"/>
          <w:szCs w:val="22"/>
          <w:shd w:val="clear" w:color="auto" w:fill="FFFFFF"/>
        </w:rPr>
        <w:t>delay patients from receiving acute migraine relief</w:t>
      </w:r>
      <w:r w:rsidR="00761C77" w:rsidRPr="00F9259D">
        <w:rPr>
          <w:rStyle w:val="normaltextrun"/>
          <w:color w:val="000000"/>
          <w:szCs w:val="22"/>
          <w:shd w:val="clear" w:color="auto" w:fill="FFFFFF"/>
        </w:rPr>
        <w:t>.</w:t>
      </w:r>
      <w:r w:rsidR="0091057E" w:rsidRPr="00F9259D">
        <w:rPr>
          <w:rStyle w:val="normaltextrun"/>
          <w:color w:val="000000"/>
          <w:szCs w:val="22"/>
          <w:shd w:val="clear" w:color="auto" w:fill="FFFFFF"/>
        </w:rPr>
        <w:t xml:space="preserve"> </w:t>
      </w:r>
      <w:r w:rsidR="00F9259D">
        <w:rPr>
          <w:rStyle w:val="normaltextrun"/>
          <w:color w:val="000000"/>
          <w:szCs w:val="22"/>
          <w:shd w:val="clear" w:color="auto" w:fill="FFFFFF"/>
        </w:rPr>
        <w:t xml:space="preserve">A </w:t>
      </w:r>
      <w:r w:rsidR="00F9259D" w:rsidRPr="00F9259D">
        <w:rPr>
          <w:rStyle w:val="normaltextrun"/>
          <w:color w:val="000000"/>
          <w:szCs w:val="22"/>
          <w:shd w:val="clear" w:color="auto" w:fill="FFFFFF"/>
        </w:rPr>
        <w:t>fundamental requirement for the efficacy of triptans (5HT-1 agonists) in the acute</w:t>
      </w:r>
      <w:r w:rsidR="00F9259D">
        <w:rPr>
          <w:rStyle w:val="normaltextrun"/>
          <w:color w:val="000000"/>
          <w:szCs w:val="22"/>
          <w:shd w:val="clear" w:color="auto" w:fill="FFFFFF"/>
        </w:rPr>
        <w:t xml:space="preserve"> </w:t>
      </w:r>
      <w:r w:rsidR="00F9259D" w:rsidRPr="00F9259D">
        <w:rPr>
          <w:rStyle w:val="normaltextrun"/>
          <w:color w:val="000000"/>
          <w:szCs w:val="22"/>
          <w:shd w:val="clear" w:color="auto" w:fill="FFFFFF"/>
        </w:rPr>
        <w:t>treatment of migraine is to administer within one hour of the onset of migraine headache</w:t>
      </w:r>
      <w:r w:rsidR="00F9259D">
        <w:rPr>
          <w:rStyle w:val="normaltextrun"/>
          <w:color w:val="000000"/>
          <w:szCs w:val="22"/>
          <w:shd w:val="clear" w:color="auto" w:fill="FFFFFF"/>
        </w:rPr>
        <w:t>.</w:t>
      </w:r>
    </w:p>
    <w:p w14:paraId="4AE163B5" w14:textId="3777CE52" w:rsidR="00BA2399" w:rsidRPr="00761C77" w:rsidRDefault="00F9259D" w:rsidP="00EB1099">
      <w:pPr>
        <w:pStyle w:val="ListBullet"/>
        <w:numPr>
          <w:ilvl w:val="0"/>
          <w:numId w:val="83"/>
        </w:numPr>
        <w:rPr>
          <w:rFonts w:ascii="Calibri" w:hAnsi="Calibri" w:cs="Calibri"/>
          <w:color w:val="000000"/>
          <w:szCs w:val="22"/>
          <w:shd w:val="clear" w:color="auto" w:fill="FFFFFF"/>
        </w:rPr>
      </w:pPr>
      <w:r>
        <w:rPr>
          <w:rFonts w:ascii="Calibri" w:hAnsi="Calibri" w:cs="Calibri"/>
          <w:color w:val="000000"/>
          <w:szCs w:val="22"/>
          <w:shd w:val="clear" w:color="auto" w:fill="FFFFFF"/>
        </w:rPr>
        <w:t>Delay in treatment</w:t>
      </w:r>
      <w:r w:rsidR="00761C77">
        <w:rPr>
          <w:rFonts w:ascii="Calibri" w:hAnsi="Calibri" w:cs="Calibri"/>
          <w:color w:val="000000"/>
          <w:szCs w:val="22"/>
          <w:shd w:val="clear" w:color="auto" w:fill="FFFFFF"/>
        </w:rPr>
        <w:t xml:space="preserve"> </w:t>
      </w:r>
      <w:r w:rsidR="0091057E" w:rsidRPr="00761C77">
        <w:rPr>
          <w:rFonts w:ascii="Calibri" w:hAnsi="Calibri" w:cs="Calibri"/>
          <w:color w:val="000000"/>
          <w:szCs w:val="22"/>
          <w:shd w:val="clear" w:color="auto" w:fill="FFFFFF"/>
        </w:rPr>
        <w:t>increases the risk of more severe and prolonged headache pain, inappropriate simple analgesic use</w:t>
      </w:r>
      <w:r w:rsidR="00761C77">
        <w:rPr>
          <w:rFonts w:ascii="Calibri" w:hAnsi="Calibri" w:cs="Calibri"/>
          <w:color w:val="000000"/>
          <w:szCs w:val="22"/>
          <w:shd w:val="clear" w:color="auto" w:fill="FFFFFF"/>
        </w:rPr>
        <w:t xml:space="preserve">, </w:t>
      </w:r>
      <w:r w:rsidR="0091057E" w:rsidRPr="00761C77">
        <w:rPr>
          <w:rFonts w:ascii="Calibri" w:hAnsi="Calibri" w:cs="Calibri"/>
          <w:color w:val="000000"/>
          <w:szCs w:val="22"/>
          <w:shd w:val="clear" w:color="auto" w:fill="FFFFFF"/>
        </w:rPr>
        <w:t>medication overuse headache, chronic migraine, and increases the economic and productivity costs to Australia.</w:t>
      </w:r>
    </w:p>
    <w:p w14:paraId="2255A977" w14:textId="0312B6A9" w:rsidR="00130019" w:rsidRPr="00761C77" w:rsidRDefault="00BA2399" w:rsidP="00EB1099">
      <w:pPr>
        <w:pStyle w:val="ListBullet"/>
        <w:numPr>
          <w:ilvl w:val="0"/>
          <w:numId w:val="83"/>
        </w:numPr>
        <w:rPr>
          <w:color w:val="000000"/>
          <w:sz w:val="24"/>
          <w:szCs w:val="24"/>
          <w:shd w:val="clear" w:color="auto" w:fill="FFFFFF"/>
        </w:rPr>
      </w:pPr>
      <w:r w:rsidRPr="00BA2399">
        <w:rPr>
          <w:szCs w:val="22"/>
        </w:rPr>
        <w:t>The proposal aims to facilitate timely access to naratriptan through community pharmacy for patients diagnosed with migraine headaches, so that treatment may be initiated at the early stages of an attack.</w:t>
      </w:r>
      <w:r w:rsidR="00761C77">
        <w:rPr>
          <w:color w:val="000000"/>
          <w:sz w:val="24"/>
          <w:szCs w:val="24"/>
          <w:shd w:val="clear" w:color="auto" w:fill="FFFFFF"/>
        </w:rPr>
        <w:t xml:space="preserve"> </w:t>
      </w:r>
      <w:r w:rsidRPr="00761C77">
        <w:rPr>
          <w:szCs w:val="22"/>
        </w:rPr>
        <w:t>Pharmacists have appropriate skill</w:t>
      </w:r>
      <w:r w:rsidR="00945641" w:rsidRPr="00761C77">
        <w:rPr>
          <w:szCs w:val="22"/>
        </w:rPr>
        <w:t>s</w:t>
      </w:r>
      <w:r w:rsidRPr="00761C77">
        <w:rPr>
          <w:szCs w:val="22"/>
        </w:rPr>
        <w:t xml:space="preserve"> and knowledge to appropriately assess migraine</w:t>
      </w:r>
      <w:r w:rsidR="00BD4DFE" w:rsidRPr="00761C77">
        <w:rPr>
          <w:szCs w:val="22"/>
        </w:rPr>
        <w:t xml:space="preserve"> </w:t>
      </w:r>
      <w:r w:rsidRPr="00761C77">
        <w:rPr>
          <w:szCs w:val="22"/>
        </w:rPr>
        <w:t xml:space="preserve">symptoms and </w:t>
      </w:r>
      <w:r w:rsidR="00130019" w:rsidRPr="00761C77">
        <w:rPr>
          <w:szCs w:val="22"/>
        </w:rPr>
        <w:t xml:space="preserve">the medical </w:t>
      </w:r>
      <w:r w:rsidRPr="00761C77">
        <w:rPr>
          <w:szCs w:val="22"/>
        </w:rPr>
        <w:t>history of consumers.</w:t>
      </w:r>
    </w:p>
    <w:p w14:paraId="0B06E396" w14:textId="3EF632D4" w:rsidR="00130019" w:rsidRDefault="00130019" w:rsidP="00EB1099">
      <w:pPr>
        <w:pStyle w:val="ListBullet"/>
        <w:numPr>
          <w:ilvl w:val="0"/>
          <w:numId w:val="83"/>
        </w:numPr>
        <w:rPr>
          <w:szCs w:val="22"/>
        </w:rPr>
      </w:pPr>
      <w:r>
        <w:rPr>
          <w:szCs w:val="22"/>
        </w:rPr>
        <w:t xml:space="preserve">Other triptan medicines such as sumatriptan, zolmitriptan, eletriptan and rizatriptan were re-scheduled and </w:t>
      </w:r>
      <w:r w:rsidR="00761C77">
        <w:rPr>
          <w:szCs w:val="22"/>
        </w:rPr>
        <w:t>made</w:t>
      </w:r>
      <w:r w:rsidR="00FB27EC">
        <w:rPr>
          <w:szCs w:val="22"/>
        </w:rPr>
        <w:t xml:space="preserve"> </w:t>
      </w:r>
      <w:r>
        <w:rPr>
          <w:szCs w:val="22"/>
        </w:rPr>
        <w:t xml:space="preserve">available for Pharmacist Only sale </w:t>
      </w:r>
      <w:r w:rsidR="00761C77">
        <w:rPr>
          <w:szCs w:val="22"/>
        </w:rPr>
        <w:t xml:space="preserve">in </w:t>
      </w:r>
      <w:r>
        <w:rPr>
          <w:szCs w:val="22"/>
        </w:rPr>
        <w:t>2021.</w:t>
      </w:r>
    </w:p>
    <w:p w14:paraId="0608C9C2" w14:textId="22D62E67" w:rsidR="00F9259D" w:rsidRPr="00F9259D" w:rsidRDefault="00F9259D" w:rsidP="00EB1099">
      <w:pPr>
        <w:pStyle w:val="ListBullet"/>
        <w:numPr>
          <w:ilvl w:val="0"/>
          <w:numId w:val="83"/>
        </w:numPr>
        <w:rPr>
          <w:szCs w:val="22"/>
        </w:rPr>
      </w:pPr>
      <w:r w:rsidRPr="00F9259D">
        <w:rPr>
          <w:szCs w:val="22"/>
        </w:rPr>
        <w:t>Triptans are considered to have low abuse potential. Medication overuse headache (MOH) is considered the most likely unintended outcome associated with misuse or abuse of naratriptan. The prevalence of MOH is approximately 0.5–2.0% of the population.</w:t>
      </w:r>
    </w:p>
    <w:p w14:paraId="24951FD9" w14:textId="77777777" w:rsidR="00BA2399" w:rsidRDefault="00BA2399" w:rsidP="00BA2399">
      <w:pPr>
        <w:pStyle w:val="Heading4"/>
      </w:pPr>
      <w:bookmarkStart w:id="101" w:name="_Toc144110893"/>
      <w:r>
        <w:t>Key uses / expected use</w:t>
      </w:r>
      <w:bookmarkEnd w:id="101"/>
    </w:p>
    <w:p w14:paraId="07F382BB" w14:textId="77777777" w:rsidR="00BA2399" w:rsidRPr="00D137F8" w:rsidRDefault="00BA2399" w:rsidP="00BA2399">
      <w:r w:rsidRPr="00D137F8">
        <w:t>Medicines</w:t>
      </w:r>
    </w:p>
    <w:p w14:paraId="23EAEA92" w14:textId="77777777" w:rsidR="00BA2399" w:rsidRDefault="00BA2399" w:rsidP="00BA2399">
      <w:pPr>
        <w:pStyle w:val="Heading4"/>
      </w:pPr>
      <w:bookmarkStart w:id="102" w:name="_Toc144110894"/>
      <w:r>
        <w:t>Australian regulations</w:t>
      </w:r>
      <w:bookmarkEnd w:id="102"/>
    </w:p>
    <w:p w14:paraId="0635A415" w14:textId="0A32F4D6" w:rsidR="00BA2399" w:rsidRPr="008007EB" w:rsidRDefault="00BA2399" w:rsidP="00BA2399">
      <w:pPr>
        <w:pStyle w:val="ListBullet"/>
        <w:numPr>
          <w:ilvl w:val="0"/>
          <w:numId w:val="65"/>
        </w:numPr>
      </w:pPr>
      <w:r w:rsidRPr="004C0AC3">
        <w:t xml:space="preserve">According to the </w:t>
      </w:r>
      <w:hyperlink r:id="rId101" w:history="1">
        <w:r w:rsidRPr="008007EB">
          <w:rPr>
            <w:rStyle w:val="Hyperlink"/>
            <w:rFonts w:asciiTheme="minorHAnsi" w:hAnsiTheme="minorHAnsi"/>
          </w:rPr>
          <w:t>TGA Ingredient Database</w:t>
        </w:r>
      </w:hyperlink>
      <w:r w:rsidRPr="008007EB">
        <w:t xml:space="preserve">, </w:t>
      </w:r>
      <w:r w:rsidRPr="004C0AC3">
        <w:t>naratriptan is:</w:t>
      </w:r>
    </w:p>
    <w:p w14:paraId="52E46037" w14:textId="4520FAB2" w:rsidR="00BA2399" w:rsidRPr="004C0AC3" w:rsidRDefault="00BA2399" w:rsidP="009C55B5">
      <w:pPr>
        <w:pStyle w:val="ListParagraph"/>
        <w:numPr>
          <w:ilvl w:val="0"/>
          <w:numId w:val="69"/>
        </w:numPr>
        <w:ind w:left="714" w:hanging="357"/>
        <w:contextualSpacing w:val="0"/>
        <w:rPr>
          <w:rFonts w:asciiTheme="minorHAnsi" w:hAnsiTheme="minorHAnsi" w:cstheme="minorHAnsi"/>
          <w:iCs/>
          <w:szCs w:val="22"/>
        </w:rPr>
      </w:pPr>
      <w:r w:rsidRPr="004C0AC3">
        <w:rPr>
          <w:rFonts w:asciiTheme="minorHAnsi" w:hAnsiTheme="minorHAnsi" w:cstheme="minorHAnsi"/>
          <w:iCs/>
          <w:szCs w:val="22"/>
        </w:rPr>
        <w:t>Available for use as an Active Ingredient in Biologicals</w:t>
      </w:r>
      <w:r w:rsidR="00761C77">
        <w:rPr>
          <w:rFonts w:asciiTheme="minorHAnsi" w:hAnsiTheme="minorHAnsi" w:cstheme="minorHAnsi"/>
          <w:iCs/>
          <w:szCs w:val="22"/>
        </w:rPr>
        <w:t xml:space="preserve"> and</w:t>
      </w:r>
      <w:r w:rsidRPr="004C0AC3">
        <w:rPr>
          <w:rFonts w:asciiTheme="minorHAnsi" w:hAnsiTheme="minorHAnsi" w:cstheme="minorHAnsi"/>
          <w:iCs/>
          <w:szCs w:val="22"/>
        </w:rPr>
        <w:t xml:space="preserve"> Prescription Medicines</w:t>
      </w:r>
      <w:r w:rsidR="00D137F8">
        <w:rPr>
          <w:rFonts w:asciiTheme="minorHAnsi" w:hAnsiTheme="minorHAnsi" w:cstheme="minorHAnsi"/>
          <w:iCs/>
          <w:szCs w:val="22"/>
        </w:rPr>
        <w:t>;</w:t>
      </w:r>
    </w:p>
    <w:p w14:paraId="1E4C0CBA" w14:textId="2473B76A" w:rsidR="00BA2399" w:rsidRPr="004C0AC3" w:rsidRDefault="00BA2399" w:rsidP="009C55B5">
      <w:pPr>
        <w:pStyle w:val="ListParagraph"/>
        <w:numPr>
          <w:ilvl w:val="0"/>
          <w:numId w:val="69"/>
        </w:numPr>
        <w:ind w:left="714" w:hanging="357"/>
        <w:contextualSpacing w:val="0"/>
        <w:rPr>
          <w:rFonts w:asciiTheme="minorHAnsi" w:hAnsiTheme="minorHAnsi" w:cstheme="minorHAnsi"/>
          <w:iCs/>
          <w:szCs w:val="22"/>
        </w:rPr>
      </w:pPr>
      <w:r w:rsidRPr="004C0AC3">
        <w:rPr>
          <w:rFonts w:asciiTheme="minorHAnsi" w:hAnsiTheme="minorHAnsi" w:cstheme="minorHAnsi"/>
          <w:iCs/>
          <w:szCs w:val="22"/>
        </w:rPr>
        <w:t xml:space="preserve">Available for use as an Excipient Ingredient in Biologicals, Devices </w:t>
      </w:r>
      <w:r w:rsidR="00761C77">
        <w:rPr>
          <w:rFonts w:asciiTheme="minorHAnsi" w:hAnsiTheme="minorHAnsi" w:cstheme="minorHAnsi"/>
          <w:iCs/>
          <w:szCs w:val="22"/>
        </w:rPr>
        <w:t xml:space="preserve">and </w:t>
      </w:r>
      <w:r w:rsidRPr="004C0AC3">
        <w:rPr>
          <w:rFonts w:asciiTheme="minorHAnsi" w:hAnsiTheme="minorHAnsi" w:cstheme="minorHAnsi"/>
          <w:iCs/>
          <w:szCs w:val="22"/>
        </w:rPr>
        <w:t>Prescription Medicines</w:t>
      </w:r>
      <w:r w:rsidR="00D137F8">
        <w:rPr>
          <w:rFonts w:asciiTheme="minorHAnsi" w:hAnsiTheme="minorHAnsi" w:cstheme="minorHAnsi"/>
          <w:iCs/>
          <w:szCs w:val="22"/>
        </w:rPr>
        <w:t>;</w:t>
      </w:r>
    </w:p>
    <w:p w14:paraId="669100E1" w14:textId="0650219F" w:rsidR="00BA2399" w:rsidRPr="004C0AC3" w:rsidRDefault="00BA2399" w:rsidP="009C55B5">
      <w:pPr>
        <w:pStyle w:val="ListParagraph"/>
        <w:numPr>
          <w:ilvl w:val="0"/>
          <w:numId w:val="69"/>
        </w:numPr>
        <w:ind w:left="714" w:hanging="357"/>
        <w:contextualSpacing w:val="0"/>
        <w:rPr>
          <w:rFonts w:asciiTheme="minorHAnsi" w:hAnsiTheme="minorHAnsi" w:cstheme="minorHAnsi"/>
          <w:iCs/>
          <w:szCs w:val="22"/>
        </w:rPr>
      </w:pPr>
      <w:r w:rsidRPr="004C0AC3">
        <w:rPr>
          <w:rFonts w:asciiTheme="minorHAnsi" w:hAnsiTheme="minorHAnsi" w:cstheme="minorHAnsi"/>
          <w:iCs/>
          <w:szCs w:val="22"/>
        </w:rPr>
        <w:t>Available for use as an equivalent Ingredient in Prescription Medicines</w:t>
      </w:r>
      <w:r w:rsidR="00D137F8">
        <w:rPr>
          <w:rFonts w:asciiTheme="minorHAnsi" w:hAnsiTheme="minorHAnsi" w:cstheme="minorHAnsi"/>
          <w:iCs/>
          <w:szCs w:val="22"/>
        </w:rPr>
        <w:t>.</w:t>
      </w:r>
    </w:p>
    <w:p w14:paraId="63DB9240" w14:textId="28B2DE22" w:rsidR="00BA2399" w:rsidRPr="008007EB" w:rsidRDefault="00BA2399" w:rsidP="00BA2399">
      <w:pPr>
        <w:pStyle w:val="ListBullet"/>
        <w:numPr>
          <w:ilvl w:val="0"/>
          <w:numId w:val="65"/>
        </w:numPr>
      </w:pPr>
      <w:r w:rsidRPr="004C0AC3">
        <w:t xml:space="preserve">As of </w:t>
      </w:r>
      <w:r>
        <w:t>August 2023</w:t>
      </w:r>
      <w:r w:rsidRPr="004C0AC3">
        <w:t xml:space="preserve">, there </w:t>
      </w:r>
      <w:r>
        <w:t xml:space="preserve">was </w:t>
      </w:r>
      <w:r w:rsidR="00761C77">
        <w:t>one</w:t>
      </w:r>
      <w:r w:rsidRPr="004C0AC3">
        <w:t xml:space="preserve"> medicine currently active on the </w:t>
      </w:r>
      <w:hyperlink r:id="rId102" w:history="1">
        <w:r w:rsidR="00EB1099">
          <w:rPr>
            <w:rStyle w:val="Hyperlink"/>
            <w:rFonts w:asciiTheme="minorHAnsi" w:hAnsiTheme="minorHAnsi"/>
          </w:rPr>
          <w:t>Australian Register of Therapeutic Goods</w:t>
        </w:r>
      </w:hyperlink>
      <w:r w:rsidR="00EB1099" w:rsidRPr="00EB1099">
        <w:rPr>
          <w:rStyle w:val="Hyperlink"/>
          <w:rFonts w:asciiTheme="minorHAnsi" w:hAnsiTheme="minorHAnsi"/>
          <w:color w:val="auto"/>
          <w:u w:val="none"/>
        </w:rPr>
        <w:t xml:space="preserve"> (ARTG)</w:t>
      </w:r>
      <w:r w:rsidRPr="008007EB">
        <w:t xml:space="preserve"> </w:t>
      </w:r>
      <w:r w:rsidRPr="004C0AC3">
        <w:t>that contain</w:t>
      </w:r>
      <w:r w:rsidR="00761C77">
        <w:t>s</w:t>
      </w:r>
      <w:r w:rsidRPr="004C0AC3">
        <w:t xml:space="preserve"> </w:t>
      </w:r>
      <w:r>
        <w:t>naratriptan (as hydrochloride)</w:t>
      </w:r>
      <w:r w:rsidRPr="004C0AC3">
        <w:t xml:space="preserve"> as an active ingredient. </w:t>
      </w:r>
      <w:r>
        <w:t xml:space="preserve">The product is a prescription </w:t>
      </w:r>
      <w:r w:rsidR="00761C77">
        <w:t xml:space="preserve">only </w:t>
      </w:r>
      <w:r>
        <w:t>medicine.</w:t>
      </w:r>
    </w:p>
    <w:p w14:paraId="79868B45" w14:textId="30BC910B" w:rsidR="00BA2399" w:rsidRPr="008007EB" w:rsidRDefault="00BA2399" w:rsidP="00BA2399">
      <w:pPr>
        <w:pStyle w:val="ListBullet"/>
        <w:numPr>
          <w:ilvl w:val="0"/>
          <w:numId w:val="65"/>
        </w:numPr>
      </w:pPr>
      <w:r>
        <w:t>Naratrip</w:t>
      </w:r>
      <w:r w:rsidR="00761C77">
        <w:t>t</w:t>
      </w:r>
      <w:r>
        <w:t>an</w:t>
      </w:r>
      <w:r w:rsidRPr="00BF5883">
        <w:t xml:space="preserve"> is not permitted to be included in listed medicines as it is not included in the </w:t>
      </w:r>
      <w:hyperlink r:id="rId103" w:history="1">
        <w:r w:rsidRPr="008007EB">
          <w:rPr>
            <w:rStyle w:val="Hyperlink"/>
            <w:rFonts w:asciiTheme="minorHAnsi" w:hAnsiTheme="minorHAnsi"/>
          </w:rPr>
          <w:t>Therapeutic Goods (Permissible Ingredients) Determination</w:t>
        </w:r>
      </w:hyperlink>
      <w:r w:rsidRPr="008007EB">
        <w:t xml:space="preserve"> </w:t>
      </w:r>
      <w:r w:rsidRPr="00BF5883">
        <w:t>No.</w:t>
      </w:r>
      <w:r>
        <w:t>3</w:t>
      </w:r>
      <w:r w:rsidRPr="00BF5883">
        <w:t xml:space="preserve"> of 20</w:t>
      </w:r>
      <w:r>
        <w:t>23</w:t>
      </w:r>
      <w:r w:rsidRPr="00BF5883">
        <w:t>.</w:t>
      </w:r>
    </w:p>
    <w:p w14:paraId="3999D718" w14:textId="4D152F3B" w:rsidR="00BA2399" w:rsidRPr="008007EB" w:rsidRDefault="00BA2399" w:rsidP="00BA2399">
      <w:pPr>
        <w:pStyle w:val="ListBullet"/>
        <w:keepNext/>
        <w:keepLines/>
        <w:numPr>
          <w:ilvl w:val="0"/>
          <w:numId w:val="65"/>
        </w:numPr>
      </w:pPr>
      <w:r w:rsidRPr="00A34B74">
        <w:t xml:space="preserve">The </w:t>
      </w:r>
      <w:hyperlink r:id="rId104" w:history="1">
        <w:r w:rsidRPr="008007EB">
          <w:rPr>
            <w:rStyle w:val="Hyperlink"/>
            <w:rFonts w:asciiTheme="minorHAnsi" w:hAnsiTheme="minorHAnsi"/>
          </w:rPr>
          <w:t>TGA prescribing medicines in pregnancy database</w:t>
        </w:r>
      </w:hyperlink>
      <w:r w:rsidRPr="008007EB">
        <w:t xml:space="preserve"> </w:t>
      </w:r>
      <w:r w:rsidRPr="00A34B74">
        <w:t>classifies naratriptan as:</w:t>
      </w:r>
    </w:p>
    <w:tbl>
      <w:tblPr>
        <w:tblStyle w:val="TableTGAblue"/>
        <w:tblW w:w="8670" w:type="dxa"/>
        <w:tblInd w:w="392" w:type="dxa"/>
        <w:tblLook w:val="04A0" w:firstRow="1" w:lastRow="0" w:firstColumn="1" w:lastColumn="0" w:noHBand="0" w:noVBand="1"/>
      </w:tblPr>
      <w:tblGrid>
        <w:gridCol w:w="1607"/>
        <w:gridCol w:w="1110"/>
        <w:gridCol w:w="1984"/>
        <w:gridCol w:w="1985"/>
        <w:gridCol w:w="1984"/>
      </w:tblGrid>
      <w:tr w:rsidR="00BA2399" w:rsidRPr="008007EB" w14:paraId="727ACC7E" w14:textId="77777777" w:rsidTr="00761C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5DDD8577" w14:textId="77777777" w:rsidR="00BA2399" w:rsidRPr="008007EB" w:rsidRDefault="00BA2399" w:rsidP="00761C77">
            <w:pPr>
              <w:keepLines/>
              <w:spacing w:before="60" w:after="60"/>
              <w:rPr>
                <w:rFonts w:asciiTheme="minorHAnsi" w:hAnsiTheme="minorHAnsi" w:cstheme="minorHAnsi"/>
                <w:sz w:val="20"/>
                <w:szCs w:val="20"/>
              </w:rPr>
            </w:pPr>
            <w:r w:rsidRPr="008007EB">
              <w:rPr>
                <w:rFonts w:asciiTheme="minorHAnsi" w:hAnsiTheme="minorHAnsi" w:cstheme="minorHAnsi"/>
                <w:sz w:val="20"/>
                <w:szCs w:val="20"/>
              </w:rPr>
              <w:t>Drug name</w:t>
            </w:r>
          </w:p>
        </w:tc>
        <w:tc>
          <w:tcPr>
            <w:tcW w:w="1110" w:type="dxa"/>
          </w:tcPr>
          <w:p w14:paraId="16560697" w14:textId="77777777" w:rsidR="00BA2399" w:rsidRPr="008007EB" w:rsidRDefault="00BA2399" w:rsidP="00761C77">
            <w:pPr>
              <w:keepLine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007EB">
              <w:rPr>
                <w:rFonts w:asciiTheme="minorHAnsi" w:hAnsiTheme="minorHAnsi" w:cstheme="minorHAnsi"/>
                <w:sz w:val="20"/>
                <w:szCs w:val="20"/>
              </w:rPr>
              <w:t>Category</w:t>
            </w:r>
          </w:p>
        </w:tc>
        <w:tc>
          <w:tcPr>
            <w:tcW w:w="1984" w:type="dxa"/>
          </w:tcPr>
          <w:p w14:paraId="7D4798F5" w14:textId="77777777" w:rsidR="00BA2399" w:rsidRPr="008007EB" w:rsidRDefault="00BA2399" w:rsidP="00761C77">
            <w:pPr>
              <w:keepLine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007EB">
              <w:rPr>
                <w:rFonts w:asciiTheme="minorHAnsi" w:hAnsiTheme="minorHAnsi" w:cstheme="minorHAnsi"/>
                <w:sz w:val="20"/>
                <w:szCs w:val="20"/>
              </w:rPr>
              <w:t>Classification Level 1</w:t>
            </w:r>
          </w:p>
        </w:tc>
        <w:tc>
          <w:tcPr>
            <w:tcW w:w="1985" w:type="dxa"/>
          </w:tcPr>
          <w:p w14:paraId="3EC3E17F" w14:textId="77777777" w:rsidR="00BA2399" w:rsidRPr="008007EB" w:rsidRDefault="00BA2399" w:rsidP="00761C77">
            <w:pPr>
              <w:keepLine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007EB">
              <w:rPr>
                <w:rFonts w:asciiTheme="minorHAnsi" w:hAnsiTheme="minorHAnsi" w:cstheme="minorHAnsi"/>
                <w:sz w:val="20"/>
                <w:szCs w:val="20"/>
              </w:rPr>
              <w:t>Classification Level 2</w:t>
            </w:r>
          </w:p>
        </w:tc>
        <w:tc>
          <w:tcPr>
            <w:tcW w:w="1984" w:type="dxa"/>
          </w:tcPr>
          <w:p w14:paraId="7BAE8D97" w14:textId="77777777" w:rsidR="00BA2399" w:rsidRPr="008007EB" w:rsidRDefault="00BA2399" w:rsidP="00761C77">
            <w:pPr>
              <w:keepLine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007EB">
              <w:rPr>
                <w:rFonts w:asciiTheme="minorHAnsi" w:hAnsiTheme="minorHAnsi" w:cstheme="minorHAnsi"/>
                <w:sz w:val="20"/>
                <w:szCs w:val="20"/>
              </w:rPr>
              <w:t>Classification Level 3</w:t>
            </w:r>
          </w:p>
        </w:tc>
      </w:tr>
      <w:tr w:rsidR="00BA2399" w:rsidRPr="008007EB" w14:paraId="6C1DD61B" w14:textId="77777777" w:rsidTr="00761C77">
        <w:tc>
          <w:tcPr>
            <w:cnfStyle w:val="001000000000" w:firstRow="0" w:lastRow="0" w:firstColumn="1" w:lastColumn="0" w:oddVBand="0" w:evenVBand="0" w:oddHBand="0" w:evenHBand="0" w:firstRowFirstColumn="0" w:firstRowLastColumn="0" w:lastRowFirstColumn="0" w:lastRowLastColumn="0"/>
            <w:tcW w:w="1607" w:type="dxa"/>
          </w:tcPr>
          <w:p w14:paraId="6C03FAAD" w14:textId="77777777" w:rsidR="00BA2399" w:rsidRPr="008007EB" w:rsidRDefault="00BA2399" w:rsidP="00761C77">
            <w:pPr>
              <w:keepNext/>
              <w:keepLines/>
              <w:spacing w:before="60" w:after="60"/>
              <w:rPr>
                <w:rFonts w:asciiTheme="minorHAnsi" w:hAnsiTheme="minorHAnsi" w:cstheme="minorHAnsi"/>
                <w:sz w:val="20"/>
                <w:szCs w:val="20"/>
              </w:rPr>
            </w:pPr>
            <w:r>
              <w:rPr>
                <w:rFonts w:asciiTheme="minorHAnsi" w:hAnsiTheme="minorHAnsi" w:cstheme="minorHAnsi"/>
                <w:sz w:val="20"/>
                <w:szCs w:val="20"/>
              </w:rPr>
              <w:t>Naratriptan</w:t>
            </w:r>
          </w:p>
        </w:tc>
        <w:tc>
          <w:tcPr>
            <w:tcW w:w="1110" w:type="dxa"/>
          </w:tcPr>
          <w:p w14:paraId="6FB4B741" w14:textId="77777777" w:rsidR="00BA2399" w:rsidRPr="008007EB" w:rsidRDefault="00BA2399" w:rsidP="00761C77">
            <w:pPr>
              <w:keepNext/>
              <w:keepLine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B3</w:t>
            </w:r>
          </w:p>
        </w:tc>
        <w:tc>
          <w:tcPr>
            <w:tcW w:w="1984" w:type="dxa"/>
          </w:tcPr>
          <w:p w14:paraId="02E734EC" w14:textId="77777777" w:rsidR="00BA2399" w:rsidRPr="008007EB" w:rsidRDefault="00BA2399" w:rsidP="00761C77">
            <w:pPr>
              <w:keepNext/>
              <w:keepLine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Cardiovascular system</w:t>
            </w:r>
          </w:p>
        </w:tc>
        <w:tc>
          <w:tcPr>
            <w:tcW w:w="1985" w:type="dxa"/>
          </w:tcPr>
          <w:p w14:paraId="7AE60265" w14:textId="77777777" w:rsidR="00BA2399" w:rsidRPr="008007EB" w:rsidRDefault="00BA2399" w:rsidP="00761C77">
            <w:pPr>
              <w:keepNext/>
              <w:keepLine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Antimigraine preparations </w:t>
            </w:r>
          </w:p>
        </w:tc>
        <w:tc>
          <w:tcPr>
            <w:tcW w:w="1984" w:type="dxa"/>
          </w:tcPr>
          <w:p w14:paraId="64F6D387" w14:textId="77777777" w:rsidR="00BA2399" w:rsidRPr="008007EB" w:rsidRDefault="00BA2399" w:rsidP="00761C77">
            <w:pPr>
              <w:keepNext/>
              <w:keepLine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BA2399" w:rsidRPr="008007EB" w14:paraId="08C5B10E" w14:textId="77777777" w:rsidTr="00A70EEE">
        <w:tc>
          <w:tcPr>
            <w:cnfStyle w:val="001000000000" w:firstRow="0" w:lastRow="0" w:firstColumn="1" w:lastColumn="0" w:oddVBand="0" w:evenVBand="0" w:oddHBand="0" w:evenHBand="0" w:firstRowFirstColumn="0" w:firstRowLastColumn="0" w:lastRowFirstColumn="0" w:lastRowLastColumn="0"/>
            <w:tcW w:w="8670" w:type="dxa"/>
            <w:gridSpan w:val="5"/>
          </w:tcPr>
          <w:p w14:paraId="4FABB182" w14:textId="77777777" w:rsidR="00BA2399" w:rsidRPr="00A34B74" w:rsidRDefault="00BA2399" w:rsidP="00761C77">
            <w:pPr>
              <w:keepNext/>
              <w:keepLines/>
              <w:spacing w:before="60" w:after="60"/>
              <w:rPr>
                <w:rFonts w:asciiTheme="minorHAnsi" w:hAnsiTheme="minorHAnsi" w:cstheme="minorHAnsi"/>
                <w:sz w:val="16"/>
                <w:szCs w:val="16"/>
              </w:rPr>
            </w:pPr>
            <w:r w:rsidRPr="00761C77">
              <w:rPr>
                <w:rFonts w:asciiTheme="minorHAnsi" w:hAnsiTheme="minorHAnsi" w:cstheme="minorHAnsi"/>
                <w:b/>
                <w:sz w:val="18"/>
                <w:szCs w:val="18"/>
              </w:rPr>
              <w:t>Category B3</w:t>
            </w:r>
            <w:r w:rsidRPr="00761C77">
              <w:rPr>
                <w:rFonts w:asciiTheme="minorHAnsi" w:hAnsiTheme="minorHAnsi" w:cstheme="minorHAnsi"/>
                <w:sz w:val="18"/>
                <w:szCs w:val="18"/>
              </w:rPr>
              <w:t xml:space="preserve"> – Drugs which have been taken by only a limited number of pregnant women and women of childbearing age, without an increase in the frequency of malformation or other direct or indirect harmful effects on the human foetus having been observed. Studies in animals have shown evidence of an increased occurrence of foetal damage, the significance of which is considered uncertain in humans.</w:t>
            </w:r>
          </w:p>
        </w:tc>
      </w:tr>
    </w:tbl>
    <w:p w14:paraId="0859135C" w14:textId="6805FB65" w:rsidR="00BA2399" w:rsidRPr="00D137F8" w:rsidRDefault="00BA2399" w:rsidP="00BA2399">
      <w:pPr>
        <w:pStyle w:val="ListBullet"/>
        <w:numPr>
          <w:ilvl w:val="0"/>
          <w:numId w:val="65"/>
        </w:numPr>
      </w:pPr>
      <w:r w:rsidRPr="00D137F8">
        <w:t xml:space="preserve">There are no warning statements pertaining specifically to naratriptan in the </w:t>
      </w:r>
      <w:hyperlink r:id="rId105" w:history="1">
        <w:r w:rsidRPr="008007EB">
          <w:rPr>
            <w:rStyle w:val="Hyperlink"/>
            <w:rFonts w:asciiTheme="minorHAnsi" w:hAnsiTheme="minorHAnsi"/>
          </w:rPr>
          <w:t>Therapeutic Goods (Medicines Advisory Statements) Specification 2021</w:t>
        </w:r>
      </w:hyperlink>
      <w:r w:rsidR="00D137F8" w:rsidRPr="00D137F8">
        <w:rPr>
          <w:rStyle w:val="Hyperlink"/>
          <w:rFonts w:asciiTheme="minorHAnsi" w:hAnsiTheme="minorHAnsi"/>
          <w:color w:val="auto"/>
        </w:rPr>
        <w:t>.</w:t>
      </w:r>
      <w:r w:rsidR="00D137F8" w:rsidRPr="00D137F8">
        <w:rPr>
          <w:rStyle w:val="Hyperlink"/>
          <w:rFonts w:asciiTheme="minorHAnsi" w:hAnsiTheme="minorHAnsi"/>
          <w:color w:val="auto"/>
          <w:u w:val="none"/>
        </w:rPr>
        <w:t xml:space="preserve"> H</w:t>
      </w:r>
      <w:r w:rsidRPr="00D137F8">
        <w:rPr>
          <w:rStyle w:val="Hyperlink"/>
          <w:rFonts w:asciiTheme="minorHAnsi" w:hAnsiTheme="minorHAnsi"/>
          <w:color w:val="auto"/>
          <w:u w:val="none"/>
        </w:rPr>
        <w:t>owever, there are specific warning statements required for eletriptan, rizatriptan, sumatriptan and zolmitriptan.</w:t>
      </w:r>
    </w:p>
    <w:p w14:paraId="5C48567C" w14:textId="19D878CA" w:rsidR="00BA2399" w:rsidRPr="00D137F8" w:rsidRDefault="0037341B" w:rsidP="00BA2399">
      <w:pPr>
        <w:pStyle w:val="ListBullet"/>
        <w:numPr>
          <w:ilvl w:val="0"/>
          <w:numId w:val="65"/>
        </w:numPr>
      </w:pPr>
      <w:r>
        <w:t>Between July 2013 and July 2023</w:t>
      </w:r>
      <w:r w:rsidR="00BA2399" w:rsidRPr="00D137F8">
        <w:t xml:space="preserve">, there were </w:t>
      </w:r>
      <w:r>
        <w:t>4</w:t>
      </w:r>
      <w:r w:rsidR="00BA2399" w:rsidRPr="00D137F8">
        <w:t xml:space="preserve"> reports of adverse events for products containing naratriptan as an active ingredient on the </w:t>
      </w:r>
      <w:hyperlink r:id="rId106" w:history="1">
        <w:r w:rsidR="00EB1099">
          <w:rPr>
            <w:rStyle w:val="Hyperlink"/>
            <w:rFonts w:asciiTheme="minorHAnsi" w:hAnsiTheme="minorHAnsi"/>
          </w:rPr>
          <w:t>Database of Adverse Event Notifications</w:t>
        </w:r>
      </w:hyperlink>
      <w:r w:rsidR="00EB1099" w:rsidRPr="00EB1099">
        <w:rPr>
          <w:rStyle w:val="Hyperlink"/>
          <w:rFonts w:asciiTheme="minorHAnsi" w:hAnsiTheme="minorHAnsi"/>
          <w:color w:val="auto"/>
          <w:u w:val="none"/>
        </w:rPr>
        <w:t xml:space="preserve"> (DAEN)</w:t>
      </w:r>
      <w:r w:rsidR="00BA2399" w:rsidRPr="008007EB">
        <w:t>,</w:t>
      </w:r>
      <w:r w:rsidR="00BA2399" w:rsidRPr="00D137F8">
        <w:t xml:space="preserve"> with </w:t>
      </w:r>
      <w:r>
        <w:t>no</w:t>
      </w:r>
      <w:r w:rsidR="00BA2399" w:rsidRPr="00D137F8">
        <w:t xml:space="preserve"> reports where naratriptan was the single suspected medicine.</w:t>
      </w:r>
    </w:p>
    <w:p w14:paraId="5E2AB760" w14:textId="163357A5" w:rsidR="00BA2399" w:rsidRPr="008007EB" w:rsidRDefault="00BA2399" w:rsidP="00BA2399">
      <w:pPr>
        <w:pStyle w:val="ListBullet"/>
        <w:numPr>
          <w:ilvl w:val="0"/>
          <w:numId w:val="65"/>
        </w:numPr>
      </w:pPr>
      <w:r w:rsidRPr="00D137F8">
        <w:t xml:space="preserve">As of August 2023, there were no products containing naratriptan as an active ingredient/constituent or scheduled substance listed on the </w:t>
      </w:r>
      <w:hyperlink r:id="rId107" w:history="1">
        <w:r w:rsidR="00EB1099">
          <w:rPr>
            <w:rStyle w:val="Hyperlink"/>
            <w:rFonts w:asciiTheme="minorHAnsi" w:hAnsiTheme="minorHAnsi"/>
          </w:rPr>
          <w:t>Public Chemical Registration Information System Search</w:t>
        </w:r>
      </w:hyperlink>
      <w:r w:rsidR="00EB1099" w:rsidRPr="00EB1099">
        <w:rPr>
          <w:rStyle w:val="Hyperlink"/>
          <w:rFonts w:asciiTheme="minorHAnsi" w:hAnsiTheme="minorHAnsi"/>
          <w:color w:val="auto"/>
          <w:u w:val="none"/>
        </w:rPr>
        <w:t xml:space="preserve"> (PubCRIS)</w:t>
      </w:r>
      <w:r w:rsidRPr="008007EB">
        <w:t>.</w:t>
      </w:r>
    </w:p>
    <w:p w14:paraId="27C9C008" w14:textId="77777777" w:rsidR="00BA2399" w:rsidRPr="00CB687C" w:rsidRDefault="00BA2399" w:rsidP="00BA2399">
      <w:pPr>
        <w:pStyle w:val="Heading4"/>
      </w:pPr>
      <w:bookmarkStart w:id="103" w:name="_Toc144110895"/>
      <w:r>
        <w:t>International regulations</w:t>
      </w:r>
      <w:bookmarkEnd w:id="103"/>
    </w:p>
    <w:p w14:paraId="01D8CACD" w14:textId="3FE83E50" w:rsidR="00BA2399" w:rsidRPr="00180A31" w:rsidRDefault="00BA2399" w:rsidP="00BA2399">
      <w:pPr>
        <w:pStyle w:val="ListBullet"/>
        <w:numPr>
          <w:ilvl w:val="0"/>
          <w:numId w:val="65"/>
        </w:numPr>
        <w:rPr>
          <w:szCs w:val="22"/>
        </w:rPr>
      </w:pPr>
      <w:r>
        <w:rPr>
          <w:szCs w:val="22"/>
        </w:rPr>
        <w:t xml:space="preserve">The </w:t>
      </w:r>
      <w:hyperlink r:id="rId108" w:history="1">
        <w:r w:rsidRPr="00E441E0">
          <w:rPr>
            <w:rStyle w:val="Hyperlink"/>
            <w:rFonts w:asciiTheme="minorHAnsi" w:hAnsiTheme="minorHAnsi"/>
            <w:szCs w:val="22"/>
          </w:rPr>
          <w:t>US FDA database</w:t>
        </w:r>
      </w:hyperlink>
      <w:r>
        <w:rPr>
          <w:szCs w:val="22"/>
        </w:rPr>
        <w:t xml:space="preserve"> of approved drugs contains 6 products with naratriptan as an active ingredient, all of which are prescription only medicines.</w:t>
      </w:r>
    </w:p>
    <w:p w14:paraId="74E8D06B" w14:textId="55055365" w:rsidR="00BA2399" w:rsidRPr="00AD65AB" w:rsidRDefault="00013F20" w:rsidP="00BA2399">
      <w:pPr>
        <w:pStyle w:val="ListBullet"/>
        <w:numPr>
          <w:ilvl w:val="0"/>
          <w:numId w:val="65"/>
        </w:numPr>
        <w:rPr>
          <w:szCs w:val="22"/>
          <w:u w:val="single"/>
        </w:rPr>
      </w:pPr>
      <w:hyperlink r:id="rId109" w:history="1">
        <w:r w:rsidR="00BA2399" w:rsidRPr="00222693">
          <w:rPr>
            <w:rStyle w:val="Hyperlink"/>
            <w:rFonts w:asciiTheme="minorHAnsi" w:hAnsiTheme="minorHAnsi"/>
            <w:szCs w:val="22"/>
          </w:rPr>
          <w:t>MedSafe New Zealand</w:t>
        </w:r>
      </w:hyperlink>
      <w:r w:rsidR="00BA2399">
        <w:rPr>
          <w:szCs w:val="22"/>
        </w:rPr>
        <w:t xml:space="preserve"> list</w:t>
      </w:r>
      <w:r w:rsidR="00D137F8">
        <w:rPr>
          <w:szCs w:val="22"/>
        </w:rPr>
        <w:t>s</w:t>
      </w:r>
      <w:r w:rsidR="00BA2399">
        <w:rPr>
          <w:szCs w:val="22"/>
        </w:rPr>
        <w:t xml:space="preserve"> </w:t>
      </w:r>
      <w:r w:rsidR="00761C77">
        <w:rPr>
          <w:szCs w:val="22"/>
        </w:rPr>
        <w:t>one</w:t>
      </w:r>
      <w:r w:rsidR="00BA2399">
        <w:rPr>
          <w:szCs w:val="22"/>
        </w:rPr>
        <w:t xml:space="preserve"> product containing naratriptan which was previously marketed as a prescription only medicine. The approval status now denotes “Approval lapsed” indicating that the product may no longer be marketed in New Zealand.</w:t>
      </w:r>
    </w:p>
    <w:p w14:paraId="229090B0" w14:textId="34007703" w:rsidR="00BA2399" w:rsidRDefault="00BA2399" w:rsidP="00BA2399">
      <w:pPr>
        <w:pStyle w:val="ListBullet"/>
        <w:numPr>
          <w:ilvl w:val="0"/>
          <w:numId w:val="65"/>
        </w:numPr>
        <w:rPr>
          <w:rStyle w:val="Hyperlink"/>
          <w:rFonts w:asciiTheme="minorHAnsi" w:hAnsiTheme="minorHAnsi"/>
          <w:color w:val="auto"/>
          <w:szCs w:val="22"/>
        </w:rPr>
      </w:pPr>
      <w:r>
        <w:rPr>
          <w:rStyle w:val="Hyperlink"/>
          <w:rFonts w:asciiTheme="minorHAnsi" w:hAnsiTheme="minorHAnsi"/>
          <w:color w:val="auto"/>
          <w:szCs w:val="22"/>
          <w:u w:val="none"/>
        </w:rPr>
        <w:t xml:space="preserve">The </w:t>
      </w:r>
      <w:hyperlink r:id="rId110" w:history="1">
        <w:r w:rsidRPr="00FF7A06">
          <w:rPr>
            <w:rStyle w:val="Hyperlink"/>
            <w:rFonts w:asciiTheme="minorHAnsi" w:hAnsiTheme="minorHAnsi"/>
            <w:szCs w:val="22"/>
          </w:rPr>
          <w:t>Health Products Regulatory Authority of Ireland</w:t>
        </w:r>
      </w:hyperlink>
      <w:r>
        <w:rPr>
          <w:rStyle w:val="Hyperlink"/>
          <w:rFonts w:asciiTheme="minorHAnsi" w:hAnsiTheme="minorHAnsi"/>
          <w:color w:val="auto"/>
          <w:szCs w:val="22"/>
          <w:u w:val="none"/>
        </w:rPr>
        <w:t xml:space="preserve"> database contains </w:t>
      </w:r>
      <w:r w:rsidR="00761C77">
        <w:rPr>
          <w:rStyle w:val="Hyperlink"/>
          <w:rFonts w:asciiTheme="minorHAnsi" w:hAnsiTheme="minorHAnsi"/>
          <w:color w:val="auto"/>
          <w:szCs w:val="22"/>
          <w:u w:val="none"/>
        </w:rPr>
        <w:t>one</w:t>
      </w:r>
      <w:r>
        <w:rPr>
          <w:rStyle w:val="Hyperlink"/>
          <w:rFonts w:asciiTheme="minorHAnsi" w:hAnsiTheme="minorHAnsi"/>
          <w:color w:val="auto"/>
          <w:szCs w:val="22"/>
          <w:u w:val="none"/>
        </w:rPr>
        <w:t xml:space="preserve"> product containing naratriptan as an active ingredient. The product is a prescription only medicine and is authorised to be advertised to health professionals only.</w:t>
      </w:r>
    </w:p>
    <w:p w14:paraId="1F0B6510" w14:textId="10E27F51" w:rsidR="00BA2399" w:rsidRPr="00C31398" w:rsidRDefault="00BA2399" w:rsidP="00BA2399">
      <w:pPr>
        <w:pStyle w:val="ListBullet"/>
        <w:numPr>
          <w:ilvl w:val="0"/>
          <w:numId w:val="65"/>
        </w:numPr>
        <w:rPr>
          <w:rStyle w:val="Hyperlink"/>
          <w:rFonts w:asciiTheme="minorHAnsi" w:hAnsiTheme="minorHAnsi"/>
          <w:color w:val="auto"/>
          <w:szCs w:val="22"/>
        </w:rPr>
      </w:pPr>
      <w:r>
        <w:rPr>
          <w:rStyle w:val="Hyperlink"/>
          <w:rFonts w:asciiTheme="minorHAnsi" w:hAnsiTheme="minorHAnsi"/>
          <w:color w:val="auto"/>
          <w:szCs w:val="22"/>
          <w:u w:val="none"/>
        </w:rPr>
        <w:t xml:space="preserve">The </w:t>
      </w:r>
      <w:hyperlink r:id="rId111" w:history="1">
        <w:r w:rsidRPr="002F669F">
          <w:rPr>
            <w:rStyle w:val="Hyperlink"/>
            <w:rFonts w:asciiTheme="minorHAnsi" w:hAnsiTheme="minorHAnsi"/>
            <w:szCs w:val="22"/>
          </w:rPr>
          <w:t>Electronic Medicines Compendium</w:t>
        </w:r>
      </w:hyperlink>
      <w:r>
        <w:rPr>
          <w:rStyle w:val="Hyperlink"/>
          <w:rFonts w:asciiTheme="minorHAnsi" w:hAnsiTheme="minorHAnsi"/>
          <w:color w:val="auto"/>
          <w:szCs w:val="22"/>
          <w:u w:val="none"/>
        </w:rPr>
        <w:t xml:space="preserve"> (UK) </w:t>
      </w:r>
      <w:r w:rsidR="00761C77">
        <w:rPr>
          <w:rStyle w:val="Hyperlink"/>
          <w:rFonts w:asciiTheme="minorHAnsi" w:hAnsiTheme="minorHAnsi"/>
          <w:color w:val="auto"/>
          <w:szCs w:val="22"/>
          <w:u w:val="none"/>
        </w:rPr>
        <w:t>includes one</w:t>
      </w:r>
      <w:r>
        <w:rPr>
          <w:rStyle w:val="Hyperlink"/>
          <w:rFonts w:asciiTheme="minorHAnsi" w:hAnsiTheme="minorHAnsi"/>
          <w:color w:val="auto"/>
          <w:szCs w:val="22"/>
          <w:u w:val="none"/>
        </w:rPr>
        <w:t xml:space="preserve"> product with naratriptan as an active ingredient. The product is a prescription only medicine.</w:t>
      </w:r>
    </w:p>
    <w:p w14:paraId="1330E856" w14:textId="5C3AF601" w:rsidR="00BA2399" w:rsidRPr="00023A28" w:rsidRDefault="00BA2399" w:rsidP="00BA2399">
      <w:pPr>
        <w:pStyle w:val="ListBullet"/>
        <w:numPr>
          <w:ilvl w:val="0"/>
          <w:numId w:val="65"/>
        </w:numPr>
        <w:rPr>
          <w:rStyle w:val="Hyperlink"/>
          <w:rFonts w:asciiTheme="minorHAnsi" w:hAnsiTheme="minorHAnsi"/>
          <w:color w:val="auto"/>
          <w:szCs w:val="22"/>
        </w:rPr>
      </w:pPr>
      <w:r>
        <w:rPr>
          <w:rStyle w:val="Hyperlink"/>
          <w:rFonts w:asciiTheme="minorHAnsi" w:hAnsiTheme="minorHAnsi"/>
          <w:color w:val="auto"/>
          <w:szCs w:val="22"/>
          <w:u w:val="none"/>
        </w:rPr>
        <w:t xml:space="preserve">The </w:t>
      </w:r>
      <w:hyperlink r:id="rId112" w:history="1">
        <w:r w:rsidRPr="009525D0">
          <w:rPr>
            <w:rStyle w:val="Hyperlink"/>
            <w:rFonts w:asciiTheme="minorHAnsi" w:hAnsiTheme="minorHAnsi"/>
            <w:szCs w:val="22"/>
          </w:rPr>
          <w:t>European Medicines Agency</w:t>
        </w:r>
      </w:hyperlink>
      <w:r>
        <w:rPr>
          <w:rStyle w:val="Hyperlink"/>
          <w:rFonts w:asciiTheme="minorHAnsi" w:hAnsiTheme="minorHAnsi"/>
          <w:color w:val="auto"/>
          <w:szCs w:val="22"/>
          <w:u w:val="none"/>
        </w:rPr>
        <w:t xml:space="preserve"> lists naratriptan as being available in several European countries at a dose of 2.5 mg.</w:t>
      </w:r>
    </w:p>
    <w:p w14:paraId="564DF6B2" w14:textId="00395D5B" w:rsidR="00BA2399" w:rsidRPr="00C31398" w:rsidRDefault="00BA2399" w:rsidP="00BA2399">
      <w:pPr>
        <w:pStyle w:val="ListBullet"/>
        <w:numPr>
          <w:ilvl w:val="0"/>
          <w:numId w:val="65"/>
        </w:numPr>
        <w:rPr>
          <w:rStyle w:val="Hyperlink"/>
          <w:rFonts w:asciiTheme="minorHAnsi" w:hAnsiTheme="minorHAnsi"/>
          <w:color w:val="auto"/>
          <w:szCs w:val="22"/>
        </w:rPr>
      </w:pPr>
      <w:r>
        <w:rPr>
          <w:rStyle w:val="Hyperlink"/>
          <w:rFonts w:asciiTheme="minorHAnsi" w:hAnsiTheme="minorHAnsi"/>
          <w:color w:val="auto"/>
          <w:szCs w:val="22"/>
          <w:u w:val="none"/>
        </w:rPr>
        <w:t xml:space="preserve">The </w:t>
      </w:r>
      <w:hyperlink r:id="rId113" w:history="1">
        <w:r w:rsidRPr="00332870">
          <w:rPr>
            <w:rStyle w:val="Hyperlink"/>
            <w:rFonts w:asciiTheme="minorHAnsi" w:hAnsiTheme="minorHAnsi"/>
            <w:szCs w:val="22"/>
          </w:rPr>
          <w:t>Drug and Health Product Database of Canada</w:t>
        </w:r>
      </w:hyperlink>
      <w:r>
        <w:rPr>
          <w:rStyle w:val="Hyperlink"/>
          <w:rFonts w:asciiTheme="minorHAnsi" w:hAnsiTheme="minorHAnsi"/>
          <w:color w:val="auto"/>
          <w:szCs w:val="22"/>
          <w:u w:val="none"/>
        </w:rPr>
        <w:t xml:space="preserve"> lists 5 products containing naratriptan as an active ingredient, all of which are prescription only medicines.</w:t>
      </w:r>
    </w:p>
    <w:p w14:paraId="47064928" w14:textId="2C5DC052" w:rsidR="00B12BF7" w:rsidRPr="00B12BF7" w:rsidRDefault="001D5CC5" w:rsidP="00F2313E">
      <w:pPr>
        <w:pStyle w:val="Heading3"/>
      </w:pPr>
      <w:bookmarkStart w:id="104" w:name="_Toc144110896"/>
      <w:r>
        <w:t>1.7</w:t>
      </w:r>
      <w:r>
        <w:tab/>
      </w:r>
      <w:r w:rsidR="00586A6E">
        <w:t>Paracetamol</w:t>
      </w:r>
      <w:bookmarkEnd w:id="104"/>
    </w:p>
    <w:p w14:paraId="14B8B654" w14:textId="77777777" w:rsidR="00586A6E" w:rsidRDefault="00586A6E" w:rsidP="00586A6E">
      <w:pPr>
        <w:pStyle w:val="Heading4"/>
      </w:pPr>
      <w:bookmarkStart w:id="105" w:name="_Toc144110897"/>
      <w:r>
        <w:t>Proposal</w:t>
      </w:r>
      <w:bookmarkEnd w:id="105"/>
    </w:p>
    <w:p w14:paraId="6488DBFE" w14:textId="03045229" w:rsidR="00E14342" w:rsidRDefault="00E14342" w:rsidP="00E14342">
      <w:pPr>
        <w:tabs>
          <w:tab w:val="right" w:pos="8505"/>
        </w:tabs>
        <w:autoSpaceDE w:val="0"/>
        <w:autoSpaceDN w:val="0"/>
        <w:adjustRightInd w:val="0"/>
        <w:spacing w:line="240" w:lineRule="auto"/>
        <w:rPr>
          <w:rFonts w:ascii="Calibri" w:hAnsi="Calibri" w:cs="Calibri"/>
          <w:szCs w:val="22"/>
        </w:rPr>
      </w:pPr>
      <w:r>
        <w:rPr>
          <w:rFonts w:ascii="Calibri" w:hAnsi="Calibri" w:cs="Calibri"/>
          <w:szCs w:val="22"/>
        </w:rPr>
        <w:t xml:space="preserve">The applicant has proposed to amend the entry under Schedule 2 to create an exception for effervescent paracetamol preparations of 16 tablets or less packed in a container with a child-resistant closure (instead of blister or strip packaging) and made available for general sale. </w:t>
      </w:r>
    </w:p>
    <w:p w14:paraId="2204C84B" w14:textId="5483DB49" w:rsidR="00586A6E" w:rsidRDefault="00586A6E" w:rsidP="00586A6E">
      <w:pPr>
        <w:pStyle w:val="Heading4"/>
      </w:pPr>
      <w:bookmarkStart w:id="106" w:name="_Toc144110898"/>
      <w:r>
        <w:t>CAS number</w:t>
      </w:r>
      <w:bookmarkEnd w:id="106"/>
    </w:p>
    <w:p w14:paraId="2C849D5E" w14:textId="206D7847" w:rsidR="00586A6E" w:rsidRDefault="00A51FE1" w:rsidP="00586A6E">
      <w:r>
        <w:t>103-90-2</w:t>
      </w:r>
    </w:p>
    <w:p w14:paraId="7695FADC" w14:textId="77777777" w:rsidR="00586A6E" w:rsidRDefault="00586A6E" w:rsidP="00586A6E">
      <w:pPr>
        <w:pStyle w:val="Heading4"/>
      </w:pPr>
      <w:bookmarkStart w:id="107" w:name="_Toc144110899"/>
      <w:r>
        <w:t>Alternative names</w:t>
      </w:r>
      <w:bookmarkEnd w:id="107"/>
    </w:p>
    <w:p w14:paraId="3A65ABF6" w14:textId="77777777" w:rsidR="00A51FE1" w:rsidRDefault="00A51FE1" w:rsidP="00A51FE1">
      <w:r>
        <w:t xml:space="preserve">Acetaminophen, 4-Acetamidophenol and </w:t>
      </w:r>
      <w:r w:rsidRPr="00E14342">
        <w:rPr>
          <w:i/>
          <w:iCs/>
        </w:rPr>
        <w:t>N</w:t>
      </w:r>
      <w:r>
        <w:t>-(4-Hydroxyphenyl) acetamide</w:t>
      </w:r>
    </w:p>
    <w:p w14:paraId="7CA64E32" w14:textId="77777777" w:rsidR="00E14342" w:rsidRPr="002C1070" w:rsidRDefault="00E14342" w:rsidP="00E14342">
      <w:pPr>
        <w:pStyle w:val="Heading4"/>
      </w:pPr>
      <w:bookmarkStart w:id="108" w:name="_Toc113959593"/>
      <w:bookmarkStart w:id="109" w:name="_Toc144110900"/>
      <w:r>
        <w:t>Applicant</w:t>
      </w:r>
    </w:p>
    <w:p w14:paraId="1312D21F" w14:textId="77777777" w:rsidR="00E14342" w:rsidRPr="003639D9" w:rsidRDefault="00E14342" w:rsidP="00E14342">
      <w:r w:rsidRPr="00812272">
        <w:t>Private applicant</w:t>
      </w:r>
    </w:p>
    <w:p w14:paraId="0C1BCE74" w14:textId="77777777" w:rsidR="00B85375" w:rsidRDefault="00B85375" w:rsidP="00B85375">
      <w:pPr>
        <w:pStyle w:val="Heading4"/>
      </w:pPr>
      <w:r w:rsidRPr="004C3767">
        <w:t>Proposed scheduling</w:t>
      </w:r>
      <w:bookmarkEnd w:id="108"/>
      <w:bookmarkEnd w:id="109"/>
    </w:p>
    <w:p w14:paraId="021BEE1F" w14:textId="33E11AD3" w:rsidR="00571A6E" w:rsidRDefault="00571A6E" w:rsidP="00571A6E">
      <w:pPr>
        <w:rPr>
          <w:rFonts w:cstheme="minorHAnsi"/>
        </w:rPr>
      </w:pPr>
      <w:r>
        <w:rPr>
          <w:rFonts w:cstheme="minorHAnsi"/>
        </w:rPr>
        <w:t>Paracetamol is currently listed in Schedules 2, 3 and 4, and Appendix F, Part 3 and H, of the Poisons Standard.</w:t>
      </w:r>
    </w:p>
    <w:p w14:paraId="71B0B944" w14:textId="51C0AE0E" w:rsidR="00883C24" w:rsidRPr="00883C24" w:rsidRDefault="00883C24" w:rsidP="0072362E">
      <w:r w:rsidRPr="00DC3A7C">
        <w:t xml:space="preserve">The </w:t>
      </w:r>
      <w:r w:rsidRPr="00C67045">
        <w:t>applicant</w:t>
      </w:r>
      <w:r w:rsidR="00571A6E">
        <w:t xml:space="preserve"> has </w:t>
      </w:r>
      <w:r w:rsidRPr="00DC3A7C">
        <w:t xml:space="preserve">proposed amendments </w:t>
      </w:r>
      <w:r w:rsidR="00E14342">
        <w:t>to the paracetamol entry under Schedule 2</w:t>
      </w:r>
      <w:r w:rsidR="00C67045">
        <w:t>:</w:t>
      </w:r>
      <w:r w:rsidR="0072362E">
        <w:rPr>
          <w:rStyle w:val="FootnoteReference"/>
        </w:rPr>
        <w:footnoteReference w:id="8"/>
      </w:r>
    </w:p>
    <w:p w14:paraId="21CBF715" w14:textId="77777777" w:rsidR="00B85375" w:rsidRPr="00694553" w:rsidRDefault="00B85375" w:rsidP="00B85375">
      <w:pPr>
        <w:ind w:left="426"/>
        <w:rPr>
          <w:b/>
          <w:bCs/>
        </w:rPr>
      </w:pPr>
      <w:bookmarkStart w:id="110" w:name="_Hlk141430824"/>
      <w:r w:rsidRPr="00694553">
        <w:rPr>
          <w:b/>
          <w:bCs/>
        </w:rPr>
        <w:t>Schedule 4</w:t>
      </w:r>
    </w:p>
    <w:p w14:paraId="28D2AA49" w14:textId="77777777" w:rsidR="00B85375" w:rsidRPr="00694553" w:rsidRDefault="00B85375" w:rsidP="00B85375">
      <w:pPr>
        <w:ind w:left="720"/>
      </w:pPr>
      <w:r w:rsidRPr="00694553">
        <w:t>PARACETAMOL:</w:t>
      </w:r>
    </w:p>
    <w:p w14:paraId="34DB7B33" w14:textId="77777777" w:rsidR="00B85375" w:rsidRPr="00E41640" w:rsidRDefault="00B85375" w:rsidP="00EE4793">
      <w:pPr>
        <w:pStyle w:val="ListBulleta"/>
        <w:numPr>
          <w:ilvl w:val="0"/>
          <w:numId w:val="26"/>
        </w:numPr>
      </w:pPr>
      <w:r w:rsidRPr="00E41640">
        <w:t xml:space="preserve">when combined with aspirin or salicylamide or any derivative of these substances </w:t>
      </w:r>
      <w:r w:rsidRPr="00EE4793">
        <w:rPr>
          <w:b/>
          <w:bCs/>
        </w:rPr>
        <w:t xml:space="preserve">except </w:t>
      </w:r>
      <w:r w:rsidRPr="00E41640">
        <w:t>when separately specified in these Schedules; or</w:t>
      </w:r>
    </w:p>
    <w:p w14:paraId="631234B5" w14:textId="77777777" w:rsidR="00B85375" w:rsidRPr="00E41640" w:rsidRDefault="00B85375" w:rsidP="00EE4793">
      <w:pPr>
        <w:pStyle w:val="ListBulleta"/>
      </w:pPr>
      <w:r w:rsidRPr="00E41640">
        <w:t>when combined with ibuprofen in a primary pack containing more than 30 dosage units; or</w:t>
      </w:r>
    </w:p>
    <w:p w14:paraId="4C7CF425" w14:textId="77777777" w:rsidR="00B85375" w:rsidRPr="00E41640" w:rsidRDefault="00B85375" w:rsidP="00EE4793">
      <w:pPr>
        <w:pStyle w:val="ListBulleta"/>
      </w:pPr>
      <w:r w:rsidRPr="00E41640">
        <w:t>in modified release tablets or capsules containing more than 665 mg paracetamol; or</w:t>
      </w:r>
    </w:p>
    <w:p w14:paraId="70AF1AF6" w14:textId="77777777" w:rsidR="00B85375" w:rsidRPr="00E41640" w:rsidRDefault="00B85375" w:rsidP="00EE4793">
      <w:pPr>
        <w:pStyle w:val="ListBulleta"/>
      </w:pPr>
      <w:r w:rsidRPr="00E41640">
        <w:t>in non-modified release tablets or capsules containing more than 500 mg paracetamol; or</w:t>
      </w:r>
    </w:p>
    <w:p w14:paraId="08AA4250" w14:textId="77777777" w:rsidR="00B85375" w:rsidRPr="00E41640" w:rsidRDefault="00B85375" w:rsidP="00EE4793">
      <w:pPr>
        <w:pStyle w:val="ListBulleta"/>
      </w:pPr>
      <w:r w:rsidRPr="00E41640">
        <w:t>in individually wrapped powders or sachets of granules each containing more than 1000 mg paracetamol; or</w:t>
      </w:r>
    </w:p>
    <w:p w14:paraId="06BE9CC1" w14:textId="77777777" w:rsidR="00B85375" w:rsidRPr="00E41640" w:rsidRDefault="00B85375" w:rsidP="00EE4793">
      <w:pPr>
        <w:pStyle w:val="ListBulleta"/>
      </w:pPr>
      <w:r w:rsidRPr="00E41640">
        <w:t xml:space="preserve">in tablets or capsules enclosed in a primary pack containing more than 100 tablets or capsules </w:t>
      </w:r>
      <w:r w:rsidRPr="00E41640">
        <w:rPr>
          <w:b/>
          <w:bCs/>
        </w:rPr>
        <w:t>except</w:t>
      </w:r>
      <w:r w:rsidRPr="00E41640">
        <w:t xml:space="preserve"> in </w:t>
      </w:r>
      <w:r w:rsidRPr="00E14342">
        <w:t xml:space="preserve">Schedule 2 or </w:t>
      </w:r>
      <w:r w:rsidRPr="00E41640">
        <w:t>Schedule 3; or</w:t>
      </w:r>
    </w:p>
    <w:p w14:paraId="59905999" w14:textId="40899ECF" w:rsidR="00B85375" w:rsidRPr="00E41640" w:rsidRDefault="00B85375" w:rsidP="00EE4793">
      <w:pPr>
        <w:pStyle w:val="ListBulleta"/>
      </w:pPr>
      <w:r w:rsidRPr="00E41640">
        <w:t>in individually wrapped powders or sachets of granules enclosed in a primary pack containing more than 50 wrapped powders or sachets of granules</w:t>
      </w:r>
      <w:r w:rsidRPr="00E41640">
        <w:rPr>
          <w:b/>
          <w:bCs/>
          <w:color w:val="00B050"/>
        </w:rPr>
        <w:t xml:space="preserve"> </w:t>
      </w:r>
      <w:r w:rsidRPr="00E41640">
        <w:rPr>
          <w:b/>
          <w:bCs/>
        </w:rPr>
        <w:t>except</w:t>
      </w:r>
      <w:r w:rsidRPr="00E41640">
        <w:t xml:space="preserve"> when included in Schedule </w:t>
      </w:r>
      <w:r w:rsidRPr="00E14342">
        <w:t>2</w:t>
      </w:r>
      <w:r w:rsidRPr="00E41640">
        <w:t>; or</w:t>
      </w:r>
    </w:p>
    <w:p w14:paraId="11CA3959" w14:textId="77777777" w:rsidR="00B85375" w:rsidRPr="00E41640" w:rsidRDefault="00B85375" w:rsidP="00EE4793">
      <w:pPr>
        <w:pStyle w:val="ListBulleta"/>
      </w:pPr>
      <w:r w:rsidRPr="00E41640">
        <w:t>for injection; or</w:t>
      </w:r>
    </w:p>
    <w:p w14:paraId="1606BAFD" w14:textId="77777777" w:rsidR="00B85375" w:rsidRPr="00E41640" w:rsidRDefault="00B85375" w:rsidP="00EE4793">
      <w:pPr>
        <w:pStyle w:val="ListBulleta"/>
      </w:pPr>
      <w:r w:rsidRPr="00E41640">
        <w:t>for the treatment of animals.</w:t>
      </w:r>
    </w:p>
    <w:p w14:paraId="1B404378" w14:textId="77777777" w:rsidR="00B85375" w:rsidRPr="00694553" w:rsidRDefault="00B85375" w:rsidP="00B85375">
      <w:pPr>
        <w:ind w:left="426"/>
        <w:rPr>
          <w:b/>
          <w:bCs/>
        </w:rPr>
      </w:pPr>
      <w:r w:rsidRPr="00694553">
        <w:rPr>
          <w:b/>
          <w:bCs/>
        </w:rPr>
        <w:t>Schedule 3</w:t>
      </w:r>
    </w:p>
    <w:p w14:paraId="0B6917FB" w14:textId="77777777" w:rsidR="00B85375" w:rsidRPr="00694553" w:rsidRDefault="00B85375" w:rsidP="00B85375">
      <w:pPr>
        <w:ind w:left="720"/>
      </w:pPr>
      <w:r w:rsidRPr="00694553">
        <w:t>PARACETAMOL:</w:t>
      </w:r>
    </w:p>
    <w:p w14:paraId="59C9B34D" w14:textId="77777777" w:rsidR="00B85375" w:rsidRPr="00E41640" w:rsidRDefault="00B85375" w:rsidP="00EE4793">
      <w:pPr>
        <w:pStyle w:val="ListBulleta"/>
        <w:numPr>
          <w:ilvl w:val="0"/>
          <w:numId w:val="27"/>
        </w:numPr>
      </w:pPr>
      <w:r w:rsidRPr="00E41640">
        <w:t xml:space="preserve">when combined with ibuprofen in a primary pack containing 30 dosage units or less </w:t>
      </w:r>
      <w:r w:rsidRPr="00EE4793">
        <w:rPr>
          <w:b/>
          <w:bCs/>
        </w:rPr>
        <w:t>except</w:t>
      </w:r>
      <w:r w:rsidRPr="00E41640">
        <w:t xml:space="preserve"> when included in Schedule 2; or</w:t>
      </w:r>
    </w:p>
    <w:p w14:paraId="29F076E0" w14:textId="77777777" w:rsidR="00B85375" w:rsidRPr="00E41640" w:rsidRDefault="00B85375" w:rsidP="00EE4793">
      <w:pPr>
        <w:pStyle w:val="ListBulleta"/>
      </w:pPr>
      <w:r w:rsidRPr="00E41640">
        <w:t>in modified release tablets or capsules containing 665 mg or less paracetamol enclosed in a primary pack containing not more than 100 tablets or capsules; or</w:t>
      </w:r>
    </w:p>
    <w:p w14:paraId="090D4A6B" w14:textId="77777777" w:rsidR="00B85375" w:rsidRPr="00E41640" w:rsidRDefault="00B85375" w:rsidP="00EE4793">
      <w:pPr>
        <w:pStyle w:val="ListBulleta"/>
      </w:pPr>
      <w:r w:rsidRPr="00E41640">
        <w:t>in modified release</w:t>
      </w:r>
      <w:r w:rsidRPr="00E41640">
        <w:rPr>
          <w:strike/>
        </w:rPr>
        <w:t xml:space="preserve"> </w:t>
      </w:r>
      <w:r w:rsidRPr="00E41640">
        <w:t>tablets or capsules containing 665 mg or less paracetamol enclosed in a primary pack containing more than 100 tablets or capsules intended only as a bulk medicine and labelled ‘For dispensing only’ and ‘This pack is not to be supplied to a patient’; or</w:t>
      </w:r>
    </w:p>
    <w:p w14:paraId="41334F6D" w14:textId="77777777" w:rsidR="00B85375" w:rsidRPr="00E41640" w:rsidRDefault="00B85375" w:rsidP="00EE4793">
      <w:pPr>
        <w:pStyle w:val="ListBulleta"/>
      </w:pPr>
      <w:r w:rsidRPr="00E41640">
        <w:t xml:space="preserve">in liquid preparations for oral use </w:t>
      </w:r>
      <w:r w:rsidRPr="00E41640">
        <w:rPr>
          <w:b/>
          <w:bCs/>
        </w:rPr>
        <w:t>except</w:t>
      </w:r>
      <w:r w:rsidRPr="00E41640">
        <w:t xml:space="preserve"> when in Schedule 2.</w:t>
      </w:r>
    </w:p>
    <w:p w14:paraId="687AE116" w14:textId="77777777" w:rsidR="00B85375" w:rsidRPr="00694553" w:rsidRDefault="00B85375" w:rsidP="00B85375">
      <w:pPr>
        <w:ind w:left="426"/>
        <w:rPr>
          <w:b/>
          <w:bCs/>
        </w:rPr>
      </w:pPr>
      <w:r w:rsidRPr="00694553">
        <w:rPr>
          <w:b/>
          <w:bCs/>
        </w:rPr>
        <w:t>Schedule 2</w:t>
      </w:r>
    </w:p>
    <w:p w14:paraId="4D19F6B0" w14:textId="77777777" w:rsidR="00B85375" w:rsidRPr="00694553" w:rsidRDefault="00B85375" w:rsidP="00B85375">
      <w:pPr>
        <w:ind w:left="720"/>
      </w:pPr>
      <w:r w:rsidRPr="00694553">
        <w:t>PARACETAMOL for therapeutic use:</w:t>
      </w:r>
    </w:p>
    <w:p w14:paraId="781994C7" w14:textId="77777777" w:rsidR="00B85375" w:rsidRPr="00E41640" w:rsidRDefault="00B85375" w:rsidP="00EB1099">
      <w:pPr>
        <w:pStyle w:val="ListBulleta"/>
        <w:numPr>
          <w:ilvl w:val="0"/>
          <w:numId w:val="28"/>
        </w:numPr>
        <w:ind w:left="1145" w:hanging="357"/>
      </w:pPr>
      <w:r w:rsidRPr="00E41640">
        <w:t>in liquid preparations for oral use containing a maximum of 10 g of paracetamol per container; or</w:t>
      </w:r>
    </w:p>
    <w:p w14:paraId="086D8424" w14:textId="77777777" w:rsidR="00B85375" w:rsidRPr="00E41640" w:rsidRDefault="00B85375" w:rsidP="00EB1099">
      <w:pPr>
        <w:pStyle w:val="ListBulleta"/>
        <w:ind w:left="1145" w:hanging="357"/>
      </w:pPr>
      <w:r w:rsidRPr="00E41640">
        <w:t>when combined with ibuprofen in preparations for oral use when labelled with a recommended daily dose of 1200 mg or less of ibuprofen in divided doses in a primary pack containing no more than 12 dosage units per pack; or</w:t>
      </w:r>
    </w:p>
    <w:p w14:paraId="6C7317A4" w14:textId="135FDA99" w:rsidR="00B85375" w:rsidRPr="00E41640" w:rsidRDefault="00B85375" w:rsidP="00EB1099">
      <w:pPr>
        <w:pStyle w:val="ListBulleta"/>
        <w:ind w:left="1145" w:hanging="357"/>
      </w:pPr>
      <w:r w:rsidRPr="00E41640">
        <w:t xml:space="preserve">in tablets or capsules enclosed in a primary pack containing not more than </w:t>
      </w:r>
      <w:r w:rsidRPr="00E14342">
        <w:t>100</w:t>
      </w:r>
      <w:r w:rsidRPr="00E41640">
        <w:t xml:space="preserve"> tablets or capsules; or</w:t>
      </w:r>
    </w:p>
    <w:p w14:paraId="165EE21F" w14:textId="77777777" w:rsidR="00B85375" w:rsidRPr="00E14342" w:rsidRDefault="00B85375" w:rsidP="00EB1099">
      <w:pPr>
        <w:pStyle w:val="ListBulleta"/>
        <w:ind w:left="1145" w:hanging="357"/>
      </w:pPr>
      <w:r w:rsidRPr="00E14342">
        <w:t>in tablets or capsules enclosed in a primary pack containing more than 100 tablets or capsules intended only as a bulk medicine pack and labelled ‘For dispensing only’ and ‘This pack is not to be supplied to a patient’; or</w:t>
      </w:r>
    </w:p>
    <w:p w14:paraId="51157655" w14:textId="46C12F02" w:rsidR="00B85375" w:rsidRPr="00E41640" w:rsidRDefault="00B85375" w:rsidP="00EB1099">
      <w:pPr>
        <w:pStyle w:val="ListBulleta"/>
        <w:ind w:left="1145" w:hanging="357"/>
      </w:pPr>
      <w:r w:rsidRPr="00E41640">
        <w:t xml:space="preserve">in individually wrapped powders or sachets of granules enclosed in a primary pack containing not more than </w:t>
      </w:r>
      <w:r w:rsidRPr="00E14342">
        <w:t>50</w:t>
      </w:r>
      <w:r w:rsidRPr="00E41640">
        <w:t xml:space="preserve"> wrapped powders or sachets of granules; or</w:t>
      </w:r>
    </w:p>
    <w:p w14:paraId="3F698820" w14:textId="77777777" w:rsidR="00B85375" w:rsidRPr="00E14342" w:rsidRDefault="00B85375" w:rsidP="00EB1099">
      <w:pPr>
        <w:pStyle w:val="ListBulleta"/>
        <w:ind w:left="1145" w:hanging="357"/>
      </w:pPr>
      <w:r w:rsidRPr="00E14342">
        <w:t>in individually wrapped powders or sachets of granules enclosed in a primary pack containing more than 50 wrapped powders or sachets of granules intended only as a bulk medicine pack and labelled ‘For dispensing only’ and ‘This pack is not to be supplied to a patient’; or</w:t>
      </w:r>
    </w:p>
    <w:p w14:paraId="4E980705" w14:textId="77777777" w:rsidR="00B85375" w:rsidRPr="00E41640" w:rsidRDefault="00B85375" w:rsidP="00EB1099">
      <w:pPr>
        <w:pStyle w:val="ListBulleta"/>
        <w:ind w:left="1145" w:hanging="357"/>
      </w:pPr>
      <w:r w:rsidRPr="00E41640">
        <w:t>in other preparations</w:t>
      </w:r>
      <w:r w:rsidRPr="00E41640">
        <w:rPr>
          <w:b/>
          <w:bCs/>
        </w:rPr>
        <w:t xml:space="preserve"> except</w:t>
      </w:r>
      <w:r w:rsidRPr="00E41640">
        <w:t>:</w:t>
      </w:r>
    </w:p>
    <w:p w14:paraId="39522B06" w14:textId="77777777" w:rsidR="00B85375" w:rsidRPr="00E41640" w:rsidRDefault="00B85375" w:rsidP="00EB1099">
      <w:pPr>
        <w:pStyle w:val="ListBulleti"/>
        <w:numPr>
          <w:ilvl w:val="0"/>
          <w:numId w:val="29"/>
        </w:numPr>
        <w:ind w:left="1502" w:hanging="357"/>
      </w:pPr>
      <w:r w:rsidRPr="00E41640">
        <w:t>when included in Schedule 3 or 4; or</w:t>
      </w:r>
    </w:p>
    <w:p w14:paraId="204967B6" w14:textId="77777777" w:rsidR="00B85375" w:rsidRPr="00E41640" w:rsidRDefault="00B85375" w:rsidP="00E73FB7">
      <w:pPr>
        <w:pStyle w:val="ListBulleti"/>
        <w:ind w:left="1502" w:hanging="357"/>
      </w:pPr>
      <w:r w:rsidRPr="00E41640">
        <w:t>in individually wrapped powders or sachets of granules each containing 1000 mg or less of paracetamol as the only therapeutically active constituent (other than caffeine, phenylephrine and/or guaifenesin or when combined with effervescent agents) when:</w:t>
      </w:r>
    </w:p>
    <w:p w14:paraId="3B1C857D" w14:textId="77777777" w:rsidR="00B85375" w:rsidRPr="00E41640" w:rsidRDefault="00B85375" w:rsidP="00E73FB7">
      <w:pPr>
        <w:pStyle w:val="ListBulleta"/>
        <w:numPr>
          <w:ilvl w:val="1"/>
          <w:numId w:val="14"/>
        </w:numPr>
        <w:ind w:left="1775" w:hanging="357"/>
      </w:pPr>
      <w:bookmarkStart w:id="111" w:name="_Hlk143613242"/>
      <w:r w:rsidRPr="00E41640">
        <w:t>enclosed in a primary pack that contains not more than 10 such powders or sachets of granules,</w:t>
      </w:r>
    </w:p>
    <w:p w14:paraId="5039D41E" w14:textId="77777777" w:rsidR="00B85375" w:rsidRPr="00E41640" w:rsidRDefault="00B85375" w:rsidP="00E73FB7">
      <w:pPr>
        <w:pStyle w:val="ListBulleta"/>
        <w:numPr>
          <w:ilvl w:val="1"/>
          <w:numId w:val="14"/>
        </w:numPr>
        <w:ind w:left="1775" w:hanging="357"/>
      </w:pPr>
      <w:r w:rsidRPr="00E41640">
        <w:t>compliant with the requirements of the Required Advisory Statements for Medicine Labels,</w:t>
      </w:r>
    </w:p>
    <w:p w14:paraId="558B5638" w14:textId="01299034" w:rsidR="00B85375" w:rsidRDefault="00B85375" w:rsidP="00E73FB7">
      <w:pPr>
        <w:pStyle w:val="ListBulleta"/>
        <w:numPr>
          <w:ilvl w:val="1"/>
          <w:numId w:val="14"/>
        </w:numPr>
        <w:ind w:left="1775" w:hanging="357"/>
      </w:pPr>
      <w:r w:rsidRPr="00E41640">
        <w:t>not labelled for the treatment of children 6 years or age or less, and</w:t>
      </w:r>
    </w:p>
    <w:p w14:paraId="3BA45219" w14:textId="793A08BB" w:rsidR="00736132" w:rsidRPr="001F3814" w:rsidRDefault="00736132" w:rsidP="00E73FB7">
      <w:pPr>
        <w:pStyle w:val="ListBulleta"/>
        <w:numPr>
          <w:ilvl w:val="1"/>
          <w:numId w:val="14"/>
        </w:numPr>
        <w:ind w:left="1775" w:hanging="357"/>
      </w:pPr>
      <w:r w:rsidRPr="00736132">
        <w:t>not labelled for the treatment of children under 12 years of age when combined with caffeine, phenylephrine and/or guaifenesin; or</w:t>
      </w:r>
    </w:p>
    <w:p w14:paraId="265C4BA9" w14:textId="250359C5" w:rsidR="00741833" w:rsidRPr="009377DC" w:rsidRDefault="00B85375" w:rsidP="00E14342">
      <w:pPr>
        <w:pStyle w:val="ListBulleti"/>
        <w:rPr>
          <w:color w:val="00B050"/>
          <w:u w:val="single"/>
        </w:rPr>
      </w:pPr>
      <w:bookmarkStart w:id="112" w:name="_Hlk143611970"/>
      <w:bookmarkEnd w:id="111"/>
      <w:r w:rsidRPr="009377DC">
        <w:rPr>
          <w:color w:val="00B050"/>
          <w:u w:val="single"/>
        </w:rPr>
        <w:t>in effervescent tablets containing 500mg or less of paracetamol as the only therapeutically active constituent (other than caffeine, phenylephrine and/or guaifenesin) when:</w:t>
      </w:r>
    </w:p>
    <w:p w14:paraId="22F48D37" w14:textId="1326FB04" w:rsidR="00741833" w:rsidRPr="009377DC" w:rsidRDefault="00741833" w:rsidP="00E14342">
      <w:pPr>
        <w:pStyle w:val="ListBulleti"/>
        <w:numPr>
          <w:ilvl w:val="0"/>
          <w:numId w:val="78"/>
        </w:numPr>
        <w:rPr>
          <w:color w:val="00B050"/>
          <w:u w:val="single"/>
        </w:rPr>
      </w:pPr>
      <w:r w:rsidRPr="009377DC">
        <w:rPr>
          <w:color w:val="00B050"/>
          <w:u w:val="single"/>
        </w:rPr>
        <w:t>packed in a container with a child-resistant closure that contains not more than 16 tablets</w:t>
      </w:r>
      <w:r w:rsidR="005049D2">
        <w:rPr>
          <w:color w:val="00B050"/>
          <w:u w:val="single"/>
        </w:rPr>
        <w:t>,</w:t>
      </w:r>
    </w:p>
    <w:p w14:paraId="296422A3" w14:textId="01919AD7" w:rsidR="00741833" w:rsidRPr="009377DC" w:rsidRDefault="00741833" w:rsidP="00E14342">
      <w:pPr>
        <w:pStyle w:val="ListBulleti"/>
        <w:numPr>
          <w:ilvl w:val="0"/>
          <w:numId w:val="78"/>
        </w:numPr>
        <w:rPr>
          <w:color w:val="00B050"/>
          <w:u w:val="single"/>
        </w:rPr>
      </w:pPr>
      <w:r w:rsidRPr="009377DC">
        <w:rPr>
          <w:color w:val="00B050"/>
          <w:u w:val="single"/>
        </w:rPr>
        <w:t>compliant with the requirements of the Required Advisory Statements for Medicine Labels,</w:t>
      </w:r>
    </w:p>
    <w:p w14:paraId="44165D11" w14:textId="59AF6451" w:rsidR="00741833" w:rsidRPr="009377DC" w:rsidRDefault="00741833" w:rsidP="00E14342">
      <w:pPr>
        <w:pStyle w:val="ListBulleti"/>
        <w:numPr>
          <w:ilvl w:val="0"/>
          <w:numId w:val="78"/>
        </w:numPr>
        <w:rPr>
          <w:color w:val="00B050"/>
          <w:u w:val="single"/>
        </w:rPr>
      </w:pPr>
      <w:r w:rsidRPr="009377DC">
        <w:rPr>
          <w:color w:val="00B050"/>
          <w:u w:val="single"/>
        </w:rPr>
        <w:t xml:space="preserve">not labelled for the treatment of children 6 years of age or less, and </w:t>
      </w:r>
    </w:p>
    <w:p w14:paraId="38A8540A" w14:textId="362AA8BA" w:rsidR="00741833" w:rsidRPr="009377DC" w:rsidRDefault="00741833" w:rsidP="00E14342">
      <w:pPr>
        <w:pStyle w:val="ListBulleti"/>
        <w:numPr>
          <w:ilvl w:val="0"/>
          <w:numId w:val="78"/>
        </w:numPr>
        <w:rPr>
          <w:color w:val="00B050"/>
          <w:u w:val="single"/>
        </w:rPr>
      </w:pPr>
      <w:r w:rsidRPr="009377DC">
        <w:rPr>
          <w:color w:val="00B050"/>
          <w:u w:val="single"/>
        </w:rPr>
        <w:t xml:space="preserve">not labelled for the treatment of children </w:t>
      </w:r>
      <w:r w:rsidR="00B641B5">
        <w:rPr>
          <w:color w:val="00B050"/>
          <w:u w:val="single"/>
        </w:rPr>
        <w:t xml:space="preserve">under </w:t>
      </w:r>
      <w:r w:rsidRPr="009377DC">
        <w:rPr>
          <w:color w:val="00B050"/>
          <w:u w:val="single"/>
        </w:rPr>
        <w:t xml:space="preserve">12 years of age when combined with caffeine, phenylephrine and/or guaifenesin; or  </w:t>
      </w:r>
    </w:p>
    <w:bookmarkEnd w:id="112"/>
    <w:p w14:paraId="54A12F3D" w14:textId="06964706" w:rsidR="005049D2" w:rsidRDefault="00B85375" w:rsidP="005049D2">
      <w:pPr>
        <w:pStyle w:val="ListBulleti"/>
      </w:pPr>
      <w:r w:rsidRPr="00E73FB7">
        <w:t xml:space="preserve">in tablets or capsules each containing 500 mg or less of paracetamol as the only therapeutically active constituent (other than caffeine, phenylephrine and/or guaifenesin or </w:t>
      </w:r>
      <w:r w:rsidRPr="00E14342">
        <w:rPr>
          <w:strike/>
          <w:color w:val="FF0000"/>
        </w:rPr>
        <w:t>when combined with effervescent agents)</w:t>
      </w:r>
      <w:r w:rsidRPr="00E73FB7">
        <w:t xml:space="preserve"> when:</w:t>
      </w:r>
    </w:p>
    <w:p w14:paraId="1BA9CFBF" w14:textId="025C7B5D" w:rsidR="005049D2" w:rsidRDefault="005049D2" w:rsidP="005049D2">
      <w:pPr>
        <w:pStyle w:val="ListBulleti"/>
        <w:numPr>
          <w:ilvl w:val="0"/>
          <w:numId w:val="81"/>
        </w:numPr>
      </w:pPr>
      <w:r>
        <w:t xml:space="preserve">packed in blister or strip packaging </w:t>
      </w:r>
      <w:r w:rsidRPr="00E14342">
        <w:rPr>
          <w:strike/>
          <w:color w:val="FF0000"/>
        </w:rPr>
        <w:t>or in a container with a child-resistant closure</w:t>
      </w:r>
      <w:r w:rsidRPr="004C7298">
        <w:rPr>
          <w:color w:val="000000" w:themeColor="text1"/>
        </w:rPr>
        <w:t>,</w:t>
      </w:r>
    </w:p>
    <w:p w14:paraId="5C9392AC" w14:textId="735AF20A" w:rsidR="005049D2" w:rsidRDefault="005049D2" w:rsidP="005049D2">
      <w:pPr>
        <w:pStyle w:val="ListBulleti"/>
        <w:numPr>
          <w:ilvl w:val="0"/>
          <w:numId w:val="81"/>
        </w:numPr>
      </w:pPr>
      <w:r>
        <w:t xml:space="preserve">in a primary pack containing not more than </w:t>
      </w:r>
      <w:r w:rsidRPr="00E14342">
        <w:t>20</w:t>
      </w:r>
      <w:r>
        <w:t xml:space="preserve"> tablets or capsules,</w:t>
      </w:r>
    </w:p>
    <w:p w14:paraId="246ECAD8" w14:textId="447D26DA" w:rsidR="005049D2" w:rsidRDefault="005049D2" w:rsidP="005049D2">
      <w:pPr>
        <w:pStyle w:val="ListBulleti"/>
        <w:numPr>
          <w:ilvl w:val="0"/>
          <w:numId w:val="81"/>
        </w:numPr>
      </w:pPr>
      <w:r>
        <w:t>compliant with the requirements of the Required Advisory Statements for Medicine Labels,</w:t>
      </w:r>
    </w:p>
    <w:p w14:paraId="724726D2" w14:textId="2EA94AB0" w:rsidR="005049D2" w:rsidRDefault="005049D2" w:rsidP="005049D2">
      <w:pPr>
        <w:pStyle w:val="ListBulleti"/>
        <w:numPr>
          <w:ilvl w:val="0"/>
          <w:numId w:val="81"/>
        </w:numPr>
      </w:pPr>
      <w:r>
        <w:t xml:space="preserve">not labelled for the treatment of children 6 years of age or less, </w:t>
      </w:r>
    </w:p>
    <w:p w14:paraId="7F6F678E" w14:textId="6144CC0C" w:rsidR="005049D2" w:rsidRDefault="005049D2" w:rsidP="005049D2">
      <w:pPr>
        <w:pStyle w:val="ListBulleti"/>
        <w:numPr>
          <w:ilvl w:val="0"/>
          <w:numId w:val="81"/>
        </w:numPr>
      </w:pPr>
      <w:r>
        <w:t>and not labelled for the treatment of children under 12 years of age when   combined with caffeine, phenylephrine and/or guaifenesin.</w:t>
      </w:r>
    </w:p>
    <w:p w14:paraId="3CA16EE7" w14:textId="06261E91" w:rsidR="00B85375" w:rsidRPr="005049D2" w:rsidRDefault="00B85375" w:rsidP="005049D2">
      <w:pPr>
        <w:pStyle w:val="ListBulleti"/>
        <w:numPr>
          <w:ilvl w:val="0"/>
          <w:numId w:val="0"/>
        </w:numPr>
        <w:ind w:firstLine="709"/>
      </w:pPr>
      <w:r>
        <w:rPr>
          <w:b/>
          <w:bCs/>
        </w:rPr>
        <w:t>Index</w:t>
      </w:r>
    </w:p>
    <w:p w14:paraId="18285F26" w14:textId="77777777" w:rsidR="00B85375" w:rsidRDefault="00B85375" w:rsidP="0072362E">
      <w:pPr>
        <w:ind w:left="709"/>
      </w:pPr>
      <w:r w:rsidRPr="0072362E">
        <w:rPr>
          <w:b/>
          <w:bCs/>
        </w:rPr>
        <w:t>PARACETAMOL</w:t>
      </w:r>
      <w:r>
        <w:br/>
      </w:r>
      <w:r w:rsidRPr="00333358">
        <w:t>cross reference: ASPIRIN, IBUPROFEN, METOCLOPRAMIDE, SALICYLAMIDE, CAFFEINE</w:t>
      </w:r>
    </w:p>
    <w:p w14:paraId="69D47207" w14:textId="084A6EBA" w:rsidR="00B85375" w:rsidRDefault="00B85375" w:rsidP="0072362E">
      <w:pPr>
        <w:ind w:left="709"/>
        <w:contextualSpacing/>
      </w:pPr>
      <w:r w:rsidRPr="00333358">
        <w:t>Schedule 4</w:t>
      </w:r>
      <w:r w:rsidRPr="00333358">
        <w:br/>
        <w:t>Schedule 3</w:t>
      </w:r>
      <w:r w:rsidRPr="00333358">
        <w:br/>
        <w:t>Schedule 2</w:t>
      </w:r>
      <w:bookmarkEnd w:id="110"/>
    </w:p>
    <w:p w14:paraId="71A5A7F7" w14:textId="77777777" w:rsidR="00772A25" w:rsidRDefault="00772A25" w:rsidP="0072362E">
      <w:pPr>
        <w:ind w:left="709"/>
        <w:contextualSpacing/>
      </w:pPr>
      <w:r>
        <w:t>Appendix F, clause 4</w:t>
      </w:r>
    </w:p>
    <w:p w14:paraId="2A868394" w14:textId="0BE52ABF" w:rsidR="00772A25" w:rsidRPr="003639D9" w:rsidRDefault="00772A25" w:rsidP="0072362E">
      <w:pPr>
        <w:ind w:left="709"/>
        <w:contextualSpacing/>
      </w:pPr>
      <w:r>
        <w:t>Appendix H, clause 1</w:t>
      </w:r>
    </w:p>
    <w:p w14:paraId="6572FC7B" w14:textId="77777777" w:rsidR="00586A6E" w:rsidRDefault="00586A6E" w:rsidP="00586A6E">
      <w:pPr>
        <w:pStyle w:val="Heading4"/>
      </w:pPr>
      <w:bookmarkStart w:id="113" w:name="_Toc144110901"/>
      <w:r>
        <w:t>Background</w:t>
      </w:r>
      <w:bookmarkEnd w:id="113"/>
    </w:p>
    <w:p w14:paraId="51F89A8E" w14:textId="76F7CB9A" w:rsidR="00B85375" w:rsidRPr="00ED776D" w:rsidRDefault="00B85375" w:rsidP="0072362E">
      <w:pPr>
        <w:pStyle w:val="ListBullet"/>
        <w:numPr>
          <w:ilvl w:val="0"/>
          <w:numId w:val="0"/>
        </w:numPr>
      </w:pPr>
      <w:r w:rsidRPr="00ED776D">
        <w:t>Paracetamol is the most widely used over the counter (OTC) analgesic agent in the world. While paracetamol has well</w:t>
      </w:r>
      <w:r w:rsidR="00971F88">
        <w:t>-</w:t>
      </w:r>
      <w:r w:rsidRPr="00ED776D">
        <w:t>established favourable safety and toxicity profiles, the wide use is paralleled by a high prevalence of accidental paracetamol poisoning in the community in both adults and children.</w:t>
      </w:r>
    </w:p>
    <w:p w14:paraId="494E1A51" w14:textId="1A82BA47" w:rsidR="00B85375" w:rsidRPr="00ED776D" w:rsidRDefault="00B85375" w:rsidP="0072362E">
      <w:pPr>
        <w:pStyle w:val="ListBullet"/>
        <w:numPr>
          <w:ilvl w:val="0"/>
          <w:numId w:val="0"/>
        </w:numPr>
      </w:pPr>
      <w:r w:rsidRPr="00ED776D">
        <w:t>The TGA has been aware of concerns, particularly of families of affected consumers of paracetamol, regarding the number of poisonings and deliberate overdoses from paracetamol obtained from general retail outlets without restrictions to children and adolescents.</w:t>
      </w:r>
    </w:p>
    <w:p w14:paraId="5454825F" w14:textId="5E783959" w:rsidR="00B85375" w:rsidRPr="0072362E" w:rsidRDefault="00B85375" w:rsidP="0072362E">
      <w:pPr>
        <w:pStyle w:val="ListBullet"/>
        <w:numPr>
          <w:ilvl w:val="0"/>
          <w:numId w:val="0"/>
        </w:numPr>
      </w:pPr>
      <w:r w:rsidRPr="0072362E">
        <w:t xml:space="preserve">The TGA </w:t>
      </w:r>
      <w:r w:rsidR="00EB7EBF">
        <w:t>published</w:t>
      </w:r>
      <w:r w:rsidRPr="0072362E">
        <w:t xml:space="preserve"> a </w:t>
      </w:r>
      <w:hyperlink r:id="rId114" w:history="1">
        <w:r w:rsidRPr="00B85375">
          <w:rPr>
            <w:rStyle w:val="Hyperlink"/>
            <w:rFonts w:asciiTheme="minorHAnsi" w:hAnsiTheme="minorHAnsi"/>
          </w:rPr>
          <w:t>final decision</w:t>
        </w:r>
      </w:hyperlink>
      <w:r w:rsidRPr="00B85375">
        <w:t xml:space="preserve"> </w:t>
      </w:r>
      <w:r w:rsidRPr="0072362E">
        <w:t>on 3 May 2023</w:t>
      </w:r>
      <w:r w:rsidR="00A2365B">
        <w:t xml:space="preserve"> (with an implementation date of 1 February 2025)</w:t>
      </w:r>
      <w:r w:rsidRPr="0072362E">
        <w:t xml:space="preserve"> to </w:t>
      </w:r>
      <w:r w:rsidR="0037341B">
        <w:t>increase regulatory controls on</w:t>
      </w:r>
      <w:r w:rsidRPr="0072362E">
        <w:t xml:space="preserve"> paracetamol</w:t>
      </w:r>
      <w:r w:rsidR="00611EE2">
        <w:t>, which included requirements for blister strip packaging and smaller pack sizes for general sale</w:t>
      </w:r>
      <w:r w:rsidRPr="0072362E">
        <w:t>.</w:t>
      </w:r>
    </w:p>
    <w:p w14:paraId="2B595525" w14:textId="4FB4891F" w:rsidR="00586A6E" w:rsidRDefault="00586A6E" w:rsidP="00586A6E">
      <w:pPr>
        <w:pStyle w:val="Heading4"/>
      </w:pPr>
      <w:bookmarkStart w:id="114" w:name="_Toc144110902"/>
      <w:r>
        <w:t>Summary of applicant’s reasons for the proposal</w:t>
      </w:r>
      <w:bookmarkEnd w:id="114"/>
    </w:p>
    <w:p w14:paraId="0F25B384" w14:textId="1549F959" w:rsidR="00EB7EBF" w:rsidRPr="00EB1099" w:rsidRDefault="003F3DD2" w:rsidP="004C7298">
      <w:pPr>
        <w:pStyle w:val="ListParagraph"/>
        <w:numPr>
          <w:ilvl w:val="0"/>
          <w:numId w:val="49"/>
        </w:numPr>
        <w:spacing w:before="0" w:after="120" w:line="259" w:lineRule="auto"/>
        <w:ind w:left="425" w:hanging="357"/>
        <w:contextualSpacing w:val="0"/>
        <w:rPr>
          <w:rFonts w:cstheme="minorHAnsi"/>
        </w:rPr>
      </w:pPr>
      <w:r>
        <w:rPr>
          <w:rFonts w:asciiTheme="minorHAnsi" w:hAnsiTheme="minorHAnsi" w:cstheme="minorHAnsi"/>
        </w:rPr>
        <w:t>E</w:t>
      </w:r>
      <w:r w:rsidR="008B0FEB" w:rsidRPr="008B0FEB">
        <w:rPr>
          <w:rFonts w:asciiTheme="minorHAnsi" w:hAnsiTheme="minorHAnsi" w:cstheme="minorHAnsi"/>
        </w:rPr>
        <w:t>ffervescent tablets</w:t>
      </w:r>
      <w:r>
        <w:rPr>
          <w:rFonts w:asciiTheme="minorHAnsi" w:hAnsiTheme="minorHAnsi" w:cstheme="minorHAnsi"/>
        </w:rPr>
        <w:t xml:space="preserve"> are more difficult to dry swallow</w:t>
      </w:r>
      <w:r w:rsidR="008B0FEB" w:rsidRPr="008B0FEB">
        <w:rPr>
          <w:rFonts w:asciiTheme="minorHAnsi" w:hAnsiTheme="minorHAnsi" w:cstheme="minorHAnsi"/>
        </w:rPr>
        <w:t xml:space="preserve"> </w:t>
      </w:r>
      <w:r>
        <w:rPr>
          <w:rFonts w:asciiTheme="minorHAnsi" w:hAnsiTheme="minorHAnsi" w:cstheme="minorHAnsi"/>
        </w:rPr>
        <w:t xml:space="preserve">compared to conventional tablets due to the difference in size, </w:t>
      </w:r>
      <w:r w:rsidR="008B0FEB" w:rsidRPr="008B0FEB">
        <w:rPr>
          <w:rFonts w:asciiTheme="minorHAnsi" w:hAnsiTheme="minorHAnsi" w:cstheme="minorHAnsi"/>
        </w:rPr>
        <w:t xml:space="preserve">and the preparation required </w:t>
      </w:r>
      <w:r>
        <w:rPr>
          <w:rFonts w:asciiTheme="minorHAnsi" w:hAnsiTheme="minorHAnsi" w:cstheme="minorHAnsi"/>
        </w:rPr>
        <w:t xml:space="preserve">for consuming multiple tablets at once </w:t>
      </w:r>
      <w:r w:rsidR="008B0FEB" w:rsidRPr="008B0FEB">
        <w:rPr>
          <w:rFonts w:asciiTheme="minorHAnsi" w:hAnsiTheme="minorHAnsi" w:cstheme="minorHAnsi"/>
        </w:rPr>
        <w:t>is arduous and time consuming</w:t>
      </w:r>
      <w:r>
        <w:rPr>
          <w:rFonts w:asciiTheme="minorHAnsi" w:hAnsiTheme="minorHAnsi" w:cstheme="minorHAnsi"/>
        </w:rPr>
        <w:t>.</w:t>
      </w:r>
    </w:p>
    <w:p w14:paraId="797949A7" w14:textId="08C9FC57" w:rsidR="00EB7EBF" w:rsidRPr="00EB1099" w:rsidRDefault="00571A6E" w:rsidP="004C7298">
      <w:pPr>
        <w:pStyle w:val="ListParagraph"/>
        <w:numPr>
          <w:ilvl w:val="0"/>
          <w:numId w:val="49"/>
        </w:numPr>
        <w:spacing w:before="0" w:after="120" w:line="259" w:lineRule="auto"/>
        <w:ind w:left="425" w:hanging="357"/>
        <w:contextualSpacing w:val="0"/>
        <w:rPr>
          <w:rFonts w:cstheme="minorHAnsi"/>
        </w:rPr>
      </w:pPr>
      <w:r>
        <w:rPr>
          <w:rFonts w:asciiTheme="minorHAnsi" w:hAnsiTheme="minorHAnsi" w:cstheme="minorHAnsi"/>
        </w:rPr>
        <w:t>The t</w:t>
      </w:r>
      <w:r w:rsidR="00EB7EBF">
        <w:rPr>
          <w:rFonts w:asciiTheme="minorHAnsi" w:hAnsiTheme="minorHAnsi" w:cstheme="minorHAnsi"/>
        </w:rPr>
        <w:t xml:space="preserve">ime taken to dissolve </w:t>
      </w:r>
      <w:r>
        <w:rPr>
          <w:rFonts w:asciiTheme="minorHAnsi" w:hAnsiTheme="minorHAnsi" w:cstheme="minorHAnsi"/>
        </w:rPr>
        <w:t xml:space="preserve">tablets </w:t>
      </w:r>
      <w:r w:rsidR="00EB7EBF">
        <w:rPr>
          <w:rFonts w:asciiTheme="minorHAnsi" w:hAnsiTheme="minorHAnsi" w:cstheme="minorHAnsi"/>
        </w:rPr>
        <w:t>(up to 5 minute</w:t>
      </w:r>
      <w:r>
        <w:rPr>
          <w:rFonts w:asciiTheme="minorHAnsi" w:hAnsiTheme="minorHAnsi" w:cstheme="minorHAnsi"/>
        </w:rPr>
        <w:t>s</w:t>
      </w:r>
      <w:r w:rsidR="00EB7EBF">
        <w:rPr>
          <w:rFonts w:asciiTheme="minorHAnsi" w:hAnsiTheme="minorHAnsi" w:cstheme="minorHAnsi"/>
        </w:rPr>
        <w:t xml:space="preserve">) </w:t>
      </w:r>
      <w:r w:rsidR="008B0FEB" w:rsidRPr="008B0FEB">
        <w:rPr>
          <w:rFonts w:asciiTheme="minorHAnsi" w:hAnsiTheme="minorHAnsi" w:cstheme="minorHAnsi"/>
        </w:rPr>
        <w:t xml:space="preserve">presents </w:t>
      </w:r>
      <w:r w:rsidR="003F3DD2">
        <w:rPr>
          <w:rFonts w:asciiTheme="minorHAnsi" w:hAnsiTheme="minorHAnsi" w:cstheme="minorHAnsi"/>
        </w:rPr>
        <w:t xml:space="preserve">an </w:t>
      </w:r>
      <w:r w:rsidR="008B0FEB" w:rsidRPr="008B0FEB">
        <w:rPr>
          <w:rFonts w:asciiTheme="minorHAnsi" w:hAnsiTheme="minorHAnsi" w:cstheme="minorHAnsi"/>
        </w:rPr>
        <w:t>interruption to the consumer that would impede or discourage intentional paracetamol overdose</w:t>
      </w:r>
      <w:r w:rsidR="003F3DD2">
        <w:rPr>
          <w:rFonts w:asciiTheme="minorHAnsi" w:hAnsiTheme="minorHAnsi" w:cstheme="minorHAnsi"/>
        </w:rPr>
        <w:t xml:space="preserve"> using these preparations, similar to that intended to be presented by the packaging changes in the recent scheduling on paracetamol</w:t>
      </w:r>
      <w:r w:rsidR="008B0FEB" w:rsidRPr="008B0FEB">
        <w:rPr>
          <w:rFonts w:asciiTheme="minorHAnsi" w:hAnsiTheme="minorHAnsi" w:cstheme="minorHAnsi"/>
        </w:rPr>
        <w:t>.</w:t>
      </w:r>
    </w:p>
    <w:p w14:paraId="6DEFEC78" w14:textId="48CE3693" w:rsidR="009058AB" w:rsidRPr="00EB1099" w:rsidRDefault="00EB7EBF" w:rsidP="004C7298">
      <w:pPr>
        <w:pStyle w:val="ListParagraph"/>
        <w:numPr>
          <w:ilvl w:val="0"/>
          <w:numId w:val="49"/>
        </w:numPr>
        <w:spacing w:before="0" w:after="120" w:line="259" w:lineRule="auto"/>
        <w:ind w:left="425" w:hanging="357"/>
        <w:contextualSpacing w:val="0"/>
        <w:rPr>
          <w:rFonts w:cstheme="minorHAnsi"/>
        </w:rPr>
      </w:pPr>
      <w:r w:rsidRPr="00EB7EBF">
        <w:rPr>
          <w:rFonts w:asciiTheme="minorHAnsi" w:hAnsiTheme="minorHAnsi" w:cstheme="minorHAnsi"/>
        </w:rPr>
        <w:t>One primary pack of 16 effervescent tablets contains the same total amount of paracetamol contained in one primary pack of ‘Lemsip Hot Drink Oral Powder Sachet’ sold in grocery stores.</w:t>
      </w:r>
    </w:p>
    <w:p w14:paraId="3D85A9E9" w14:textId="51E7B348" w:rsidR="009058AB" w:rsidRPr="008B0FEB" w:rsidRDefault="0053650B" w:rsidP="004C7298">
      <w:pPr>
        <w:pStyle w:val="ListParagraph"/>
        <w:numPr>
          <w:ilvl w:val="0"/>
          <w:numId w:val="49"/>
        </w:numPr>
        <w:spacing w:before="0" w:after="120" w:line="259" w:lineRule="auto"/>
        <w:ind w:left="425" w:hanging="357"/>
        <w:contextualSpacing w:val="0"/>
        <w:rPr>
          <w:rFonts w:asciiTheme="minorHAnsi" w:hAnsiTheme="minorHAnsi" w:cstheme="minorHAnsi"/>
        </w:rPr>
      </w:pPr>
      <w:r>
        <w:rPr>
          <w:rFonts w:asciiTheme="minorHAnsi" w:hAnsiTheme="minorHAnsi" w:cstheme="minorHAnsi"/>
        </w:rPr>
        <w:t xml:space="preserve">Taking account </w:t>
      </w:r>
      <w:r w:rsidR="009058AB">
        <w:rPr>
          <w:rFonts w:asciiTheme="minorHAnsi" w:hAnsiTheme="minorHAnsi" w:cstheme="minorHAnsi"/>
        </w:rPr>
        <w:t xml:space="preserve">of the above factors, the applicant has requested that </w:t>
      </w:r>
      <w:r w:rsidR="009058AB" w:rsidRPr="009058AB">
        <w:rPr>
          <w:rFonts w:asciiTheme="minorHAnsi" w:hAnsiTheme="minorHAnsi" w:cstheme="minorHAnsi"/>
        </w:rPr>
        <w:t xml:space="preserve">the Delegate consider amending </w:t>
      </w:r>
      <w:r w:rsidR="009058AB">
        <w:rPr>
          <w:rFonts w:asciiTheme="minorHAnsi" w:hAnsiTheme="minorHAnsi" w:cstheme="minorHAnsi"/>
        </w:rPr>
        <w:t xml:space="preserve">the </w:t>
      </w:r>
      <w:r w:rsidR="009058AB" w:rsidRPr="009058AB">
        <w:rPr>
          <w:rFonts w:asciiTheme="minorHAnsi" w:hAnsiTheme="minorHAnsi" w:cstheme="minorHAnsi"/>
        </w:rPr>
        <w:t xml:space="preserve">Schedule 2 </w:t>
      </w:r>
      <w:r w:rsidR="009058AB">
        <w:rPr>
          <w:rFonts w:asciiTheme="minorHAnsi" w:hAnsiTheme="minorHAnsi" w:cstheme="minorHAnsi"/>
        </w:rPr>
        <w:t xml:space="preserve">entry </w:t>
      </w:r>
      <w:r w:rsidR="009058AB" w:rsidRPr="009058AB">
        <w:rPr>
          <w:rFonts w:asciiTheme="minorHAnsi" w:hAnsiTheme="minorHAnsi" w:cstheme="minorHAnsi"/>
        </w:rPr>
        <w:t>to exempt from scheduling</w:t>
      </w:r>
      <w:r w:rsidR="009058AB">
        <w:rPr>
          <w:rFonts w:asciiTheme="minorHAnsi" w:hAnsiTheme="minorHAnsi" w:cstheme="minorHAnsi"/>
        </w:rPr>
        <w:t>,</w:t>
      </w:r>
      <w:r w:rsidR="009058AB" w:rsidRPr="009058AB">
        <w:rPr>
          <w:rFonts w:asciiTheme="minorHAnsi" w:hAnsiTheme="minorHAnsi" w:cstheme="minorHAnsi"/>
        </w:rPr>
        <w:t xml:space="preserve"> packs of 16 or less effervescent tablets containing 500 mg or less of paracetamol </w:t>
      </w:r>
      <w:r w:rsidR="009058AB">
        <w:rPr>
          <w:rFonts w:asciiTheme="minorHAnsi" w:hAnsiTheme="minorHAnsi" w:cstheme="minorHAnsi"/>
        </w:rPr>
        <w:t xml:space="preserve">when </w:t>
      </w:r>
      <w:r w:rsidR="009058AB" w:rsidRPr="009058AB">
        <w:rPr>
          <w:rFonts w:asciiTheme="minorHAnsi" w:hAnsiTheme="minorHAnsi" w:cstheme="minorHAnsi"/>
        </w:rPr>
        <w:t>packed in a container with a child-resistant closure.</w:t>
      </w:r>
    </w:p>
    <w:p w14:paraId="100B7379" w14:textId="77777777" w:rsidR="00586A6E" w:rsidRDefault="00586A6E" w:rsidP="00586A6E">
      <w:pPr>
        <w:pStyle w:val="Heading4"/>
      </w:pPr>
      <w:bookmarkStart w:id="115" w:name="_Toc144110903"/>
      <w:r>
        <w:t>Key uses / expected use</w:t>
      </w:r>
      <w:bookmarkEnd w:id="115"/>
    </w:p>
    <w:p w14:paraId="61128B1E" w14:textId="77777777" w:rsidR="00B85375" w:rsidRDefault="00B85375" w:rsidP="00B85375">
      <w:r>
        <w:t>Medicines</w:t>
      </w:r>
    </w:p>
    <w:p w14:paraId="6625F9B7" w14:textId="77777777" w:rsidR="00586A6E" w:rsidRDefault="00586A6E" w:rsidP="00586A6E">
      <w:pPr>
        <w:pStyle w:val="Heading4"/>
      </w:pPr>
      <w:bookmarkStart w:id="116" w:name="_Toc144110904"/>
      <w:r>
        <w:t>Australian regulations</w:t>
      </w:r>
      <w:bookmarkEnd w:id="116"/>
    </w:p>
    <w:p w14:paraId="1A114425" w14:textId="5CB75CB9" w:rsidR="00B85375" w:rsidRPr="00B85375" w:rsidRDefault="00B85375" w:rsidP="00EB1099">
      <w:pPr>
        <w:pStyle w:val="ListBullet"/>
        <w:numPr>
          <w:ilvl w:val="0"/>
          <w:numId w:val="83"/>
        </w:numPr>
        <w:ind w:left="357" w:hanging="357"/>
      </w:pPr>
      <w:r w:rsidRPr="00163F51">
        <w:t xml:space="preserve">According to the </w:t>
      </w:r>
      <w:hyperlink r:id="rId115" w:history="1">
        <w:r w:rsidRPr="00B85375">
          <w:rPr>
            <w:rStyle w:val="Hyperlink"/>
            <w:rFonts w:asciiTheme="minorHAnsi" w:hAnsiTheme="minorHAnsi"/>
          </w:rPr>
          <w:t>TGA Ingredient Database</w:t>
        </w:r>
      </w:hyperlink>
      <w:r w:rsidRPr="00163F51">
        <w:t>, paracetamol is:</w:t>
      </w:r>
    </w:p>
    <w:p w14:paraId="236FFC83" w14:textId="2A1085D6" w:rsidR="00B85375" w:rsidRPr="00EB1099" w:rsidRDefault="002234D4" w:rsidP="00EB1099">
      <w:pPr>
        <w:pStyle w:val="ListBullet2"/>
        <w:numPr>
          <w:ilvl w:val="1"/>
          <w:numId w:val="83"/>
        </w:numPr>
        <w:ind w:left="782" w:hanging="425"/>
        <w:rPr>
          <w:color w:val="auto"/>
        </w:rPr>
      </w:pPr>
      <w:r w:rsidRPr="00EB1099">
        <w:rPr>
          <w:color w:val="auto"/>
        </w:rPr>
        <w:t>A</w:t>
      </w:r>
      <w:r w:rsidR="00B85375" w:rsidRPr="00EB1099">
        <w:rPr>
          <w:color w:val="auto"/>
        </w:rPr>
        <w:t>vailable for use as an Active Ingredient in Biologicals, Export Only, Over the Counter and Prescription Medicines</w:t>
      </w:r>
    </w:p>
    <w:p w14:paraId="1A36E27E" w14:textId="7C09BB74" w:rsidR="00B85375" w:rsidRPr="00EB1099" w:rsidRDefault="002234D4" w:rsidP="00EB1099">
      <w:pPr>
        <w:pStyle w:val="ListBullet2"/>
        <w:numPr>
          <w:ilvl w:val="1"/>
          <w:numId w:val="83"/>
        </w:numPr>
        <w:ind w:left="782" w:hanging="425"/>
        <w:rPr>
          <w:color w:val="auto"/>
        </w:rPr>
      </w:pPr>
      <w:r w:rsidRPr="00EB1099">
        <w:rPr>
          <w:color w:val="auto"/>
        </w:rPr>
        <w:t>A</w:t>
      </w:r>
      <w:r w:rsidR="00B85375" w:rsidRPr="00EB1099">
        <w:rPr>
          <w:color w:val="auto"/>
        </w:rPr>
        <w:t>vailable for use as an Excipient Ingredient in Biologicals, Devices and Prescription Medicines</w:t>
      </w:r>
    </w:p>
    <w:p w14:paraId="469BB864" w14:textId="3D98A72C" w:rsidR="00B85375" w:rsidRPr="00EB1099" w:rsidRDefault="002234D4" w:rsidP="00EB1099">
      <w:pPr>
        <w:pStyle w:val="ListBullet2"/>
        <w:numPr>
          <w:ilvl w:val="1"/>
          <w:numId w:val="83"/>
        </w:numPr>
        <w:ind w:left="782" w:hanging="425"/>
        <w:rPr>
          <w:color w:val="auto"/>
        </w:rPr>
      </w:pPr>
      <w:r w:rsidRPr="00EB1099">
        <w:rPr>
          <w:color w:val="auto"/>
        </w:rPr>
        <w:t>A</w:t>
      </w:r>
      <w:r w:rsidR="00B85375" w:rsidRPr="00EB1099">
        <w:rPr>
          <w:color w:val="auto"/>
        </w:rPr>
        <w:t>vailable as an equivalent ingredient in Export Only, Over the Counter and Prescription Medicines.</w:t>
      </w:r>
    </w:p>
    <w:p w14:paraId="5EFDAC24" w14:textId="196D2938" w:rsidR="00B85375" w:rsidRPr="00163F51" w:rsidRDefault="00B85375" w:rsidP="00EB1099">
      <w:pPr>
        <w:pStyle w:val="ListBullet"/>
        <w:numPr>
          <w:ilvl w:val="0"/>
          <w:numId w:val="83"/>
        </w:numPr>
      </w:pPr>
      <w:r w:rsidRPr="00163F51">
        <w:t xml:space="preserve">As of July 2023, there were 634 medicines currently active on the </w:t>
      </w:r>
      <w:hyperlink r:id="rId116" w:history="1">
        <w:r w:rsidR="00EB1099">
          <w:rPr>
            <w:rStyle w:val="Hyperlink"/>
            <w:rFonts w:asciiTheme="minorHAnsi" w:hAnsiTheme="minorHAnsi"/>
          </w:rPr>
          <w:t>Australian Register of Therapeutic Goods</w:t>
        </w:r>
      </w:hyperlink>
      <w:r w:rsidR="00EB1099" w:rsidRPr="00EB1099">
        <w:rPr>
          <w:rStyle w:val="Hyperlink"/>
          <w:rFonts w:asciiTheme="minorHAnsi" w:hAnsiTheme="minorHAnsi"/>
          <w:color w:val="auto"/>
          <w:u w:val="none"/>
        </w:rPr>
        <w:t xml:space="preserve"> (ARTG)</w:t>
      </w:r>
      <w:r w:rsidRPr="00163F51">
        <w:t xml:space="preserve"> that contain paracetamol as an active ingredient. These include:</w:t>
      </w:r>
    </w:p>
    <w:p w14:paraId="44C1DCC9" w14:textId="4278921D" w:rsidR="00B85375" w:rsidRPr="00EB1099" w:rsidRDefault="00B85375" w:rsidP="00EB1099">
      <w:pPr>
        <w:pStyle w:val="ListBullet2"/>
        <w:numPr>
          <w:ilvl w:val="1"/>
          <w:numId w:val="83"/>
        </w:numPr>
        <w:ind w:left="782" w:hanging="425"/>
        <w:rPr>
          <w:color w:val="auto"/>
        </w:rPr>
      </w:pPr>
      <w:r w:rsidRPr="00EB1099">
        <w:rPr>
          <w:color w:val="auto"/>
        </w:rPr>
        <w:t>78 prescription only medicines</w:t>
      </w:r>
    </w:p>
    <w:p w14:paraId="5C3FE096" w14:textId="268A3987" w:rsidR="00B85375" w:rsidRPr="00EB1099" w:rsidRDefault="00B85375" w:rsidP="00EB1099">
      <w:pPr>
        <w:pStyle w:val="ListBullet2"/>
        <w:numPr>
          <w:ilvl w:val="1"/>
          <w:numId w:val="83"/>
        </w:numPr>
        <w:ind w:left="782" w:hanging="425"/>
        <w:rPr>
          <w:color w:val="auto"/>
        </w:rPr>
      </w:pPr>
      <w:r w:rsidRPr="00EB1099">
        <w:rPr>
          <w:color w:val="auto"/>
        </w:rPr>
        <w:t>544 over the counter medicines</w:t>
      </w:r>
    </w:p>
    <w:p w14:paraId="1997C4F8" w14:textId="77777777" w:rsidR="00B85375" w:rsidRPr="00EB1099" w:rsidRDefault="00B85375" w:rsidP="00EB1099">
      <w:pPr>
        <w:pStyle w:val="ListBullet2"/>
        <w:numPr>
          <w:ilvl w:val="1"/>
          <w:numId w:val="83"/>
        </w:numPr>
        <w:ind w:left="782" w:hanging="425"/>
        <w:rPr>
          <w:color w:val="auto"/>
        </w:rPr>
      </w:pPr>
      <w:r w:rsidRPr="00EB1099">
        <w:rPr>
          <w:color w:val="auto"/>
        </w:rPr>
        <w:t>12 export only medicines.</w:t>
      </w:r>
    </w:p>
    <w:p w14:paraId="6E6C15D7" w14:textId="19A638B6" w:rsidR="00B85375" w:rsidRPr="00B85375" w:rsidRDefault="00B85375" w:rsidP="00EB1099">
      <w:pPr>
        <w:pStyle w:val="ListBullet"/>
        <w:numPr>
          <w:ilvl w:val="0"/>
          <w:numId w:val="83"/>
        </w:numPr>
      </w:pPr>
      <w:r w:rsidRPr="00163F51">
        <w:t xml:space="preserve">Paracetamol is not permitted to be included in listed medicines as it is not included in the </w:t>
      </w:r>
      <w:hyperlink r:id="rId117" w:history="1">
        <w:r w:rsidRPr="00B85375">
          <w:rPr>
            <w:rStyle w:val="Hyperlink"/>
            <w:rFonts w:asciiTheme="minorHAnsi" w:hAnsiTheme="minorHAnsi"/>
          </w:rPr>
          <w:t>Therapeutic Goods (Permissible Ingredients) Determination</w:t>
        </w:r>
      </w:hyperlink>
      <w:r w:rsidRPr="00163F51">
        <w:t xml:space="preserve"> No. 3 of 2023.</w:t>
      </w:r>
    </w:p>
    <w:p w14:paraId="438EB857" w14:textId="397BC77A" w:rsidR="00B85375" w:rsidRPr="00B85375" w:rsidRDefault="00B85375" w:rsidP="00EB1099">
      <w:pPr>
        <w:pStyle w:val="ListBullet"/>
        <w:numPr>
          <w:ilvl w:val="0"/>
          <w:numId w:val="83"/>
        </w:numPr>
      </w:pPr>
      <w:r w:rsidRPr="00163F51">
        <w:t>The</w:t>
      </w:r>
      <w:r w:rsidRPr="00B85375">
        <w:t xml:space="preserve"> </w:t>
      </w:r>
      <w:hyperlink r:id="rId118" w:history="1">
        <w:r w:rsidRPr="00B85375">
          <w:rPr>
            <w:rStyle w:val="Hyperlink"/>
            <w:rFonts w:asciiTheme="minorHAnsi" w:hAnsiTheme="minorHAnsi"/>
          </w:rPr>
          <w:t>TGA prescribing medicines in pregnancy database</w:t>
        </w:r>
      </w:hyperlink>
      <w:r w:rsidRPr="00163F51">
        <w:t xml:space="preserve"> classifies paracetamol as:</w:t>
      </w:r>
    </w:p>
    <w:tbl>
      <w:tblPr>
        <w:tblStyle w:val="TableTGAblue"/>
        <w:tblW w:w="8670" w:type="dxa"/>
        <w:tblInd w:w="392" w:type="dxa"/>
        <w:tblLook w:val="04A0" w:firstRow="1" w:lastRow="0" w:firstColumn="1" w:lastColumn="0" w:noHBand="0" w:noVBand="1"/>
      </w:tblPr>
      <w:tblGrid>
        <w:gridCol w:w="1846"/>
        <w:gridCol w:w="1799"/>
        <w:gridCol w:w="1858"/>
        <w:gridCol w:w="1860"/>
        <w:gridCol w:w="1307"/>
      </w:tblGrid>
      <w:tr w:rsidR="00B85375" w:rsidRPr="00611EE2" w14:paraId="5A63D9CC" w14:textId="77777777" w:rsidTr="00AC5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hideMark/>
          </w:tcPr>
          <w:p w14:paraId="5542B659" w14:textId="77777777" w:rsidR="00B85375" w:rsidRPr="00611EE2" w:rsidRDefault="00B85375" w:rsidP="00611EE2">
            <w:pPr>
              <w:spacing w:before="60" w:after="60"/>
              <w:rPr>
                <w:rFonts w:asciiTheme="minorHAnsi" w:hAnsiTheme="minorHAnsi" w:cstheme="minorHAnsi"/>
                <w:sz w:val="20"/>
                <w:szCs w:val="20"/>
              </w:rPr>
            </w:pPr>
            <w:r w:rsidRPr="00611EE2">
              <w:rPr>
                <w:rFonts w:asciiTheme="minorHAnsi" w:hAnsiTheme="minorHAnsi" w:cstheme="minorHAnsi"/>
                <w:sz w:val="20"/>
                <w:szCs w:val="20"/>
              </w:rPr>
              <w:t>Drug name</w:t>
            </w:r>
          </w:p>
        </w:tc>
        <w:tc>
          <w:tcPr>
            <w:tcW w:w="1971" w:type="dxa"/>
            <w:hideMark/>
          </w:tcPr>
          <w:p w14:paraId="7B5A5EE0" w14:textId="77777777" w:rsidR="00B85375" w:rsidRPr="00611EE2" w:rsidRDefault="00B85375" w:rsidP="00611EE2">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1EE2">
              <w:rPr>
                <w:rFonts w:asciiTheme="minorHAnsi" w:hAnsiTheme="minorHAnsi" w:cstheme="minorHAnsi"/>
                <w:sz w:val="20"/>
                <w:szCs w:val="20"/>
              </w:rPr>
              <w:t>Category</w:t>
            </w:r>
          </w:p>
        </w:tc>
        <w:tc>
          <w:tcPr>
            <w:tcW w:w="1971" w:type="dxa"/>
            <w:hideMark/>
          </w:tcPr>
          <w:p w14:paraId="54F6C2D1" w14:textId="77777777" w:rsidR="00B85375" w:rsidRPr="00611EE2" w:rsidRDefault="00B85375" w:rsidP="00611EE2">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1EE2">
              <w:rPr>
                <w:rFonts w:asciiTheme="minorHAnsi" w:hAnsiTheme="minorHAnsi" w:cstheme="minorHAnsi"/>
                <w:sz w:val="20"/>
                <w:szCs w:val="20"/>
              </w:rPr>
              <w:t>Classification Level 1</w:t>
            </w:r>
          </w:p>
        </w:tc>
        <w:tc>
          <w:tcPr>
            <w:tcW w:w="1971" w:type="dxa"/>
            <w:hideMark/>
          </w:tcPr>
          <w:p w14:paraId="199CA71E" w14:textId="77777777" w:rsidR="00B85375" w:rsidRPr="00611EE2" w:rsidRDefault="00B85375" w:rsidP="00611EE2">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1EE2">
              <w:rPr>
                <w:rFonts w:asciiTheme="minorHAnsi" w:hAnsiTheme="minorHAnsi" w:cstheme="minorHAnsi"/>
                <w:sz w:val="20"/>
                <w:szCs w:val="20"/>
              </w:rPr>
              <w:t>Classification Level 2</w:t>
            </w:r>
          </w:p>
        </w:tc>
        <w:tc>
          <w:tcPr>
            <w:tcW w:w="787" w:type="dxa"/>
            <w:hideMark/>
          </w:tcPr>
          <w:p w14:paraId="29C3DF8C" w14:textId="77777777" w:rsidR="00B85375" w:rsidRPr="00611EE2" w:rsidRDefault="00B85375" w:rsidP="00611EE2">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1EE2">
              <w:rPr>
                <w:rFonts w:asciiTheme="minorHAnsi" w:hAnsiTheme="minorHAnsi" w:cstheme="minorHAnsi"/>
                <w:sz w:val="20"/>
                <w:szCs w:val="20"/>
              </w:rPr>
              <w:t>Classification Level 3</w:t>
            </w:r>
          </w:p>
        </w:tc>
      </w:tr>
      <w:tr w:rsidR="00B85375" w:rsidRPr="00611EE2" w14:paraId="4C8B0559" w14:textId="77777777" w:rsidTr="00AC5E26">
        <w:tc>
          <w:tcPr>
            <w:cnfStyle w:val="001000000000" w:firstRow="0" w:lastRow="0" w:firstColumn="1" w:lastColumn="0" w:oddVBand="0" w:evenVBand="0" w:oddHBand="0" w:evenHBand="0" w:firstRowFirstColumn="0" w:firstRowLastColumn="0" w:lastRowFirstColumn="0" w:lastRowLastColumn="0"/>
            <w:tcW w:w="1970" w:type="dxa"/>
            <w:tcBorders>
              <w:top w:val="single" w:sz="8" w:space="0" w:color="002C47"/>
              <w:left w:val="single" w:sz="8" w:space="0" w:color="002C47"/>
              <w:bottom w:val="single" w:sz="8" w:space="0" w:color="002C47"/>
              <w:right w:val="single" w:sz="8" w:space="0" w:color="002C47"/>
            </w:tcBorders>
            <w:hideMark/>
          </w:tcPr>
          <w:p w14:paraId="43A73C14" w14:textId="77777777" w:rsidR="00B85375" w:rsidRPr="00611EE2" w:rsidRDefault="00B85375" w:rsidP="00611EE2">
            <w:pPr>
              <w:spacing w:before="60" w:after="60"/>
              <w:rPr>
                <w:rFonts w:asciiTheme="minorHAnsi" w:hAnsiTheme="minorHAnsi" w:cstheme="minorHAnsi"/>
                <w:sz w:val="20"/>
                <w:szCs w:val="20"/>
              </w:rPr>
            </w:pPr>
            <w:r w:rsidRPr="00611EE2">
              <w:rPr>
                <w:rFonts w:asciiTheme="minorHAnsi" w:hAnsiTheme="minorHAnsi" w:cstheme="minorHAnsi"/>
                <w:sz w:val="20"/>
                <w:szCs w:val="20"/>
              </w:rPr>
              <w:t>Paracetamol</w:t>
            </w:r>
          </w:p>
        </w:tc>
        <w:tc>
          <w:tcPr>
            <w:tcW w:w="1971" w:type="dxa"/>
            <w:tcBorders>
              <w:top w:val="single" w:sz="8" w:space="0" w:color="002C47"/>
              <w:left w:val="single" w:sz="8" w:space="0" w:color="002C47"/>
              <w:bottom w:val="single" w:sz="8" w:space="0" w:color="002C47"/>
              <w:right w:val="single" w:sz="8" w:space="0" w:color="002C47"/>
            </w:tcBorders>
            <w:hideMark/>
          </w:tcPr>
          <w:p w14:paraId="01B8A45C" w14:textId="77777777" w:rsidR="00B85375" w:rsidRPr="00611EE2" w:rsidRDefault="00B85375" w:rsidP="00611EE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1EE2">
              <w:rPr>
                <w:rFonts w:asciiTheme="minorHAnsi" w:hAnsiTheme="minorHAnsi" w:cstheme="minorHAnsi"/>
                <w:sz w:val="20"/>
                <w:szCs w:val="20"/>
              </w:rPr>
              <w:t>A</w:t>
            </w:r>
          </w:p>
        </w:tc>
        <w:tc>
          <w:tcPr>
            <w:tcW w:w="1971" w:type="dxa"/>
            <w:tcBorders>
              <w:top w:val="single" w:sz="8" w:space="0" w:color="002C47"/>
              <w:left w:val="single" w:sz="8" w:space="0" w:color="002C47"/>
              <w:bottom w:val="single" w:sz="8" w:space="0" w:color="002C47"/>
              <w:right w:val="single" w:sz="8" w:space="0" w:color="002C47"/>
            </w:tcBorders>
            <w:hideMark/>
          </w:tcPr>
          <w:p w14:paraId="23860FC7" w14:textId="77777777" w:rsidR="00B85375" w:rsidRPr="00611EE2" w:rsidRDefault="00B85375" w:rsidP="00611EE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1EE2">
              <w:rPr>
                <w:rFonts w:asciiTheme="minorHAnsi" w:hAnsiTheme="minorHAnsi" w:cstheme="minorHAnsi"/>
                <w:sz w:val="20"/>
                <w:szCs w:val="20"/>
              </w:rPr>
              <w:t xml:space="preserve">Central Nervous System </w:t>
            </w:r>
          </w:p>
        </w:tc>
        <w:tc>
          <w:tcPr>
            <w:tcW w:w="1971" w:type="dxa"/>
            <w:tcBorders>
              <w:top w:val="single" w:sz="8" w:space="0" w:color="002C47"/>
              <w:left w:val="single" w:sz="8" w:space="0" w:color="002C47"/>
              <w:bottom w:val="single" w:sz="8" w:space="0" w:color="002C47"/>
              <w:right w:val="single" w:sz="8" w:space="0" w:color="002C47"/>
            </w:tcBorders>
            <w:hideMark/>
          </w:tcPr>
          <w:p w14:paraId="6917FB2B" w14:textId="77777777" w:rsidR="00B85375" w:rsidRPr="00611EE2" w:rsidRDefault="00B85375" w:rsidP="00611EE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1EE2">
              <w:rPr>
                <w:rFonts w:asciiTheme="minorHAnsi" w:hAnsiTheme="minorHAnsi" w:cstheme="minorHAnsi"/>
                <w:sz w:val="20"/>
                <w:szCs w:val="20"/>
              </w:rPr>
              <w:t>Analgesics and Antipyretics (see also non-steroidal anti-inflammatory agents)</w:t>
            </w:r>
          </w:p>
        </w:tc>
        <w:tc>
          <w:tcPr>
            <w:tcW w:w="787" w:type="dxa"/>
            <w:tcBorders>
              <w:top w:val="single" w:sz="8" w:space="0" w:color="002C47"/>
              <w:left w:val="single" w:sz="8" w:space="0" w:color="002C47"/>
              <w:bottom w:val="single" w:sz="8" w:space="0" w:color="002C47"/>
              <w:right w:val="single" w:sz="8" w:space="0" w:color="002C47"/>
            </w:tcBorders>
          </w:tcPr>
          <w:p w14:paraId="580B821A" w14:textId="77777777" w:rsidR="00B85375" w:rsidRPr="00611EE2" w:rsidRDefault="00B85375" w:rsidP="00611EE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B85375" w:rsidRPr="00611EE2" w14:paraId="4DBCC496" w14:textId="77777777" w:rsidTr="00AC5E26">
        <w:tc>
          <w:tcPr>
            <w:cnfStyle w:val="001000000000" w:firstRow="0" w:lastRow="0" w:firstColumn="1" w:lastColumn="0" w:oddVBand="0" w:evenVBand="0" w:oddHBand="0" w:evenHBand="0" w:firstRowFirstColumn="0" w:firstRowLastColumn="0" w:lastRowFirstColumn="0" w:lastRowLastColumn="0"/>
            <w:tcW w:w="8670" w:type="dxa"/>
            <w:gridSpan w:val="5"/>
            <w:tcBorders>
              <w:top w:val="single" w:sz="8" w:space="0" w:color="002C47"/>
              <w:left w:val="single" w:sz="8" w:space="0" w:color="002C47"/>
              <w:bottom w:val="single" w:sz="8" w:space="0" w:color="002C47"/>
              <w:right w:val="single" w:sz="8" w:space="0" w:color="002C47"/>
            </w:tcBorders>
            <w:hideMark/>
          </w:tcPr>
          <w:p w14:paraId="0C590260" w14:textId="77777777" w:rsidR="00B85375" w:rsidRPr="00611EE2" w:rsidRDefault="00B85375" w:rsidP="00611EE2">
            <w:pPr>
              <w:spacing w:before="60" w:after="60"/>
              <w:rPr>
                <w:rFonts w:asciiTheme="minorHAnsi" w:hAnsiTheme="minorHAnsi" w:cstheme="minorHAnsi"/>
                <w:sz w:val="20"/>
                <w:szCs w:val="20"/>
              </w:rPr>
            </w:pPr>
            <w:r w:rsidRPr="00611EE2">
              <w:rPr>
                <w:rFonts w:asciiTheme="minorHAnsi" w:hAnsiTheme="minorHAnsi" w:cstheme="minorHAnsi"/>
                <w:b/>
                <w:sz w:val="18"/>
                <w:szCs w:val="18"/>
              </w:rPr>
              <w:t>Category A</w:t>
            </w:r>
            <w:r w:rsidRPr="00611EE2">
              <w:rPr>
                <w:rFonts w:asciiTheme="minorHAnsi" w:hAnsiTheme="minorHAnsi" w:cstheme="minorHAnsi"/>
                <w:sz w:val="18"/>
                <w:szCs w:val="18"/>
              </w:rPr>
              <w:t xml:space="preserve"> – Drugs which have been taken by a large number of pregnant women and women of childbearing age without any proven increase in the frequency of malformations or other direct or indirect harmful effects on the fetus having been observed. </w:t>
            </w:r>
          </w:p>
        </w:tc>
      </w:tr>
    </w:tbl>
    <w:p w14:paraId="39F9E5EF" w14:textId="5CA06B82" w:rsidR="00E332F8" w:rsidRPr="00EA07D8" w:rsidRDefault="00B85375" w:rsidP="00EB1099">
      <w:pPr>
        <w:pStyle w:val="ListBullet"/>
        <w:numPr>
          <w:ilvl w:val="0"/>
          <w:numId w:val="83"/>
        </w:numPr>
        <w:rPr>
          <w:rStyle w:val="Hyperlink"/>
          <w:rFonts w:asciiTheme="minorHAnsi" w:eastAsiaTheme="minorHAnsi" w:hAnsiTheme="minorHAnsi" w:cstheme="minorBidi"/>
        </w:rPr>
      </w:pPr>
      <w:r w:rsidRPr="00163F51">
        <w:t xml:space="preserve">There are three warning statements pertaining to paracetamol in the </w:t>
      </w:r>
      <w:hyperlink r:id="rId119" w:history="1">
        <w:r w:rsidRPr="00B85375">
          <w:rPr>
            <w:rStyle w:val="Hyperlink"/>
            <w:rFonts w:asciiTheme="minorHAnsi" w:hAnsiTheme="minorHAnsi"/>
          </w:rPr>
          <w:t>Therapeutic Goods (Medicines Advisory Statements) Specification 2021</w:t>
        </w:r>
      </w:hyperlink>
      <w:r w:rsidRPr="004C7298">
        <w:rPr>
          <w:rStyle w:val="Hyperlink"/>
          <w:rFonts w:asciiTheme="minorHAnsi" w:hAnsiTheme="minorHAnsi"/>
          <w:color w:val="auto"/>
          <w:u w:val="none"/>
        </w:rPr>
        <w:t>.</w:t>
      </w:r>
    </w:p>
    <w:tbl>
      <w:tblPr>
        <w:tblStyle w:val="TableTGAblue"/>
        <w:tblW w:w="0" w:type="auto"/>
        <w:tblInd w:w="416" w:type="dxa"/>
        <w:tblLook w:val="04A0" w:firstRow="1" w:lastRow="0" w:firstColumn="1" w:lastColumn="0" w:noHBand="0" w:noVBand="1"/>
      </w:tblPr>
      <w:tblGrid>
        <w:gridCol w:w="1270"/>
        <w:gridCol w:w="1557"/>
        <w:gridCol w:w="1700"/>
        <w:gridCol w:w="4063"/>
      </w:tblGrid>
      <w:tr w:rsidR="00611EE2" w:rsidRPr="007C0C83" w14:paraId="79CC97C8" w14:textId="77777777" w:rsidTr="00611E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hideMark/>
          </w:tcPr>
          <w:p w14:paraId="4A046D86" w14:textId="77777777" w:rsidR="00B85375" w:rsidRPr="0072362E" w:rsidRDefault="00B85375" w:rsidP="00611EE2">
            <w:pPr>
              <w:pStyle w:val="ListBullet"/>
              <w:numPr>
                <w:ilvl w:val="0"/>
                <w:numId w:val="0"/>
              </w:numPr>
              <w:ind w:left="164" w:hanging="164"/>
              <w:rPr>
                <w:rFonts w:asciiTheme="minorHAnsi" w:hAnsiTheme="minorHAnsi"/>
                <w:color w:val="FFFFFF" w:themeColor="background1"/>
                <w:sz w:val="20"/>
                <w:szCs w:val="20"/>
              </w:rPr>
            </w:pPr>
            <w:r w:rsidRPr="0072362E">
              <w:rPr>
                <w:rFonts w:asciiTheme="minorHAnsi" w:hAnsiTheme="minorHAnsi"/>
                <w:color w:val="FFFFFF" w:themeColor="background1"/>
                <w:sz w:val="20"/>
              </w:rPr>
              <w:t>Item</w:t>
            </w:r>
          </w:p>
        </w:tc>
        <w:tc>
          <w:tcPr>
            <w:tcW w:w="1557" w:type="dxa"/>
            <w:hideMark/>
          </w:tcPr>
          <w:p w14:paraId="0E9FE804" w14:textId="77777777" w:rsidR="00B85375" w:rsidRPr="0072362E" w:rsidRDefault="00B85375" w:rsidP="00EE4793">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72362E">
              <w:rPr>
                <w:rFonts w:asciiTheme="minorHAnsi" w:hAnsiTheme="minorHAnsi"/>
                <w:color w:val="FFFFFF" w:themeColor="background1"/>
                <w:sz w:val="20"/>
              </w:rPr>
              <w:t>Substance</w:t>
            </w:r>
          </w:p>
        </w:tc>
        <w:tc>
          <w:tcPr>
            <w:tcW w:w="1700" w:type="dxa"/>
            <w:hideMark/>
          </w:tcPr>
          <w:p w14:paraId="0D1BFDDD" w14:textId="77777777" w:rsidR="00B85375" w:rsidRPr="0072362E" w:rsidRDefault="00B85375" w:rsidP="00EE4793">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72362E">
              <w:rPr>
                <w:rFonts w:asciiTheme="minorHAnsi" w:hAnsiTheme="minorHAnsi"/>
                <w:color w:val="FFFFFF" w:themeColor="background1"/>
                <w:sz w:val="20"/>
              </w:rPr>
              <w:t>Circumstances</w:t>
            </w:r>
          </w:p>
        </w:tc>
        <w:tc>
          <w:tcPr>
            <w:tcW w:w="4063" w:type="dxa"/>
            <w:hideMark/>
          </w:tcPr>
          <w:p w14:paraId="029719FC" w14:textId="77777777" w:rsidR="00B85375" w:rsidRPr="0072362E" w:rsidRDefault="00B85375" w:rsidP="00EE4793">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72362E">
              <w:rPr>
                <w:rFonts w:asciiTheme="minorHAnsi" w:hAnsiTheme="minorHAnsi"/>
                <w:color w:val="FFFFFF" w:themeColor="background1"/>
                <w:sz w:val="20"/>
              </w:rPr>
              <w:t>Required Statements</w:t>
            </w:r>
          </w:p>
        </w:tc>
      </w:tr>
      <w:tr w:rsidR="00B85375" w:rsidRPr="007C0C83" w14:paraId="7A7D09A2" w14:textId="77777777" w:rsidTr="00611EE2">
        <w:tc>
          <w:tcPr>
            <w:cnfStyle w:val="001000000000" w:firstRow="0" w:lastRow="0" w:firstColumn="1" w:lastColumn="0" w:oddVBand="0" w:evenVBand="0" w:oddHBand="0" w:evenHBand="0" w:firstRowFirstColumn="0" w:firstRowLastColumn="0" w:lastRowFirstColumn="0" w:lastRowLastColumn="0"/>
            <w:tcW w:w="1270" w:type="dxa"/>
            <w:hideMark/>
          </w:tcPr>
          <w:p w14:paraId="38E7DF8D" w14:textId="77777777" w:rsidR="00B85375" w:rsidRPr="0072362E" w:rsidRDefault="00B85375" w:rsidP="00EE4793">
            <w:pPr>
              <w:pStyle w:val="ListBullet"/>
              <w:numPr>
                <w:ilvl w:val="0"/>
                <w:numId w:val="0"/>
              </w:numPr>
              <w:rPr>
                <w:rFonts w:asciiTheme="minorHAnsi" w:hAnsiTheme="minorHAnsi"/>
                <w:sz w:val="20"/>
                <w:szCs w:val="20"/>
              </w:rPr>
            </w:pPr>
            <w:r w:rsidRPr="0072362E">
              <w:rPr>
                <w:rFonts w:asciiTheme="minorHAnsi" w:hAnsiTheme="minorHAnsi"/>
                <w:sz w:val="20"/>
              </w:rPr>
              <w:t>191</w:t>
            </w:r>
          </w:p>
        </w:tc>
        <w:tc>
          <w:tcPr>
            <w:tcW w:w="1557" w:type="dxa"/>
            <w:hideMark/>
          </w:tcPr>
          <w:p w14:paraId="3277F36C" w14:textId="77777777" w:rsidR="00B85375" w:rsidRPr="0072362E" w:rsidRDefault="00B85375" w:rsidP="00EE4793">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2362E">
              <w:rPr>
                <w:rFonts w:asciiTheme="minorHAnsi" w:hAnsiTheme="minorHAnsi"/>
                <w:sz w:val="20"/>
              </w:rPr>
              <w:t>Paracetamol</w:t>
            </w:r>
          </w:p>
          <w:p w14:paraId="3EC24FD9" w14:textId="77777777" w:rsidR="00B85375" w:rsidRPr="0072362E" w:rsidRDefault="00B85375" w:rsidP="00EE4793">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2362E">
              <w:rPr>
                <w:rFonts w:asciiTheme="minorHAnsi" w:hAnsiTheme="minorHAnsi"/>
                <w:sz w:val="20"/>
              </w:rPr>
              <w:t>(Entry 1 of 3)</w:t>
            </w:r>
          </w:p>
        </w:tc>
        <w:tc>
          <w:tcPr>
            <w:tcW w:w="1700" w:type="dxa"/>
            <w:hideMark/>
          </w:tcPr>
          <w:p w14:paraId="3F7E1AF6" w14:textId="77777777" w:rsidR="00B85375" w:rsidRPr="0072362E" w:rsidRDefault="00B85375" w:rsidP="00EE4793">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2362E">
              <w:rPr>
                <w:rFonts w:asciiTheme="minorHAnsi" w:hAnsiTheme="minorHAnsi"/>
                <w:sz w:val="20"/>
              </w:rPr>
              <w:t>For the purpose of exclusion from the schedules to the current Poisons Standard</w:t>
            </w:r>
          </w:p>
        </w:tc>
        <w:tc>
          <w:tcPr>
            <w:tcW w:w="4063" w:type="dxa"/>
            <w:hideMark/>
          </w:tcPr>
          <w:p w14:paraId="63DD351E" w14:textId="77777777" w:rsidR="00B85375" w:rsidRPr="0072362E" w:rsidRDefault="00B85375" w:rsidP="00EE4793">
            <w:pPr>
              <w:pStyle w:val="ListBulle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2362E">
              <w:rPr>
                <w:rFonts w:asciiTheme="minorHAnsi" w:hAnsiTheme="minorHAnsi"/>
                <w:sz w:val="20"/>
              </w:rPr>
              <w:t>Adults: Keep to the recommended dose.  Do not take this medicine for longer than a few days at a time unless advised to by a doctor.</w:t>
            </w:r>
          </w:p>
          <w:p w14:paraId="384BB35D" w14:textId="77777777" w:rsidR="00B85375" w:rsidRPr="0072362E" w:rsidRDefault="00B85375" w:rsidP="00EE4793">
            <w:pPr>
              <w:pStyle w:val="ListBulle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2362E">
              <w:rPr>
                <w:rFonts w:asciiTheme="minorHAnsi" w:hAnsiTheme="minorHAnsi"/>
                <w:sz w:val="20"/>
              </w:rPr>
              <w:t>Children and adolescents: Keep to the recommended dose. Do not give this medicine for longer than 48 hours at a time unless advised to by a doctor.</w:t>
            </w:r>
          </w:p>
          <w:p w14:paraId="4B2CCD1A" w14:textId="77777777" w:rsidR="00B85375" w:rsidRPr="0072362E" w:rsidRDefault="00B85375" w:rsidP="00EE4793">
            <w:pPr>
              <w:pStyle w:val="ListBulle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2362E">
              <w:rPr>
                <w:rFonts w:asciiTheme="minorHAnsi" w:hAnsiTheme="minorHAnsi"/>
                <w:sz w:val="20"/>
              </w:rPr>
              <w:t>If an overdose is taken or suspected, ring the Poisons Information Centre (Australia 13 11 26, New Zealand 0800 764 766) or go to hospital straight away even if you feel well because of the risk of delayed, serious liver damage.</w:t>
            </w:r>
          </w:p>
          <w:p w14:paraId="10C541E1" w14:textId="77777777" w:rsidR="00B85375" w:rsidRPr="0072362E" w:rsidRDefault="00B85375" w:rsidP="00EE4793">
            <w:pPr>
              <w:pStyle w:val="ListBulle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2362E">
              <w:rPr>
                <w:rFonts w:asciiTheme="minorHAnsi" w:hAnsiTheme="minorHAnsi"/>
                <w:sz w:val="20"/>
              </w:rPr>
              <w:t>Do not take with other products containing paracetamol, unless advised to do so by a doctor or pharmacist.</w:t>
            </w:r>
          </w:p>
        </w:tc>
      </w:tr>
      <w:tr w:rsidR="00B85375" w:rsidRPr="007C0C83" w14:paraId="2C20B766" w14:textId="77777777" w:rsidTr="00611EE2">
        <w:tc>
          <w:tcPr>
            <w:cnfStyle w:val="001000000000" w:firstRow="0" w:lastRow="0" w:firstColumn="1" w:lastColumn="0" w:oddVBand="0" w:evenVBand="0" w:oddHBand="0" w:evenHBand="0" w:firstRowFirstColumn="0" w:firstRowLastColumn="0" w:lastRowFirstColumn="0" w:lastRowLastColumn="0"/>
            <w:tcW w:w="1270" w:type="dxa"/>
            <w:hideMark/>
          </w:tcPr>
          <w:p w14:paraId="29E79532" w14:textId="045152A6" w:rsidR="00E332F8" w:rsidRPr="0072362E" w:rsidRDefault="00B85375" w:rsidP="00EE4793">
            <w:pPr>
              <w:pStyle w:val="ListBullet"/>
              <w:numPr>
                <w:ilvl w:val="0"/>
                <w:numId w:val="0"/>
              </w:numPr>
              <w:rPr>
                <w:rFonts w:asciiTheme="minorHAnsi" w:hAnsiTheme="minorHAnsi"/>
                <w:sz w:val="20"/>
                <w:szCs w:val="20"/>
              </w:rPr>
            </w:pPr>
            <w:r w:rsidRPr="0072362E">
              <w:rPr>
                <w:rFonts w:asciiTheme="minorHAnsi" w:hAnsiTheme="minorHAnsi"/>
                <w:sz w:val="20"/>
              </w:rPr>
              <w:t>192</w:t>
            </w:r>
          </w:p>
        </w:tc>
        <w:tc>
          <w:tcPr>
            <w:tcW w:w="1557" w:type="dxa"/>
            <w:hideMark/>
          </w:tcPr>
          <w:p w14:paraId="3453770E" w14:textId="77777777" w:rsidR="00B85375" w:rsidRPr="0072362E" w:rsidRDefault="00B85375" w:rsidP="00EE4793">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2362E">
              <w:rPr>
                <w:rFonts w:asciiTheme="minorHAnsi" w:hAnsiTheme="minorHAnsi"/>
                <w:sz w:val="20"/>
              </w:rPr>
              <w:t>Paracetamol</w:t>
            </w:r>
          </w:p>
          <w:p w14:paraId="010B3067" w14:textId="77777777" w:rsidR="00B85375" w:rsidRPr="0072362E" w:rsidRDefault="00B85375" w:rsidP="00EE4793">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2362E">
              <w:rPr>
                <w:rFonts w:asciiTheme="minorHAnsi" w:hAnsiTheme="minorHAnsi"/>
                <w:sz w:val="20"/>
              </w:rPr>
              <w:t>(Entry 2 of 3)</w:t>
            </w:r>
          </w:p>
        </w:tc>
        <w:tc>
          <w:tcPr>
            <w:tcW w:w="1700" w:type="dxa"/>
            <w:hideMark/>
          </w:tcPr>
          <w:p w14:paraId="254C8A81" w14:textId="77777777" w:rsidR="00B85375" w:rsidRPr="0072362E" w:rsidRDefault="00B85375" w:rsidP="00EE4793">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2362E">
              <w:rPr>
                <w:rFonts w:asciiTheme="minorHAnsi" w:hAnsiTheme="minorHAnsi"/>
                <w:sz w:val="20"/>
              </w:rPr>
              <w:t>In Schedule 2 or 3 to the current Poisons Standard</w:t>
            </w:r>
          </w:p>
        </w:tc>
        <w:tc>
          <w:tcPr>
            <w:tcW w:w="4063" w:type="dxa"/>
            <w:hideMark/>
          </w:tcPr>
          <w:p w14:paraId="046A3B5A" w14:textId="77777777" w:rsidR="00B85375" w:rsidRPr="0072362E" w:rsidRDefault="00B85375" w:rsidP="00EE4793">
            <w:pPr>
              <w:pStyle w:val="ListBulle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2362E">
              <w:rPr>
                <w:rFonts w:asciiTheme="minorHAnsi" w:hAnsiTheme="minorHAnsi"/>
                <w:sz w:val="20"/>
              </w:rPr>
              <w:t>either or both</w:t>
            </w:r>
          </w:p>
          <w:p w14:paraId="7A73AB6B" w14:textId="77777777" w:rsidR="00B85375" w:rsidRPr="0072362E" w:rsidRDefault="00B85375" w:rsidP="00EE4793">
            <w:pPr>
              <w:pStyle w:val="ListBullet"/>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2362E">
              <w:rPr>
                <w:rFonts w:asciiTheme="minorHAnsi" w:hAnsiTheme="minorHAnsi"/>
                <w:sz w:val="20"/>
              </w:rPr>
              <w:t>-        Adults: Keep to the recommended dose.  Do not take this medicine for longer than a few days at a time unless advised to by a doctor.</w:t>
            </w:r>
          </w:p>
          <w:p w14:paraId="42842783" w14:textId="77777777" w:rsidR="00B85375" w:rsidRPr="0072362E" w:rsidRDefault="00B85375" w:rsidP="00EE4793">
            <w:pPr>
              <w:pStyle w:val="ListBullet"/>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2362E">
              <w:rPr>
                <w:rFonts w:asciiTheme="minorHAnsi" w:hAnsiTheme="minorHAnsi"/>
                <w:sz w:val="20"/>
              </w:rPr>
              <w:t>-        Children and adolescents: Keep to the recommended dose.  Do not give this medicine for longer than 48 hours at a time unless advised to by a doctor.</w:t>
            </w:r>
          </w:p>
          <w:p w14:paraId="62ECA394" w14:textId="77777777" w:rsidR="00B85375" w:rsidRPr="0072362E" w:rsidRDefault="00B85375" w:rsidP="00EE4793">
            <w:pPr>
              <w:pStyle w:val="ListBulle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2362E">
              <w:rPr>
                <w:rFonts w:asciiTheme="minorHAnsi" w:hAnsiTheme="minorHAnsi"/>
                <w:sz w:val="20"/>
              </w:rPr>
              <w:t>If an overdose is taken or suspected, ring the Poisons Information Centre (Australia 13 11 26, New Zealand 0800 764 766) or go to hospital straight away even if you feel well because of the risk of delayed, serious liver damage.</w:t>
            </w:r>
          </w:p>
          <w:p w14:paraId="2B4C608C" w14:textId="2B89A36C" w:rsidR="00E332F8" w:rsidRPr="00E332F8" w:rsidRDefault="00B85375" w:rsidP="00E332F8">
            <w:pPr>
              <w:pStyle w:val="ListBulle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2362E">
              <w:rPr>
                <w:rFonts w:asciiTheme="minorHAnsi" w:hAnsiTheme="minorHAnsi"/>
                <w:sz w:val="20"/>
              </w:rPr>
              <w:t>Do not take with other products containing paracetamol, unless advised to do so by a doctor or pharmacist.</w:t>
            </w:r>
          </w:p>
        </w:tc>
      </w:tr>
      <w:tr w:rsidR="00B85375" w:rsidRPr="007C0C83" w14:paraId="6DBD027D" w14:textId="77777777" w:rsidTr="00611EE2">
        <w:tc>
          <w:tcPr>
            <w:cnfStyle w:val="001000000000" w:firstRow="0" w:lastRow="0" w:firstColumn="1" w:lastColumn="0" w:oddVBand="0" w:evenVBand="0" w:oddHBand="0" w:evenHBand="0" w:firstRowFirstColumn="0" w:firstRowLastColumn="0" w:lastRowFirstColumn="0" w:lastRowLastColumn="0"/>
            <w:tcW w:w="1270" w:type="dxa"/>
            <w:hideMark/>
          </w:tcPr>
          <w:p w14:paraId="7E28840A" w14:textId="77777777" w:rsidR="00B85375" w:rsidRPr="0072362E" w:rsidRDefault="00B85375" w:rsidP="00EE4793">
            <w:pPr>
              <w:pStyle w:val="ListBullet"/>
              <w:numPr>
                <w:ilvl w:val="0"/>
                <w:numId w:val="0"/>
              </w:numPr>
              <w:rPr>
                <w:rFonts w:asciiTheme="minorHAnsi" w:hAnsiTheme="minorHAnsi"/>
                <w:sz w:val="20"/>
                <w:szCs w:val="20"/>
              </w:rPr>
            </w:pPr>
            <w:r w:rsidRPr="0072362E">
              <w:rPr>
                <w:rFonts w:asciiTheme="minorHAnsi" w:hAnsiTheme="minorHAnsi"/>
                <w:sz w:val="20"/>
              </w:rPr>
              <w:t>193</w:t>
            </w:r>
          </w:p>
        </w:tc>
        <w:tc>
          <w:tcPr>
            <w:tcW w:w="1557" w:type="dxa"/>
            <w:hideMark/>
          </w:tcPr>
          <w:p w14:paraId="735E787A" w14:textId="77777777" w:rsidR="00B85375" w:rsidRPr="0072362E" w:rsidRDefault="00B85375" w:rsidP="00EE4793">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2362E">
              <w:rPr>
                <w:rFonts w:asciiTheme="minorHAnsi" w:hAnsiTheme="minorHAnsi"/>
                <w:sz w:val="20"/>
              </w:rPr>
              <w:t xml:space="preserve">Paracetamol </w:t>
            </w:r>
          </w:p>
          <w:p w14:paraId="0A40E279" w14:textId="77777777" w:rsidR="00B85375" w:rsidRPr="0072362E" w:rsidRDefault="00B85375" w:rsidP="00EE4793">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2362E">
              <w:rPr>
                <w:rFonts w:asciiTheme="minorHAnsi" w:hAnsiTheme="minorHAnsi"/>
                <w:sz w:val="20"/>
              </w:rPr>
              <w:t>(Entry 3 of 3)</w:t>
            </w:r>
          </w:p>
        </w:tc>
        <w:tc>
          <w:tcPr>
            <w:tcW w:w="1700" w:type="dxa"/>
            <w:hideMark/>
          </w:tcPr>
          <w:p w14:paraId="763D0310" w14:textId="77777777" w:rsidR="00B85375" w:rsidRPr="0072362E" w:rsidRDefault="00B85375" w:rsidP="00EE4793">
            <w:pPr>
              <w:pStyle w:val="List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2362E">
              <w:rPr>
                <w:rFonts w:asciiTheme="minorHAnsi" w:hAnsiTheme="minorHAnsi"/>
                <w:sz w:val="20"/>
              </w:rPr>
              <w:t>In combination with ibuprofen, in medicines for oral use</w:t>
            </w:r>
          </w:p>
        </w:tc>
        <w:tc>
          <w:tcPr>
            <w:tcW w:w="4063" w:type="dxa"/>
            <w:hideMark/>
          </w:tcPr>
          <w:p w14:paraId="1DAB651D" w14:textId="77777777" w:rsidR="00B85375" w:rsidRPr="0072362E" w:rsidRDefault="00B85375" w:rsidP="00EE4793">
            <w:pPr>
              <w:pStyle w:val="ListBulle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2362E">
              <w:rPr>
                <w:rFonts w:asciiTheme="minorHAnsi" w:hAnsiTheme="minorHAnsi"/>
                <w:sz w:val="20"/>
              </w:rPr>
              <w:t>Do not give to children under 12 years of age.</w:t>
            </w:r>
          </w:p>
          <w:p w14:paraId="5352DD61" w14:textId="77777777" w:rsidR="00B85375" w:rsidRPr="0072362E" w:rsidRDefault="00B85375" w:rsidP="00EE4793">
            <w:pPr>
              <w:pStyle w:val="ListBulle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2362E">
              <w:rPr>
                <w:rFonts w:asciiTheme="minorHAnsi" w:hAnsiTheme="minorHAnsi"/>
                <w:sz w:val="20"/>
              </w:rPr>
              <w:t>Adults: Keep to the recommended dose.  Do not take this medicine for longer than a few days at a time unless advised to by a doctor.</w:t>
            </w:r>
          </w:p>
          <w:p w14:paraId="2D03B5E5" w14:textId="77777777" w:rsidR="00B85375" w:rsidRPr="0072362E" w:rsidRDefault="00B85375" w:rsidP="00EE4793">
            <w:pPr>
              <w:pStyle w:val="ListBulle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2362E">
              <w:rPr>
                <w:rFonts w:asciiTheme="minorHAnsi" w:hAnsiTheme="minorHAnsi"/>
                <w:sz w:val="20"/>
              </w:rPr>
              <w:t>Children and adolescents: Keep to the recommended dose. Do not give this medicine for longer than 48 hours at a time unless advised to by a doctor.</w:t>
            </w:r>
          </w:p>
          <w:p w14:paraId="0265DC00" w14:textId="77777777" w:rsidR="00B85375" w:rsidRPr="0072362E" w:rsidRDefault="00B85375" w:rsidP="00EE4793">
            <w:pPr>
              <w:pStyle w:val="ListBulle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2362E">
              <w:rPr>
                <w:rFonts w:asciiTheme="minorHAnsi" w:hAnsiTheme="minorHAnsi"/>
                <w:sz w:val="20"/>
              </w:rPr>
              <w:t>Excessive use can be harmful and increase the risk of heart attack, stroke or liver damage.</w:t>
            </w:r>
          </w:p>
          <w:p w14:paraId="18B59C42" w14:textId="77777777" w:rsidR="00B85375" w:rsidRPr="0072362E" w:rsidRDefault="00B85375" w:rsidP="00EE4793">
            <w:pPr>
              <w:pStyle w:val="ListBulle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2362E">
              <w:rPr>
                <w:rFonts w:asciiTheme="minorHAnsi" w:hAnsiTheme="minorHAnsi"/>
                <w:sz w:val="20"/>
              </w:rPr>
              <w:t>Do not use if pregnant or trying to become pregnant.</w:t>
            </w:r>
          </w:p>
          <w:p w14:paraId="0A38428F" w14:textId="77777777" w:rsidR="00B85375" w:rsidRPr="0072362E" w:rsidRDefault="00B85375" w:rsidP="00EE4793">
            <w:pPr>
              <w:pStyle w:val="ListBulle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2362E">
              <w:rPr>
                <w:rFonts w:asciiTheme="minorHAnsi" w:hAnsiTheme="minorHAnsi"/>
                <w:sz w:val="20"/>
              </w:rPr>
              <w:t>Do not use if you have a stomach ulcer.</w:t>
            </w:r>
          </w:p>
          <w:p w14:paraId="2B5E235E" w14:textId="77777777" w:rsidR="00B85375" w:rsidRPr="0072362E" w:rsidRDefault="00B85375" w:rsidP="00EE4793">
            <w:pPr>
              <w:pStyle w:val="ListBulle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2362E">
              <w:rPr>
                <w:rFonts w:asciiTheme="minorHAnsi" w:hAnsiTheme="minorHAnsi"/>
                <w:sz w:val="20"/>
              </w:rPr>
              <w:t>Do not use if you have impaired kidney function.</w:t>
            </w:r>
          </w:p>
          <w:p w14:paraId="557FA88F" w14:textId="77777777" w:rsidR="00B85375" w:rsidRPr="0072362E" w:rsidRDefault="00B85375" w:rsidP="00EE4793">
            <w:pPr>
              <w:pStyle w:val="ListBulle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2362E">
              <w:rPr>
                <w:rFonts w:asciiTheme="minorHAnsi" w:hAnsiTheme="minorHAnsi"/>
                <w:sz w:val="20"/>
              </w:rPr>
              <w:t>Do not use if you have heart failure.</w:t>
            </w:r>
          </w:p>
          <w:p w14:paraId="1D7266DE" w14:textId="77777777" w:rsidR="00B85375" w:rsidRPr="0072362E" w:rsidRDefault="00B85375" w:rsidP="00EE4793">
            <w:pPr>
              <w:pStyle w:val="ListBulle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2362E">
              <w:rPr>
                <w:rFonts w:asciiTheme="minorHAnsi" w:hAnsiTheme="minorHAnsi"/>
                <w:sz w:val="20"/>
              </w:rPr>
              <w:t>Do not use if you are allergic to ibuprofen or other anti-inflammatory medicines.</w:t>
            </w:r>
          </w:p>
          <w:p w14:paraId="48E12239" w14:textId="77777777" w:rsidR="00B85375" w:rsidRPr="0072362E" w:rsidRDefault="00B85375" w:rsidP="00EE4793">
            <w:pPr>
              <w:pStyle w:val="ListBulle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2362E">
              <w:rPr>
                <w:rFonts w:asciiTheme="minorHAnsi" w:hAnsiTheme="minorHAnsi"/>
                <w:sz w:val="20"/>
              </w:rPr>
              <w:t>If you get an allergic reaction, stop taking and see your doctor immediately.</w:t>
            </w:r>
          </w:p>
          <w:p w14:paraId="7FEABACC" w14:textId="77777777" w:rsidR="00B85375" w:rsidRPr="0072362E" w:rsidRDefault="00B85375" w:rsidP="00EE4793">
            <w:pPr>
              <w:pStyle w:val="ListBulle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2362E">
              <w:rPr>
                <w:rFonts w:asciiTheme="minorHAnsi" w:hAnsiTheme="minorHAnsi"/>
                <w:sz w:val="20"/>
              </w:rPr>
              <w:t>Unless a doctor has told you to, do not use if you have asthma.</w:t>
            </w:r>
          </w:p>
          <w:p w14:paraId="6B0D18FF" w14:textId="77777777" w:rsidR="00B85375" w:rsidRPr="0072362E" w:rsidRDefault="00B85375" w:rsidP="00EE4793">
            <w:pPr>
              <w:pStyle w:val="ListBulle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2362E">
              <w:rPr>
                <w:rFonts w:asciiTheme="minorHAnsi" w:hAnsiTheme="minorHAnsi"/>
                <w:sz w:val="20"/>
              </w:rPr>
              <w:t>Unless a doctor has told you to, do not use if you are aged 65 years or over.</w:t>
            </w:r>
          </w:p>
          <w:p w14:paraId="7084D643" w14:textId="77777777" w:rsidR="00B85375" w:rsidRPr="0072362E" w:rsidRDefault="00B85375" w:rsidP="00EE4793">
            <w:pPr>
              <w:pStyle w:val="ListBulle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2362E">
              <w:rPr>
                <w:rFonts w:asciiTheme="minorHAnsi" w:hAnsiTheme="minorHAnsi"/>
                <w:sz w:val="20"/>
              </w:rPr>
              <w:t>Do not take with other products containing paracetamol, ibuprofen, aspirin or other anti-inflammatory medicines or with medicines that you are taking regularly, unless advised to do so by a doctor or pharmacist.</w:t>
            </w:r>
          </w:p>
          <w:p w14:paraId="331CAA46" w14:textId="77777777" w:rsidR="00B85375" w:rsidRPr="0072362E" w:rsidRDefault="00B85375" w:rsidP="00EE4793">
            <w:pPr>
              <w:pStyle w:val="ListBullet"/>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2362E">
              <w:rPr>
                <w:rFonts w:asciiTheme="minorHAnsi" w:hAnsiTheme="minorHAnsi"/>
                <w:sz w:val="20"/>
              </w:rPr>
              <w:t>If an overdose is taken or suspected, ring the Poisons Information Centre (Australia 13 11 26, New Zealand 0800 764 766) or go to hospital straight away even if you feel well because of the risk of delayed, serious liver damage.</w:t>
            </w:r>
          </w:p>
        </w:tc>
      </w:tr>
    </w:tbl>
    <w:p w14:paraId="0715650F" w14:textId="72F6A404" w:rsidR="00B85375" w:rsidRPr="00B85375" w:rsidRDefault="00B85375" w:rsidP="00EB1099">
      <w:pPr>
        <w:pStyle w:val="ListBullet"/>
        <w:numPr>
          <w:ilvl w:val="0"/>
          <w:numId w:val="83"/>
        </w:numPr>
      </w:pPr>
      <w:r w:rsidRPr="00163F51">
        <w:t xml:space="preserve">As of July 2023, there were 5,204 reports of adverse events for products containing paracetamol as an active ingredient on the </w:t>
      </w:r>
      <w:hyperlink r:id="rId120" w:history="1">
        <w:r w:rsidR="00EB1099">
          <w:rPr>
            <w:rStyle w:val="Hyperlink"/>
            <w:rFonts w:asciiTheme="minorHAnsi" w:hAnsiTheme="minorHAnsi"/>
          </w:rPr>
          <w:t>Database of Adverse Event Notifications</w:t>
        </w:r>
      </w:hyperlink>
      <w:r w:rsidR="00EB1099" w:rsidRPr="00EB1099">
        <w:rPr>
          <w:rStyle w:val="Hyperlink"/>
          <w:rFonts w:asciiTheme="minorHAnsi" w:hAnsiTheme="minorHAnsi"/>
          <w:color w:val="auto"/>
          <w:u w:val="none"/>
        </w:rPr>
        <w:t xml:space="preserve"> (DAEN)</w:t>
      </w:r>
      <w:r w:rsidRPr="004C7298">
        <w:rPr>
          <w:rStyle w:val="Hyperlink"/>
          <w:rFonts w:asciiTheme="minorHAnsi" w:hAnsiTheme="minorHAnsi"/>
          <w:color w:val="auto"/>
          <w:u w:val="none"/>
        </w:rPr>
        <w:t>,</w:t>
      </w:r>
      <w:r w:rsidRPr="00163F51">
        <w:t xml:space="preserve"> with 2,348 reports where paracetamol was the single suspected medicine. There were 333 reports of deaths associated with paracetamol use. The recorded adverse events were widely varied in nature.</w:t>
      </w:r>
    </w:p>
    <w:p w14:paraId="5295A131" w14:textId="2722D3FF" w:rsidR="00586A6E" w:rsidRDefault="00586A6E" w:rsidP="00586A6E">
      <w:pPr>
        <w:pStyle w:val="Heading4"/>
      </w:pPr>
      <w:bookmarkStart w:id="117" w:name="_Toc144110905"/>
      <w:r>
        <w:t>International regulations</w:t>
      </w:r>
      <w:bookmarkEnd w:id="117"/>
    </w:p>
    <w:p w14:paraId="68D2528D" w14:textId="65945997" w:rsidR="00B85375" w:rsidRPr="00603580" w:rsidRDefault="00B85375" w:rsidP="00EB1099">
      <w:pPr>
        <w:pStyle w:val="ListBullet"/>
        <w:numPr>
          <w:ilvl w:val="0"/>
          <w:numId w:val="30"/>
        </w:numPr>
        <w:ind w:left="357" w:hanging="357"/>
      </w:pPr>
      <w:r w:rsidRPr="00603580">
        <w:t>The scheduling of paracetamol varies considerably within the Organisation for Economic Co-operation and Development (OECD) countries, with respect to immediate release and modified release formulations</w:t>
      </w:r>
      <w:r w:rsidR="00B8496C">
        <w:t xml:space="preserve"> (MR)</w:t>
      </w:r>
      <w:r w:rsidRPr="00603580">
        <w:t>, sales outside of pharmacies and maximum pack sizes available.</w:t>
      </w:r>
    </w:p>
    <w:p w14:paraId="67B5C9DB" w14:textId="47247C71" w:rsidR="00B85375" w:rsidRPr="00603580" w:rsidRDefault="00B85375" w:rsidP="00EB1099">
      <w:pPr>
        <w:pStyle w:val="ListBullet"/>
        <w:numPr>
          <w:ilvl w:val="0"/>
          <w:numId w:val="30"/>
        </w:numPr>
        <w:ind w:left="357" w:hanging="357"/>
        <w:rPr>
          <w:lang w:val="en-US"/>
        </w:rPr>
      </w:pPr>
      <w:r w:rsidRPr="00603580">
        <w:t xml:space="preserve">Many European countries do not allow any sales outside of pharmacies </w:t>
      </w:r>
      <w:r w:rsidR="001B12C9" w:rsidRPr="00603580">
        <w:t>and</w:t>
      </w:r>
      <w:r w:rsidRPr="00603580">
        <w:t xml:space="preserve"> have lower limits on pharmacy pack sizes. In addition,</w:t>
      </w:r>
      <w:r w:rsidR="00B8496C">
        <w:t xml:space="preserve"> </w:t>
      </w:r>
      <w:r w:rsidRPr="00603580">
        <w:t>MR</w:t>
      </w:r>
      <w:r w:rsidR="00B8496C">
        <w:t xml:space="preserve"> </w:t>
      </w:r>
      <w:r w:rsidRPr="00603580">
        <w:t>paracetamol is not available in most European countries. Some countries have implemented restrictions while others have no limits on the quantities per pack or number of packs that can be purchased (predominantly in Eastern Europe and Russia)</w:t>
      </w:r>
      <w:r w:rsidRPr="00603580">
        <w:rPr>
          <w:lang w:val="en-US"/>
        </w:rPr>
        <w:t>. Fourteen countries have implemented pack size restrictions within pharmacies in the last two decades ranging from 8-30 g (which are lower than in Australia).</w:t>
      </w:r>
    </w:p>
    <w:p w14:paraId="440DC035" w14:textId="7C15BE73" w:rsidR="00B85375" w:rsidRPr="00603580" w:rsidRDefault="00B85375" w:rsidP="00EB1099">
      <w:pPr>
        <w:pStyle w:val="ListBullet"/>
        <w:numPr>
          <w:ilvl w:val="0"/>
          <w:numId w:val="30"/>
        </w:numPr>
        <w:ind w:left="357" w:hanging="357"/>
        <w:rPr>
          <w:lang w:val="en-US"/>
        </w:rPr>
      </w:pPr>
      <w:r w:rsidRPr="00603580">
        <w:rPr>
          <w:lang w:val="en-US"/>
        </w:rPr>
        <w:t xml:space="preserve">Furthermore, in twelve countries paracetamol-containing analgesics are not available outside of pharmacies, with larger quantities only available with a valid prescription from a doctor. Only seven countries allow </w:t>
      </w:r>
      <w:r w:rsidR="00B8496C">
        <w:rPr>
          <w:lang w:val="en-US"/>
        </w:rPr>
        <w:t xml:space="preserve">the </w:t>
      </w:r>
      <w:r w:rsidRPr="00603580">
        <w:rPr>
          <w:lang w:val="en-US"/>
        </w:rPr>
        <w:t xml:space="preserve">sale of paracetamol from outside of pharmacies, with six </w:t>
      </w:r>
      <w:r w:rsidR="00B8496C">
        <w:rPr>
          <w:lang w:val="en-US"/>
        </w:rPr>
        <w:t>countries</w:t>
      </w:r>
      <w:r w:rsidRPr="00603580">
        <w:rPr>
          <w:lang w:val="en-US"/>
        </w:rPr>
        <w:t xml:space="preserve"> </w:t>
      </w:r>
      <w:r w:rsidR="00B8496C">
        <w:rPr>
          <w:lang w:val="en-US"/>
        </w:rPr>
        <w:t xml:space="preserve">limiting the </w:t>
      </w:r>
      <w:r w:rsidRPr="00603580">
        <w:rPr>
          <w:lang w:val="en-US"/>
        </w:rPr>
        <w:t xml:space="preserve">range between 5-8 g </w:t>
      </w:r>
      <w:r w:rsidR="00B8496C">
        <w:rPr>
          <w:lang w:val="en-US"/>
        </w:rPr>
        <w:t>of paracetamol</w:t>
      </w:r>
      <w:r w:rsidR="009B0232">
        <w:rPr>
          <w:lang w:val="en-US"/>
        </w:rPr>
        <w:t xml:space="preserve"> per pack</w:t>
      </w:r>
      <w:r w:rsidR="00B8496C">
        <w:rPr>
          <w:lang w:val="en-US"/>
        </w:rPr>
        <w:t xml:space="preserve"> </w:t>
      </w:r>
      <w:r w:rsidRPr="00603580">
        <w:rPr>
          <w:lang w:val="en-US"/>
        </w:rPr>
        <w:t>and Russia allowing unlimited quantities for sale. Sweden now only markets effervescent tablet</w:t>
      </w:r>
      <w:r w:rsidR="00B8496C">
        <w:rPr>
          <w:lang w:val="en-US"/>
        </w:rPr>
        <w:t xml:space="preserve"> formulations</w:t>
      </w:r>
      <w:r w:rsidRPr="00603580">
        <w:rPr>
          <w:lang w:val="en-US"/>
        </w:rPr>
        <w:t xml:space="preserve"> for general sale. </w:t>
      </w:r>
      <w:r w:rsidR="00B8496C">
        <w:rPr>
          <w:lang w:val="en-US"/>
        </w:rPr>
        <w:t xml:space="preserve">This indicates </w:t>
      </w:r>
      <w:r w:rsidRPr="00603580">
        <w:rPr>
          <w:lang w:val="en-US"/>
        </w:rPr>
        <w:t>that apart from Russia all remaining</w:t>
      </w:r>
      <w:r w:rsidR="009B0232">
        <w:rPr>
          <w:lang w:val="en-US"/>
        </w:rPr>
        <w:t xml:space="preserve"> European</w:t>
      </w:r>
      <w:r w:rsidRPr="00603580">
        <w:rPr>
          <w:lang w:val="en-US"/>
        </w:rPr>
        <w:t xml:space="preserve"> countries have tighter restrictions on access outside of pharmacies compared to Australia (either through smaller quantities or no access at all</w:t>
      </w:r>
      <w:r w:rsidR="00B8496C">
        <w:rPr>
          <w:lang w:val="en-US"/>
        </w:rPr>
        <w:t xml:space="preserve"> without a prescription</w:t>
      </w:r>
      <w:r w:rsidRPr="00603580">
        <w:rPr>
          <w:lang w:val="en-US"/>
        </w:rPr>
        <w:t>).</w:t>
      </w:r>
    </w:p>
    <w:p w14:paraId="5E938F70" w14:textId="3F04724D" w:rsidR="00B85375" w:rsidRPr="00603580" w:rsidRDefault="00B85375" w:rsidP="00EB1099">
      <w:pPr>
        <w:pStyle w:val="ListBullet"/>
        <w:numPr>
          <w:ilvl w:val="0"/>
          <w:numId w:val="30"/>
        </w:numPr>
        <w:ind w:left="357" w:hanging="357"/>
        <w:rPr>
          <w:lang w:val="en-US"/>
        </w:rPr>
      </w:pPr>
      <w:r w:rsidRPr="00603580">
        <w:rPr>
          <w:lang w:val="en-US"/>
        </w:rPr>
        <w:t>The UK has tighter scheduling of paracetamol compared to Australia, which it enacted in 1998 as a response to self-poisoning. They now have low pack limits (16 tablets), purchase limits (2 packs) f</w:t>
      </w:r>
      <w:r w:rsidR="00B8496C">
        <w:rPr>
          <w:lang w:val="en-US"/>
        </w:rPr>
        <w:t xml:space="preserve">or </w:t>
      </w:r>
      <w:r w:rsidRPr="00603580">
        <w:rPr>
          <w:lang w:val="en-US"/>
        </w:rPr>
        <w:t xml:space="preserve">general sale and </w:t>
      </w:r>
      <w:r w:rsidR="00B8496C">
        <w:rPr>
          <w:lang w:val="en-US"/>
        </w:rPr>
        <w:t xml:space="preserve">a </w:t>
      </w:r>
      <w:r w:rsidR="009C55B5" w:rsidRPr="00603580">
        <w:rPr>
          <w:lang w:val="en-US"/>
        </w:rPr>
        <w:t>32-tablet</w:t>
      </w:r>
      <w:r w:rsidRPr="00603580">
        <w:rPr>
          <w:lang w:val="en-US"/>
        </w:rPr>
        <w:t xml:space="preserve"> pa</w:t>
      </w:r>
      <w:r w:rsidR="00B8496C">
        <w:rPr>
          <w:lang w:val="en-US"/>
        </w:rPr>
        <w:t xml:space="preserve">ck size limit </w:t>
      </w:r>
      <w:r w:rsidRPr="00603580">
        <w:rPr>
          <w:lang w:val="en-US"/>
        </w:rPr>
        <w:t>from pharmacies</w:t>
      </w:r>
      <w:r w:rsidR="004B5116">
        <w:rPr>
          <w:lang w:val="en-US"/>
        </w:rPr>
        <w:t xml:space="preserve">. </w:t>
      </w:r>
      <w:r w:rsidR="00FE5F20">
        <w:rPr>
          <w:lang w:val="en-US"/>
        </w:rPr>
        <w:t xml:space="preserve">In 2017 </w:t>
      </w:r>
      <w:r w:rsidR="004B5116" w:rsidRPr="004B5116">
        <w:rPr>
          <w:lang w:val="en-US"/>
        </w:rPr>
        <w:t>Modified-release</w:t>
      </w:r>
      <w:r w:rsidR="004B5116">
        <w:rPr>
          <w:lang w:val="en-US"/>
        </w:rPr>
        <w:t xml:space="preserve"> (MR)</w:t>
      </w:r>
      <w:r w:rsidR="004B5116" w:rsidRPr="004B5116">
        <w:rPr>
          <w:lang w:val="en-US"/>
        </w:rPr>
        <w:t xml:space="preserve"> paracetamol</w:t>
      </w:r>
      <w:r w:rsidR="00FE5F20">
        <w:rPr>
          <w:lang w:val="en-US"/>
        </w:rPr>
        <w:t xml:space="preserve"> was</w:t>
      </w:r>
      <w:r w:rsidR="004B5116">
        <w:rPr>
          <w:lang w:val="en-US"/>
        </w:rPr>
        <w:t xml:space="preserve"> </w:t>
      </w:r>
      <w:r w:rsidR="004B5116" w:rsidRPr="004B5116">
        <w:rPr>
          <w:lang w:val="en-US"/>
        </w:rPr>
        <w:t>removed from the</w:t>
      </w:r>
      <w:r w:rsidR="004B5116">
        <w:rPr>
          <w:lang w:val="en-US"/>
        </w:rPr>
        <w:t xml:space="preserve"> </w:t>
      </w:r>
      <w:hyperlink r:id="rId121" w:history="1">
        <w:r w:rsidR="004B5116" w:rsidRPr="00FE5F20">
          <w:rPr>
            <w:rStyle w:val="Hyperlink"/>
            <w:rFonts w:asciiTheme="minorHAnsi" w:hAnsiTheme="minorHAnsi"/>
            <w:lang w:val="en-US"/>
          </w:rPr>
          <w:t>UK market</w:t>
        </w:r>
      </w:hyperlink>
      <w:r w:rsidR="004B5116" w:rsidRPr="004B5116">
        <w:rPr>
          <w:lang w:val="en-US"/>
        </w:rPr>
        <w:t xml:space="preserve"> since overdoses with </w:t>
      </w:r>
      <w:r w:rsidR="004B5116">
        <w:rPr>
          <w:lang w:val="en-US"/>
        </w:rPr>
        <w:t xml:space="preserve">MR </w:t>
      </w:r>
      <w:r w:rsidR="004B5116" w:rsidRPr="004B5116">
        <w:rPr>
          <w:lang w:val="en-US"/>
        </w:rPr>
        <w:t>paracetamol products can be unpredictable and complex to manage.</w:t>
      </w:r>
    </w:p>
    <w:p w14:paraId="5DF2A1E3" w14:textId="7240FD0B" w:rsidR="00B85375" w:rsidRPr="00603580" w:rsidRDefault="00B85375" w:rsidP="00EB1099">
      <w:pPr>
        <w:pStyle w:val="ListBullet"/>
        <w:numPr>
          <w:ilvl w:val="0"/>
          <w:numId w:val="30"/>
        </w:numPr>
        <w:ind w:left="357" w:hanging="357"/>
      </w:pPr>
      <w:r w:rsidRPr="00603580">
        <w:t>The US, Canada and Singapore do not have significant limits placed on the pack sizes of standard paracetamol products.</w:t>
      </w:r>
    </w:p>
    <w:p w14:paraId="212CA033" w14:textId="1AB4D534" w:rsidR="00EB1099" w:rsidRDefault="00B85375" w:rsidP="00EB1099">
      <w:pPr>
        <w:pStyle w:val="ListBullet"/>
        <w:numPr>
          <w:ilvl w:val="0"/>
          <w:numId w:val="30"/>
        </w:numPr>
      </w:pPr>
      <w:r w:rsidRPr="00EE4793">
        <w:t xml:space="preserve">Refer to </w:t>
      </w:r>
      <w:r w:rsidRPr="00EE4793">
        <w:rPr>
          <w:i/>
          <w:iCs/>
        </w:rPr>
        <w:t>Chapter 3: International comparisons of scheduling and paracetamol poisoning</w:t>
      </w:r>
      <w:r w:rsidRPr="00EE4793">
        <w:t xml:space="preserve"> in the </w:t>
      </w:r>
      <w:hyperlink r:id="rId122" w:history="1">
        <w:r w:rsidRPr="00EE4793">
          <w:rPr>
            <w:rStyle w:val="Hyperlink"/>
            <w:rFonts w:asciiTheme="minorHAnsi" w:hAnsiTheme="minorHAnsi"/>
          </w:rPr>
          <w:t>independent expert report on the risks of intentional self-poisoning with paracetamol</w:t>
        </w:r>
      </w:hyperlink>
      <w:r w:rsidRPr="00B85375">
        <w:t xml:space="preserve"> </w:t>
      </w:r>
      <w:r w:rsidRPr="00EE4793">
        <w:t>for a comprehensive overview.</w:t>
      </w:r>
    </w:p>
    <w:p w14:paraId="5D4E5A0B" w14:textId="77777777" w:rsidR="00EB1099" w:rsidRDefault="00EB1099">
      <w:pPr>
        <w:rPr>
          <w:rFonts w:eastAsia="Cambria" w:cstheme="minorHAnsi"/>
        </w:rPr>
      </w:pPr>
      <w:r>
        <w:br w:type="page"/>
      </w:r>
    </w:p>
    <w:p w14:paraId="78B90AD2" w14:textId="7708B01A" w:rsidR="00E13CFF" w:rsidRDefault="001D5CC5" w:rsidP="00EB1099">
      <w:pPr>
        <w:pStyle w:val="Heading2"/>
        <w:ind w:left="360" w:hanging="360"/>
      </w:pPr>
      <w:bookmarkStart w:id="118" w:name="_Toc144110906"/>
      <w:r>
        <w:t>2</w:t>
      </w:r>
      <w:r>
        <w:tab/>
      </w:r>
      <w:r w:rsidR="00E13CFF">
        <w:t>Proposed amendments referred for scheduling advice to the Joint ACMS-ACCS meeting #35</w:t>
      </w:r>
      <w:bookmarkEnd w:id="118"/>
    </w:p>
    <w:p w14:paraId="6DE11C70" w14:textId="444F51EE" w:rsidR="00E13CFF" w:rsidRDefault="001D5CC5" w:rsidP="00F2313E">
      <w:pPr>
        <w:pStyle w:val="Heading3"/>
      </w:pPr>
      <w:bookmarkStart w:id="119" w:name="_Toc144110907"/>
      <w:r>
        <w:t>2.1</w:t>
      </w:r>
      <w:r>
        <w:tab/>
      </w:r>
      <w:r w:rsidR="00E13CFF">
        <w:t>Adrenaline</w:t>
      </w:r>
      <w:bookmarkEnd w:id="119"/>
    </w:p>
    <w:p w14:paraId="700CE228" w14:textId="77777777" w:rsidR="00E13CFF" w:rsidRDefault="00E13CFF" w:rsidP="00E13CFF">
      <w:pPr>
        <w:pStyle w:val="Heading4"/>
      </w:pPr>
      <w:bookmarkStart w:id="120" w:name="_Toc144110908"/>
      <w:r>
        <w:t>Proposal</w:t>
      </w:r>
      <w:bookmarkEnd w:id="120"/>
    </w:p>
    <w:p w14:paraId="394D00E8" w14:textId="72B404D6" w:rsidR="00E13CFF" w:rsidRDefault="00E13CFF" w:rsidP="00E13CFF">
      <w:r w:rsidRPr="00E41640">
        <w:t xml:space="preserve">The applicant has proposed the inclusion of topical preparations containing 0.1% or more of adrenaline in the existing Schedule 4 entry for adrenaline. Adrenaline is typically included in gels and lotions with local anaesthetic substances for the treatment of wounds. An </w:t>
      </w:r>
      <w:r w:rsidR="00611EE2">
        <w:t xml:space="preserve">independent </w:t>
      </w:r>
      <w:r w:rsidRPr="00E41640">
        <w:t>evaluation of the risks associated with the use of adrenaline on wounds has recommended that relevant products should be available by prescription-only</w:t>
      </w:r>
      <w:r w:rsidR="00571A6E">
        <w:t xml:space="preserve"> (</w:t>
      </w:r>
      <w:r w:rsidR="007E5B66">
        <w:t>Schedule 4</w:t>
      </w:r>
      <w:r w:rsidR="00571A6E">
        <w:t>)</w:t>
      </w:r>
      <w:r w:rsidRPr="00E41640">
        <w:t>.</w:t>
      </w:r>
      <w:r w:rsidR="00877804">
        <w:t xml:space="preserve"> The proposal also seeks to clarify the existing entries for adrenaline with regards to injectable preparations.</w:t>
      </w:r>
    </w:p>
    <w:p w14:paraId="5A289F2B" w14:textId="0E496365" w:rsidR="00E13CFF" w:rsidRDefault="00E13CFF" w:rsidP="00E13CFF">
      <w:pPr>
        <w:pStyle w:val="Heading4"/>
      </w:pPr>
      <w:bookmarkStart w:id="121" w:name="_Toc144110909"/>
      <w:r>
        <w:t>CAS Number</w:t>
      </w:r>
      <w:bookmarkEnd w:id="121"/>
    </w:p>
    <w:p w14:paraId="636F1B1F" w14:textId="7AC36EAB" w:rsidR="00E13CFF" w:rsidRDefault="00E13CFF" w:rsidP="00E13CFF">
      <w:r>
        <w:rPr>
          <w:rStyle w:val="normaltextrun"/>
          <w:rFonts w:ascii="Calibri" w:hAnsi="Calibri" w:cs="Calibri"/>
          <w:color w:val="000000"/>
          <w:szCs w:val="22"/>
          <w:shd w:val="clear" w:color="auto" w:fill="FFFFFF"/>
        </w:rPr>
        <w:t>329-63-5 (racemic hydrochloride)</w:t>
      </w:r>
    </w:p>
    <w:p w14:paraId="387060AF" w14:textId="77777777" w:rsidR="00E13CFF" w:rsidRDefault="00E13CFF" w:rsidP="00E13CFF">
      <w:pPr>
        <w:pStyle w:val="Heading4"/>
      </w:pPr>
      <w:bookmarkStart w:id="122" w:name="_Toc144110910"/>
      <w:r>
        <w:t>Alternative names</w:t>
      </w:r>
      <w:bookmarkEnd w:id="122"/>
    </w:p>
    <w:p w14:paraId="4A39ED0B" w14:textId="6F82C21A" w:rsidR="00E13CFF" w:rsidRDefault="00E13CFF" w:rsidP="00E13CFF">
      <w:pPr>
        <w:rPr>
          <w:b/>
          <w:bCs/>
        </w:rPr>
      </w:pPr>
      <w:r w:rsidRPr="00E41640">
        <w:t>Epinephrine, adrenalin</w:t>
      </w:r>
    </w:p>
    <w:p w14:paraId="2B47A62D" w14:textId="77777777" w:rsidR="00E13CFF" w:rsidRDefault="00E13CFF" w:rsidP="00E13CFF">
      <w:pPr>
        <w:pStyle w:val="Heading4"/>
      </w:pPr>
      <w:bookmarkStart w:id="123" w:name="_Toc144110911"/>
      <w:r>
        <w:t>Applicant</w:t>
      </w:r>
      <w:bookmarkEnd w:id="123"/>
    </w:p>
    <w:p w14:paraId="76BEC464" w14:textId="23468FD1" w:rsidR="00E13CFF" w:rsidRDefault="00E13CFF" w:rsidP="00E13CFF">
      <w:r>
        <w:rPr>
          <w:rStyle w:val="normaltextrun"/>
          <w:rFonts w:ascii="Calibri" w:hAnsi="Calibri" w:cs="Calibri"/>
          <w:color w:val="000000"/>
          <w:szCs w:val="22"/>
          <w:shd w:val="clear" w:color="auto" w:fill="FFFFFF"/>
        </w:rPr>
        <w:t>Department of Health and Aged Care</w:t>
      </w:r>
    </w:p>
    <w:p w14:paraId="0F812B70" w14:textId="77777777" w:rsidR="00E13CFF" w:rsidRDefault="00E13CFF" w:rsidP="00E13CFF">
      <w:pPr>
        <w:pStyle w:val="Heading4"/>
      </w:pPr>
      <w:bookmarkStart w:id="124" w:name="_Toc144110912"/>
      <w:r>
        <w:t>Proposed Scheduling</w:t>
      </w:r>
      <w:bookmarkEnd w:id="124"/>
    </w:p>
    <w:p w14:paraId="696C2BF2" w14:textId="77777777" w:rsidR="00E13CFF" w:rsidRDefault="00E13CFF" w:rsidP="00E13CFF">
      <w:r>
        <w:t>Adrenaline</w:t>
      </w:r>
      <w:r w:rsidRPr="00AF12F6">
        <w:t xml:space="preserve"> is currently listed in Schedules </w:t>
      </w:r>
      <w:r>
        <w:t>3 and 4 of the Poisons Standard.</w:t>
      </w:r>
    </w:p>
    <w:p w14:paraId="75DECEF5" w14:textId="51AC2208" w:rsidR="00E13CFF" w:rsidRPr="00B53D47" w:rsidRDefault="00E13CFF" w:rsidP="00E13CFF">
      <w:r w:rsidRPr="00254726">
        <w:t>The applicant’s proposed amendments to the Poisons Standard are the following</w:t>
      </w:r>
      <w:r w:rsidR="007E5B66">
        <w:t>:</w:t>
      </w:r>
      <w:r w:rsidRPr="00254726">
        <w:rPr>
          <w:rStyle w:val="FootnoteReference"/>
          <w:b/>
        </w:rPr>
        <w:footnoteReference w:id="9"/>
      </w:r>
    </w:p>
    <w:p w14:paraId="7FB68A5B" w14:textId="77777777" w:rsidR="00E13CFF" w:rsidRPr="006F65F7" w:rsidRDefault="00E13CFF" w:rsidP="0072362E">
      <w:pPr>
        <w:ind w:left="426"/>
        <w:rPr>
          <w:b/>
          <w:bCs/>
        </w:rPr>
      </w:pPr>
      <w:r w:rsidRPr="006F65F7">
        <w:rPr>
          <w:b/>
          <w:bCs/>
        </w:rPr>
        <w:t>Schedule 4</w:t>
      </w:r>
      <w:r>
        <w:rPr>
          <w:b/>
          <w:bCs/>
        </w:rPr>
        <w:t xml:space="preserve"> – Amend Entry</w:t>
      </w:r>
    </w:p>
    <w:p w14:paraId="557A6D9F" w14:textId="03954408" w:rsidR="00571A6E" w:rsidRDefault="00E13CFF" w:rsidP="0072362E">
      <w:pPr>
        <w:ind w:left="709"/>
      </w:pPr>
      <w:r>
        <w:t xml:space="preserve">ADRENALINE </w:t>
      </w:r>
      <w:r w:rsidR="00C34837" w:rsidRPr="004C7298">
        <w:rPr>
          <w:b/>
          <w:bCs/>
          <w:strike/>
          <w:color w:val="FF0000"/>
        </w:rPr>
        <w:t>except</w:t>
      </w:r>
      <w:r w:rsidRPr="004C7298">
        <w:rPr>
          <w:color w:val="00B050"/>
          <w:u w:val="single"/>
        </w:rPr>
        <w:t>in</w:t>
      </w:r>
      <w:r>
        <w:t>:</w:t>
      </w:r>
    </w:p>
    <w:p w14:paraId="6783B496" w14:textId="1E5468C7" w:rsidR="00E13CFF" w:rsidRPr="00A27CB6" w:rsidRDefault="00C34837" w:rsidP="00916E3F">
      <w:pPr>
        <w:pStyle w:val="ListParagraph"/>
        <w:numPr>
          <w:ilvl w:val="0"/>
          <w:numId w:val="37"/>
        </w:numPr>
        <w:ind w:left="1276" w:hanging="357"/>
        <w:contextualSpacing w:val="0"/>
        <w:rPr>
          <w:rFonts w:asciiTheme="minorHAnsi" w:hAnsiTheme="minorHAnsi" w:cstheme="minorHAnsi"/>
          <w:color w:val="00B050"/>
          <w:u w:val="single"/>
        </w:rPr>
      </w:pPr>
      <w:r w:rsidRPr="004C7298">
        <w:rPr>
          <w:rFonts w:asciiTheme="minorHAnsi" w:hAnsiTheme="minorHAnsi" w:cstheme="minorHAnsi"/>
          <w:strike/>
          <w:color w:val="FF0000"/>
          <w:szCs w:val="22"/>
          <w:shd w:val="clear" w:color="auto" w:fill="FFFFFF"/>
        </w:rPr>
        <w:t>when included in Schedule 3</w:t>
      </w:r>
      <w:r w:rsidR="00E13CFF" w:rsidRPr="00A27CB6">
        <w:rPr>
          <w:rFonts w:asciiTheme="minorHAnsi" w:hAnsiTheme="minorHAnsi" w:cstheme="minorHAnsi"/>
          <w:color w:val="00B050"/>
          <w:u w:val="single"/>
        </w:rPr>
        <w:t>topical preparations for wound management</w:t>
      </w:r>
      <w:r w:rsidR="00E13CFF">
        <w:rPr>
          <w:rFonts w:asciiTheme="minorHAnsi" w:hAnsiTheme="minorHAnsi" w:cstheme="minorHAnsi"/>
          <w:color w:val="00B050"/>
          <w:u w:val="single"/>
        </w:rPr>
        <w:t xml:space="preserve"> in humans</w:t>
      </w:r>
      <w:r w:rsidR="00E13CFF" w:rsidRPr="004C7298">
        <w:rPr>
          <w:rFonts w:asciiTheme="minorHAnsi" w:hAnsiTheme="minorHAnsi" w:cstheme="minorHAnsi"/>
        </w:rPr>
        <w:t>; or</w:t>
      </w:r>
    </w:p>
    <w:p w14:paraId="42B3C7B1" w14:textId="77777777" w:rsidR="00E13CFF" w:rsidRPr="00D14E10" w:rsidRDefault="00E13CFF" w:rsidP="00916E3F">
      <w:pPr>
        <w:pStyle w:val="ListParagraph"/>
        <w:numPr>
          <w:ilvl w:val="0"/>
          <w:numId w:val="37"/>
        </w:numPr>
        <w:ind w:left="1276" w:hanging="357"/>
        <w:contextualSpacing w:val="0"/>
        <w:rPr>
          <w:rFonts w:asciiTheme="minorHAnsi" w:hAnsiTheme="minorHAnsi" w:cstheme="minorHAnsi"/>
          <w:strike/>
        </w:rPr>
      </w:pPr>
      <w:r w:rsidRPr="002C217F">
        <w:rPr>
          <w:rFonts w:asciiTheme="minorHAnsi" w:hAnsiTheme="minorHAnsi" w:cstheme="minorHAnsi"/>
          <w:color w:val="00B050"/>
          <w:u w:val="single"/>
        </w:rPr>
        <w:t xml:space="preserve">other preparations </w:t>
      </w:r>
      <w:r w:rsidRPr="005F1932">
        <w:rPr>
          <w:rFonts w:asciiTheme="minorHAnsi" w:hAnsiTheme="minorHAnsi" w:cstheme="minorHAnsi"/>
          <w:color w:val="00B050"/>
          <w:u w:val="single"/>
        </w:rPr>
        <w:t>containing more than 1% of adrenaline</w:t>
      </w:r>
      <w:r w:rsidRPr="00D14E10">
        <w:rPr>
          <w:rFonts w:asciiTheme="minorHAnsi" w:hAnsiTheme="minorHAnsi" w:cstheme="minorHAnsi"/>
        </w:rPr>
        <w:t>.</w:t>
      </w:r>
      <w:r w:rsidRPr="00D14E10">
        <w:rPr>
          <w:rFonts w:asciiTheme="minorHAnsi" w:hAnsiTheme="minorHAnsi" w:cstheme="minorHAnsi"/>
          <w:strike/>
          <w:color w:val="FF0000"/>
        </w:rPr>
        <w:t>in preparations containing 0.02% or less of adrenaline unless packed and labelled for injection</w:t>
      </w:r>
      <w:r w:rsidRPr="00D14E10">
        <w:rPr>
          <w:rFonts w:asciiTheme="minorHAnsi" w:hAnsiTheme="minorHAnsi" w:cstheme="minorHAnsi"/>
          <w:strike/>
          <w:color w:val="00B050"/>
        </w:rPr>
        <w:t>.</w:t>
      </w:r>
    </w:p>
    <w:p w14:paraId="0600AC0B" w14:textId="77777777" w:rsidR="00E13CFF" w:rsidRPr="0060333A" w:rsidRDefault="00E13CFF" w:rsidP="0072362E">
      <w:pPr>
        <w:ind w:left="426"/>
        <w:rPr>
          <w:b/>
          <w:bCs/>
        </w:rPr>
      </w:pPr>
      <w:r w:rsidRPr="0060333A">
        <w:rPr>
          <w:b/>
          <w:bCs/>
        </w:rPr>
        <w:t>Schedule 3 – Amend Entry</w:t>
      </w:r>
    </w:p>
    <w:p w14:paraId="62D4D432" w14:textId="77777777" w:rsidR="00E13CFF" w:rsidRPr="00881763" w:rsidRDefault="00E13CFF" w:rsidP="0072362E">
      <w:pPr>
        <w:pStyle w:val="ListBulleta"/>
        <w:numPr>
          <w:ilvl w:val="0"/>
          <w:numId w:val="0"/>
        </w:numPr>
        <w:ind w:left="709"/>
      </w:pPr>
      <w:r w:rsidRPr="00881763">
        <w:t xml:space="preserve">ADRENALINE in </w:t>
      </w:r>
    </w:p>
    <w:p w14:paraId="19DD76D4" w14:textId="77777777" w:rsidR="00E13CFF" w:rsidRPr="003B13FD" w:rsidRDefault="00E13CFF" w:rsidP="00472E5B">
      <w:pPr>
        <w:pStyle w:val="ListParagraph"/>
        <w:numPr>
          <w:ilvl w:val="0"/>
          <w:numId w:val="36"/>
        </w:numPr>
        <w:ind w:left="1276" w:hanging="357"/>
        <w:contextualSpacing w:val="0"/>
        <w:rPr>
          <w:rFonts w:asciiTheme="minorHAnsi" w:hAnsiTheme="minorHAnsi" w:cstheme="minorHAnsi"/>
        </w:rPr>
      </w:pPr>
      <w:r w:rsidRPr="003B13FD">
        <w:rPr>
          <w:rFonts w:asciiTheme="minorHAnsi" w:hAnsiTheme="minorHAnsi" w:cstheme="minorHAnsi"/>
        </w:rPr>
        <w:t xml:space="preserve">preparations </w:t>
      </w:r>
      <w:r w:rsidRPr="003B13FD">
        <w:rPr>
          <w:rFonts w:asciiTheme="minorHAnsi" w:hAnsiTheme="minorHAnsi" w:cstheme="minorHAnsi"/>
          <w:color w:val="00B050"/>
          <w:u w:val="single"/>
        </w:rPr>
        <w:t>for injection</w:t>
      </w:r>
      <w:r w:rsidRPr="003B13FD">
        <w:rPr>
          <w:rFonts w:asciiTheme="minorHAnsi" w:hAnsiTheme="minorHAnsi" w:cstheme="minorHAnsi"/>
          <w:color w:val="00B050"/>
        </w:rPr>
        <w:t xml:space="preserve"> </w:t>
      </w:r>
      <w:r w:rsidRPr="003B13FD">
        <w:rPr>
          <w:rFonts w:asciiTheme="minorHAnsi" w:hAnsiTheme="minorHAnsi" w:cstheme="minorHAnsi"/>
        </w:rPr>
        <w:t>containing 1% or less of adrenaline</w:t>
      </w:r>
      <w:r w:rsidRPr="003B13FD">
        <w:rPr>
          <w:rFonts w:asciiTheme="minorHAnsi" w:hAnsiTheme="minorHAnsi" w:cstheme="minorHAnsi"/>
          <w:color w:val="00B050"/>
          <w:u w:val="single"/>
        </w:rPr>
        <w:t>;</w:t>
      </w:r>
      <w:r w:rsidRPr="003B13FD">
        <w:rPr>
          <w:rFonts w:asciiTheme="minorHAnsi" w:hAnsiTheme="minorHAnsi" w:cstheme="minorHAnsi"/>
        </w:rPr>
        <w:t xml:space="preserve"> </w:t>
      </w:r>
      <w:r w:rsidRPr="004B5C48">
        <w:rPr>
          <w:rFonts w:asciiTheme="minorHAnsi" w:hAnsiTheme="minorHAnsi" w:cstheme="minorHAnsi"/>
          <w:color w:val="00B050"/>
        </w:rPr>
        <w:t>or</w:t>
      </w:r>
      <w:r>
        <w:rPr>
          <w:rFonts w:asciiTheme="minorHAnsi" w:hAnsiTheme="minorHAnsi" w:cstheme="minorHAnsi"/>
          <w:color w:val="00B050"/>
        </w:rPr>
        <w:t xml:space="preserve"> </w:t>
      </w:r>
      <w:r w:rsidRPr="003B13FD">
        <w:rPr>
          <w:rFonts w:asciiTheme="minorHAnsi" w:hAnsiTheme="minorHAnsi" w:cstheme="minorHAnsi"/>
          <w:b/>
          <w:bCs/>
          <w:strike/>
          <w:color w:val="FF0000"/>
        </w:rPr>
        <w:t>except</w:t>
      </w:r>
      <w:r w:rsidRPr="003B13FD">
        <w:rPr>
          <w:rFonts w:asciiTheme="minorHAnsi" w:hAnsiTheme="minorHAnsi" w:cstheme="minorHAnsi"/>
          <w:strike/>
          <w:color w:val="FF0000"/>
        </w:rPr>
        <w:t xml:space="preserve"> in preparations containing 0.02% or less of adrenaline unless packed and labelled for injection.</w:t>
      </w:r>
    </w:p>
    <w:p w14:paraId="6374F336" w14:textId="634A4BC2" w:rsidR="003D1B7B" w:rsidRPr="00EB1099" w:rsidRDefault="00E13CFF" w:rsidP="00472E5B">
      <w:pPr>
        <w:pStyle w:val="ListParagraph"/>
        <w:numPr>
          <w:ilvl w:val="0"/>
          <w:numId w:val="36"/>
        </w:numPr>
        <w:ind w:left="1276" w:hanging="357"/>
        <w:contextualSpacing w:val="0"/>
        <w:rPr>
          <w:rFonts w:asciiTheme="minorHAnsi" w:hAnsiTheme="minorHAnsi" w:cstheme="minorHAnsi"/>
          <w:color w:val="00B050"/>
        </w:rPr>
      </w:pPr>
      <w:r w:rsidRPr="003B13FD">
        <w:rPr>
          <w:rFonts w:asciiTheme="minorHAnsi" w:hAnsiTheme="minorHAnsi" w:cstheme="minorHAnsi"/>
          <w:color w:val="00B050"/>
          <w:u w:val="single"/>
        </w:rPr>
        <w:t xml:space="preserve">other preparations containing 1% or less of adrenaline </w:t>
      </w:r>
      <w:r w:rsidRPr="003B13FD">
        <w:rPr>
          <w:rFonts w:asciiTheme="minorHAnsi" w:hAnsiTheme="minorHAnsi" w:cstheme="minorHAnsi"/>
          <w:b/>
          <w:bCs/>
          <w:color w:val="00B050"/>
          <w:u w:val="single"/>
        </w:rPr>
        <w:t>except</w:t>
      </w:r>
      <w:r w:rsidRPr="003B13FD">
        <w:rPr>
          <w:rFonts w:asciiTheme="minorHAnsi" w:hAnsiTheme="minorHAnsi" w:cstheme="minorHAnsi"/>
          <w:color w:val="00B050"/>
          <w:u w:val="single"/>
        </w:rPr>
        <w:t xml:space="preserve"> </w:t>
      </w:r>
    </w:p>
    <w:p w14:paraId="6667D98B" w14:textId="34493655" w:rsidR="003D1B7B" w:rsidRPr="00EB1099" w:rsidRDefault="003D1B7B" w:rsidP="00EB1099">
      <w:pPr>
        <w:pStyle w:val="ListBulleti"/>
        <w:numPr>
          <w:ilvl w:val="0"/>
          <w:numId w:val="82"/>
        </w:numPr>
        <w:ind w:left="1636"/>
        <w:rPr>
          <w:color w:val="00B050"/>
          <w:u w:val="single"/>
        </w:rPr>
      </w:pPr>
      <w:r w:rsidRPr="00EB1099">
        <w:rPr>
          <w:color w:val="00B050"/>
          <w:u w:val="single"/>
        </w:rPr>
        <w:t xml:space="preserve">when included in Schedule 4, or </w:t>
      </w:r>
    </w:p>
    <w:p w14:paraId="37AFB0D0" w14:textId="77B62115" w:rsidR="00472E5B" w:rsidRPr="00EB1099" w:rsidRDefault="00540802" w:rsidP="00EB1099">
      <w:pPr>
        <w:pStyle w:val="ListBulleti"/>
        <w:ind w:left="1636"/>
        <w:rPr>
          <w:color w:val="00B050"/>
          <w:u w:val="single"/>
        </w:rPr>
      </w:pPr>
      <w:r w:rsidRPr="00EB1099">
        <w:rPr>
          <w:color w:val="00B050"/>
          <w:u w:val="single"/>
        </w:rPr>
        <w:t>those</w:t>
      </w:r>
      <w:r w:rsidR="00472E5B" w:rsidRPr="00EB1099">
        <w:rPr>
          <w:color w:val="00B050"/>
          <w:u w:val="single"/>
        </w:rPr>
        <w:t xml:space="preserve"> containing 0.02% or less of adrenaline.</w:t>
      </w:r>
    </w:p>
    <w:p w14:paraId="71C59B84" w14:textId="6ADB1878" w:rsidR="00E13CFF" w:rsidRPr="00EB1099" w:rsidRDefault="00E13CFF" w:rsidP="0072362E">
      <w:pPr>
        <w:ind w:left="426"/>
      </w:pPr>
      <w:r w:rsidRPr="006F65F7">
        <w:rPr>
          <w:b/>
          <w:bCs/>
        </w:rPr>
        <w:t>Index</w:t>
      </w:r>
    </w:p>
    <w:p w14:paraId="44EBF836" w14:textId="3E2843C2" w:rsidR="00E13CFF" w:rsidRDefault="00E13CFF">
      <w:pPr>
        <w:ind w:left="709"/>
        <w:rPr>
          <w:b/>
          <w:bCs/>
        </w:rPr>
      </w:pPr>
      <w:r w:rsidRPr="0072362E">
        <w:rPr>
          <w:b/>
          <w:bCs/>
        </w:rPr>
        <w:t>ADRENALINE</w:t>
      </w:r>
    </w:p>
    <w:p w14:paraId="2B9E00C4" w14:textId="77777777" w:rsidR="00E13CFF" w:rsidRPr="00611EE2" w:rsidRDefault="00E13CFF" w:rsidP="0072362E">
      <w:pPr>
        <w:ind w:left="709"/>
      </w:pPr>
      <w:r w:rsidRPr="00611EE2">
        <w:t>Schedule 4</w:t>
      </w:r>
      <w:r w:rsidRPr="00611EE2">
        <w:br/>
        <w:t>Schedule 3</w:t>
      </w:r>
      <w:r w:rsidRPr="00611EE2">
        <w:br/>
        <w:t>Appendix H, clause 1</w:t>
      </w:r>
    </w:p>
    <w:p w14:paraId="67902E2D" w14:textId="21202A67" w:rsidR="00E13CFF" w:rsidRPr="00881763" w:rsidRDefault="00E13CFF" w:rsidP="0072362E">
      <w:pPr>
        <w:ind w:left="426"/>
        <w:rPr>
          <w:b/>
          <w:bCs/>
        </w:rPr>
      </w:pPr>
      <w:r w:rsidRPr="00881763">
        <w:rPr>
          <w:b/>
          <w:bCs/>
        </w:rPr>
        <w:t xml:space="preserve">Appendix H, clause 1 </w:t>
      </w:r>
      <w:r>
        <w:rPr>
          <w:b/>
          <w:bCs/>
        </w:rPr>
        <w:t>–</w:t>
      </w:r>
      <w:r w:rsidRPr="00881763">
        <w:rPr>
          <w:b/>
          <w:bCs/>
        </w:rPr>
        <w:t xml:space="preserve"> </w:t>
      </w:r>
      <w:r w:rsidRPr="00C87AA5">
        <w:rPr>
          <w:rFonts w:cstheme="minorHAnsi"/>
        </w:rPr>
        <w:t xml:space="preserve">Schedule 3 medicines permitted to be </w:t>
      </w:r>
      <w:r w:rsidR="009C55B5" w:rsidRPr="00C87AA5">
        <w:rPr>
          <w:rFonts w:cstheme="minorHAnsi"/>
        </w:rPr>
        <w:t>advertised.</w:t>
      </w:r>
    </w:p>
    <w:tbl>
      <w:tblPr>
        <w:tblStyle w:val="TableTGAblue"/>
        <w:tblW w:w="0" w:type="auto"/>
        <w:tblInd w:w="699" w:type="dxa"/>
        <w:tblLook w:val="04A0" w:firstRow="1" w:lastRow="0" w:firstColumn="1" w:lastColumn="0" w:noHBand="0" w:noVBand="1"/>
      </w:tblPr>
      <w:tblGrid>
        <w:gridCol w:w="641"/>
        <w:gridCol w:w="1373"/>
      </w:tblGrid>
      <w:tr w:rsidR="00E13CFF" w:rsidRPr="00AB4D39" w14:paraId="3266836A" w14:textId="77777777" w:rsidTr="00723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21485F6C" w14:textId="77777777" w:rsidR="00E13CFF" w:rsidRPr="00C87AA5" w:rsidRDefault="00E13CFF" w:rsidP="00D74E12">
            <w:pPr>
              <w:spacing w:before="60" w:after="60"/>
              <w:rPr>
                <w:rFonts w:asciiTheme="minorHAnsi" w:hAnsiTheme="minorHAnsi" w:cstheme="minorHAnsi"/>
              </w:rPr>
            </w:pPr>
            <w:r w:rsidRPr="00C87AA5">
              <w:rPr>
                <w:rFonts w:asciiTheme="minorHAnsi" w:hAnsiTheme="minorHAnsi" w:cstheme="minorHAnsi"/>
              </w:rPr>
              <w:t>Item</w:t>
            </w:r>
          </w:p>
        </w:tc>
        <w:tc>
          <w:tcPr>
            <w:tcW w:w="1373" w:type="dxa"/>
          </w:tcPr>
          <w:p w14:paraId="70817B5D" w14:textId="77777777" w:rsidR="00E13CFF" w:rsidRPr="00C87AA5" w:rsidRDefault="00E13CFF" w:rsidP="00D74E12">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87AA5">
              <w:rPr>
                <w:rFonts w:asciiTheme="minorHAnsi" w:hAnsiTheme="minorHAnsi" w:cstheme="minorHAnsi"/>
              </w:rPr>
              <w:t>Poison</w:t>
            </w:r>
          </w:p>
        </w:tc>
      </w:tr>
      <w:tr w:rsidR="00E13CFF" w:rsidRPr="00AB4D39" w14:paraId="157E1DD1" w14:textId="77777777" w:rsidTr="0072362E">
        <w:tc>
          <w:tcPr>
            <w:cnfStyle w:val="001000000000" w:firstRow="0" w:lastRow="0" w:firstColumn="1" w:lastColumn="0" w:oddVBand="0" w:evenVBand="0" w:oddHBand="0" w:evenHBand="0" w:firstRowFirstColumn="0" w:firstRowLastColumn="0" w:lastRowFirstColumn="0" w:lastRowLastColumn="0"/>
            <w:tcW w:w="641" w:type="dxa"/>
          </w:tcPr>
          <w:p w14:paraId="21CC5140" w14:textId="77777777" w:rsidR="00E13CFF" w:rsidRPr="00C87AA5" w:rsidRDefault="00E13CFF" w:rsidP="00D74E12">
            <w:pPr>
              <w:spacing w:before="60" w:after="60"/>
              <w:rPr>
                <w:rFonts w:asciiTheme="minorHAnsi" w:hAnsiTheme="minorHAnsi" w:cstheme="minorHAnsi"/>
              </w:rPr>
            </w:pPr>
            <w:r>
              <w:rPr>
                <w:rFonts w:asciiTheme="minorHAnsi" w:hAnsiTheme="minorHAnsi" w:cstheme="minorHAnsi"/>
              </w:rPr>
              <w:t>2</w:t>
            </w:r>
          </w:p>
        </w:tc>
        <w:tc>
          <w:tcPr>
            <w:tcW w:w="1373" w:type="dxa"/>
          </w:tcPr>
          <w:p w14:paraId="3655D2A0" w14:textId="77777777" w:rsidR="00E13CFF" w:rsidRPr="00C87AA5" w:rsidRDefault="00E13CFF" w:rsidP="00D74E1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ADRENALINE</w:t>
            </w:r>
          </w:p>
        </w:tc>
      </w:tr>
    </w:tbl>
    <w:p w14:paraId="23B59B07" w14:textId="77777777" w:rsidR="00E13CFF" w:rsidRDefault="00E13CFF" w:rsidP="00E13CFF">
      <w:pPr>
        <w:pStyle w:val="Heading4"/>
      </w:pPr>
      <w:bookmarkStart w:id="125" w:name="_Toc144110913"/>
      <w:r>
        <w:t>Background</w:t>
      </w:r>
      <w:bookmarkEnd w:id="125"/>
    </w:p>
    <w:p w14:paraId="61A5068E" w14:textId="40DF7CEA" w:rsidR="00154AA1" w:rsidRDefault="00154AA1" w:rsidP="00E13CFF">
      <w:r w:rsidRPr="00154AA1">
        <w:t>Adrenaline is a hormone that may be used</w:t>
      </w:r>
      <w:r>
        <w:t xml:space="preserve"> medicinally (under the synonym epinephrine), </w:t>
      </w:r>
      <w:r w:rsidRPr="00154AA1">
        <w:t>in combination with local anaesthetics, for topical application to superficial wounds and lacerations to provide localised surface anaesthesia for wound closure. It may be used to provide topical anaesthetic relief for cleaning, irrigation and debridement of painful minor wounds.</w:t>
      </w:r>
    </w:p>
    <w:p w14:paraId="3F77779D" w14:textId="16717747" w:rsidR="00E13CFF" w:rsidRDefault="00E13CFF" w:rsidP="00E13CFF">
      <w:pPr>
        <w:pStyle w:val="Heading4"/>
      </w:pPr>
      <w:bookmarkStart w:id="126" w:name="_Toc144110914"/>
      <w:r>
        <w:t xml:space="preserve">Summary of </w:t>
      </w:r>
      <w:r w:rsidR="00571A6E">
        <w:t xml:space="preserve">the </w:t>
      </w:r>
      <w:r>
        <w:t>reasons for the proposal</w:t>
      </w:r>
      <w:bookmarkEnd w:id="126"/>
    </w:p>
    <w:p w14:paraId="653490DC" w14:textId="1CF9DD95" w:rsidR="00E13CFF" w:rsidRPr="00470294" w:rsidRDefault="00E13CFF" w:rsidP="00EE4793">
      <w:pPr>
        <w:pStyle w:val="ListBullet"/>
        <w:numPr>
          <w:ilvl w:val="0"/>
          <w:numId w:val="38"/>
        </w:numPr>
      </w:pPr>
      <w:r w:rsidRPr="00470294">
        <w:t>A TGA evaluation of a gel</w:t>
      </w:r>
      <w:r w:rsidR="00DB0881">
        <w:t xml:space="preserve"> </w:t>
      </w:r>
      <w:r w:rsidRPr="00470294">
        <w:t>contain</w:t>
      </w:r>
      <w:r w:rsidR="00DB0881">
        <w:t>ing</w:t>
      </w:r>
      <w:r w:rsidRPr="00470294">
        <w:t xml:space="preserve"> adrenaline</w:t>
      </w:r>
      <w:r w:rsidR="00C82500">
        <w:t xml:space="preserve"> </w:t>
      </w:r>
      <w:r w:rsidRPr="00470294">
        <w:t xml:space="preserve">includes a recommendation for consideration of such products </w:t>
      </w:r>
      <w:r w:rsidR="00DB0881">
        <w:t>to be sold as</w:t>
      </w:r>
      <w:r w:rsidRPr="00470294">
        <w:t xml:space="preserve"> prescription </w:t>
      </w:r>
      <w:r w:rsidR="00DB0881">
        <w:t xml:space="preserve">only </w:t>
      </w:r>
      <w:r w:rsidRPr="00470294">
        <w:t xml:space="preserve">medicines. </w:t>
      </w:r>
      <w:r w:rsidR="00DB0881">
        <w:t>C</w:t>
      </w:r>
      <w:r w:rsidRPr="00470294">
        <w:t xml:space="preserve">urrently </w:t>
      </w:r>
      <w:r w:rsidR="00DB0881">
        <w:t xml:space="preserve">products </w:t>
      </w:r>
      <w:r w:rsidR="00DB0881" w:rsidRPr="00DB0881">
        <w:t>containing less than 1% of adrenaline</w:t>
      </w:r>
      <w:r w:rsidR="00DB0881">
        <w:t xml:space="preserve">, are classified as </w:t>
      </w:r>
      <w:r w:rsidRPr="00470294">
        <w:t>Schedule 3 (pharmacist only medicines)</w:t>
      </w:r>
      <w:r w:rsidR="00DB0881">
        <w:t xml:space="preserve"> medicines.</w:t>
      </w:r>
    </w:p>
    <w:p w14:paraId="2CA6250F" w14:textId="25A63E3F" w:rsidR="00E13CFF" w:rsidRPr="00470294" w:rsidRDefault="00E13CFF" w:rsidP="00EE4793">
      <w:pPr>
        <w:pStyle w:val="ListBullet"/>
        <w:numPr>
          <w:ilvl w:val="0"/>
          <w:numId w:val="38"/>
        </w:numPr>
      </w:pPr>
      <w:r w:rsidRPr="00470294">
        <w:t>The recommendation is based on concerns regarding the potential for inappropriate use, such as in the treatment of burns, abrasions and ulcers, where the vasoconstrictive properties of adrenaline may result in ischemia and, skin necrosis</w:t>
      </w:r>
      <w:r w:rsidR="00DB0881">
        <w:t xml:space="preserve"> and in rare cases death. </w:t>
      </w:r>
      <w:r w:rsidRPr="00470294">
        <w:t>There is also the potential for inappropriate use in cosmetic procedures.</w:t>
      </w:r>
    </w:p>
    <w:p w14:paraId="7CE881D1" w14:textId="77777777" w:rsidR="00E13CFF" w:rsidRPr="00470294" w:rsidRDefault="00E13CFF" w:rsidP="00EE4793">
      <w:pPr>
        <w:pStyle w:val="ListBullet"/>
        <w:numPr>
          <w:ilvl w:val="0"/>
          <w:numId w:val="38"/>
        </w:numPr>
      </w:pPr>
      <w:r w:rsidRPr="00470294">
        <w:t>The risks of adverse reactions and inappropriate use suggest a requirement for medical oversight consistent with a Schedule 4 medicine.</w:t>
      </w:r>
    </w:p>
    <w:p w14:paraId="7EC9392A" w14:textId="77777777" w:rsidR="00E13CFF" w:rsidRDefault="00E13CFF" w:rsidP="00E13CFF">
      <w:pPr>
        <w:pStyle w:val="Heading4"/>
      </w:pPr>
      <w:bookmarkStart w:id="127" w:name="_Toc144110915"/>
      <w:r>
        <w:t>Key uses / expected use</w:t>
      </w:r>
      <w:bookmarkEnd w:id="127"/>
    </w:p>
    <w:p w14:paraId="08A30569" w14:textId="77777777" w:rsidR="00E13CFF" w:rsidRDefault="00E13CFF" w:rsidP="00E13CFF">
      <w:r w:rsidRPr="00EF37AB">
        <w:t>Medicines, cosmetic, veterinary</w:t>
      </w:r>
    </w:p>
    <w:p w14:paraId="71133813" w14:textId="77777777" w:rsidR="00E13CFF" w:rsidRDefault="00E13CFF" w:rsidP="00E13CFF">
      <w:pPr>
        <w:pStyle w:val="Heading4"/>
      </w:pPr>
      <w:bookmarkStart w:id="128" w:name="_Toc144110916"/>
      <w:r>
        <w:t>Australian regulations</w:t>
      </w:r>
      <w:bookmarkEnd w:id="128"/>
    </w:p>
    <w:p w14:paraId="095B342E" w14:textId="52A157B9" w:rsidR="00E13CFF" w:rsidRPr="00EF37AB" w:rsidRDefault="00E13CFF" w:rsidP="00EB1099">
      <w:pPr>
        <w:pStyle w:val="ListBullet"/>
        <w:numPr>
          <w:ilvl w:val="0"/>
          <w:numId w:val="83"/>
        </w:numPr>
      </w:pPr>
      <w:r w:rsidRPr="00470294">
        <w:t xml:space="preserve">According to the </w:t>
      </w:r>
      <w:hyperlink r:id="rId123" w:history="1">
        <w:r w:rsidRPr="00EF37AB">
          <w:rPr>
            <w:rStyle w:val="Hyperlink"/>
            <w:rFonts w:asciiTheme="minorHAnsi" w:hAnsiTheme="minorHAnsi"/>
          </w:rPr>
          <w:t>TGA Ingredient Database</w:t>
        </w:r>
      </w:hyperlink>
      <w:r w:rsidRPr="00470294">
        <w:t>, adrenaline (as anhydrous)</w:t>
      </w:r>
      <w:r w:rsidRPr="00470294">
        <w:rPr>
          <w:rStyle w:val="FootnoteReference"/>
        </w:rPr>
        <w:footnoteReference w:id="10"/>
      </w:r>
      <w:r w:rsidRPr="00470294">
        <w:t xml:space="preserve"> is:</w:t>
      </w:r>
    </w:p>
    <w:p w14:paraId="0AED852E" w14:textId="77777777" w:rsidR="00E13CFF" w:rsidRPr="00470294" w:rsidRDefault="00E13CFF" w:rsidP="00EB1099">
      <w:pPr>
        <w:pStyle w:val="ListBullet2"/>
        <w:numPr>
          <w:ilvl w:val="1"/>
          <w:numId w:val="84"/>
        </w:numPr>
        <w:ind w:left="709"/>
        <w:rPr>
          <w:rFonts w:cstheme="minorHAnsi"/>
          <w:color w:val="auto"/>
        </w:rPr>
      </w:pPr>
      <w:r w:rsidRPr="00470294">
        <w:rPr>
          <w:rFonts w:cstheme="minorHAnsi"/>
          <w:color w:val="auto"/>
        </w:rPr>
        <w:t>Available for use as an Active Ingredient in Biologicals, Export Only, Listed Medicines, Over the Counter and Prescription Medicines</w:t>
      </w:r>
    </w:p>
    <w:p w14:paraId="551AFF97" w14:textId="59623001" w:rsidR="00E13CFF" w:rsidRPr="00470294" w:rsidRDefault="00E13CFF" w:rsidP="00EB1099">
      <w:pPr>
        <w:pStyle w:val="ListBullet2"/>
        <w:numPr>
          <w:ilvl w:val="1"/>
          <w:numId w:val="84"/>
        </w:numPr>
        <w:ind w:left="709"/>
        <w:rPr>
          <w:rFonts w:cstheme="minorHAnsi"/>
          <w:color w:val="auto"/>
        </w:rPr>
      </w:pPr>
      <w:r w:rsidRPr="00470294">
        <w:rPr>
          <w:rFonts w:cstheme="minorHAnsi"/>
          <w:color w:val="auto"/>
        </w:rPr>
        <w:t>Available for use in Listed Medicines as a Homeopathic Ingredient only</w:t>
      </w:r>
    </w:p>
    <w:p w14:paraId="07CC2172" w14:textId="17074EB6" w:rsidR="00E13CFF" w:rsidRPr="00470294" w:rsidRDefault="00E13CFF" w:rsidP="00EB1099">
      <w:pPr>
        <w:pStyle w:val="ListBullet2"/>
        <w:numPr>
          <w:ilvl w:val="1"/>
          <w:numId w:val="84"/>
        </w:numPr>
        <w:ind w:left="709"/>
        <w:rPr>
          <w:rFonts w:cstheme="minorHAnsi"/>
          <w:color w:val="auto"/>
        </w:rPr>
      </w:pPr>
      <w:r w:rsidRPr="00470294">
        <w:rPr>
          <w:rFonts w:cstheme="minorHAnsi"/>
          <w:color w:val="auto"/>
        </w:rPr>
        <w:t>Available for use as an Excipient Ingredient in Biologicals, Devices and Prescription Medicines</w:t>
      </w:r>
    </w:p>
    <w:p w14:paraId="3D2BC0DF" w14:textId="77777777" w:rsidR="00E13CFF" w:rsidRPr="00470294" w:rsidRDefault="00E13CFF" w:rsidP="00EB1099">
      <w:pPr>
        <w:pStyle w:val="ListBullet2"/>
        <w:numPr>
          <w:ilvl w:val="1"/>
          <w:numId w:val="84"/>
        </w:numPr>
        <w:ind w:left="709"/>
        <w:rPr>
          <w:rFonts w:cstheme="minorHAnsi"/>
          <w:color w:val="auto"/>
        </w:rPr>
      </w:pPr>
      <w:r w:rsidRPr="00470294">
        <w:rPr>
          <w:rFonts w:cstheme="minorHAnsi"/>
          <w:color w:val="auto"/>
        </w:rPr>
        <w:t>Available for use as an Equivalent Ingredient in Prescription Medicines.</w:t>
      </w:r>
    </w:p>
    <w:p w14:paraId="5292F62A" w14:textId="3213CA75" w:rsidR="00E13CFF" w:rsidRPr="00EF37AB" w:rsidRDefault="00E13CFF" w:rsidP="00EB1099">
      <w:pPr>
        <w:pStyle w:val="ListBullet"/>
        <w:numPr>
          <w:ilvl w:val="0"/>
          <w:numId w:val="83"/>
        </w:numPr>
      </w:pPr>
      <w:r w:rsidRPr="00470294">
        <w:t xml:space="preserve">As of August 2023, there were 56 medicines currently active on the </w:t>
      </w:r>
      <w:hyperlink r:id="rId124" w:history="1">
        <w:r w:rsidR="00EB1099">
          <w:rPr>
            <w:rStyle w:val="Hyperlink"/>
            <w:rFonts w:asciiTheme="minorHAnsi" w:hAnsiTheme="minorHAnsi"/>
          </w:rPr>
          <w:t>Australian Register of Therapeutic Goods</w:t>
        </w:r>
      </w:hyperlink>
      <w:r w:rsidR="00EB1099" w:rsidRPr="00EB1099">
        <w:rPr>
          <w:rStyle w:val="Hyperlink"/>
          <w:rFonts w:asciiTheme="minorHAnsi" w:hAnsiTheme="minorHAnsi"/>
          <w:color w:val="auto"/>
          <w:u w:val="none"/>
        </w:rPr>
        <w:t xml:space="preserve"> (ARTG)</w:t>
      </w:r>
      <w:r w:rsidRPr="00470294">
        <w:t xml:space="preserve"> that contain adrenaline as an active ingredient. These include 53 prescription and 3 medicines for export only.</w:t>
      </w:r>
    </w:p>
    <w:p w14:paraId="6AFA8A36" w14:textId="3C4AB416" w:rsidR="00E13CFF" w:rsidRPr="00EF37AB" w:rsidRDefault="00E13CFF" w:rsidP="00EB1099">
      <w:pPr>
        <w:pStyle w:val="ListBullet"/>
        <w:numPr>
          <w:ilvl w:val="0"/>
          <w:numId w:val="83"/>
        </w:numPr>
      </w:pPr>
      <w:r w:rsidRPr="00470294">
        <w:t xml:space="preserve">According to the </w:t>
      </w:r>
      <w:hyperlink r:id="rId125" w:history="1">
        <w:r w:rsidRPr="00EF37AB">
          <w:rPr>
            <w:rStyle w:val="Hyperlink"/>
            <w:rFonts w:asciiTheme="minorHAnsi" w:hAnsiTheme="minorHAnsi"/>
          </w:rPr>
          <w:t>Therapeutic Goods (Permissible Ingredients) Determination</w:t>
        </w:r>
      </w:hyperlink>
      <w:r w:rsidRPr="00470294">
        <w:t xml:space="preserve"> No.3 of 2023, adrenaline is permitted to be included in listed medicines as follows:</w:t>
      </w:r>
    </w:p>
    <w:tbl>
      <w:tblPr>
        <w:tblStyle w:val="TableTGAblue"/>
        <w:tblW w:w="8646" w:type="dxa"/>
        <w:tblInd w:w="416" w:type="dxa"/>
        <w:tblLook w:val="04A0" w:firstRow="1" w:lastRow="0" w:firstColumn="1" w:lastColumn="0" w:noHBand="0" w:noVBand="1"/>
      </w:tblPr>
      <w:tblGrid>
        <w:gridCol w:w="750"/>
        <w:gridCol w:w="2697"/>
        <w:gridCol w:w="1257"/>
        <w:gridCol w:w="3942"/>
      </w:tblGrid>
      <w:tr w:rsidR="00611EE2" w:rsidRPr="00611EE2" w14:paraId="34CAE11F" w14:textId="77777777" w:rsidTr="00D74E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28953B78" w14:textId="77777777" w:rsidR="00E13CFF" w:rsidRPr="00611EE2" w:rsidRDefault="00E13CFF" w:rsidP="0072362E">
            <w:pPr>
              <w:pStyle w:val="ListBullet"/>
              <w:numPr>
                <w:ilvl w:val="0"/>
                <w:numId w:val="0"/>
              </w:numPr>
              <w:spacing w:before="60" w:after="60"/>
              <w:rPr>
                <w:rFonts w:asciiTheme="minorHAnsi" w:hAnsiTheme="minorHAnsi"/>
                <w:color w:val="FFFFFF" w:themeColor="background1"/>
                <w:sz w:val="20"/>
                <w:szCs w:val="20"/>
              </w:rPr>
            </w:pPr>
            <w:r w:rsidRPr="00611EE2">
              <w:rPr>
                <w:rFonts w:asciiTheme="minorHAnsi" w:hAnsiTheme="minorHAnsi"/>
                <w:color w:val="FFFFFF" w:themeColor="background1"/>
                <w:sz w:val="20"/>
                <w:szCs w:val="20"/>
              </w:rPr>
              <w:t>Item</w:t>
            </w:r>
          </w:p>
        </w:tc>
        <w:tc>
          <w:tcPr>
            <w:tcW w:w="2697" w:type="dxa"/>
          </w:tcPr>
          <w:p w14:paraId="00173C32" w14:textId="77777777" w:rsidR="00E13CFF" w:rsidRPr="00611EE2" w:rsidRDefault="00E13CFF" w:rsidP="0072362E">
            <w:pPr>
              <w:pStyle w:val="ListBullet"/>
              <w:numPr>
                <w:ilvl w:val="0"/>
                <w:numId w:val="0"/>
              </w:num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611EE2">
              <w:rPr>
                <w:rFonts w:asciiTheme="minorHAnsi" w:hAnsiTheme="minorHAnsi"/>
                <w:color w:val="FFFFFF" w:themeColor="background1"/>
                <w:sz w:val="20"/>
                <w:szCs w:val="20"/>
              </w:rPr>
              <w:t>Ingredient Name</w:t>
            </w:r>
          </w:p>
        </w:tc>
        <w:tc>
          <w:tcPr>
            <w:tcW w:w="1257" w:type="dxa"/>
          </w:tcPr>
          <w:p w14:paraId="166CF63A" w14:textId="77777777" w:rsidR="00E13CFF" w:rsidRPr="00611EE2" w:rsidRDefault="00E13CFF" w:rsidP="0072362E">
            <w:pPr>
              <w:pStyle w:val="ListBullet"/>
              <w:numPr>
                <w:ilvl w:val="0"/>
                <w:numId w:val="0"/>
              </w:numPr>
              <w:spacing w:before="60" w:after="60"/>
              <w:ind w:left="36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611EE2">
              <w:rPr>
                <w:rFonts w:asciiTheme="minorHAnsi" w:hAnsiTheme="minorHAnsi"/>
                <w:color w:val="FFFFFF" w:themeColor="background1"/>
                <w:sz w:val="20"/>
                <w:szCs w:val="20"/>
              </w:rPr>
              <w:t>Purpose</w:t>
            </w:r>
          </w:p>
        </w:tc>
        <w:tc>
          <w:tcPr>
            <w:tcW w:w="3942" w:type="dxa"/>
          </w:tcPr>
          <w:p w14:paraId="6D2EBB0D" w14:textId="77777777" w:rsidR="00E13CFF" w:rsidRPr="00611EE2" w:rsidRDefault="00E13CFF" w:rsidP="0072362E">
            <w:pPr>
              <w:pStyle w:val="ListBullet"/>
              <w:numPr>
                <w:ilvl w:val="0"/>
                <w:numId w:val="0"/>
              </w:numPr>
              <w:spacing w:before="60" w:after="60"/>
              <w:ind w:left="36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611EE2">
              <w:rPr>
                <w:rFonts w:asciiTheme="minorHAnsi" w:hAnsiTheme="minorHAnsi"/>
                <w:color w:val="FFFFFF" w:themeColor="background1"/>
                <w:sz w:val="20"/>
                <w:szCs w:val="20"/>
              </w:rPr>
              <w:t>Specific requirements</w:t>
            </w:r>
          </w:p>
        </w:tc>
      </w:tr>
      <w:tr w:rsidR="00E13CFF" w:rsidRPr="00611EE2" w14:paraId="71DC7BB2" w14:textId="77777777" w:rsidTr="00D74E12">
        <w:tc>
          <w:tcPr>
            <w:cnfStyle w:val="001000000000" w:firstRow="0" w:lastRow="0" w:firstColumn="1" w:lastColumn="0" w:oddVBand="0" w:evenVBand="0" w:oddHBand="0" w:evenHBand="0" w:firstRowFirstColumn="0" w:firstRowLastColumn="0" w:lastRowFirstColumn="0" w:lastRowLastColumn="0"/>
            <w:tcW w:w="750" w:type="dxa"/>
          </w:tcPr>
          <w:p w14:paraId="662B2C37" w14:textId="77777777" w:rsidR="00E13CFF" w:rsidRPr="00611EE2" w:rsidRDefault="00E13CFF" w:rsidP="0072362E">
            <w:pPr>
              <w:spacing w:before="60" w:after="60"/>
              <w:rPr>
                <w:rFonts w:asciiTheme="minorHAnsi" w:hAnsiTheme="minorHAnsi" w:cstheme="minorHAnsi"/>
                <w:sz w:val="20"/>
                <w:szCs w:val="20"/>
              </w:rPr>
            </w:pPr>
            <w:r w:rsidRPr="00611EE2">
              <w:rPr>
                <w:rFonts w:asciiTheme="minorHAnsi" w:hAnsiTheme="minorHAnsi" w:cstheme="minorHAnsi"/>
                <w:sz w:val="20"/>
                <w:szCs w:val="20"/>
              </w:rPr>
              <w:t>414</w:t>
            </w:r>
          </w:p>
        </w:tc>
        <w:tc>
          <w:tcPr>
            <w:tcW w:w="2697" w:type="dxa"/>
          </w:tcPr>
          <w:p w14:paraId="214C1E89" w14:textId="77777777" w:rsidR="00E13CFF" w:rsidRPr="00611EE2" w:rsidRDefault="00E13CFF" w:rsidP="0072362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1EE2">
              <w:rPr>
                <w:rFonts w:asciiTheme="minorHAnsi" w:hAnsiTheme="minorHAnsi" w:cstheme="minorHAnsi"/>
                <w:sz w:val="20"/>
                <w:szCs w:val="20"/>
              </w:rPr>
              <w:t>ADRENALINE (EPINEPHRINE)</w:t>
            </w:r>
          </w:p>
        </w:tc>
        <w:tc>
          <w:tcPr>
            <w:tcW w:w="1257" w:type="dxa"/>
          </w:tcPr>
          <w:p w14:paraId="003C3E79" w14:textId="77777777" w:rsidR="00E13CFF" w:rsidRPr="00611EE2" w:rsidRDefault="00E13CFF" w:rsidP="0072362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1EE2">
              <w:rPr>
                <w:rFonts w:asciiTheme="minorHAnsi" w:hAnsiTheme="minorHAnsi" w:cstheme="minorHAnsi"/>
                <w:sz w:val="20"/>
                <w:szCs w:val="20"/>
              </w:rPr>
              <w:t>H</w:t>
            </w:r>
          </w:p>
        </w:tc>
        <w:tc>
          <w:tcPr>
            <w:tcW w:w="3942" w:type="dxa"/>
          </w:tcPr>
          <w:p w14:paraId="22354D20" w14:textId="77777777" w:rsidR="00E13CFF" w:rsidRPr="00611EE2" w:rsidRDefault="00E13CFF" w:rsidP="0072362E">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1EE2">
              <w:rPr>
                <w:rFonts w:asciiTheme="minorHAnsi" w:hAnsiTheme="minorHAnsi" w:cstheme="minorHAnsi"/>
                <w:sz w:val="20"/>
                <w:szCs w:val="20"/>
              </w:rPr>
              <w:t>Only for use as an active homeopathic ingredient.</w:t>
            </w:r>
          </w:p>
        </w:tc>
      </w:tr>
      <w:tr w:rsidR="00E13CFF" w:rsidRPr="00611EE2" w14:paraId="4D5BCD5C" w14:textId="77777777" w:rsidTr="00D74E12">
        <w:trPr>
          <w:trHeight w:val="581"/>
        </w:trPr>
        <w:tc>
          <w:tcPr>
            <w:cnfStyle w:val="001000000000" w:firstRow="0" w:lastRow="0" w:firstColumn="1" w:lastColumn="0" w:oddVBand="0" w:evenVBand="0" w:oddHBand="0" w:evenHBand="0" w:firstRowFirstColumn="0" w:firstRowLastColumn="0" w:lastRowFirstColumn="0" w:lastRowLastColumn="0"/>
            <w:tcW w:w="8646" w:type="dxa"/>
            <w:gridSpan w:val="4"/>
          </w:tcPr>
          <w:p w14:paraId="3282574C" w14:textId="77777777" w:rsidR="00E13CFF" w:rsidRPr="00611EE2" w:rsidRDefault="00E13CFF" w:rsidP="0072362E">
            <w:pPr>
              <w:spacing w:before="60" w:after="60"/>
              <w:rPr>
                <w:rFonts w:asciiTheme="minorHAnsi" w:hAnsiTheme="minorHAnsi" w:cstheme="minorHAnsi"/>
                <w:sz w:val="20"/>
                <w:szCs w:val="20"/>
              </w:rPr>
            </w:pPr>
            <w:r w:rsidRPr="00611EE2">
              <w:rPr>
                <w:rFonts w:asciiTheme="minorHAnsi" w:hAnsiTheme="minorHAnsi" w:cstheme="minorHAnsi"/>
                <w:sz w:val="18"/>
                <w:szCs w:val="18"/>
              </w:rPr>
              <w:t>H = homoeopathic preparation ingredient meaning an ingredient that is a constituent of a homoeopathic preparation</w:t>
            </w:r>
          </w:p>
        </w:tc>
      </w:tr>
    </w:tbl>
    <w:p w14:paraId="55E21897" w14:textId="18EB71B5" w:rsidR="00E13CFF" w:rsidRPr="00EF37AB" w:rsidRDefault="00E13CFF" w:rsidP="00EB1099">
      <w:pPr>
        <w:pStyle w:val="ListBullet"/>
        <w:numPr>
          <w:ilvl w:val="0"/>
          <w:numId w:val="83"/>
        </w:numPr>
      </w:pPr>
      <w:r w:rsidRPr="00470294">
        <w:t>The</w:t>
      </w:r>
      <w:r w:rsidRPr="00EF37AB">
        <w:t xml:space="preserve"> </w:t>
      </w:r>
      <w:hyperlink r:id="rId126" w:history="1">
        <w:r w:rsidRPr="00EF37AB">
          <w:rPr>
            <w:rStyle w:val="Hyperlink"/>
            <w:rFonts w:asciiTheme="minorHAnsi" w:hAnsiTheme="minorHAnsi"/>
          </w:rPr>
          <w:t>TGA prescribing medicines in pregnancy database</w:t>
        </w:r>
      </w:hyperlink>
      <w:r w:rsidRPr="00470294">
        <w:t xml:space="preserve"> classifies adrenaline as:</w:t>
      </w:r>
    </w:p>
    <w:tbl>
      <w:tblPr>
        <w:tblStyle w:val="TableTGAblue"/>
        <w:tblW w:w="8670" w:type="dxa"/>
        <w:tblInd w:w="392" w:type="dxa"/>
        <w:tblLook w:val="04A0" w:firstRow="1" w:lastRow="0" w:firstColumn="1" w:lastColumn="0" w:noHBand="0" w:noVBand="1"/>
      </w:tblPr>
      <w:tblGrid>
        <w:gridCol w:w="1607"/>
        <w:gridCol w:w="968"/>
        <w:gridCol w:w="2031"/>
        <w:gridCol w:w="95"/>
        <w:gridCol w:w="1937"/>
        <w:gridCol w:w="48"/>
        <w:gridCol w:w="1984"/>
      </w:tblGrid>
      <w:tr w:rsidR="00E13CFF" w:rsidRPr="00EF37AB" w14:paraId="37FDBCFB" w14:textId="77777777" w:rsidTr="00611E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5DD62E59" w14:textId="77777777" w:rsidR="00E13CFF" w:rsidRPr="00EF37AB" w:rsidRDefault="00E13CFF" w:rsidP="00881763">
            <w:pPr>
              <w:spacing w:before="120" w:after="120"/>
              <w:rPr>
                <w:rFonts w:asciiTheme="minorHAnsi" w:hAnsiTheme="minorHAnsi" w:cstheme="minorHAnsi"/>
                <w:sz w:val="20"/>
                <w:szCs w:val="20"/>
              </w:rPr>
            </w:pPr>
            <w:r w:rsidRPr="00EF37AB">
              <w:rPr>
                <w:rFonts w:asciiTheme="minorHAnsi" w:hAnsiTheme="minorHAnsi" w:cstheme="minorHAnsi"/>
                <w:sz w:val="20"/>
                <w:szCs w:val="20"/>
              </w:rPr>
              <w:t>Drug name</w:t>
            </w:r>
          </w:p>
        </w:tc>
        <w:tc>
          <w:tcPr>
            <w:tcW w:w="968" w:type="dxa"/>
          </w:tcPr>
          <w:p w14:paraId="7CBCEFD5" w14:textId="77777777" w:rsidR="00E13CFF" w:rsidRPr="00EF37AB" w:rsidRDefault="00E13CFF" w:rsidP="00881763">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F37AB">
              <w:rPr>
                <w:rFonts w:asciiTheme="minorHAnsi" w:hAnsiTheme="minorHAnsi" w:cstheme="minorHAnsi"/>
                <w:sz w:val="20"/>
                <w:szCs w:val="20"/>
              </w:rPr>
              <w:t>Category</w:t>
            </w:r>
          </w:p>
        </w:tc>
        <w:tc>
          <w:tcPr>
            <w:tcW w:w="2031" w:type="dxa"/>
          </w:tcPr>
          <w:p w14:paraId="7749C6F8" w14:textId="77777777" w:rsidR="00E13CFF" w:rsidRPr="00EF37AB" w:rsidRDefault="00E13CFF" w:rsidP="00881763">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F37AB">
              <w:rPr>
                <w:rFonts w:asciiTheme="minorHAnsi" w:hAnsiTheme="minorHAnsi" w:cstheme="minorHAnsi"/>
                <w:sz w:val="20"/>
                <w:szCs w:val="20"/>
              </w:rPr>
              <w:t>Classification Level 1</w:t>
            </w:r>
          </w:p>
        </w:tc>
        <w:tc>
          <w:tcPr>
            <w:tcW w:w="2032" w:type="dxa"/>
            <w:gridSpan w:val="2"/>
          </w:tcPr>
          <w:p w14:paraId="64631D64" w14:textId="77777777" w:rsidR="00E13CFF" w:rsidRPr="00EF37AB" w:rsidRDefault="00E13CFF" w:rsidP="00881763">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F37AB">
              <w:rPr>
                <w:rFonts w:asciiTheme="minorHAnsi" w:hAnsiTheme="minorHAnsi" w:cstheme="minorHAnsi"/>
                <w:sz w:val="20"/>
                <w:szCs w:val="20"/>
              </w:rPr>
              <w:t>Classification Level 2</w:t>
            </w:r>
          </w:p>
        </w:tc>
        <w:tc>
          <w:tcPr>
            <w:tcW w:w="2032" w:type="dxa"/>
            <w:gridSpan w:val="2"/>
          </w:tcPr>
          <w:p w14:paraId="496B6490" w14:textId="77777777" w:rsidR="00E13CFF" w:rsidRPr="00EF37AB" w:rsidRDefault="00E13CFF" w:rsidP="00881763">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F37AB">
              <w:rPr>
                <w:rFonts w:asciiTheme="minorHAnsi" w:hAnsiTheme="minorHAnsi" w:cstheme="minorHAnsi"/>
                <w:sz w:val="20"/>
                <w:szCs w:val="20"/>
              </w:rPr>
              <w:t>Classification Level 3</w:t>
            </w:r>
          </w:p>
        </w:tc>
      </w:tr>
      <w:tr w:rsidR="00E13CFF" w:rsidRPr="00EF37AB" w14:paraId="1705E366" w14:textId="77777777" w:rsidTr="00611EE2">
        <w:tc>
          <w:tcPr>
            <w:cnfStyle w:val="001000000000" w:firstRow="0" w:lastRow="0" w:firstColumn="1" w:lastColumn="0" w:oddVBand="0" w:evenVBand="0" w:oddHBand="0" w:evenHBand="0" w:firstRowFirstColumn="0" w:firstRowLastColumn="0" w:lastRowFirstColumn="0" w:lastRowLastColumn="0"/>
            <w:tcW w:w="1607" w:type="dxa"/>
          </w:tcPr>
          <w:p w14:paraId="1C47CCC4" w14:textId="77777777" w:rsidR="00E13CFF" w:rsidRPr="00EF37AB" w:rsidRDefault="00E13CFF" w:rsidP="00881763">
            <w:pPr>
              <w:spacing w:before="120" w:after="120"/>
              <w:rPr>
                <w:rFonts w:asciiTheme="minorHAnsi" w:hAnsiTheme="minorHAnsi" w:cstheme="minorHAnsi"/>
                <w:sz w:val="20"/>
                <w:szCs w:val="20"/>
              </w:rPr>
            </w:pPr>
            <w:r w:rsidRPr="00EF37AB">
              <w:rPr>
                <w:rFonts w:asciiTheme="minorHAnsi" w:hAnsiTheme="minorHAnsi" w:cstheme="minorHAnsi"/>
                <w:sz w:val="20"/>
                <w:szCs w:val="20"/>
              </w:rPr>
              <w:t>Adrenaline (epinephrine)</w:t>
            </w:r>
          </w:p>
        </w:tc>
        <w:tc>
          <w:tcPr>
            <w:tcW w:w="968" w:type="dxa"/>
          </w:tcPr>
          <w:p w14:paraId="09873E0B" w14:textId="77777777" w:rsidR="00E13CFF" w:rsidRPr="00EF37AB" w:rsidRDefault="00E13CFF" w:rsidP="0088176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F37AB">
              <w:rPr>
                <w:rFonts w:asciiTheme="minorHAnsi" w:hAnsiTheme="minorHAnsi" w:cstheme="minorHAnsi"/>
                <w:sz w:val="20"/>
                <w:szCs w:val="20"/>
              </w:rPr>
              <w:t>A</w:t>
            </w:r>
          </w:p>
        </w:tc>
        <w:tc>
          <w:tcPr>
            <w:tcW w:w="2126" w:type="dxa"/>
            <w:gridSpan w:val="2"/>
          </w:tcPr>
          <w:p w14:paraId="2463E05F" w14:textId="77777777" w:rsidR="00E13CFF" w:rsidRPr="00EF37AB" w:rsidRDefault="00E13CFF" w:rsidP="0088176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F37AB">
              <w:rPr>
                <w:rFonts w:asciiTheme="minorHAnsi" w:hAnsiTheme="minorHAnsi" w:cstheme="minorHAnsi"/>
                <w:sz w:val="20"/>
                <w:szCs w:val="20"/>
              </w:rPr>
              <w:t>Cardiovascular system</w:t>
            </w:r>
          </w:p>
        </w:tc>
        <w:tc>
          <w:tcPr>
            <w:tcW w:w="1985" w:type="dxa"/>
            <w:gridSpan w:val="2"/>
          </w:tcPr>
          <w:p w14:paraId="26A37514" w14:textId="77777777" w:rsidR="00E13CFF" w:rsidRPr="00EF37AB" w:rsidRDefault="00E13CFF" w:rsidP="0088176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F37AB">
              <w:rPr>
                <w:rFonts w:asciiTheme="minorHAnsi" w:hAnsiTheme="minorHAnsi" w:cstheme="minorHAnsi"/>
                <w:sz w:val="20"/>
                <w:szCs w:val="20"/>
              </w:rPr>
              <w:t>Adrenergic stimulants</w:t>
            </w:r>
          </w:p>
        </w:tc>
        <w:tc>
          <w:tcPr>
            <w:tcW w:w="1984" w:type="dxa"/>
          </w:tcPr>
          <w:p w14:paraId="67CF4E90" w14:textId="77777777" w:rsidR="00E13CFF" w:rsidRPr="00EF37AB" w:rsidRDefault="00E13CFF" w:rsidP="0088176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E13CFF" w:rsidRPr="00EF37AB" w14:paraId="67F7D6E6" w14:textId="77777777" w:rsidTr="000F6508">
        <w:tc>
          <w:tcPr>
            <w:cnfStyle w:val="001000000000" w:firstRow="0" w:lastRow="0" w:firstColumn="1" w:lastColumn="0" w:oddVBand="0" w:evenVBand="0" w:oddHBand="0" w:evenHBand="0" w:firstRowFirstColumn="0" w:firstRowLastColumn="0" w:lastRowFirstColumn="0" w:lastRowLastColumn="0"/>
            <w:tcW w:w="8670" w:type="dxa"/>
            <w:gridSpan w:val="7"/>
          </w:tcPr>
          <w:p w14:paraId="57F187E9" w14:textId="77777777" w:rsidR="00E13CFF" w:rsidRPr="00EF37AB" w:rsidRDefault="00E13CFF" w:rsidP="00881763">
            <w:pPr>
              <w:spacing w:before="120" w:after="120"/>
              <w:rPr>
                <w:rFonts w:asciiTheme="minorHAnsi" w:hAnsiTheme="minorHAnsi" w:cstheme="minorHAnsi"/>
                <w:sz w:val="20"/>
                <w:szCs w:val="20"/>
              </w:rPr>
            </w:pPr>
            <w:r w:rsidRPr="00611EE2">
              <w:rPr>
                <w:rFonts w:asciiTheme="minorHAnsi" w:hAnsiTheme="minorHAnsi" w:cstheme="minorHAnsi"/>
                <w:b/>
                <w:sz w:val="18"/>
                <w:szCs w:val="18"/>
              </w:rPr>
              <w:t>Category A</w:t>
            </w:r>
            <w:r w:rsidRPr="00611EE2">
              <w:rPr>
                <w:rFonts w:asciiTheme="minorHAnsi" w:hAnsiTheme="minorHAnsi" w:cstheme="minorHAnsi"/>
                <w:sz w:val="18"/>
                <w:szCs w:val="18"/>
              </w:rPr>
              <w:t xml:space="preserve"> – Drugs which have been taken by a large number of pregnant women and women of childbearing age without any proven increase in the frequency of malformations or other direct or indirect harmful effects on the foetus having been observed.</w:t>
            </w:r>
          </w:p>
        </w:tc>
      </w:tr>
    </w:tbl>
    <w:p w14:paraId="29FC2CEB" w14:textId="1B75EBB2" w:rsidR="00E13CFF" w:rsidRPr="00EF37AB" w:rsidRDefault="00E13CFF" w:rsidP="00EB1099">
      <w:pPr>
        <w:pStyle w:val="ListBullet"/>
        <w:numPr>
          <w:ilvl w:val="0"/>
          <w:numId w:val="83"/>
        </w:numPr>
      </w:pPr>
      <w:r w:rsidRPr="00470294">
        <w:t xml:space="preserve">There are no warning statements pertaining to adrenaline in the </w:t>
      </w:r>
      <w:hyperlink r:id="rId127" w:history="1">
        <w:r w:rsidRPr="00EF37AB">
          <w:rPr>
            <w:rStyle w:val="Hyperlink"/>
            <w:rFonts w:asciiTheme="minorHAnsi" w:hAnsiTheme="minorHAnsi"/>
          </w:rPr>
          <w:t>Therapeutic Goods (Medicines Advisory Statements) Specification 2021</w:t>
        </w:r>
      </w:hyperlink>
      <w:r w:rsidR="003642D8" w:rsidRPr="004C7298">
        <w:rPr>
          <w:rStyle w:val="Hyperlink"/>
          <w:rFonts w:asciiTheme="minorHAnsi" w:hAnsiTheme="minorHAnsi"/>
          <w:color w:val="auto"/>
          <w:u w:val="none"/>
        </w:rPr>
        <w:t>.</w:t>
      </w:r>
    </w:p>
    <w:p w14:paraId="4A53F469" w14:textId="38B42F69" w:rsidR="00E13CFF" w:rsidRPr="00EF37AB" w:rsidRDefault="00E13CFF" w:rsidP="00EB1099">
      <w:pPr>
        <w:pStyle w:val="ListBullet"/>
        <w:numPr>
          <w:ilvl w:val="0"/>
          <w:numId w:val="83"/>
        </w:numPr>
      </w:pPr>
      <w:r w:rsidRPr="00470294">
        <w:t xml:space="preserve">Between January 2013 and July 2023, there were 313 reports of adverse events for products containing adrenaline as an active ingredient on the </w:t>
      </w:r>
      <w:hyperlink r:id="rId128" w:history="1">
        <w:r w:rsidR="00EB1099">
          <w:rPr>
            <w:rStyle w:val="Hyperlink"/>
            <w:rFonts w:asciiTheme="minorHAnsi" w:hAnsiTheme="minorHAnsi"/>
          </w:rPr>
          <w:t>Database of Adverse Event Notifications</w:t>
        </w:r>
      </w:hyperlink>
      <w:r w:rsidR="00EB1099" w:rsidRPr="00EB1099">
        <w:rPr>
          <w:rStyle w:val="Hyperlink"/>
          <w:rFonts w:asciiTheme="minorHAnsi" w:hAnsiTheme="minorHAnsi"/>
          <w:color w:val="auto"/>
          <w:u w:val="none"/>
        </w:rPr>
        <w:t xml:space="preserve"> (DAEN)</w:t>
      </w:r>
      <w:r w:rsidRPr="00EF37AB">
        <w:t>,</w:t>
      </w:r>
      <w:r w:rsidRPr="00470294">
        <w:t xml:space="preserve"> with 201 reports where adrenaline was the single suspected medicine. The most common adverse events were associated with ineffectiveness of the drug and product quality/failure, and anaphylactic reactions.</w:t>
      </w:r>
    </w:p>
    <w:p w14:paraId="11D42D19" w14:textId="67AC207B" w:rsidR="00E13CFF" w:rsidRPr="00470294" w:rsidRDefault="00E13CFF" w:rsidP="00EB1099">
      <w:pPr>
        <w:pStyle w:val="ListBullet"/>
        <w:numPr>
          <w:ilvl w:val="0"/>
          <w:numId w:val="83"/>
        </w:numPr>
      </w:pPr>
      <w:r w:rsidRPr="00470294">
        <w:t xml:space="preserve">As of August 2023, there were 2 products containing adrenaline (as tartrate) as an active ingredient/constituent or scheduled substance listed on the </w:t>
      </w:r>
      <w:hyperlink r:id="rId129" w:history="1">
        <w:r w:rsidR="00EB1099">
          <w:rPr>
            <w:rStyle w:val="Hyperlink"/>
            <w:rFonts w:asciiTheme="minorHAnsi" w:hAnsiTheme="minorHAnsi"/>
          </w:rPr>
          <w:t>Public Chemical Registration Information System Search</w:t>
        </w:r>
      </w:hyperlink>
      <w:r w:rsidR="00EB1099" w:rsidRPr="00EB1099">
        <w:rPr>
          <w:rStyle w:val="Hyperlink"/>
          <w:rFonts w:asciiTheme="minorHAnsi" w:hAnsiTheme="minorHAnsi"/>
          <w:color w:val="auto"/>
          <w:u w:val="none"/>
        </w:rPr>
        <w:t xml:space="preserve"> (PubCRIS)</w:t>
      </w:r>
      <w:r w:rsidRPr="00470294">
        <w:t>. These are an injection (co-formulated with lignocaine) and a wound anaesthetic and antiseptic solution (containing 0.0025% adrenaline tartrate co-formulated with local anaesthetics and cetrimide).</w:t>
      </w:r>
    </w:p>
    <w:p w14:paraId="13D2E077" w14:textId="391AF4BF" w:rsidR="00E13CFF" w:rsidRPr="00EF37AB" w:rsidRDefault="00E13CFF" w:rsidP="00EB1099">
      <w:pPr>
        <w:pStyle w:val="ListBullet"/>
        <w:numPr>
          <w:ilvl w:val="0"/>
          <w:numId w:val="83"/>
        </w:numPr>
      </w:pPr>
      <w:r w:rsidRPr="00470294">
        <w:t xml:space="preserve">In 2009-2019 the following adverse experiences were recorded for adrenaline in the </w:t>
      </w:r>
      <w:hyperlink r:id="rId130" w:history="1">
        <w:r w:rsidRPr="00EF37AB">
          <w:rPr>
            <w:rStyle w:val="Hyperlink"/>
            <w:rFonts w:asciiTheme="minorHAnsi" w:hAnsiTheme="minorHAnsi"/>
          </w:rPr>
          <w:t>APVMA Adverse Experience Reporting Program</w:t>
        </w:r>
      </w:hyperlink>
      <w:r w:rsidR="00EB1099" w:rsidRPr="00EB1099">
        <w:rPr>
          <w:rStyle w:val="Hyperlink"/>
          <w:rFonts w:asciiTheme="minorHAnsi" w:hAnsiTheme="minorHAnsi"/>
          <w:color w:val="auto"/>
          <w:u w:val="none"/>
        </w:rPr>
        <w:t xml:space="preserve"> (AERP)</w:t>
      </w:r>
      <w:r w:rsidRPr="00EB1099">
        <w:rPr>
          <w:rStyle w:val="Hyperlink"/>
          <w:rFonts w:asciiTheme="minorHAnsi" w:hAnsiTheme="minorHAnsi"/>
          <w:color w:val="auto"/>
          <w:u w:val="none"/>
        </w:rPr>
        <w:t xml:space="preserve"> database</w:t>
      </w:r>
      <w:r w:rsidR="00EB1099" w:rsidRPr="00EB1099">
        <w:rPr>
          <w:rStyle w:val="Hyperlink"/>
          <w:rFonts w:asciiTheme="minorHAnsi" w:hAnsiTheme="minorHAnsi"/>
          <w:color w:val="auto"/>
          <w:u w:val="none"/>
        </w:rPr>
        <w:t>:</w:t>
      </w:r>
    </w:p>
    <w:p w14:paraId="1BF9FA8B" w14:textId="3D20D3B9" w:rsidR="00E13CFF" w:rsidRPr="00470294" w:rsidRDefault="00E13CFF" w:rsidP="00EB1099">
      <w:pPr>
        <w:pStyle w:val="ListBullet2"/>
        <w:numPr>
          <w:ilvl w:val="1"/>
          <w:numId w:val="83"/>
        </w:numPr>
        <w:ind w:left="850" w:hanging="425"/>
        <w:rPr>
          <w:rFonts w:cstheme="minorHAnsi"/>
          <w:color w:val="auto"/>
        </w:rPr>
      </w:pPr>
      <w:r w:rsidRPr="00470294">
        <w:rPr>
          <w:rFonts w:cstheme="minorHAnsi"/>
          <w:color w:val="auto"/>
        </w:rPr>
        <w:t>Three reports of probable incidents classified as related to human health (2013, 2017-18 and 2018-19).</w:t>
      </w:r>
    </w:p>
    <w:p w14:paraId="600D5AA5" w14:textId="77777777" w:rsidR="00E13CFF" w:rsidRPr="00CB687C" w:rsidRDefault="00E13CFF" w:rsidP="00E13CFF">
      <w:pPr>
        <w:pStyle w:val="Heading4"/>
      </w:pPr>
      <w:bookmarkStart w:id="129" w:name="_Toc144110917"/>
      <w:r>
        <w:t>International regulations</w:t>
      </w:r>
      <w:bookmarkEnd w:id="129"/>
    </w:p>
    <w:p w14:paraId="7B5B55F6" w14:textId="77777777" w:rsidR="00E13CFF" w:rsidRPr="00EF37AB" w:rsidRDefault="00E13CFF" w:rsidP="00EB1099">
      <w:pPr>
        <w:pStyle w:val="ListBullet"/>
        <w:numPr>
          <w:ilvl w:val="0"/>
          <w:numId w:val="83"/>
        </w:numPr>
      </w:pPr>
      <w:r w:rsidRPr="00470294">
        <w:t xml:space="preserve">New Zealand Medsafe’s </w:t>
      </w:r>
      <w:hyperlink r:id="rId131" w:history="1">
        <w:r w:rsidRPr="00EF37AB">
          <w:rPr>
            <w:rStyle w:val="Hyperlink"/>
            <w:rFonts w:asciiTheme="minorHAnsi" w:hAnsiTheme="minorHAnsi"/>
          </w:rPr>
          <w:t>Medicines Classification Database</w:t>
        </w:r>
      </w:hyperlink>
      <w:r w:rsidRPr="00EF37AB">
        <w:t xml:space="preserve"> </w:t>
      </w:r>
      <w:r w:rsidRPr="00470294">
        <w:t>lists adrenaline as follows:</w:t>
      </w:r>
    </w:p>
    <w:tbl>
      <w:tblPr>
        <w:tblStyle w:val="TableTGAblue"/>
        <w:tblW w:w="8658" w:type="dxa"/>
        <w:tblInd w:w="416" w:type="dxa"/>
        <w:tblLook w:val="04A0" w:firstRow="1" w:lastRow="0" w:firstColumn="1" w:lastColumn="0" w:noHBand="0" w:noVBand="1"/>
      </w:tblPr>
      <w:tblGrid>
        <w:gridCol w:w="1549"/>
        <w:gridCol w:w="5802"/>
        <w:gridCol w:w="1307"/>
      </w:tblGrid>
      <w:tr w:rsidR="007040B0" w:rsidRPr="007040B0" w14:paraId="60312A55" w14:textId="77777777" w:rsidTr="007040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14:paraId="79FDBF64" w14:textId="77777777" w:rsidR="00E13CFF" w:rsidRPr="007040B0" w:rsidRDefault="00E13CFF" w:rsidP="00D74E12">
            <w:pPr>
              <w:pStyle w:val="ListBullet"/>
              <w:numPr>
                <w:ilvl w:val="0"/>
                <w:numId w:val="0"/>
              </w:numPr>
              <w:spacing w:before="60" w:after="60"/>
              <w:rPr>
                <w:rFonts w:asciiTheme="minorHAnsi" w:hAnsiTheme="minorHAnsi"/>
                <w:color w:val="FFFFFF" w:themeColor="background1"/>
                <w:sz w:val="20"/>
                <w:szCs w:val="20"/>
              </w:rPr>
            </w:pPr>
            <w:r w:rsidRPr="007040B0">
              <w:rPr>
                <w:rFonts w:asciiTheme="minorHAnsi" w:hAnsiTheme="minorHAnsi"/>
                <w:color w:val="FFFFFF" w:themeColor="background1"/>
                <w:sz w:val="20"/>
                <w:szCs w:val="20"/>
              </w:rPr>
              <w:t>Ingredient</w:t>
            </w:r>
          </w:p>
        </w:tc>
        <w:tc>
          <w:tcPr>
            <w:tcW w:w="5811" w:type="dxa"/>
          </w:tcPr>
          <w:p w14:paraId="16A45771" w14:textId="77777777" w:rsidR="00E13CFF" w:rsidRPr="007040B0" w:rsidRDefault="00E13CFF" w:rsidP="00D74E12">
            <w:pPr>
              <w:pStyle w:val="ListBullet"/>
              <w:numPr>
                <w:ilvl w:val="0"/>
                <w:numId w:val="0"/>
              </w:num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7040B0">
              <w:rPr>
                <w:rFonts w:asciiTheme="minorHAnsi" w:hAnsiTheme="minorHAnsi"/>
                <w:color w:val="FFFFFF" w:themeColor="background1"/>
                <w:sz w:val="20"/>
                <w:szCs w:val="20"/>
              </w:rPr>
              <w:t>Conditions (if any)</w:t>
            </w:r>
          </w:p>
        </w:tc>
        <w:tc>
          <w:tcPr>
            <w:tcW w:w="1297" w:type="dxa"/>
          </w:tcPr>
          <w:p w14:paraId="39BB441F" w14:textId="77777777" w:rsidR="00E13CFF" w:rsidRPr="007040B0" w:rsidRDefault="00E13CFF" w:rsidP="00D74E12">
            <w:pPr>
              <w:pStyle w:val="ListBullet"/>
              <w:numPr>
                <w:ilvl w:val="0"/>
                <w:numId w:val="0"/>
              </w:num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7040B0">
              <w:rPr>
                <w:rFonts w:asciiTheme="minorHAnsi" w:hAnsiTheme="minorHAnsi"/>
                <w:color w:val="FFFFFF" w:themeColor="background1"/>
                <w:sz w:val="20"/>
                <w:szCs w:val="20"/>
              </w:rPr>
              <w:t>Classification</w:t>
            </w:r>
          </w:p>
        </w:tc>
      </w:tr>
      <w:tr w:rsidR="00E13CFF" w:rsidRPr="007040B0" w14:paraId="4CCC0ED4" w14:textId="77777777" w:rsidTr="007040B0">
        <w:tc>
          <w:tcPr>
            <w:cnfStyle w:val="001000000000" w:firstRow="0" w:lastRow="0" w:firstColumn="1" w:lastColumn="0" w:oddVBand="0" w:evenVBand="0" w:oddHBand="0" w:evenHBand="0" w:firstRowFirstColumn="0" w:firstRowLastColumn="0" w:lastRowFirstColumn="0" w:lastRowLastColumn="0"/>
            <w:tcW w:w="1550" w:type="dxa"/>
          </w:tcPr>
          <w:p w14:paraId="5931ED3F" w14:textId="77777777" w:rsidR="00E13CFF" w:rsidRPr="007040B0" w:rsidRDefault="00E13CFF" w:rsidP="00D74E12">
            <w:pPr>
              <w:pStyle w:val="ListBullet"/>
              <w:numPr>
                <w:ilvl w:val="0"/>
                <w:numId w:val="0"/>
              </w:numPr>
              <w:spacing w:before="60" w:after="60"/>
              <w:rPr>
                <w:rFonts w:asciiTheme="minorHAnsi" w:hAnsiTheme="minorHAnsi"/>
                <w:sz w:val="20"/>
                <w:szCs w:val="20"/>
              </w:rPr>
            </w:pPr>
            <w:r w:rsidRPr="007040B0">
              <w:rPr>
                <w:rFonts w:asciiTheme="minorHAnsi" w:hAnsiTheme="minorHAnsi"/>
                <w:sz w:val="20"/>
                <w:szCs w:val="20"/>
              </w:rPr>
              <w:t>Adrenaline</w:t>
            </w:r>
          </w:p>
        </w:tc>
        <w:tc>
          <w:tcPr>
            <w:tcW w:w="5811" w:type="dxa"/>
          </w:tcPr>
          <w:p w14:paraId="6B677914" w14:textId="77777777" w:rsidR="00E13CFF" w:rsidRPr="007040B0" w:rsidRDefault="00E13CFF" w:rsidP="00D74E12">
            <w:pPr>
              <w:pStyle w:val="ListBullet"/>
              <w:numPr>
                <w:ilvl w:val="0"/>
                <w:numId w:val="0"/>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040B0">
              <w:rPr>
                <w:rFonts w:asciiTheme="minorHAnsi" w:hAnsiTheme="minorHAnsi"/>
                <w:sz w:val="20"/>
                <w:szCs w:val="20"/>
              </w:rPr>
              <w:t>in medicines containing more than 1%</w:t>
            </w:r>
          </w:p>
        </w:tc>
        <w:tc>
          <w:tcPr>
            <w:tcW w:w="1297" w:type="dxa"/>
          </w:tcPr>
          <w:p w14:paraId="7B9CE362" w14:textId="77777777" w:rsidR="00E13CFF" w:rsidRPr="007040B0" w:rsidRDefault="00E13CFF" w:rsidP="00D74E12">
            <w:pPr>
              <w:pStyle w:val="ListBullet"/>
              <w:numPr>
                <w:ilvl w:val="0"/>
                <w:numId w:val="0"/>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040B0">
              <w:rPr>
                <w:rFonts w:asciiTheme="minorHAnsi" w:hAnsiTheme="minorHAnsi"/>
                <w:sz w:val="20"/>
                <w:szCs w:val="20"/>
              </w:rPr>
              <w:t>Prescription</w:t>
            </w:r>
          </w:p>
        </w:tc>
      </w:tr>
      <w:tr w:rsidR="00E13CFF" w:rsidRPr="007040B0" w14:paraId="419BF914" w14:textId="77777777" w:rsidTr="007040B0">
        <w:tc>
          <w:tcPr>
            <w:cnfStyle w:val="001000000000" w:firstRow="0" w:lastRow="0" w:firstColumn="1" w:lastColumn="0" w:oddVBand="0" w:evenVBand="0" w:oddHBand="0" w:evenHBand="0" w:firstRowFirstColumn="0" w:firstRowLastColumn="0" w:lastRowFirstColumn="0" w:lastRowLastColumn="0"/>
            <w:tcW w:w="1550" w:type="dxa"/>
          </w:tcPr>
          <w:p w14:paraId="4B61A7F7" w14:textId="77777777" w:rsidR="00E13CFF" w:rsidRPr="007040B0" w:rsidRDefault="00E13CFF" w:rsidP="00D74E12">
            <w:pPr>
              <w:pStyle w:val="ListBullet"/>
              <w:numPr>
                <w:ilvl w:val="0"/>
                <w:numId w:val="0"/>
              </w:numPr>
              <w:spacing w:before="60" w:after="60"/>
              <w:rPr>
                <w:rFonts w:asciiTheme="minorHAnsi" w:hAnsiTheme="minorHAnsi"/>
                <w:sz w:val="20"/>
                <w:szCs w:val="20"/>
              </w:rPr>
            </w:pPr>
            <w:r w:rsidRPr="007040B0">
              <w:rPr>
                <w:rFonts w:asciiTheme="minorHAnsi" w:hAnsiTheme="minorHAnsi"/>
                <w:sz w:val="20"/>
                <w:szCs w:val="20"/>
              </w:rPr>
              <w:t>Adrenaline</w:t>
            </w:r>
          </w:p>
        </w:tc>
        <w:tc>
          <w:tcPr>
            <w:tcW w:w="5811" w:type="dxa"/>
          </w:tcPr>
          <w:p w14:paraId="7C759D79" w14:textId="77777777" w:rsidR="00E13CFF" w:rsidRPr="007040B0" w:rsidRDefault="00E13CFF" w:rsidP="00D74E12">
            <w:pPr>
              <w:pStyle w:val="ListBullet"/>
              <w:numPr>
                <w:ilvl w:val="0"/>
                <w:numId w:val="0"/>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040B0">
              <w:rPr>
                <w:rFonts w:asciiTheme="minorHAnsi" w:hAnsiTheme="minorHAnsi"/>
                <w:sz w:val="20"/>
                <w:szCs w:val="20"/>
              </w:rPr>
              <w:t>in medicines containing 1% or less except in medicines for injection containing 0.02% or less; except in medicines for injection containing 0.1% or less for use in practice in an emergency by a dental therapist, an oral health therapist, an oral health therapist or a dental hygienist registered with the Dental Council.</w:t>
            </w:r>
          </w:p>
        </w:tc>
        <w:tc>
          <w:tcPr>
            <w:tcW w:w="1297" w:type="dxa"/>
          </w:tcPr>
          <w:p w14:paraId="472716A1" w14:textId="77777777" w:rsidR="00E13CFF" w:rsidRPr="007040B0" w:rsidRDefault="00E13CFF" w:rsidP="00D74E12">
            <w:pPr>
              <w:pStyle w:val="ListBullet"/>
              <w:numPr>
                <w:ilvl w:val="0"/>
                <w:numId w:val="0"/>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040B0">
              <w:rPr>
                <w:rFonts w:asciiTheme="minorHAnsi" w:hAnsiTheme="minorHAnsi"/>
                <w:sz w:val="20"/>
                <w:szCs w:val="20"/>
              </w:rPr>
              <w:t>Restricted</w:t>
            </w:r>
          </w:p>
        </w:tc>
      </w:tr>
      <w:tr w:rsidR="00E13CFF" w:rsidRPr="007040B0" w14:paraId="485C40F7" w14:textId="77777777" w:rsidTr="007040B0">
        <w:tc>
          <w:tcPr>
            <w:cnfStyle w:val="001000000000" w:firstRow="0" w:lastRow="0" w:firstColumn="1" w:lastColumn="0" w:oddVBand="0" w:evenVBand="0" w:oddHBand="0" w:evenHBand="0" w:firstRowFirstColumn="0" w:firstRowLastColumn="0" w:lastRowFirstColumn="0" w:lastRowLastColumn="0"/>
            <w:tcW w:w="1550" w:type="dxa"/>
          </w:tcPr>
          <w:p w14:paraId="17AF3EE6" w14:textId="77777777" w:rsidR="00E13CFF" w:rsidRPr="007040B0" w:rsidRDefault="00E13CFF" w:rsidP="00D74E12">
            <w:pPr>
              <w:pStyle w:val="ListBullet"/>
              <w:numPr>
                <w:ilvl w:val="0"/>
                <w:numId w:val="0"/>
              </w:numPr>
              <w:spacing w:before="60" w:after="60"/>
              <w:rPr>
                <w:rFonts w:asciiTheme="minorHAnsi" w:hAnsiTheme="minorHAnsi"/>
                <w:sz w:val="20"/>
                <w:szCs w:val="20"/>
              </w:rPr>
            </w:pPr>
            <w:r w:rsidRPr="007040B0">
              <w:rPr>
                <w:rFonts w:asciiTheme="minorHAnsi" w:hAnsiTheme="minorHAnsi"/>
                <w:sz w:val="20"/>
                <w:szCs w:val="20"/>
              </w:rPr>
              <w:t>Adrenaline</w:t>
            </w:r>
          </w:p>
        </w:tc>
        <w:tc>
          <w:tcPr>
            <w:tcW w:w="5811" w:type="dxa"/>
          </w:tcPr>
          <w:p w14:paraId="390CADBC" w14:textId="77777777" w:rsidR="00E13CFF" w:rsidRPr="007040B0" w:rsidRDefault="00E13CFF" w:rsidP="00D74E12">
            <w:pPr>
              <w:pStyle w:val="ListBullet"/>
              <w:numPr>
                <w:ilvl w:val="0"/>
                <w:numId w:val="0"/>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040B0">
              <w:rPr>
                <w:rFonts w:asciiTheme="minorHAnsi" w:hAnsiTheme="minorHAnsi"/>
                <w:sz w:val="20"/>
                <w:szCs w:val="20"/>
              </w:rPr>
              <w:t>in medicines for injection containing 0.02% or less</w:t>
            </w:r>
          </w:p>
        </w:tc>
        <w:tc>
          <w:tcPr>
            <w:tcW w:w="1297" w:type="dxa"/>
          </w:tcPr>
          <w:p w14:paraId="3671D745" w14:textId="77777777" w:rsidR="00E13CFF" w:rsidRPr="007040B0" w:rsidRDefault="00E13CFF" w:rsidP="00D74E12">
            <w:pPr>
              <w:pStyle w:val="ListBullet"/>
              <w:numPr>
                <w:ilvl w:val="0"/>
                <w:numId w:val="0"/>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040B0">
              <w:rPr>
                <w:rFonts w:asciiTheme="minorHAnsi" w:hAnsiTheme="minorHAnsi"/>
                <w:sz w:val="20"/>
                <w:szCs w:val="20"/>
              </w:rPr>
              <w:t>General sale</w:t>
            </w:r>
          </w:p>
        </w:tc>
      </w:tr>
    </w:tbl>
    <w:p w14:paraId="163527D6" w14:textId="1C55B651" w:rsidR="00E13CFF" w:rsidRPr="00470294" w:rsidRDefault="00E13CFF" w:rsidP="00EB1099">
      <w:pPr>
        <w:pStyle w:val="ListBullet"/>
        <w:numPr>
          <w:ilvl w:val="0"/>
          <w:numId w:val="83"/>
        </w:numPr>
      </w:pPr>
      <w:r w:rsidRPr="00470294">
        <w:t xml:space="preserve">Ireland’s </w:t>
      </w:r>
      <w:hyperlink r:id="rId132" w:history="1">
        <w:r w:rsidRPr="00EF37AB">
          <w:rPr>
            <w:rStyle w:val="Hyperlink"/>
            <w:rFonts w:asciiTheme="minorHAnsi" w:hAnsiTheme="minorHAnsi"/>
          </w:rPr>
          <w:t>Health Products Regulatory Authority</w:t>
        </w:r>
      </w:hyperlink>
      <w:r w:rsidRPr="00EF37AB">
        <w:t xml:space="preserve"> </w:t>
      </w:r>
      <w:r w:rsidRPr="00470294">
        <w:t>regulates 2</w:t>
      </w:r>
      <w:r w:rsidR="00406BA8">
        <w:t>7</w:t>
      </w:r>
      <w:r w:rsidRPr="00470294">
        <w:t xml:space="preserve"> products containing adrenaline in solutions for infusion, injection, and pre-filled pens in various strengths. All are listed as prescription-only medicines.</w:t>
      </w:r>
    </w:p>
    <w:p w14:paraId="104609FF" w14:textId="5A2C0BB1" w:rsidR="00E13CFF" w:rsidRPr="00470294" w:rsidRDefault="00E13CFF" w:rsidP="00EB1099">
      <w:pPr>
        <w:pStyle w:val="ListBullet"/>
        <w:numPr>
          <w:ilvl w:val="0"/>
          <w:numId w:val="83"/>
        </w:numPr>
      </w:pPr>
      <w:r w:rsidRPr="00470294">
        <w:t xml:space="preserve">Health Canada’s </w:t>
      </w:r>
      <w:hyperlink r:id="rId133" w:history="1">
        <w:r w:rsidRPr="00EF37AB">
          <w:rPr>
            <w:rStyle w:val="Hyperlink"/>
            <w:rFonts w:asciiTheme="minorHAnsi" w:hAnsiTheme="minorHAnsi"/>
          </w:rPr>
          <w:t>Drug Product Database</w:t>
        </w:r>
      </w:hyperlink>
      <w:r w:rsidRPr="00EF37AB">
        <w:t xml:space="preserve"> </w:t>
      </w:r>
      <w:r w:rsidRPr="00470294">
        <w:t>includes 5</w:t>
      </w:r>
      <w:r w:rsidR="00451FEF">
        <w:t>7</w:t>
      </w:r>
      <w:r w:rsidRPr="00470294">
        <w:t xml:space="preserve"> marketed products containing adrenaline (as epinephrine), including injections, sprays and topical solutions. Most registered products are classified as ‘ethical’ medicines (available without a prescription from a medical practitioner).</w:t>
      </w:r>
    </w:p>
    <w:p w14:paraId="69FA3986" w14:textId="66C96A01" w:rsidR="00E13CFF" w:rsidRPr="00470294" w:rsidRDefault="00E13CFF" w:rsidP="00EB1099">
      <w:pPr>
        <w:pStyle w:val="ListBullet"/>
        <w:numPr>
          <w:ilvl w:val="0"/>
          <w:numId w:val="83"/>
        </w:numPr>
        <w:rPr>
          <w:rStyle w:val="Hyperlink"/>
          <w:rFonts w:asciiTheme="minorHAnsi" w:hAnsiTheme="minorHAnsi"/>
          <w:color w:val="auto"/>
          <w:u w:val="none"/>
        </w:rPr>
      </w:pPr>
      <w:r w:rsidRPr="00470294">
        <w:rPr>
          <w:rStyle w:val="Hyperlink"/>
          <w:rFonts w:asciiTheme="minorHAnsi" w:hAnsiTheme="minorHAnsi"/>
          <w:color w:val="auto"/>
          <w:u w:val="none"/>
        </w:rPr>
        <w:t xml:space="preserve">The US Food and Drug Administration’s </w:t>
      </w:r>
      <w:hyperlink r:id="rId134" w:history="1">
        <w:r w:rsidRPr="007040B0">
          <w:rPr>
            <w:rStyle w:val="Hyperlink"/>
            <w:rFonts w:asciiTheme="minorHAnsi" w:hAnsiTheme="minorHAnsi"/>
          </w:rPr>
          <w:t>Drugs@FDA</w:t>
        </w:r>
      </w:hyperlink>
      <w:r w:rsidRPr="00470294">
        <w:rPr>
          <w:rStyle w:val="Hyperlink"/>
          <w:rFonts w:asciiTheme="minorHAnsi" w:hAnsiTheme="minorHAnsi"/>
          <w:color w:val="auto"/>
          <w:u w:val="none"/>
        </w:rPr>
        <w:t xml:space="preserve"> database lists 59 active products containing adrenaline, most of which are injectable preparations that are listed as prescription medicines.</w:t>
      </w:r>
      <w:r w:rsidR="00540802">
        <w:rPr>
          <w:rStyle w:val="Hyperlink"/>
          <w:rFonts w:asciiTheme="minorHAnsi" w:hAnsiTheme="minorHAnsi"/>
          <w:color w:val="auto"/>
          <w:u w:val="none"/>
        </w:rPr>
        <w:t xml:space="preserve"> One product, a metered dose aerosol, is listed as an over-the-counter medicine.</w:t>
      </w:r>
    </w:p>
    <w:p w14:paraId="3F7DCB3B" w14:textId="41CC8379" w:rsidR="00E13CFF" w:rsidRDefault="001D5CC5" w:rsidP="00D24795">
      <w:pPr>
        <w:pStyle w:val="Heading3"/>
      </w:pPr>
      <w:bookmarkStart w:id="130" w:name="_Toc144110918"/>
      <w:r>
        <w:t>2.2</w:t>
      </w:r>
      <w:r>
        <w:tab/>
      </w:r>
      <w:r w:rsidR="00E13CFF" w:rsidRPr="00154AA1">
        <w:t>Benzoic acid</w:t>
      </w:r>
      <w:bookmarkEnd w:id="130"/>
    </w:p>
    <w:p w14:paraId="57EA7272" w14:textId="77777777" w:rsidR="00E13CFF" w:rsidRDefault="00E13CFF" w:rsidP="00E13CFF">
      <w:pPr>
        <w:pStyle w:val="Heading4"/>
      </w:pPr>
      <w:bookmarkStart w:id="131" w:name="_Toc144110919"/>
      <w:r>
        <w:t>Proposal</w:t>
      </w:r>
      <w:bookmarkEnd w:id="131"/>
    </w:p>
    <w:p w14:paraId="58355B5A" w14:textId="77777777" w:rsidR="00E13CFF" w:rsidRDefault="00E13CFF" w:rsidP="00E13CFF">
      <w:r>
        <w:t>The applicant has proposed new entries in Schedules 5, 6 and 7 for benzoic acid, which is presently unscheduled. The new entries in Schedules 5 and 6 would place labelling requirements on the use of benzoic acid in agricultural and veterinary products, while the Schedule 7 entry would impose controls on preparations containing more than 10% benzoic acid.</w:t>
      </w:r>
    </w:p>
    <w:p w14:paraId="11FE60AB" w14:textId="31749AEB" w:rsidR="00E13CFF" w:rsidRDefault="00E13CFF" w:rsidP="00E13CFF">
      <w:pPr>
        <w:pStyle w:val="Heading4"/>
      </w:pPr>
      <w:bookmarkStart w:id="132" w:name="_Toc144110920"/>
      <w:r>
        <w:t>CAS Number</w:t>
      </w:r>
      <w:bookmarkEnd w:id="132"/>
    </w:p>
    <w:p w14:paraId="66CF32D8" w14:textId="77777777" w:rsidR="00E13CFF" w:rsidRDefault="00E13CFF" w:rsidP="00E13CFF">
      <w:r>
        <w:t>65-85-0</w:t>
      </w:r>
    </w:p>
    <w:p w14:paraId="35DE878C" w14:textId="77777777" w:rsidR="00E13CFF" w:rsidRDefault="00E13CFF" w:rsidP="00E13CFF">
      <w:pPr>
        <w:pStyle w:val="Heading4"/>
      </w:pPr>
      <w:bookmarkStart w:id="133" w:name="_Toc144110921"/>
      <w:r>
        <w:t>Alternative names</w:t>
      </w:r>
      <w:bookmarkEnd w:id="133"/>
    </w:p>
    <w:p w14:paraId="3502E219" w14:textId="77777777" w:rsidR="00E13CFF" w:rsidRDefault="00E13CFF" w:rsidP="00E13CFF">
      <w:r>
        <w:t>Benzenecarboxylic acid, dracylic acid</w:t>
      </w:r>
    </w:p>
    <w:p w14:paraId="4AA8A38F" w14:textId="77777777" w:rsidR="00E13CFF" w:rsidRDefault="00E13CFF" w:rsidP="00E13CFF">
      <w:pPr>
        <w:pStyle w:val="Heading4"/>
      </w:pPr>
      <w:bookmarkStart w:id="134" w:name="_Toc144110922"/>
      <w:r>
        <w:t>Applicant</w:t>
      </w:r>
      <w:bookmarkEnd w:id="134"/>
    </w:p>
    <w:p w14:paraId="429793EB" w14:textId="4D0527BE" w:rsidR="00E13CFF" w:rsidRDefault="00E13CFF" w:rsidP="00E13CFF">
      <w:r w:rsidRPr="006F73B8">
        <w:t>Australian Pesticides and Veterinary Medicines Authority (APVMA)</w:t>
      </w:r>
    </w:p>
    <w:p w14:paraId="4C127896" w14:textId="1528F6BA" w:rsidR="00E13CFF" w:rsidRDefault="00E13CFF" w:rsidP="00E13CFF">
      <w:pPr>
        <w:pStyle w:val="Heading4"/>
      </w:pPr>
      <w:bookmarkStart w:id="135" w:name="_Toc144110923"/>
      <w:r>
        <w:t>Proposed Scheduling</w:t>
      </w:r>
      <w:bookmarkEnd w:id="135"/>
    </w:p>
    <w:p w14:paraId="45A1840F" w14:textId="77777777" w:rsidR="007040B0" w:rsidRDefault="000F6508" w:rsidP="007040B0">
      <w:pPr>
        <w:rPr>
          <w:rFonts w:cstheme="minorHAnsi"/>
        </w:rPr>
      </w:pPr>
      <w:r>
        <w:rPr>
          <w:rFonts w:cstheme="minorHAnsi"/>
        </w:rPr>
        <w:t>Benzoic acid is</w:t>
      </w:r>
      <w:r w:rsidR="00D709ED" w:rsidRPr="00AF12F6">
        <w:rPr>
          <w:rFonts w:cstheme="minorHAnsi"/>
        </w:rPr>
        <w:t xml:space="preserve"> not specifically scheduled</w:t>
      </w:r>
      <w:r w:rsidR="00D709ED">
        <w:rPr>
          <w:rFonts w:cstheme="minorHAnsi"/>
        </w:rPr>
        <w:t xml:space="preserve"> in the current Poisons Standard</w:t>
      </w:r>
      <w:r w:rsidR="00D709ED" w:rsidRPr="00AF12F6">
        <w:rPr>
          <w:rFonts w:cstheme="minorHAnsi"/>
        </w:rPr>
        <w:t>.</w:t>
      </w:r>
    </w:p>
    <w:p w14:paraId="7BA8E0A4" w14:textId="5D273ECF" w:rsidR="00E13CFF" w:rsidRPr="007040B0" w:rsidRDefault="00E13CFF" w:rsidP="007040B0">
      <w:pPr>
        <w:rPr>
          <w:b/>
          <w:bCs/>
        </w:rPr>
      </w:pPr>
      <w:r>
        <w:rPr>
          <w:rFonts w:cstheme="minorHAnsi"/>
        </w:rPr>
        <w:t>The applicant has proposed the following new entries:</w:t>
      </w:r>
      <w:r>
        <w:rPr>
          <w:rStyle w:val="FootnoteReference"/>
          <w:rFonts w:cstheme="minorHAnsi"/>
        </w:rPr>
        <w:footnoteReference w:id="11"/>
      </w:r>
    </w:p>
    <w:p w14:paraId="18BEDEBA" w14:textId="77777777" w:rsidR="00E13CFF" w:rsidRPr="006D5C84" w:rsidRDefault="00E13CFF" w:rsidP="000F6508">
      <w:pPr>
        <w:keepNext/>
        <w:ind w:left="426"/>
        <w:rPr>
          <w:b/>
        </w:rPr>
      </w:pPr>
      <w:r w:rsidRPr="006D5C84">
        <w:rPr>
          <w:b/>
        </w:rPr>
        <w:t xml:space="preserve">Schedule </w:t>
      </w:r>
      <w:r>
        <w:rPr>
          <w:b/>
        </w:rPr>
        <w:t>7 – New Entry</w:t>
      </w:r>
    </w:p>
    <w:p w14:paraId="6D7355D1" w14:textId="77777777" w:rsidR="00E13CFF" w:rsidRPr="006F73B8" w:rsidRDefault="00E13CFF" w:rsidP="00E13CFF">
      <w:pPr>
        <w:ind w:left="709"/>
        <w:rPr>
          <w:rFonts w:cstheme="minorHAnsi"/>
          <w:color w:val="00B050"/>
          <w:u w:val="single"/>
        </w:rPr>
      </w:pPr>
      <w:r w:rsidRPr="006F73B8">
        <w:rPr>
          <w:rFonts w:cstheme="minorHAnsi"/>
          <w:color w:val="00B050"/>
          <w:u w:val="single"/>
        </w:rPr>
        <w:t>BENZOIC ACID in preparations containing greater than 10% of benzoic acid.</w:t>
      </w:r>
    </w:p>
    <w:p w14:paraId="7CB0215E" w14:textId="77777777" w:rsidR="00E13CFF" w:rsidRPr="006F73B8" w:rsidRDefault="00E13CFF" w:rsidP="00E13CFF">
      <w:pPr>
        <w:ind w:left="426"/>
        <w:rPr>
          <w:rFonts w:cstheme="minorHAnsi"/>
          <w:b/>
          <w:bCs/>
        </w:rPr>
      </w:pPr>
      <w:r w:rsidRPr="006F73B8">
        <w:rPr>
          <w:rFonts w:cstheme="minorHAnsi"/>
          <w:b/>
          <w:bCs/>
        </w:rPr>
        <w:t>Schedule 6</w:t>
      </w:r>
      <w:r>
        <w:rPr>
          <w:rFonts w:cstheme="minorHAnsi"/>
          <w:b/>
          <w:bCs/>
        </w:rPr>
        <w:t xml:space="preserve"> – New Entry</w:t>
      </w:r>
    </w:p>
    <w:p w14:paraId="0BFD0977" w14:textId="77777777" w:rsidR="00E13CFF" w:rsidRPr="006F73B8" w:rsidRDefault="00E13CFF" w:rsidP="00E13CFF">
      <w:pPr>
        <w:ind w:left="709"/>
        <w:rPr>
          <w:rFonts w:cstheme="minorHAnsi"/>
          <w:color w:val="00B050"/>
          <w:u w:val="single"/>
        </w:rPr>
      </w:pPr>
      <w:r w:rsidRPr="006F73B8">
        <w:rPr>
          <w:rFonts w:cstheme="minorHAnsi"/>
          <w:color w:val="00B050"/>
          <w:u w:val="single"/>
        </w:rPr>
        <w:t xml:space="preserve">BENZOIC ACID in preparations containing less than 10% of benzoic acid in agricultural and veterinary chemical products </w:t>
      </w:r>
      <w:r w:rsidRPr="006F73B8">
        <w:rPr>
          <w:rFonts w:cstheme="minorHAnsi"/>
          <w:b/>
          <w:bCs/>
          <w:color w:val="00B050"/>
          <w:u w:val="single"/>
        </w:rPr>
        <w:t>except</w:t>
      </w:r>
      <w:r w:rsidRPr="006F73B8">
        <w:rPr>
          <w:rFonts w:cstheme="minorHAnsi"/>
          <w:color w:val="00B050"/>
          <w:u w:val="single"/>
        </w:rPr>
        <w:t xml:space="preserve"> when included in Schedule 5.</w:t>
      </w:r>
    </w:p>
    <w:p w14:paraId="0560C684" w14:textId="77777777" w:rsidR="00E13CFF" w:rsidRPr="006F73B8" w:rsidRDefault="00E13CFF" w:rsidP="00E13CFF">
      <w:pPr>
        <w:ind w:left="426"/>
        <w:rPr>
          <w:rFonts w:cstheme="minorHAnsi"/>
          <w:b/>
          <w:bCs/>
        </w:rPr>
      </w:pPr>
      <w:r w:rsidRPr="006F73B8">
        <w:rPr>
          <w:rFonts w:cstheme="minorHAnsi"/>
          <w:b/>
          <w:bCs/>
        </w:rPr>
        <w:t>Schedule 5</w:t>
      </w:r>
      <w:r>
        <w:rPr>
          <w:rFonts w:cstheme="minorHAnsi"/>
          <w:b/>
          <w:bCs/>
        </w:rPr>
        <w:t xml:space="preserve"> – New Entry</w:t>
      </w:r>
    </w:p>
    <w:p w14:paraId="6CAC76D7" w14:textId="77777777" w:rsidR="00E13CFF" w:rsidRPr="006F73B8" w:rsidRDefault="00E13CFF" w:rsidP="00E13CFF">
      <w:pPr>
        <w:ind w:left="709"/>
        <w:rPr>
          <w:rFonts w:cstheme="minorHAnsi"/>
          <w:color w:val="00B050"/>
          <w:u w:val="single"/>
        </w:rPr>
      </w:pPr>
      <w:r w:rsidRPr="006F73B8">
        <w:rPr>
          <w:rFonts w:cstheme="minorHAnsi"/>
          <w:color w:val="00B050"/>
          <w:u w:val="single"/>
        </w:rPr>
        <w:t>BENZOIC ACID in preparations containing less than 1% of benzoic acid in agricultural and veterinary products.</w:t>
      </w:r>
    </w:p>
    <w:p w14:paraId="2F57FB7C" w14:textId="77777777" w:rsidR="00E13CFF" w:rsidRPr="005133F7" w:rsidRDefault="00E13CFF" w:rsidP="00E13CFF">
      <w:pPr>
        <w:ind w:left="426"/>
        <w:rPr>
          <w:b/>
        </w:rPr>
      </w:pPr>
      <w:r>
        <w:rPr>
          <w:b/>
        </w:rPr>
        <w:t>Index – New Entry</w:t>
      </w:r>
    </w:p>
    <w:p w14:paraId="03F22EEB" w14:textId="24521DCD" w:rsidR="00E13CFF" w:rsidRPr="00C82D46" w:rsidRDefault="00E13CFF" w:rsidP="000F3020">
      <w:pPr>
        <w:ind w:left="709"/>
        <w:rPr>
          <w:rFonts w:cstheme="minorHAnsi"/>
          <w:color w:val="00B050"/>
          <w:u w:val="single"/>
        </w:rPr>
      </w:pPr>
      <w:r w:rsidRPr="00C82D46">
        <w:rPr>
          <w:rFonts w:cstheme="minorHAnsi"/>
          <w:b/>
          <w:bCs/>
          <w:color w:val="00B050"/>
          <w:u w:val="single"/>
        </w:rPr>
        <w:t>BENZOIC ACID</w:t>
      </w:r>
      <w:r w:rsidR="000F3020">
        <w:rPr>
          <w:rFonts w:cstheme="minorHAnsi"/>
          <w:color w:val="00B050"/>
          <w:u w:val="single"/>
        </w:rPr>
        <w:br/>
      </w:r>
      <w:r w:rsidRPr="00C82D46">
        <w:rPr>
          <w:rFonts w:cstheme="minorHAnsi"/>
          <w:color w:val="00B050"/>
          <w:u w:val="single"/>
        </w:rPr>
        <w:t>Schedule 7</w:t>
      </w:r>
      <w:r w:rsidRPr="00C82D46">
        <w:rPr>
          <w:rFonts w:cstheme="minorHAnsi"/>
          <w:color w:val="00B050"/>
          <w:u w:val="single"/>
        </w:rPr>
        <w:br/>
        <w:t>Schedule 6</w:t>
      </w:r>
      <w:r w:rsidRPr="00C82D46">
        <w:rPr>
          <w:rFonts w:cstheme="minorHAnsi"/>
          <w:color w:val="00B050"/>
          <w:u w:val="single"/>
        </w:rPr>
        <w:br/>
        <w:t>Schedule 5</w:t>
      </w:r>
    </w:p>
    <w:p w14:paraId="7CFEA471" w14:textId="77777777" w:rsidR="00E13CFF" w:rsidRDefault="00E13CFF" w:rsidP="00E13CFF">
      <w:pPr>
        <w:pStyle w:val="Heading4"/>
      </w:pPr>
      <w:bookmarkStart w:id="136" w:name="_Toc144110924"/>
      <w:r>
        <w:t>Background</w:t>
      </w:r>
      <w:bookmarkEnd w:id="136"/>
    </w:p>
    <w:p w14:paraId="4FF7704C" w14:textId="4062D73B" w:rsidR="00E13CFF" w:rsidRDefault="00E13CFF" w:rsidP="00E13CFF">
      <w:r>
        <w:t>Benzoic acid is a naturally occurring anti-bacterial and anti-fungal substance that has widespread use as a food preservative and in cosmetics, pharmaceutical and personal hygiene products.</w:t>
      </w:r>
      <w:r w:rsidR="0093722C" w:rsidRPr="0093722C">
        <w:t xml:space="preserve"> Benzoic acid is </w:t>
      </w:r>
      <w:r w:rsidR="0093722C">
        <w:t xml:space="preserve">also </w:t>
      </w:r>
      <w:r w:rsidR="0093722C" w:rsidRPr="0093722C">
        <w:t>currently present in numerous agricultural and veterinary (</w:t>
      </w:r>
      <w:r w:rsidR="00571A6E">
        <w:t>a</w:t>
      </w:r>
      <w:r w:rsidR="0093722C" w:rsidRPr="0093722C">
        <w:t>g</w:t>
      </w:r>
      <w:r w:rsidR="00571A6E">
        <w:t>v</w:t>
      </w:r>
      <w:r w:rsidR="0093722C" w:rsidRPr="0093722C">
        <w:t>et) products, as an excipient or active constituent</w:t>
      </w:r>
      <w:r w:rsidR="0093722C">
        <w:t>.</w:t>
      </w:r>
    </w:p>
    <w:p w14:paraId="629BE727" w14:textId="77777777" w:rsidR="00E13CFF" w:rsidRDefault="00E13CFF" w:rsidP="00E13CFF">
      <w:pPr>
        <w:pStyle w:val="Heading4"/>
      </w:pPr>
      <w:bookmarkStart w:id="137" w:name="_Toc144110925"/>
      <w:r>
        <w:t>Summary of applicant’s reasons for the proposal</w:t>
      </w:r>
      <w:bookmarkEnd w:id="137"/>
    </w:p>
    <w:p w14:paraId="11FFB151" w14:textId="77777777" w:rsidR="00E13CFF" w:rsidRPr="00470294" w:rsidRDefault="00E13CFF" w:rsidP="00EB1099">
      <w:pPr>
        <w:pStyle w:val="ListBullet"/>
        <w:numPr>
          <w:ilvl w:val="0"/>
          <w:numId w:val="83"/>
        </w:numPr>
      </w:pPr>
      <w:r w:rsidRPr="00470294">
        <w:t>Toxicity data on benzoic acid has been collected over decades, relating to the long history of use in food, cosmetics, pharmaceuticals and as a disinfectant, and giving a robust database for the hazard assessment and risk assessment of benzoic acid.</w:t>
      </w:r>
    </w:p>
    <w:p w14:paraId="1942245B" w14:textId="0D629F36" w:rsidR="00E13CFF" w:rsidRPr="00470294" w:rsidRDefault="00E13CFF" w:rsidP="00EB1099">
      <w:pPr>
        <w:pStyle w:val="ListBullet"/>
        <w:numPr>
          <w:ilvl w:val="0"/>
          <w:numId w:val="83"/>
        </w:numPr>
      </w:pPr>
      <w:r w:rsidRPr="00470294">
        <w:t xml:space="preserve">Benzoic acid has low acute toxicity by the oral, dermal and inhalation routes. The substance is a slight skin irritant, not a skin sensitiser, but is corrosive to the eye and potential respiratory irritant. The toxicology profile of benzoic acid is consistent with the Scheduling Policy Framework for inclusion in Schedule 7 of the </w:t>
      </w:r>
      <w:r w:rsidR="0093722C">
        <w:t>Poisons Standard</w:t>
      </w:r>
      <w:r w:rsidRPr="00470294">
        <w:t>, based on its corrosive eye irritation.</w:t>
      </w:r>
    </w:p>
    <w:p w14:paraId="197965D1" w14:textId="5AEBCE49" w:rsidR="00E13CFF" w:rsidRPr="00470294" w:rsidRDefault="00E13CFF" w:rsidP="00EB1099">
      <w:pPr>
        <w:pStyle w:val="ListBullet"/>
        <w:numPr>
          <w:ilvl w:val="0"/>
          <w:numId w:val="83"/>
        </w:numPr>
      </w:pPr>
      <w:r w:rsidRPr="00470294">
        <w:t xml:space="preserve">The substance may be suitable for a Schedule 6 entry based on appropriate risk mitigation measures. Additionally, the </w:t>
      </w:r>
      <w:hyperlink r:id="rId135" w:history="1">
        <w:r w:rsidRPr="00D60DC1">
          <w:rPr>
            <w:rStyle w:val="Hyperlink"/>
            <w:rFonts w:asciiTheme="minorHAnsi" w:hAnsiTheme="minorHAnsi"/>
          </w:rPr>
          <w:t>GHS cut-offs</w:t>
        </w:r>
      </w:hyperlink>
      <w:r w:rsidR="00D60DC1">
        <w:t xml:space="preserve"> </w:t>
      </w:r>
      <w:r w:rsidRPr="00470294">
        <w:t>for Category 1 eye irritants may be suitable for inclusion of low concentration products in Schedule 5.</w:t>
      </w:r>
    </w:p>
    <w:p w14:paraId="6143C396" w14:textId="77777777" w:rsidR="00E13CFF" w:rsidRPr="00470294" w:rsidRDefault="00E13CFF" w:rsidP="00EB1099">
      <w:pPr>
        <w:pStyle w:val="ListBullet"/>
        <w:numPr>
          <w:ilvl w:val="0"/>
          <w:numId w:val="83"/>
        </w:numPr>
      </w:pPr>
      <w:r w:rsidRPr="00470294">
        <w:t>Benzoic acid is present in products as diverse as mouth washes, topical ointments, veterinary medicines, and agricultural products. Benzoic acid (and sodium, potassium and calcium benzoates) is permitted as a food additive at levels up to 0.1%.</w:t>
      </w:r>
    </w:p>
    <w:p w14:paraId="7FB34853" w14:textId="77777777" w:rsidR="00E13CFF" w:rsidRDefault="00E13CFF" w:rsidP="00E13CFF">
      <w:pPr>
        <w:pStyle w:val="Heading4"/>
      </w:pPr>
      <w:bookmarkStart w:id="138" w:name="_Toc144110926"/>
      <w:r>
        <w:t>Key uses / expected use</w:t>
      </w:r>
      <w:bookmarkEnd w:id="138"/>
    </w:p>
    <w:p w14:paraId="1BEA9B81" w14:textId="54F2BB83" w:rsidR="00E13CFF" w:rsidRDefault="00E13CFF" w:rsidP="00E13CFF">
      <w:r w:rsidRPr="006C2A74">
        <w:t>Medicines, cosmetics, domestic products, veterinary medicines, agricultural products, industrial use</w:t>
      </w:r>
      <w:r w:rsidR="0093722C">
        <w:t>.</w:t>
      </w:r>
    </w:p>
    <w:p w14:paraId="125C6760" w14:textId="77777777" w:rsidR="00E13CFF" w:rsidRDefault="00E13CFF" w:rsidP="00E13CFF">
      <w:pPr>
        <w:pStyle w:val="Heading4"/>
      </w:pPr>
      <w:bookmarkStart w:id="139" w:name="_Toc144110927"/>
      <w:r>
        <w:t>Australian regulations</w:t>
      </w:r>
      <w:bookmarkEnd w:id="139"/>
    </w:p>
    <w:p w14:paraId="7DF69A99" w14:textId="2355A4B5" w:rsidR="00E13CFF" w:rsidRPr="00470294" w:rsidRDefault="00E13CFF" w:rsidP="00EB1099">
      <w:pPr>
        <w:pStyle w:val="ListBullet"/>
        <w:numPr>
          <w:ilvl w:val="0"/>
          <w:numId w:val="83"/>
        </w:numPr>
      </w:pPr>
      <w:r w:rsidRPr="00470294">
        <w:t xml:space="preserve">According to the </w:t>
      </w:r>
      <w:hyperlink r:id="rId136" w:history="1">
        <w:r w:rsidRPr="00EF37AB">
          <w:rPr>
            <w:rStyle w:val="Hyperlink"/>
            <w:rFonts w:asciiTheme="minorHAnsi" w:hAnsiTheme="minorHAnsi"/>
          </w:rPr>
          <w:t>TGA Ingredient Database</w:t>
        </w:r>
      </w:hyperlink>
      <w:r w:rsidRPr="00EF37AB">
        <w:t>,</w:t>
      </w:r>
      <w:r w:rsidRPr="00470294">
        <w:t xml:space="preserve"> benzoic acid is:</w:t>
      </w:r>
    </w:p>
    <w:p w14:paraId="7895DFC8" w14:textId="279C7398" w:rsidR="00E13CFF" w:rsidRPr="00470294" w:rsidRDefault="00E13CFF" w:rsidP="00EB1099">
      <w:pPr>
        <w:pStyle w:val="ListBullet2"/>
        <w:numPr>
          <w:ilvl w:val="1"/>
          <w:numId w:val="39"/>
        </w:numPr>
        <w:ind w:left="782" w:hanging="425"/>
        <w:rPr>
          <w:rFonts w:cstheme="minorHAnsi"/>
          <w:color w:val="auto"/>
        </w:rPr>
      </w:pPr>
      <w:r w:rsidRPr="00470294">
        <w:rPr>
          <w:rFonts w:cstheme="minorHAnsi"/>
          <w:color w:val="auto"/>
        </w:rPr>
        <w:t>Available for use as an Active Ingredient in Biologicals, Export Only, Listed Medicines, Over the Counter and Prescription Medicines</w:t>
      </w:r>
    </w:p>
    <w:p w14:paraId="28B6F3C5" w14:textId="77777777" w:rsidR="00E13CFF" w:rsidRPr="00470294" w:rsidRDefault="00E13CFF" w:rsidP="00EB1099">
      <w:pPr>
        <w:pStyle w:val="ListBullet2"/>
        <w:numPr>
          <w:ilvl w:val="1"/>
          <w:numId w:val="39"/>
        </w:numPr>
        <w:ind w:left="782" w:hanging="425"/>
        <w:rPr>
          <w:rFonts w:cstheme="minorHAnsi"/>
          <w:color w:val="auto"/>
        </w:rPr>
      </w:pPr>
      <w:r w:rsidRPr="00470294">
        <w:rPr>
          <w:rFonts w:cstheme="minorHAnsi"/>
          <w:color w:val="auto"/>
        </w:rPr>
        <w:t>Available for use in Listed Medicines as a Homeopathic Ingredient only</w:t>
      </w:r>
    </w:p>
    <w:p w14:paraId="0DB286A4" w14:textId="77777777" w:rsidR="00E13CFF" w:rsidRPr="00470294" w:rsidRDefault="00E13CFF" w:rsidP="00EB1099">
      <w:pPr>
        <w:pStyle w:val="ListBullet2"/>
        <w:numPr>
          <w:ilvl w:val="1"/>
          <w:numId w:val="39"/>
        </w:numPr>
        <w:ind w:left="782" w:hanging="425"/>
        <w:rPr>
          <w:rFonts w:cstheme="minorHAnsi"/>
          <w:color w:val="auto"/>
        </w:rPr>
      </w:pPr>
      <w:r w:rsidRPr="00470294">
        <w:rPr>
          <w:rFonts w:cstheme="minorHAnsi"/>
          <w:color w:val="auto"/>
        </w:rPr>
        <w:t>Available for use as an Excipient Ingredient in Biologicals, Devices, Export Only, Listed Medicines, Over the Counter and Prescription Medicines</w:t>
      </w:r>
    </w:p>
    <w:p w14:paraId="14E3EC4A" w14:textId="75AC2761" w:rsidR="00E13CFF" w:rsidRPr="00470294" w:rsidRDefault="00E13CFF" w:rsidP="00EB1099">
      <w:pPr>
        <w:pStyle w:val="ListBullet2"/>
        <w:numPr>
          <w:ilvl w:val="1"/>
          <w:numId w:val="39"/>
        </w:numPr>
        <w:ind w:left="782" w:hanging="425"/>
        <w:rPr>
          <w:rFonts w:cstheme="minorHAnsi"/>
          <w:color w:val="auto"/>
        </w:rPr>
      </w:pPr>
      <w:r w:rsidRPr="00470294">
        <w:rPr>
          <w:rFonts w:cstheme="minorHAnsi"/>
          <w:color w:val="auto"/>
        </w:rPr>
        <w:t>Not available as an Equivalent Ingredient in any application</w:t>
      </w:r>
      <w:r w:rsidR="00EB1099">
        <w:rPr>
          <w:rFonts w:cstheme="minorHAnsi"/>
          <w:color w:val="auto"/>
        </w:rPr>
        <w:t>.</w:t>
      </w:r>
    </w:p>
    <w:p w14:paraId="06EC9AE5" w14:textId="46B20935" w:rsidR="00E13CFF" w:rsidRPr="00EF37AB" w:rsidRDefault="00E13CFF" w:rsidP="00EB1099">
      <w:pPr>
        <w:pStyle w:val="ListBullet"/>
        <w:numPr>
          <w:ilvl w:val="0"/>
          <w:numId w:val="83"/>
        </w:numPr>
      </w:pPr>
      <w:r w:rsidRPr="00470294">
        <w:t xml:space="preserve">As of August 2023, there were 10 medicines currently active on the </w:t>
      </w:r>
      <w:hyperlink r:id="rId137" w:history="1">
        <w:r w:rsidR="00EB1099">
          <w:rPr>
            <w:rStyle w:val="Hyperlink"/>
            <w:rFonts w:asciiTheme="minorHAnsi" w:hAnsiTheme="minorHAnsi"/>
          </w:rPr>
          <w:t>Australian Register of Therapeutic Goods</w:t>
        </w:r>
      </w:hyperlink>
      <w:r w:rsidR="00EB1099" w:rsidRPr="00EB1099">
        <w:rPr>
          <w:rStyle w:val="Hyperlink"/>
          <w:rFonts w:asciiTheme="minorHAnsi" w:hAnsiTheme="minorHAnsi"/>
          <w:color w:val="auto"/>
          <w:u w:val="none"/>
        </w:rPr>
        <w:t xml:space="preserve"> (ARTG)</w:t>
      </w:r>
      <w:r w:rsidRPr="00470294">
        <w:t xml:space="preserve"> that contain benzoic acid as an active ingredient. These include </w:t>
      </w:r>
      <w:r w:rsidR="00D60DC1">
        <w:br/>
      </w:r>
      <w:r w:rsidRPr="00470294">
        <w:t>10 non-prescription medicines.</w:t>
      </w:r>
    </w:p>
    <w:p w14:paraId="3DFEE5A9" w14:textId="371822C0" w:rsidR="00E13CFF" w:rsidRPr="00EF37AB" w:rsidRDefault="00E13CFF" w:rsidP="00EB1099">
      <w:pPr>
        <w:pStyle w:val="ListBullet"/>
        <w:numPr>
          <w:ilvl w:val="0"/>
          <w:numId w:val="83"/>
        </w:numPr>
      </w:pPr>
      <w:r w:rsidRPr="00470294">
        <w:t xml:space="preserve">According to the </w:t>
      </w:r>
      <w:hyperlink r:id="rId138" w:history="1">
        <w:r w:rsidRPr="00EF37AB">
          <w:rPr>
            <w:rStyle w:val="Hyperlink"/>
            <w:rFonts w:asciiTheme="minorHAnsi" w:hAnsiTheme="minorHAnsi"/>
          </w:rPr>
          <w:t>Therapeutic Goods (Permissible Ingredients) Determination</w:t>
        </w:r>
      </w:hyperlink>
      <w:r w:rsidRPr="00470294">
        <w:t xml:space="preserve"> No.3 of 2023, benzoic acid is permitted to be included in listed medicines as follows:</w:t>
      </w:r>
    </w:p>
    <w:tbl>
      <w:tblPr>
        <w:tblStyle w:val="TableTGAblue"/>
        <w:tblW w:w="8646" w:type="dxa"/>
        <w:tblInd w:w="416" w:type="dxa"/>
        <w:tblLook w:val="04A0" w:firstRow="1" w:lastRow="0" w:firstColumn="1" w:lastColumn="0" w:noHBand="0" w:noVBand="1"/>
      </w:tblPr>
      <w:tblGrid>
        <w:gridCol w:w="755"/>
        <w:gridCol w:w="2747"/>
        <w:gridCol w:w="1084"/>
        <w:gridCol w:w="4060"/>
      </w:tblGrid>
      <w:tr w:rsidR="007040B0" w:rsidRPr="007040B0" w14:paraId="3CA56555" w14:textId="77777777" w:rsidTr="00881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14:paraId="76BD4D26" w14:textId="77777777" w:rsidR="00E13CFF" w:rsidRPr="007040B0" w:rsidRDefault="00E13CFF" w:rsidP="00EE4793">
            <w:pPr>
              <w:pStyle w:val="ListBullet"/>
              <w:numPr>
                <w:ilvl w:val="0"/>
                <w:numId w:val="0"/>
              </w:numPr>
              <w:rPr>
                <w:rFonts w:asciiTheme="minorHAnsi" w:hAnsiTheme="minorHAnsi"/>
                <w:color w:val="FFFFFF" w:themeColor="background1"/>
                <w:sz w:val="20"/>
                <w:szCs w:val="20"/>
              </w:rPr>
            </w:pPr>
            <w:r w:rsidRPr="007040B0">
              <w:rPr>
                <w:rFonts w:asciiTheme="minorHAnsi" w:hAnsiTheme="minorHAnsi"/>
                <w:color w:val="FFFFFF" w:themeColor="background1"/>
                <w:sz w:val="20"/>
                <w:szCs w:val="20"/>
              </w:rPr>
              <w:t>Item</w:t>
            </w:r>
          </w:p>
        </w:tc>
        <w:tc>
          <w:tcPr>
            <w:tcW w:w="2747" w:type="dxa"/>
          </w:tcPr>
          <w:p w14:paraId="574592F4" w14:textId="77777777" w:rsidR="00E13CFF" w:rsidRPr="007040B0" w:rsidRDefault="00E13CFF" w:rsidP="00EE4793">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7040B0">
              <w:rPr>
                <w:rFonts w:asciiTheme="minorHAnsi" w:hAnsiTheme="minorHAnsi"/>
                <w:color w:val="FFFFFF" w:themeColor="background1"/>
                <w:sz w:val="20"/>
                <w:szCs w:val="20"/>
              </w:rPr>
              <w:t>Ingredient name</w:t>
            </w:r>
          </w:p>
        </w:tc>
        <w:tc>
          <w:tcPr>
            <w:tcW w:w="1084" w:type="dxa"/>
          </w:tcPr>
          <w:p w14:paraId="23238710" w14:textId="77777777" w:rsidR="00E13CFF" w:rsidRPr="007040B0" w:rsidRDefault="00E13CFF" w:rsidP="00EE4793">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7040B0">
              <w:rPr>
                <w:rFonts w:asciiTheme="minorHAnsi" w:hAnsiTheme="minorHAnsi"/>
                <w:color w:val="FFFFFF" w:themeColor="background1"/>
                <w:sz w:val="20"/>
                <w:szCs w:val="20"/>
              </w:rPr>
              <w:t>Purpose</w:t>
            </w:r>
          </w:p>
        </w:tc>
        <w:tc>
          <w:tcPr>
            <w:tcW w:w="4060" w:type="dxa"/>
          </w:tcPr>
          <w:p w14:paraId="25014449" w14:textId="77777777" w:rsidR="00E13CFF" w:rsidRPr="007040B0" w:rsidRDefault="00E13CFF" w:rsidP="00EE4793">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7040B0">
              <w:rPr>
                <w:rFonts w:asciiTheme="minorHAnsi" w:hAnsiTheme="minorHAnsi"/>
                <w:color w:val="FFFFFF" w:themeColor="background1"/>
                <w:sz w:val="20"/>
                <w:szCs w:val="20"/>
              </w:rPr>
              <w:t>Specific requirements</w:t>
            </w:r>
          </w:p>
        </w:tc>
      </w:tr>
      <w:tr w:rsidR="00E13CFF" w:rsidRPr="007040B0" w14:paraId="547A3580" w14:textId="77777777" w:rsidTr="00881763">
        <w:tc>
          <w:tcPr>
            <w:cnfStyle w:val="001000000000" w:firstRow="0" w:lastRow="0" w:firstColumn="1" w:lastColumn="0" w:oddVBand="0" w:evenVBand="0" w:oddHBand="0" w:evenHBand="0" w:firstRowFirstColumn="0" w:firstRowLastColumn="0" w:lastRowFirstColumn="0" w:lastRowLastColumn="0"/>
            <w:tcW w:w="755" w:type="dxa"/>
          </w:tcPr>
          <w:p w14:paraId="302D4C4A" w14:textId="77777777" w:rsidR="00E13CFF" w:rsidRPr="007040B0" w:rsidRDefault="00E13CFF" w:rsidP="00881763">
            <w:pPr>
              <w:keepNext/>
              <w:keepLines/>
              <w:spacing w:before="120" w:after="120"/>
              <w:rPr>
                <w:rFonts w:asciiTheme="minorHAnsi" w:hAnsiTheme="minorHAnsi" w:cstheme="minorHAnsi"/>
                <w:sz w:val="20"/>
                <w:szCs w:val="20"/>
              </w:rPr>
            </w:pPr>
            <w:r w:rsidRPr="007040B0">
              <w:rPr>
                <w:rFonts w:asciiTheme="minorHAnsi" w:hAnsiTheme="minorHAnsi" w:cstheme="minorHAnsi"/>
                <w:sz w:val="20"/>
                <w:szCs w:val="20"/>
              </w:rPr>
              <w:t>801</w:t>
            </w:r>
          </w:p>
        </w:tc>
        <w:tc>
          <w:tcPr>
            <w:tcW w:w="2747" w:type="dxa"/>
          </w:tcPr>
          <w:p w14:paraId="54D487A0" w14:textId="77777777" w:rsidR="00E13CFF" w:rsidRPr="007040B0" w:rsidRDefault="00E13CFF" w:rsidP="00881763">
            <w:pPr>
              <w:keepNext/>
              <w:keepLine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040B0">
              <w:rPr>
                <w:rFonts w:asciiTheme="minorHAnsi" w:hAnsiTheme="minorHAnsi" w:cstheme="minorHAnsi"/>
                <w:sz w:val="20"/>
                <w:szCs w:val="20"/>
              </w:rPr>
              <w:t>BENZOIC ACID</w:t>
            </w:r>
          </w:p>
        </w:tc>
        <w:tc>
          <w:tcPr>
            <w:tcW w:w="1084" w:type="dxa"/>
          </w:tcPr>
          <w:p w14:paraId="7863EFAB" w14:textId="77777777" w:rsidR="00E13CFF" w:rsidRPr="007040B0" w:rsidRDefault="00E13CFF" w:rsidP="00881763">
            <w:pPr>
              <w:keepNext/>
              <w:keepLine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040B0">
              <w:rPr>
                <w:rFonts w:asciiTheme="minorHAnsi" w:hAnsiTheme="minorHAnsi" w:cstheme="minorHAnsi"/>
                <w:sz w:val="20"/>
                <w:szCs w:val="20"/>
              </w:rPr>
              <w:t>E, H</w:t>
            </w:r>
          </w:p>
        </w:tc>
        <w:tc>
          <w:tcPr>
            <w:tcW w:w="4060" w:type="dxa"/>
          </w:tcPr>
          <w:p w14:paraId="2CEE7E90" w14:textId="77777777" w:rsidR="00E13CFF" w:rsidRPr="007040B0" w:rsidRDefault="00E13CFF" w:rsidP="00881763">
            <w:pPr>
              <w:keepNext/>
              <w:keepLine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E13CFF" w:rsidRPr="007040B0" w14:paraId="4F54BC87" w14:textId="77777777" w:rsidTr="00881763">
        <w:trPr>
          <w:trHeight w:val="581"/>
        </w:trPr>
        <w:tc>
          <w:tcPr>
            <w:cnfStyle w:val="001000000000" w:firstRow="0" w:lastRow="0" w:firstColumn="1" w:lastColumn="0" w:oddVBand="0" w:evenVBand="0" w:oddHBand="0" w:evenHBand="0" w:firstRowFirstColumn="0" w:firstRowLastColumn="0" w:lastRowFirstColumn="0" w:lastRowLastColumn="0"/>
            <w:tcW w:w="8646" w:type="dxa"/>
            <w:gridSpan w:val="4"/>
          </w:tcPr>
          <w:p w14:paraId="6F634B82" w14:textId="77777777" w:rsidR="00E13CFF" w:rsidRPr="007040B0" w:rsidRDefault="00E13CFF" w:rsidP="00881763">
            <w:pPr>
              <w:keepNext/>
              <w:keepLines/>
              <w:spacing w:before="120" w:after="120"/>
              <w:rPr>
                <w:rFonts w:asciiTheme="minorHAnsi" w:hAnsiTheme="minorHAnsi" w:cstheme="minorHAnsi"/>
                <w:sz w:val="20"/>
                <w:szCs w:val="20"/>
              </w:rPr>
            </w:pPr>
            <w:r w:rsidRPr="007040B0">
              <w:rPr>
                <w:rFonts w:asciiTheme="minorHAnsi" w:hAnsiTheme="minorHAnsi" w:cstheme="minorHAnsi"/>
                <w:sz w:val="18"/>
                <w:szCs w:val="18"/>
              </w:rPr>
              <w:t>E = excipient for a medicine meaning an ingredient that is not an active ingredient or a homoeopathic preparation ingredient</w:t>
            </w:r>
            <w:r w:rsidRPr="007040B0">
              <w:rPr>
                <w:rFonts w:asciiTheme="minorHAnsi" w:hAnsiTheme="minorHAnsi" w:cstheme="minorHAnsi"/>
                <w:sz w:val="18"/>
                <w:szCs w:val="18"/>
              </w:rPr>
              <w:br/>
              <w:t>H = homoeopathic preparation ingredient meaning an ingredient that is a constituent of a homoeopathic preparation</w:t>
            </w:r>
          </w:p>
        </w:tc>
      </w:tr>
    </w:tbl>
    <w:p w14:paraId="00D15C17" w14:textId="33F9FA31" w:rsidR="00E13CFF" w:rsidRPr="00EF37AB" w:rsidRDefault="00E13CFF" w:rsidP="00EB1099">
      <w:pPr>
        <w:pStyle w:val="ListBullet"/>
        <w:numPr>
          <w:ilvl w:val="0"/>
          <w:numId w:val="83"/>
        </w:numPr>
      </w:pPr>
      <w:r w:rsidRPr="00470294">
        <w:t>The</w:t>
      </w:r>
      <w:r w:rsidRPr="00EF37AB">
        <w:t xml:space="preserve"> </w:t>
      </w:r>
      <w:hyperlink r:id="rId139" w:history="1">
        <w:r w:rsidRPr="00EF37AB">
          <w:rPr>
            <w:rStyle w:val="Hyperlink"/>
            <w:rFonts w:asciiTheme="minorHAnsi" w:hAnsiTheme="minorHAnsi"/>
          </w:rPr>
          <w:t>TGA prescribing medicines in pregnancy database</w:t>
        </w:r>
      </w:hyperlink>
      <w:r w:rsidRPr="00470294">
        <w:t xml:space="preserve"> does not include benzoic acid.</w:t>
      </w:r>
    </w:p>
    <w:p w14:paraId="7AC6980C" w14:textId="17FFE67F" w:rsidR="00E13CFF" w:rsidRPr="00470294" w:rsidRDefault="00E13CFF" w:rsidP="00EB1099">
      <w:pPr>
        <w:pStyle w:val="ListBullet"/>
        <w:numPr>
          <w:ilvl w:val="0"/>
          <w:numId w:val="83"/>
        </w:numPr>
      </w:pPr>
      <w:r w:rsidRPr="00470294">
        <w:t xml:space="preserve">There are no warning statements pertaining to benzoic acid in the </w:t>
      </w:r>
      <w:hyperlink r:id="rId140" w:history="1">
        <w:r w:rsidRPr="00EF37AB">
          <w:rPr>
            <w:rStyle w:val="Hyperlink"/>
            <w:rFonts w:asciiTheme="minorHAnsi" w:hAnsiTheme="minorHAnsi"/>
          </w:rPr>
          <w:t>Therapeutic Goods (Medicines Advisory Statements) Specification 2021</w:t>
        </w:r>
      </w:hyperlink>
      <w:r w:rsidRPr="00470294">
        <w:rPr>
          <w:rStyle w:val="Hyperlink"/>
          <w:rFonts w:asciiTheme="minorHAnsi" w:hAnsiTheme="minorHAnsi"/>
          <w:color w:val="auto"/>
          <w:u w:val="none"/>
        </w:rPr>
        <w:t>.</w:t>
      </w:r>
    </w:p>
    <w:p w14:paraId="2FC3FF52" w14:textId="4DE7010C" w:rsidR="00E13CFF" w:rsidRPr="00EF37AB" w:rsidRDefault="00E13CFF" w:rsidP="00EB1099">
      <w:pPr>
        <w:pStyle w:val="ListBullet"/>
        <w:numPr>
          <w:ilvl w:val="0"/>
          <w:numId w:val="83"/>
        </w:numPr>
      </w:pPr>
      <w:r w:rsidRPr="00470294">
        <w:t xml:space="preserve">Between January 1971 and July 2023, there were 23 reports of adverse events for products containing benzoic acid as an active ingredient on the </w:t>
      </w:r>
      <w:hyperlink r:id="rId141" w:history="1">
        <w:r w:rsidR="00EB1099">
          <w:rPr>
            <w:rStyle w:val="Hyperlink"/>
            <w:rFonts w:asciiTheme="minorHAnsi" w:hAnsiTheme="minorHAnsi"/>
          </w:rPr>
          <w:t>Database of Adverse Event Notifications</w:t>
        </w:r>
      </w:hyperlink>
      <w:r w:rsidR="00EB1099" w:rsidRPr="00EB1099">
        <w:rPr>
          <w:rStyle w:val="Hyperlink"/>
          <w:rFonts w:asciiTheme="minorHAnsi" w:hAnsiTheme="minorHAnsi"/>
          <w:color w:val="auto"/>
          <w:u w:val="none"/>
        </w:rPr>
        <w:t xml:space="preserve"> (DAEN)</w:t>
      </w:r>
      <w:r w:rsidRPr="00470294">
        <w:t>, with 22 reports where benzoic acid was the single suspected medicine. The reported events were diverse in nature and affected various organ classes.</w:t>
      </w:r>
    </w:p>
    <w:p w14:paraId="0D26AEA8" w14:textId="2403FA4B" w:rsidR="00E13CFF" w:rsidRPr="00EF37AB" w:rsidRDefault="00E13CFF" w:rsidP="00EB1099">
      <w:pPr>
        <w:pStyle w:val="ListBullet"/>
        <w:numPr>
          <w:ilvl w:val="0"/>
          <w:numId w:val="83"/>
        </w:numPr>
      </w:pPr>
      <w:r w:rsidRPr="00470294">
        <w:t xml:space="preserve">As of August 2023, there were 6 products containing benzoic acid as an active ingredient/constituent or scheduled substance listed on the </w:t>
      </w:r>
      <w:hyperlink r:id="rId142" w:history="1">
        <w:r w:rsidR="00EB1099">
          <w:rPr>
            <w:rStyle w:val="Hyperlink"/>
            <w:rFonts w:asciiTheme="minorHAnsi" w:hAnsiTheme="minorHAnsi"/>
          </w:rPr>
          <w:t>Public Chemical Registration Information System Search</w:t>
        </w:r>
      </w:hyperlink>
      <w:r w:rsidR="00EB1099" w:rsidRPr="00EB1099">
        <w:rPr>
          <w:rStyle w:val="Hyperlink"/>
          <w:rFonts w:asciiTheme="minorHAnsi" w:hAnsiTheme="minorHAnsi"/>
          <w:color w:val="auto"/>
          <w:u w:val="none"/>
        </w:rPr>
        <w:t xml:space="preserve"> (PubCRIS)</w:t>
      </w:r>
      <w:r w:rsidRPr="00EF37AB">
        <w:t>.</w:t>
      </w:r>
    </w:p>
    <w:p w14:paraId="49060146" w14:textId="4400A30F" w:rsidR="00E13CFF" w:rsidRDefault="00E13CFF" w:rsidP="00EB1099">
      <w:pPr>
        <w:pStyle w:val="ListBullet"/>
        <w:numPr>
          <w:ilvl w:val="0"/>
          <w:numId w:val="83"/>
        </w:numPr>
        <w:rPr>
          <w:rStyle w:val="Hyperlink"/>
          <w:rFonts w:asciiTheme="minorHAnsi" w:hAnsiTheme="minorHAnsi"/>
          <w:color w:val="auto"/>
          <w:u w:val="none"/>
        </w:rPr>
      </w:pPr>
      <w:r w:rsidRPr="00470294">
        <w:t xml:space="preserve">In 2010-2020 there were no adverse experiences were recorded for benzoic acid in the </w:t>
      </w:r>
      <w:hyperlink r:id="rId143" w:history="1">
        <w:r w:rsidRPr="00EF37AB">
          <w:rPr>
            <w:rStyle w:val="Hyperlink"/>
            <w:rFonts w:asciiTheme="minorHAnsi" w:hAnsiTheme="minorHAnsi"/>
          </w:rPr>
          <w:t>APVMA Adverse Experience Reporting Program</w:t>
        </w:r>
      </w:hyperlink>
      <w:r w:rsidR="00EB1099" w:rsidRPr="00EB1099">
        <w:rPr>
          <w:rStyle w:val="Hyperlink"/>
          <w:rFonts w:asciiTheme="minorHAnsi" w:hAnsiTheme="minorHAnsi"/>
          <w:color w:val="auto"/>
          <w:u w:val="none"/>
        </w:rPr>
        <w:t xml:space="preserve"> (AERP)</w:t>
      </w:r>
      <w:r w:rsidRPr="00EB1099">
        <w:rPr>
          <w:rStyle w:val="Hyperlink"/>
          <w:rFonts w:asciiTheme="minorHAnsi" w:hAnsiTheme="minorHAnsi"/>
          <w:color w:val="auto"/>
          <w:u w:val="none"/>
        </w:rPr>
        <w:t xml:space="preserve"> database.</w:t>
      </w:r>
    </w:p>
    <w:p w14:paraId="677C4BA4" w14:textId="15D58A82" w:rsidR="00571A6E" w:rsidRPr="00B35724" w:rsidRDefault="00571A6E" w:rsidP="00EB1099">
      <w:pPr>
        <w:pStyle w:val="ListBullet"/>
        <w:numPr>
          <w:ilvl w:val="0"/>
          <w:numId w:val="83"/>
        </w:numPr>
      </w:pPr>
      <w:r>
        <w:rPr>
          <w:rStyle w:val="Hyperlink"/>
          <w:rFonts w:asciiTheme="minorHAnsi" w:hAnsiTheme="minorHAnsi"/>
          <w:color w:val="auto"/>
          <w:u w:val="none"/>
        </w:rPr>
        <w:t xml:space="preserve">Benzoic acid is listed on the </w:t>
      </w:r>
      <w:hyperlink r:id="rId144" w:history="1">
        <w:r w:rsidRPr="00571A6E">
          <w:rPr>
            <w:rStyle w:val="Hyperlink"/>
            <w:rFonts w:asciiTheme="minorHAnsi" w:hAnsiTheme="minorHAnsi"/>
          </w:rPr>
          <w:t>Australian Inventory of Industrial Chemicals</w:t>
        </w:r>
      </w:hyperlink>
      <w:r>
        <w:rPr>
          <w:rStyle w:val="Hyperlink"/>
          <w:rFonts w:asciiTheme="minorHAnsi" w:hAnsiTheme="minorHAnsi"/>
          <w:color w:val="auto"/>
          <w:u w:val="none"/>
        </w:rPr>
        <w:t>, without any specific information requirements or conditions of introduction or use.</w:t>
      </w:r>
    </w:p>
    <w:p w14:paraId="066BA3DD" w14:textId="77777777" w:rsidR="00E13CFF" w:rsidRPr="00CB687C" w:rsidRDefault="00E13CFF" w:rsidP="00E13CFF">
      <w:pPr>
        <w:pStyle w:val="Heading4"/>
      </w:pPr>
      <w:bookmarkStart w:id="140" w:name="_Toc144110928"/>
      <w:r>
        <w:t>International regulations</w:t>
      </w:r>
      <w:bookmarkEnd w:id="140"/>
    </w:p>
    <w:p w14:paraId="6A7A090F" w14:textId="77777777" w:rsidR="00E13CFF" w:rsidRPr="00914807" w:rsidRDefault="00E13CFF" w:rsidP="00EB1099">
      <w:pPr>
        <w:pStyle w:val="ListBullet"/>
        <w:numPr>
          <w:ilvl w:val="0"/>
          <w:numId w:val="83"/>
        </w:numPr>
      </w:pPr>
      <w:r w:rsidRPr="00914807">
        <w:t xml:space="preserve">The United States Food and Drug Administration’s </w:t>
      </w:r>
      <w:hyperlink r:id="rId145" w:history="1">
        <w:r w:rsidRPr="007040B0">
          <w:rPr>
            <w:rStyle w:val="Hyperlink"/>
            <w:rFonts w:asciiTheme="minorHAnsi" w:hAnsiTheme="minorHAnsi"/>
          </w:rPr>
          <w:t>Drugs@FDA</w:t>
        </w:r>
      </w:hyperlink>
      <w:r w:rsidRPr="00914807">
        <w:t xml:space="preserve"> database includes 6 products containing sodium benzoate as an active ingredient. All are prescription-only intravenous solutions.</w:t>
      </w:r>
    </w:p>
    <w:p w14:paraId="66BA71FE" w14:textId="2842D9B9" w:rsidR="00E13CFF" w:rsidRPr="007C7483" w:rsidRDefault="00E13CFF" w:rsidP="00EB1099">
      <w:pPr>
        <w:pStyle w:val="ListBullet"/>
        <w:numPr>
          <w:ilvl w:val="0"/>
          <w:numId w:val="83"/>
        </w:numPr>
        <w:rPr>
          <w:color w:val="0000FF"/>
          <w:szCs w:val="22"/>
          <w:u w:val="single"/>
        </w:rPr>
      </w:pPr>
      <w:r w:rsidRPr="00470294">
        <w:t xml:space="preserve">The European Union’s </w:t>
      </w:r>
      <w:hyperlink r:id="rId146" w:history="1">
        <w:r w:rsidRPr="007C7483">
          <w:rPr>
            <w:rStyle w:val="Hyperlink"/>
            <w:rFonts w:asciiTheme="minorHAnsi" w:hAnsiTheme="minorHAnsi"/>
          </w:rPr>
          <w:t>CosIng database</w:t>
        </w:r>
      </w:hyperlink>
      <w:r w:rsidRPr="007C7483">
        <w:t xml:space="preserve"> </w:t>
      </w:r>
      <w:r w:rsidRPr="00470294">
        <w:t>lists benzoic acid as a fragrance, preservative and pH adjuster.</w:t>
      </w:r>
    </w:p>
    <w:p w14:paraId="19B40C8B" w14:textId="77777777" w:rsidR="00E13CFF" w:rsidRPr="00470294" w:rsidRDefault="00E13CFF" w:rsidP="00EB1099">
      <w:pPr>
        <w:pStyle w:val="ListBullet"/>
        <w:numPr>
          <w:ilvl w:val="0"/>
          <w:numId w:val="83"/>
        </w:numPr>
        <w:rPr>
          <w:rStyle w:val="Hyperlink"/>
          <w:rFonts w:asciiTheme="minorHAnsi" w:hAnsiTheme="minorHAnsi"/>
          <w:color w:val="auto"/>
          <w:szCs w:val="22"/>
          <w:u w:val="none"/>
        </w:rPr>
      </w:pPr>
      <w:r w:rsidRPr="00470294">
        <w:rPr>
          <w:rStyle w:val="Hyperlink"/>
          <w:rFonts w:asciiTheme="minorHAnsi" w:hAnsiTheme="minorHAnsi"/>
          <w:color w:val="auto"/>
          <w:szCs w:val="22"/>
          <w:u w:val="none"/>
        </w:rPr>
        <w:t xml:space="preserve">New Zealand Medsafe’s </w:t>
      </w:r>
      <w:hyperlink r:id="rId147" w:history="1">
        <w:r w:rsidRPr="007C7483">
          <w:rPr>
            <w:rStyle w:val="Hyperlink"/>
            <w:rFonts w:asciiTheme="minorHAnsi" w:hAnsiTheme="minorHAnsi"/>
            <w:szCs w:val="22"/>
          </w:rPr>
          <w:t>Medicines Classification Database</w:t>
        </w:r>
      </w:hyperlink>
      <w:r w:rsidRPr="007C7483">
        <w:rPr>
          <w:rStyle w:val="Hyperlink"/>
          <w:rFonts w:asciiTheme="minorHAnsi" w:hAnsiTheme="minorHAnsi"/>
          <w:color w:val="333F48"/>
          <w:szCs w:val="22"/>
          <w:u w:val="none"/>
        </w:rPr>
        <w:t xml:space="preserve"> </w:t>
      </w:r>
      <w:r w:rsidRPr="00470294">
        <w:rPr>
          <w:rStyle w:val="Hyperlink"/>
          <w:rFonts w:asciiTheme="minorHAnsi" w:hAnsiTheme="minorHAnsi"/>
          <w:color w:val="auto"/>
          <w:szCs w:val="22"/>
          <w:u w:val="none"/>
        </w:rPr>
        <w:t>lists benzoic acid as approved for general sale.</w:t>
      </w:r>
    </w:p>
    <w:p w14:paraId="2B520039" w14:textId="74F182C9" w:rsidR="00E13CFF" w:rsidRPr="007C7483" w:rsidRDefault="00E13CFF" w:rsidP="00EB1099">
      <w:pPr>
        <w:pStyle w:val="ListBullet"/>
        <w:numPr>
          <w:ilvl w:val="0"/>
          <w:numId w:val="83"/>
        </w:numPr>
        <w:rPr>
          <w:rStyle w:val="Hyperlink"/>
          <w:rFonts w:asciiTheme="minorHAnsi" w:hAnsiTheme="minorHAnsi"/>
          <w:szCs w:val="22"/>
          <w:u w:val="none"/>
        </w:rPr>
      </w:pPr>
      <w:r w:rsidRPr="00470294">
        <w:rPr>
          <w:rStyle w:val="Hyperlink"/>
          <w:rFonts w:asciiTheme="minorHAnsi" w:hAnsiTheme="minorHAnsi"/>
          <w:color w:val="auto"/>
          <w:szCs w:val="22"/>
          <w:u w:val="none"/>
        </w:rPr>
        <w:t xml:space="preserve">New Zealand’s </w:t>
      </w:r>
      <w:hyperlink r:id="rId148" w:history="1">
        <w:r w:rsidRPr="007C7483">
          <w:rPr>
            <w:rStyle w:val="Hyperlink"/>
            <w:rFonts w:asciiTheme="minorHAnsi" w:hAnsiTheme="minorHAnsi"/>
            <w:szCs w:val="22"/>
          </w:rPr>
          <w:t>Inventory of Chemicals</w:t>
        </w:r>
      </w:hyperlink>
      <w:r w:rsidRPr="007C7483">
        <w:rPr>
          <w:rStyle w:val="Hyperlink"/>
          <w:rFonts w:asciiTheme="minorHAnsi" w:hAnsiTheme="minorHAnsi"/>
          <w:color w:val="333F48"/>
          <w:szCs w:val="22"/>
          <w:u w:val="none"/>
        </w:rPr>
        <w:t xml:space="preserve"> </w:t>
      </w:r>
      <w:r w:rsidRPr="00470294">
        <w:rPr>
          <w:rStyle w:val="Hyperlink"/>
          <w:rFonts w:asciiTheme="minorHAnsi" w:hAnsiTheme="minorHAnsi"/>
          <w:color w:val="auto"/>
          <w:szCs w:val="22"/>
          <w:u w:val="none"/>
        </w:rPr>
        <w:t xml:space="preserve">lists benzoic acid as </w:t>
      </w:r>
      <w:r w:rsidR="00EB1099">
        <w:rPr>
          <w:rStyle w:val="Hyperlink"/>
          <w:rFonts w:asciiTheme="minorHAnsi" w:hAnsiTheme="minorHAnsi"/>
          <w:color w:val="auto"/>
          <w:szCs w:val="22"/>
          <w:u w:val="none"/>
        </w:rPr>
        <w:t>‘</w:t>
      </w:r>
      <w:r w:rsidRPr="00470294">
        <w:rPr>
          <w:rStyle w:val="Hyperlink"/>
          <w:rFonts w:asciiTheme="minorHAnsi" w:hAnsiTheme="minorHAnsi"/>
          <w:color w:val="auto"/>
          <w:szCs w:val="22"/>
          <w:u w:val="none"/>
        </w:rPr>
        <w:t>may be used under an appropriate group standard</w:t>
      </w:r>
      <w:r w:rsidR="00EB1099">
        <w:rPr>
          <w:rStyle w:val="Hyperlink"/>
          <w:rFonts w:asciiTheme="minorHAnsi" w:hAnsiTheme="minorHAnsi"/>
          <w:color w:val="auto"/>
          <w:szCs w:val="22"/>
          <w:u w:val="none"/>
        </w:rPr>
        <w:t>’</w:t>
      </w:r>
      <w:r w:rsidRPr="00470294">
        <w:rPr>
          <w:rStyle w:val="Hyperlink"/>
          <w:rFonts w:asciiTheme="minorHAnsi" w:hAnsiTheme="minorHAnsi"/>
          <w:color w:val="auto"/>
          <w:szCs w:val="22"/>
          <w:u w:val="none"/>
        </w:rPr>
        <w:t>.</w:t>
      </w:r>
    </w:p>
    <w:p w14:paraId="03DF4861" w14:textId="77777777" w:rsidR="00E13CFF" w:rsidRPr="007C7483" w:rsidRDefault="00E13CFF" w:rsidP="00EB1099">
      <w:pPr>
        <w:pStyle w:val="ListBullet"/>
        <w:numPr>
          <w:ilvl w:val="0"/>
          <w:numId w:val="83"/>
        </w:numPr>
        <w:rPr>
          <w:rStyle w:val="Hyperlink"/>
          <w:rFonts w:asciiTheme="minorHAnsi" w:hAnsiTheme="minorHAnsi"/>
          <w:color w:val="auto"/>
          <w:szCs w:val="22"/>
          <w:u w:val="none"/>
        </w:rPr>
      </w:pPr>
      <w:r w:rsidRPr="007C7483">
        <w:rPr>
          <w:rStyle w:val="Hyperlink"/>
          <w:rFonts w:asciiTheme="minorHAnsi" w:hAnsiTheme="minorHAnsi"/>
          <w:color w:val="auto"/>
          <w:szCs w:val="22"/>
          <w:u w:val="none"/>
        </w:rPr>
        <w:t xml:space="preserve">Health Canada’s </w:t>
      </w:r>
      <w:hyperlink r:id="rId149" w:history="1">
        <w:r w:rsidRPr="007C7483">
          <w:rPr>
            <w:rStyle w:val="Hyperlink"/>
            <w:rFonts w:asciiTheme="minorHAnsi" w:hAnsiTheme="minorHAnsi"/>
            <w:szCs w:val="22"/>
          </w:rPr>
          <w:t>Drug Product Database</w:t>
        </w:r>
      </w:hyperlink>
      <w:r w:rsidRPr="007C7483">
        <w:rPr>
          <w:rStyle w:val="Hyperlink"/>
          <w:rFonts w:asciiTheme="minorHAnsi" w:hAnsiTheme="minorHAnsi"/>
          <w:color w:val="auto"/>
          <w:szCs w:val="22"/>
          <w:u w:val="none"/>
        </w:rPr>
        <w:t xml:space="preserve"> includes one marketed product that contains benzoic acid as an active ingredient, an ear cleaning solution for veterinary use that is regulated as an over-the-counter medicine.</w:t>
      </w:r>
    </w:p>
    <w:p w14:paraId="27E85129" w14:textId="77777777" w:rsidR="00E13CFF" w:rsidRPr="007C7483" w:rsidRDefault="00E13CFF" w:rsidP="00EB1099">
      <w:pPr>
        <w:pStyle w:val="ListBullet"/>
        <w:numPr>
          <w:ilvl w:val="0"/>
          <w:numId w:val="83"/>
        </w:numPr>
        <w:rPr>
          <w:rStyle w:val="Hyperlink"/>
          <w:rFonts w:asciiTheme="minorHAnsi" w:hAnsiTheme="minorHAnsi"/>
          <w:color w:val="auto"/>
          <w:szCs w:val="22"/>
          <w:u w:val="none"/>
        </w:rPr>
      </w:pPr>
      <w:r w:rsidRPr="007C7483">
        <w:rPr>
          <w:rStyle w:val="Hyperlink"/>
          <w:rFonts w:asciiTheme="minorHAnsi" w:hAnsiTheme="minorHAnsi"/>
          <w:color w:val="auto"/>
          <w:szCs w:val="22"/>
          <w:u w:val="none"/>
        </w:rPr>
        <w:t xml:space="preserve">The </w:t>
      </w:r>
      <w:hyperlink r:id="rId150" w:history="1">
        <w:r w:rsidRPr="007C7483">
          <w:rPr>
            <w:rStyle w:val="Hyperlink"/>
            <w:rFonts w:asciiTheme="minorHAnsi" w:hAnsiTheme="minorHAnsi"/>
            <w:szCs w:val="22"/>
          </w:rPr>
          <w:t>European Chemicals Agency</w:t>
        </w:r>
      </w:hyperlink>
      <w:r w:rsidRPr="007C7483">
        <w:rPr>
          <w:rStyle w:val="Hyperlink"/>
          <w:rFonts w:asciiTheme="minorHAnsi" w:hAnsiTheme="minorHAnsi"/>
          <w:color w:val="auto"/>
          <w:szCs w:val="22"/>
          <w:u w:val="none"/>
        </w:rPr>
        <w:t xml:space="preserve"> lists benzoic acid as causing damage to organs through prolonged or repeated exposure, serious eye damage and skin irritation.</w:t>
      </w:r>
    </w:p>
    <w:p w14:paraId="167E53E9" w14:textId="7198EE91" w:rsidR="00E13CFF" w:rsidRPr="004C7298" w:rsidRDefault="00E13CFF" w:rsidP="00EB1099">
      <w:pPr>
        <w:pStyle w:val="ListBullet"/>
        <w:numPr>
          <w:ilvl w:val="0"/>
          <w:numId w:val="83"/>
        </w:numPr>
      </w:pPr>
      <w:r w:rsidRPr="00914807">
        <w:rPr>
          <w:rStyle w:val="Hyperlink"/>
          <w:rFonts w:asciiTheme="minorHAnsi" w:hAnsiTheme="minorHAnsi"/>
          <w:color w:val="auto"/>
          <w:szCs w:val="22"/>
          <w:u w:val="none"/>
        </w:rPr>
        <w:t xml:space="preserve">Ireland’s </w:t>
      </w:r>
      <w:hyperlink r:id="rId151" w:history="1">
        <w:r w:rsidRPr="00914807">
          <w:rPr>
            <w:rStyle w:val="Hyperlink"/>
            <w:rFonts w:asciiTheme="minorHAnsi" w:hAnsiTheme="minorHAnsi"/>
            <w:szCs w:val="22"/>
          </w:rPr>
          <w:t>Health Products Regulation Agency</w:t>
        </w:r>
      </w:hyperlink>
      <w:r w:rsidRPr="00914807">
        <w:rPr>
          <w:rStyle w:val="Hyperlink"/>
          <w:rFonts w:asciiTheme="minorHAnsi" w:hAnsiTheme="minorHAnsi"/>
          <w:color w:val="auto"/>
          <w:szCs w:val="22"/>
          <w:u w:val="none"/>
        </w:rPr>
        <w:t xml:space="preserve"> regulates one product containing benzoic acid as an active ingredient, an antifungal ointment that is available a</w:t>
      </w:r>
      <w:r w:rsidR="007040B0">
        <w:rPr>
          <w:rStyle w:val="Hyperlink"/>
          <w:rFonts w:asciiTheme="minorHAnsi" w:hAnsiTheme="minorHAnsi"/>
          <w:color w:val="auto"/>
          <w:szCs w:val="22"/>
          <w:u w:val="none"/>
        </w:rPr>
        <w:t>s</w:t>
      </w:r>
      <w:r w:rsidRPr="00914807">
        <w:rPr>
          <w:rStyle w:val="Hyperlink"/>
          <w:rFonts w:asciiTheme="minorHAnsi" w:hAnsiTheme="minorHAnsi"/>
          <w:color w:val="auto"/>
          <w:szCs w:val="22"/>
          <w:u w:val="none"/>
        </w:rPr>
        <w:t xml:space="preserve"> a non-prescription medicine.</w:t>
      </w:r>
    </w:p>
    <w:p w14:paraId="0765C619" w14:textId="64B9EE28" w:rsidR="00E13CFF" w:rsidRDefault="001D5CC5" w:rsidP="00E13CFF">
      <w:pPr>
        <w:pStyle w:val="Heading3"/>
      </w:pPr>
      <w:bookmarkStart w:id="141" w:name="_Toc144110929"/>
      <w:r>
        <w:t>2.3</w:t>
      </w:r>
      <w:r>
        <w:tab/>
      </w:r>
      <w:r w:rsidR="00E13CFF">
        <w:t>Meloxicam</w:t>
      </w:r>
      <w:bookmarkEnd w:id="141"/>
    </w:p>
    <w:p w14:paraId="666D6640" w14:textId="77777777" w:rsidR="00E13CFF" w:rsidRDefault="00E13CFF" w:rsidP="00E13CFF">
      <w:pPr>
        <w:pStyle w:val="Heading4"/>
      </w:pPr>
      <w:bookmarkStart w:id="142" w:name="_Toc144110930"/>
      <w:r>
        <w:t>Proposal</w:t>
      </w:r>
      <w:bookmarkEnd w:id="142"/>
    </w:p>
    <w:p w14:paraId="0DF895CC" w14:textId="1D3FBB87" w:rsidR="00E13CFF" w:rsidRDefault="00E13CFF" w:rsidP="00D60DC1">
      <w:r>
        <w:t xml:space="preserve">The applicant has proposed an amendment to the Schedule 6 entry for meloxicam to include certain injectable veterinary vaccines containing less than 1% of meloxicam for </w:t>
      </w:r>
      <w:r w:rsidR="00E72C66">
        <w:t>single use</w:t>
      </w:r>
      <w:r>
        <w:t xml:space="preserve"> in lambs undergoing routine animal husbandry procedures. Meloxicam is an anti-inflammatory medicine that can be used for pain relief; the amendment would enable farmers to access the medicine in a co-formulation with certain vaccines, without the requirement for a prescription.</w:t>
      </w:r>
    </w:p>
    <w:p w14:paraId="14975FD8" w14:textId="432441D6" w:rsidR="00E13CFF" w:rsidRDefault="00E13CFF" w:rsidP="00E13CFF">
      <w:pPr>
        <w:pStyle w:val="Heading4"/>
      </w:pPr>
      <w:bookmarkStart w:id="143" w:name="_Toc144110931"/>
      <w:r>
        <w:t>CAS Number</w:t>
      </w:r>
      <w:bookmarkEnd w:id="143"/>
    </w:p>
    <w:p w14:paraId="0E44A5CF" w14:textId="77777777" w:rsidR="00E13CFF" w:rsidRDefault="00E13CFF" w:rsidP="00E13CFF">
      <w:r>
        <w:t>71125-38-7</w:t>
      </w:r>
    </w:p>
    <w:p w14:paraId="7A999C7C" w14:textId="77777777" w:rsidR="00E13CFF" w:rsidRDefault="00E13CFF" w:rsidP="00E13CFF">
      <w:pPr>
        <w:pStyle w:val="Heading4"/>
      </w:pPr>
      <w:bookmarkStart w:id="144" w:name="_Toc144110932"/>
      <w:r>
        <w:t>Applicant</w:t>
      </w:r>
      <w:bookmarkEnd w:id="144"/>
    </w:p>
    <w:p w14:paraId="72153A47" w14:textId="41C97823" w:rsidR="00E13CFF" w:rsidRDefault="00E13CFF" w:rsidP="00E13CFF">
      <w:r w:rsidRPr="001D2967">
        <w:t>Australian Pesticides and Veterinary Medicines Authority (APVMA)</w:t>
      </w:r>
    </w:p>
    <w:p w14:paraId="3369B21A" w14:textId="77777777" w:rsidR="00E13CFF" w:rsidRDefault="00E13CFF" w:rsidP="00E13CFF">
      <w:pPr>
        <w:pStyle w:val="Heading4"/>
      </w:pPr>
      <w:bookmarkStart w:id="145" w:name="_Toc144110933"/>
      <w:r>
        <w:t>Proposed Scheduling</w:t>
      </w:r>
      <w:bookmarkEnd w:id="145"/>
    </w:p>
    <w:p w14:paraId="78E2501B" w14:textId="77777777" w:rsidR="00E13CFF" w:rsidRPr="001B3E4F" w:rsidRDefault="00E13CFF" w:rsidP="00E13CFF">
      <w:r>
        <w:t>Meloxicam</w:t>
      </w:r>
      <w:r w:rsidRPr="00AF12F6">
        <w:t xml:space="preserve"> is currently listed in Schedules </w:t>
      </w:r>
      <w:r>
        <w:t>4 and 6 of the Poisons Standard.</w:t>
      </w:r>
    </w:p>
    <w:p w14:paraId="1D2812A6" w14:textId="77777777" w:rsidR="00E13CFF" w:rsidRDefault="00E13CFF" w:rsidP="00E13CFF">
      <w:pPr>
        <w:rPr>
          <w:rFonts w:cstheme="minorHAnsi"/>
        </w:rPr>
      </w:pPr>
      <w:r>
        <w:rPr>
          <w:rFonts w:cstheme="minorHAnsi"/>
        </w:rPr>
        <w:t>The applicant’s proposed amendments to the Poisons Standard are:</w:t>
      </w:r>
      <w:r>
        <w:rPr>
          <w:rStyle w:val="FootnoteReference"/>
          <w:rFonts w:cstheme="minorHAnsi"/>
        </w:rPr>
        <w:footnoteReference w:id="12"/>
      </w:r>
    </w:p>
    <w:p w14:paraId="25602114" w14:textId="77777777" w:rsidR="00E13CFF" w:rsidRPr="006D5C84" w:rsidRDefault="00E13CFF" w:rsidP="0072362E">
      <w:pPr>
        <w:ind w:left="426"/>
        <w:rPr>
          <w:b/>
        </w:rPr>
      </w:pPr>
      <w:r w:rsidRPr="006D5C84">
        <w:rPr>
          <w:b/>
        </w:rPr>
        <w:t xml:space="preserve">Schedule </w:t>
      </w:r>
      <w:r>
        <w:rPr>
          <w:b/>
        </w:rPr>
        <w:t>6 – Amend Entry</w:t>
      </w:r>
    </w:p>
    <w:p w14:paraId="73E1CDA3" w14:textId="77777777" w:rsidR="00E13CFF" w:rsidRPr="007C7483" w:rsidRDefault="00E13CFF" w:rsidP="0072362E">
      <w:pPr>
        <w:ind w:left="709"/>
        <w:rPr>
          <w:rFonts w:cstheme="minorHAnsi"/>
        </w:rPr>
      </w:pPr>
      <w:r w:rsidRPr="007C7483">
        <w:rPr>
          <w:rFonts w:cstheme="minorHAnsi"/>
        </w:rPr>
        <w:t>MELOXICAM in</w:t>
      </w:r>
      <w:r w:rsidRPr="007C7483">
        <w:rPr>
          <w:rFonts w:cstheme="minorHAnsi"/>
          <w:color w:val="00B050"/>
          <w:u w:val="single"/>
        </w:rPr>
        <w:t>:</w:t>
      </w:r>
    </w:p>
    <w:p w14:paraId="389ACA18" w14:textId="50306D88" w:rsidR="00E13CFF" w:rsidRPr="007C7483" w:rsidRDefault="00E13CFF" w:rsidP="004C7298">
      <w:pPr>
        <w:pStyle w:val="ListBulleta"/>
        <w:numPr>
          <w:ilvl w:val="1"/>
          <w:numId w:val="86"/>
        </w:numPr>
        <w:ind w:left="1134"/>
      </w:pPr>
      <w:r w:rsidRPr="007C7483">
        <w:t>oral transmucosal preparations containing 1% or less meloxicam for pre-surgical treatment and pain management in livestock during routine husbandry procedures</w:t>
      </w:r>
      <w:r w:rsidRPr="007C7483">
        <w:rPr>
          <w:color w:val="00B050"/>
          <w:u w:val="single"/>
        </w:rPr>
        <w:t>; or</w:t>
      </w:r>
    </w:p>
    <w:p w14:paraId="2547D981" w14:textId="251600CA" w:rsidR="00E13CFF" w:rsidRPr="007040B0" w:rsidRDefault="00E13CFF" w:rsidP="004C7298">
      <w:pPr>
        <w:pStyle w:val="ListBulleta"/>
        <w:numPr>
          <w:ilvl w:val="1"/>
          <w:numId w:val="86"/>
        </w:numPr>
        <w:ind w:left="1134"/>
        <w:rPr>
          <w:color w:val="00B050"/>
          <w:u w:val="single"/>
        </w:rPr>
      </w:pPr>
      <w:r w:rsidRPr="007040B0">
        <w:rPr>
          <w:color w:val="00B050"/>
          <w:u w:val="single"/>
        </w:rPr>
        <w:t>injectable vaccines containing bacterial antigens and 1% or less of meloxicam for single use in lambs undergoing husbandry procedures at marking.</w:t>
      </w:r>
    </w:p>
    <w:p w14:paraId="506FFB16" w14:textId="77777777" w:rsidR="00E13CFF" w:rsidRPr="007040B0" w:rsidRDefault="00E13CFF" w:rsidP="0072362E">
      <w:pPr>
        <w:pStyle w:val="ListBulleta"/>
        <w:numPr>
          <w:ilvl w:val="0"/>
          <w:numId w:val="0"/>
        </w:numPr>
        <w:ind w:left="425"/>
        <w:rPr>
          <w:b/>
          <w:bCs/>
        </w:rPr>
      </w:pPr>
      <w:r w:rsidRPr="007040B0">
        <w:rPr>
          <w:b/>
          <w:bCs/>
        </w:rPr>
        <w:t>Schedule 4</w:t>
      </w:r>
    </w:p>
    <w:p w14:paraId="730050EF" w14:textId="77777777" w:rsidR="00E13CFF" w:rsidRPr="007C7483" w:rsidRDefault="00E13CFF" w:rsidP="0072362E">
      <w:pPr>
        <w:pStyle w:val="ListBulleta"/>
        <w:numPr>
          <w:ilvl w:val="0"/>
          <w:numId w:val="0"/>
        </w:numPr>
        <w:ind w:left="709"/>
      </w:pPr>
      <w:r w:rsidRPr="007C7483">
        <w:t xml:space="preserve">MELOXICAM </w:t>
      </w:r>
      <w:r w:rsidRPr="007C7483">
        <w:rPr>
          <w:b/>
          <w:bCs/>
        </w:rPr>
        <w:t>except</w:t>
      </w:r>
      <w:r w:rsidRPr="007C7483">
        <w:t xml:space="preserve"> when included in Schedule 6.</w:t>
      </w:r>
    </w:p>
    <w:p w14:paraId="6E2DC7C6" w14:textId="77777777" w:rsidR="00E13CFF" w:rsidRPr="007C7483" w:rsidRDefault="00E13CFF" w:rsidP="0072362E">
      <w:pPr>
        <w:ind w:left="426"/>
        <w:rPr>
          <w:rFonts w:cstheme="minorHAnsi"/>
          <w:b/>
        </w:rPr>
      </w:pPr>
      <w:r w:rsidRPr="007C7483">
        <w:rPr>
          <w:rFonts w:cstheme="minorHAnsi"/>
          <w:b/>
        </w:rPr>
        <w:t>Index</w:t>
      </w:r>
    </w:p>
    <w:p w14:paraId="1389C109" w14:textId="7D4DFAA4" w:rsidR="00E13CFF" w:rsidRPr="007C7483" w:rsidRDefault="00E13CFF" w:rsidP="0072362E">
      <w:pPr>
        <w:ind w:left="709"/>
        <w:rPr>
          <w:rFonts w:cstheme="minorHAnsi"/>
        </w:rPr>
      </w:pPr>
      <w:r w:rsidRPr="007C7483">
        <w:rPr>
          <w:rFonts w:cstheme="minorHAnsi"/>
          <w:b/>
          <w:bCs/>
        </w:rPr>
        <w:t>MELOXICAM</w:t>
      </w:r>
      <w:r w:rsidR="000F3020">
        <w:rPr>
          <w:rFonts w:cstheme="minorHAnsi"/>
        </w:rPr>
        <w:br/>
      </w:r>
      <w:r w:rsidRPr="007C7483">
        <w:rPr>
          <w:rFonts w:cstheme="minorHAnsi"/>
        </w:rPr>
        <w:t>Schedule 6</w:t>
      </w:r>
      <w:r w:rsidRPr="007C7483">
        <w:rPr>
          <w:rFonts w:cstheme="minorHAnsi"/>
        </w:rPr>
        <w:br/>
        <w:t>Schedule 4</w:t>
      </w:r>
    </w:p>
    <w:p w14:paraId="26BF3822" w14:textId="77777777" w:rsidR="00E13CFF" w:rsidRDefault="00E13CFF" w:rsidP="00E13CFF">
      <w:pPr>
        <w:pStyle w:val="Heading4"/>
      </w:pPr>
      <w:bookmarkStart w:id="146" w:name="_Toc144110934"/>
      <w:r>
        <w:t>Background</w:t>
      </w:r>
      <w:bookmarkEnd w:id="146"/>
    </w:p>
    <w:p w14:paraId="10D93D3B" w14:textId="09D0A861" w:rsidR="00E13CFF" w:rsidRDefault="00A50294" w:rsidP="00D60DC1">
      <w:r>
        <w:t xml:space="preserve">Meloxicam is a non-steroidal anti-inflammatory drug (NSAID) and is a cyclooxygenase-2-(COX-2) inhibitor, with a well-established safety profile available in a number of human and veterinary therapeutic products. Meloxicam is </w:t>
      </w:r>
      <w:r w:rsidR="00E72C66">
        <w:t xml:space="preserve">available </w:t>
      </w:r>
      <w:r w:rsidR="00E13CFF">
        <w:t xml:space="preserve">in several different </w:t>
      </w:r>
      <w:r w:rsidR="00370305">
        <w:t>dosage forms</w:t>
      </w:r>
      <w:r w:rsidR="00E13CFF">
        <w:t xml:space="preserve"> for the relief of muscular pain</w:t>
      </w:r>
      <w:r w:rsidR="00370305">
        <w:t xml:space="preserve">, fever and </w:t>
      </w:r>
      <w:r w:rsidR="00E13CFF">
        <w:t>inflammation. Meloxicam was available by prescription-only until 2022, when a new Schedule 6 entry was created for transmucosal preparations containing 1% or less of meloxicam for use in certain animal husbandry procedures.</w:t>
      </w:r>
    </w:p>
    <w:p w14:paraId="790EC1D8" w14:textId="77777777" w:rsidR="00E13CFF" w:rsidRDefault="00E13CFF" w:rsidP="00E13CFF">
      <w:pPr>
        <w:pStyle w:val="Heading4"/>
      </w:pPr>
      <w:bookmarkStart w:id="147" w:name="_Toc144110935"/>
      <w:r>
        <w:t>Summary of applicant’s reasons for the proposal</w:t>
      </w:r>
      <w:bookmarkEnd w:id="147"/>
    </w:p>
    <w:p w14:paraId="462F6B43" w14:textId="77777777" w:rsidR="00E13CFF" w:rsidRPr="007C7483" w:rsidRDefault="00E13CFF" w:rsidP="00EB1099">
      <w:pPr>
        <w:pStyle w:val="ListBullet"/>
        <w:numPr>
          <w:ilvl w:val="0"/>
          <w:numId w:val="83"/>
        </w:numPr>
      </w:pPr>
      <w:r w:rsidRPr="007C7483">
        <w:t>Meloxicam is available in a number of registered products for various animals including cattle, sheep, pigs, and horses. All injectable forms of meloxicam are presently Schedule 4 prescription-only medicines.</w:t>
      </w:r>
    </w:p>
    <w:p w14:paraId="2432C37B" w14:textId="77777777" w:rsidR="00E13CFF" w:rsidRPr="007C7483" w:rsidRDefault="00E13CFF" w:rsidP="00EB1099">
      <w:pPr>
        <w:pStyle w:val="ListBullet"/>
        <w:numPr>
          <w:ilvl w:val="0"/>
          <w:numId w:val="83"/>
        </w:numPr>
      </w:pPr>
      <w:r w:rsidRPr="007C7483">
        <w:t>There are currently a number of registered bacterial antigen (killed cultures) vaccines for sheep which contain toxoid and cell concentrates prepared from formalin killed cultures and are not currently subject to controls under the Poisons Standard.</w:t>
      </w:r>
    </w:p>
    <w:p w14:paraId="4A820CDD" w14:textId="0B84509A" w:rsidR="00E13CFF" w:rsidRPr="007C7483" w:rsidRDefault="00E13CFF" w:rsidP="00EB1099">
      <w:pPr>
        <w:pStyle w:val="ListBullet"/>
        <w:numPr>
          <w:ilvl w:val="0"/>
          <w:numId w:val="83"/>
        </w:numPr>
      </w:pPr>
      <w:r w:rsidRPr="007C7483">
        <w:t>A novel combination vaccine for lambs, incorporating existing registered bacterial antigens (killed cultures</w:t>
      </w:r>
      <w:r w:rsidR="00A50294">
        <w:t xml:space="preserve"> or </w:t>
      </w:r>
      <w:r w:rsidR="00A50294" w:rsidRPr="00A50294">
        <w:t>inactivated vaccine</w:t>
      </w:r>
      <w:r w:rsidRPr="007C7483">
        <w:t>) with meloxicam, is presently in development. Subsequently, an application has been made to amend the Schedule 6 entry for meloxicam to include injectable vaccines containing bacterial antigens and 1% or less meloxicam for single use in lambs undergoing husbandry procedures at marking.</w:t>
      </w:r>
    </w:p>
    <w:p w14:paraId="7A34698D" w14:textId="77777777" w:rsidR="00E13CFF" w:rsidRDefault="00E13CFF" w:rsidP="00E13CFF">
      <w:pPr>
        <w:pStyle w:val="Heading4"/>
      </w:pPr>
      <w:bookmarkStart w:id="148" w:name="_Toc144110936"/>
      <w:r>
        <w:t>Key uses / expected use</w:t>
      </w:r>
      <w:bookmarkEnd w:id="148"/>
    </w:p>
    <w:p w14:paraId="47C23C4F" w14:textId="77777777" w:rsidR="00E13CFF" w:rsidRDefault="00E13CFF" w:rsidP="00E13CFF">
      <w:r w:rsidRPr="008F0B96">
        <w:t>Medicines, veterinary</w:t>
      </w:r>
    </w:p>
    <w:p w14:paraId="019086BC" w14:textId="77777777" w:rsidR="00E13CFF" w:rsidRDefault="00E13CFF" w:rsidP="00E13CFF">
      <w:pPr>
        <w:pStyle w:val="Heading4"/>
      </w:pPr>
      <w:bookmarkStart w:id="149" w:name="_Toc144110937"/>
      <w:r>
        <w:t>Australian regulations</w:t>
      </w:r>
      <w:bookmarkEnd w:id="149"/>
    </w:p>
    <w:p w14:paraId="208D7A38" w14:textId="24D84085" w:rsidR="00E13CFF" w:rsidRPr="007C7483" w:rsidRDefault="00E13CFF" w:rsidP="00EB1099">
      <w:pPr>
        <w:pStyle w:val="ListBullet"/>
        <w:numPr>
          <w:ilvl w:val="0"/>
          <w:numId w:val="83"/>
        </w:numPr>
      </w:pPr>
      <w:r w:rsidRPr="007C7483">
        <w:t xml:space="preserve">According to the </w:t>
      </w:r>
      <w:hyperlink r:id="rId152" w:history="1">
        <w:r w:rsidRPr="007C7483">
          <w:rPr>
            <w:rStyle w:val="Hyperlink"/>
            <w:rFonts w:asciiTheme="minorHAnsi" w:hAnsiTheme="minorHAnsi"/>
          </w:rPr>
          <w:t>TGA Ingredient Database</w:t>
        </w:r>
      </w:hyperlink>
      <w:r w:rsidRPr="007C7483">
        <w:t>, meloxicam is:</w:t>
      </w:r>
    </w:p>
    <w:p w14:paraId="6E96785B" w14:textId="77777777" w:rsidR="00E13CFF" w:rsidRPr="007C7483" w:rsidRDefault="00E13CFF" w:rsidP="00E13CFF">
      <w:pPr>
        <w:pStyle w:val="ListBullet2"/>
        <w:numPr>
          <w:ilvl w:val="1"/>
          <w:numId w:val="39"/>
        </w:numPr>
        <w:ind w:left="850" w:hanging="425"/>
        <w:rPr>
          <w:rFonts w:cstheme="minorHAnsi"/>
          <w:color w:val="auto"/>
        </w:rPr>
      </w:pPr>
      <w:r w:rsidRPr="007C7483">
        <w:rPr>
          <w:rFonts w:cstheme="minorHAnsi"/>
          <w:color w:val="auto"/>
        </w:rPr>
        <w:t>Available for use as an Active Ingredient in Biologicals, Export Only and Prescription Medicines.</w:t>
      </w:r>
    </w:p>
    <w:p w14:paraId="1D942160" w14:textId="77777777" w:rsidR="00E13CFF" w:rsidRPr="007C7483" w:rsidRDefault="00E13CFF" w:rsidP="00E13CFF">
      <w:pPr>
        <w:pStyle w:val="ListBullet2"/>
        <w:numPr>
          <w:ilvl w:val="1"/>
          <w:numId w:val="39"/>
        </w:numPr>
        <w:ind w:left="850" w:hanging="425"/>
        <w:rPr>
          <w:rFonts w:cstheme="minorHAnsi"/>
          <w:color w:val="auto"/>
        </w:rPr>
      </w:pPr>
      <w:r w:rsidRPr="007C7483">
        <w:rPr>
          <w:rFonts w:cstheme="minorHAnsi"/>
          <w:color w:val="auto"/>
        </w:rPr>
        <w:t>Available for use as an Excipient Ingredient in Biologicals, Devices and Prescription Medicines.</w:t>
      </w:r>
    </w:p>
    <w:p w14:paraId="56D127BB" w14:textId="77777777" w:rsidR="00E13CFF" w:rsidRPr="007C7483" w:rsidRDefault="00E13CFF" w:rsidP="00E13CFF">
      <w:pPr>
        <w:pStyle w:val="ListBullet2"/>
        <w:numPr>
          <w:ilvl w:val="1"/>
          <w:numId w:val="39"/>
        </w:numPr>
        <w:ind w:left="850" w:hanging="425"/>
        <w:rPr>
          <w:rFonts w:cstheme="minorHAnsi"/>
          <w:color w:val="auto"/>
        </w:rPr>
      </w:pPr>
      <w:r w:rsidRPr="007C7483">
        <w:rPr>
          <w:rFonts w:cstheme="minorHAnsi"/>
          <w:color w:val="auto"/>
        </w:rPr>
        <w:t>Not available as an Equivalent Ingredient in any application.</w:t>
      </w:r>
    </w:p>
    <w:p w14:paraId="30EE1231" w14:textId="5FBAEC6F" w:rsidR="00E13CFF" w:rsidRPr="007C7483" w:rsidRDefault="00E13CFF" w:rsidP="00EB1099">
      <w:pPr>
        <w:pStyle w:val="ListBullet"/>
        <w:numPr>
          <w:ilvl w:val="0"/>
          <w:numId w:val="83"/>
        </w:numPr>
      </w:pPr>
      <w:r w:rsidRPr="007C7483">
        <w:t xml:space="preserve">As of August 2023, there </w:t>
      </w:r>
      <w:r w:rsidRPr="00EC14ED">
        <w:t xml:space="preserve">were </w:t>
      </w:r>
      <w:r w:rsidRPr="0072362E">
        <w:t>61</w:t>
      </w:r>
      <w:r w:rsidRPr="00EC14ED">
        <w:t xml:space="preserve"> medicines</w:t>
      </w:r>
      <w:r w:rsidRPr="007C7483">
        <w:t xml:space="preserve"> currently active on the </w:t>
      </w:r>
      <w:hyperlink r:id="rId153" w:history="1">
        <w:r w:rsidR="00EB1099">
          <w:rPr>
            <w:rStyle w:val="Hyperlink"/>
            <w:rFonts w:asciiTheme="minorHAnsi" w:hAnsiTheme="minorHAnsi"/>
          </w:rPr>
          <w:t>Australian Register of Therapeutic Goods</w:t>
        </w:r>
      </w:hyperlink>
      <w:r w:rsidR="00EB1099" w:rsidRPr="00EB1099">
        <w:rPr>
          <w:rStyle w:val="Hyperlink"/>
          <w:rFonts w:asciiTheme="minorHAnsi" w:hAnsiTheme="minorHAnsi"/>
          <w:color w:val="auto"/>
          <w:u w:val="none"/>
        </w:rPr>
        <w:t xml:space="preserve"> (ARTG)</w:t>
      </w:r>
      <w:r w:rsidRPr="007C7483">
        <w:t xml:space="preserve"> that contain meloxicam as an active ingredient. These include </w:t>
      </w:r>
      <w:r w:rsidR="00EC14ED">
        <w:t>60</w:t>
      </w:r>
      <w:r w:rsidRPr="007C7483">
        <w:t xml:space="preserve"> prescription medicines</w:t>
      </w:r>
      <w:r w:rsidR="00EC14ED">
        <w:t xml:space="preserve"> and </w:t>
      </w:r>
      <w:r w:rsidR="007040B0">
        <w:t>one</w:t>
      </w:r>
      <w:r w:rsidR="00EC14ED">
        <w:t xml:space="preserve"> for export only</w:t>
      </w:r>
      <w:r w:rsidRPr="007C7483">
        <w:t>.</w:t>
      </w:r>
    </w:p>
    <w:p w14:paraId="383CB2CD" w14:textId="326F29D4" w:rsidR="00E13CFF" w:rsidRPr="007C7483" w:rsidRDefault="00E13CFF" w:rsidP="00EB1099">
      <w:pPr>
        <w:pStyle w:val="ListBullet"/>
        <w:numPr>
          <w:ilvl w:val="0"/>
          <w:numId w:val="83"/>
        </w:numPr>
      </w:pPr>
      <w:r w:rsidRPr="007C7483">
        <w:t>Meloxic</w:t>
      </w:r>
      <w:r w:rsidR="00CC0B19">
        <w:t>a</w:t>
      </w:r>
      <w:r w:rsidRPr="007C7483">
        <w:t xml:space="preserve">m is not permitted to be included in listed medicines as it is not included in the </w:t>
      </w:r>
      <w:hyperlink r:id="rId154" w:history="1">
        <w:r w:rsidRPr="007C7483">
          <w:rPr>
            <w:rStyle w:val="Hyperlink"/>
            <w:rFonts w:asciiTheme="minorHAnsi" w:hAnsiTheme="minorHAnsi"/>
          </w:rPr>
          <w:t>Therapeutic Goods (Permissible Ingredients) Determination</w:t>
        </w:r>
      </w:hyperlink>
      <w:r w:rsidRPr="007C7483">
        <w:t xml:space="preserve"> No.3 of 2023.</w:t>
      </w:r>
    </w:p>
    <w:p w14:paraId="0BA42384" w14:textId="5F66EE05" w:rsidR="00E13CFF" w:rsidRPr="007C7483" w:rsidRDefault="00E13CFF" w:rsidP="00EB1099">
      <w:pPr>
        <w:pStyle w:val="ListBullet"/>
        <w:numPr>
          <w:ilvl w:val="0"/>
          <w:numId w:val="83"/>
        </w:numPr>
      </w:pPr>
      <w:r w:rsidRPr="007C7483">
        <w:t xml:space="preserve">The </w:t>
      </w:r>
      <w:hyperlink r:id="rId155" w:history="1">
        <w:r w:rsidRPr="007C7483">
          <w:rPr>
            <w:rStyle w:val="Hyperlink"/>
            <w:rFonts w:asciiTheme="minorHAnsi" w:hAnsiTheme="minorHAnsi"/>
          </w:rPr>
          <w:t>TGA prescribing medicines in pregnancy database</w:t>
        </w:r>
      </w:hyperlink>
      <w:r w:rsidRPr="007C7483">
        <w:t xml:space="preserve"> classifies meloxicam as:</w:t>
      </w:r>
    </w:p>
    <w:tbl>
      <w:tblPr>
        <w:tblStyle w:val="TableTGAblue"/>
        <w:tblW w:w="8529" w:type="dxa"/>
        <w:tblInd w:w="392" w:type="dxa"/>
        <w:tblLook w:val="04A0" w:firstRow="1" w:lastRow="0" w:firstColumn="1" w:lastColumn="0" w:noHBand="0" w:noVBand="1"/>
      </w:tblPr>
      <w:tblGrid>
        <w:gridCol w:w="1607"/>
        <w:gridCol w:w="968"/>
        <w:gridCol w:w="1984"/>
        <w:gridCol w:w="47"/>
        <w:gridCol w:w="1938"/>
        <w:gridCol w:w="94"/>
        <w:gridCol w:w="1891"/>
      </w:tblGrid>
      <w:tr w:rsidR="00E13CFF" w:rsidRPr="007C7483" w14:paraId="319978EF" w14:textId="77777777" w:rsidTr="007040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32F3258B" w14:textId="77777777" w:rsidR="00E13CFF" w:rsidRPr="007C7483" w:rsidRDefault="00E13CFF" w:rsidP="00D74E12">
            <w:pPr>
              <w:keepLines/>
              <w:spacing w:before="60" w:after="60"/>
              <w:rPr>
                <w:rFonts w:asciiTheme="minorHAnsi" w:hAnsiTheme="minorHAnsi" w:cstheme="minorHAnsi"/>
                <w:sz w:val="20"/>
                <w:szCs w:val="20"/>
              </w:rPr>
            </w:pPr>
            <w:r w:rsidRPr="007C7483">
              <w:rPr>
                <w:rFonts w:asciiTheme="minorHAnsi" w:hAnsiTheme="minorHAnsi" w:cstheme="minorHAnsi"/>
                <w:sz w:val="20"/>
                <w:szCs w:val="20"/>
              </w:rPr>
              <w:t>Drug name</w:t>
            </w:r>
          </w:p>
        </w:tc>
        <w:tc>
          <w:tcPr>
            <w:tcW w:w="968" w:type="dxa"/>
          </w:tcPr>
          <w:p w14:paraId="34F40DE1" w14:textId="77777777" w:rsidR="00E13CFF" w:rsidRPr="007C7483" w:rsidRDefault="00E13CFF" w:rsidP="00D74E12">
            <w:pPr>
              <w:keepLine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C7483">
              <w:rPr>
                <w:rFonts w:asciiTheme="minorHAnsi" w:hAnsiTheme="minorHAnsi" w:cstheme="minorHAnsi"/>
                <w:sz w:val="20"/>
                <w:szCs w:val="20"/>
              </w:rPr>
              <w:t>Category</w:t>
            </w:r>
          </w:p>
        </w:tc>
        <w:tc>
          <w:tcPr>
            <w:tcW w:w="1984" w:type="dxa"/>
          </w:tcPr>
          <w:p w14:paraId="11C5360D" w14:textId="77777777" w:rsidR="00E13CFF" w:rsidRPr="007C7483" w:rsidRDefault="00E13CFF" w:rsidP="00D74E12">
            <w:pPr>
              <w:keepLine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C7483">
              <w:rPr>
                <w:rFonts w:asciiTheme="minorHAnsi" w:hAnsiTheme="minorHAnsi" w:cstheme="minorHAnsi"/>
                <w:sz w:val="20"/>
                <w:szCs w:val="20"/>
              </w:rPr>
              <w:t>Classification Level 1</w:t>
            </w:r>
          </w:p>
        </w:tc>
        <w:tc>
          <w:tcPr>
            <w:tcW w:w="1985" w:type="dxa"/>
            <w:gridSpan w:val="2"/>
          </w:tcPr>
          <w:p w14:paraId="55B744DF" w14:textId="77777777" w:rsidR="00E13CFF" w:rsidRPr="007C7483" w:rsidRDefault="00E13CFF" w:rsidP="00D74E12">
            <w:pPr>
              <w:keepLine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C7483">
              <w:rPr>
                <w:rFonts w:asciiTheme="minorHAnsi" w:hAnsiTheme="minorHAnsi" w:cstheme="minorHAnsi"/>
                <w:sz w:val="20"/>
                <w:szCs w:val="20"/>
              </w:rPr>
              <w:t>Classification Level 2</w:t>
            </w:r>
          </w:p>
        </w:tc>
        <w:tc>
          <w:tcPr>
            <w:tcW w:w="1985" w:type="dxa"/>
            <w:gridSpan w:val="2"/>
          </w:tcPr>
          <w:p w14:paraId="72DA0908" w14:textId="77777777" w:rsidR="00E13CFF" w:rsidRPr="007C7483" w:rsidRDefault="00E13CFF" w:rsidP="00D74E12">
            <w:pPr>
              <w:keepLine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C7483">
              <w:rPr>
                <w:rFonts w:asciiTheme="minorHAnsi" w:hAnsiTheme="minorHAnsi" w:cstheme="minorHAnsi"/>
                <w:sz w:val="20"/>
                <w:szCs w:val="20"/>
              </w:rPr>
              <w:t>Classification Level 3</w:t>
            </w:r>
          </w:p>
        </w:tc>
      </w:tr>
      <w:tr w:rsidR="00E13CFF" w:rsidRPr="007C7483" w14:paraId="34E9B462" w14:textId="77777777" w:rsidTr="000F6508">
        <w:tc>
          <w:tcPr>
            <w:cnfStyle w:val="001000000000" w:firstRow="0" w:lastRow="0" w:firstColumn="1" w:lastColumn="0" w:oddVBand="0" w:evenVBand="0" w:oddHBand="0" w:evenHBand="0" w:firstRowFirstColumn="0" w:firstRowLastColumn="0" w:lastRowFirstColumn="0" w:lastRowLastColumn="0"/>
            <w:tcW w:w="1607" w:type="dxa"/>
          </w:tcPr>
          <w:p w14:paraId="67C13A92" w14:textId="34C00E3B" w:rsidR="00E13CFF" w:rsidRPr="007C7483" w:rsidRDefault="000F6508" w:rsidP="00D74E12">
            <w:pPr>
              <w:keepNext/>
              <w:keepLines/>
              <w:spacing w:before="60" w:after="60"/>
              <w:rPr>
                <w:rFonts w:asciiTheme="minorHAnsi" w:hAnsiTheme="minorHAnsi" w:cstheme="minorHAnsi"/>
                <w:color w:val="auto"/>
                <w:sz w:val="20"/>
                <w:szCs w:val="20"/>
              </w:rPr>
            </w:pPr>
            <w:r>
              <w:rPr>
                <w:rFonts w:asciiTheme="minorHAnsi" w:hAnsiTheme="minorHAnsi" w:cstheme="minorHAnsi"/>
                <w:color w:val="auto"/>
                <w:sz w:val="20"/>
                <w:szCs w:val="20"/>
              </w:rPr>
              <w:t>M</w:t>
            </w:r>
            <w:r w:rsidR="00E13CFF" w:rsidRPr="007C7483">
              <w:rPr>
                <w:rFonts w:asciiTheme="minorHAnsi" w:hAnsiTheme="minorHAnsi" w:cstheme="minorHAnsi"/>
                <w:color w:val="auto"/>
                <w:sz w:val="20"/>
                <w:szCs w:val="20"/>
              </w:rPr>
              <w:t>eloxicam</w:t>
            </w:r>
          </w:p>
        </w:tc>
        <w:tc>
          <w:tcPr>
            <w:tcW w:w="968" w:type="dxa"/>
          </w:tcPr>
          <w:p w14:paraId="7AF0D365" w14:textId="77777777" w:rsidR="00E13CFF" w:rsidRPr="007C7483" w:rsidRDefault="00E13CFF" w:rsidP="00D74E12">
            <w:pPr>
              <w:keepNext/>
              <w:keepLine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C7483">
              <w:rPr>
                <w:rFonts w:asciiTheme="minorHAnsi" w:hAnsiTheme="minorHAnsi" w:cstheme="minorHAnsi"/>
                <w:color w:val="auto"/>
                <w:sz w:val="20"/>
                <w:szCs w:val="20"/>
              </w:rPr>
              <w:t>C</w:t>
            </w:r>
          </w:p>
        </w:tc>
        <w:tc>
          <w:tcPr>
            <w:tcW w:w="2031" w:type="dxa"/>
            <w:gridSpan w:val="2"/>
          </w:tcPr>
          <w:p w14:paraId="03EABA2A" w14:textId="77777777" w:rsidR="00E13CFF" w:rsidRPr="007C7483" w:rsidRDefault="00E13CFF" w:rsidP="00D74E12">
            <w:pPr>
              <w:keepNext/>
              <w:keepLine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C7483">
              <w:rPr>
                <w:rFonts w:asciiTheme="minorHAnsi" w:hAnsiTheme="minorHAnsi" w:cstheme="minorHAnsi"/>
                <w:color w:val="auto"/>
                <w:sz w:val="20"/>
                <w:szCs w:val="20"/>
              </w:rPr>
              <w:t>Musculoskeletal System</w:t>
            </w:r>
          </w:p>
        </w:tc>
        <w:tc>
          <w:tcPr>
            <w:tcW w:w="2032" w:type="dxa"/>
            <w:gridSpan w:val="2"/>
          </w:tcPr>
          <w:p w14:paraId="5EF48318" w14:textId="77777777" w:rsidR="00E13CFF" w:rsidRPr="007C7483" w:rsidRDefault="00E13CFF" w:rsidP="00D74E12">
            <w:pPr>
              <w:keepNext/>
              <w:keepLine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C7483">
              <w:rPr>
                <w:rFonts w:asciiTheme="minorHAnsi" w:hAnsiTheme="minorHAnsi" w:cstheme="minorHAnsi"/>
                <w:color w:val="auto"/>
                <w:sz w:val="20"/>
                <w:szCs w:val="20"/>
              </w:rPr>
              <w:t>Non-steroidal anti-inflammatory drugs (NSAIDS)</w:t>
            </w:r>
          </w:p>
        </w:tc>
        <w:tc>
          <w:tcPr>
            <w:tcW w:w="1891" w:type="dxa"/>
          </w:tcPr>
          <w:p w14:paraId="65562581" w14:textId="77777777" w:rsidR="00E13CFF" w:rsidRPr="007C7483" w:rsidRDefault="00E13CFF" w:rsidP="00D74E12">
            <w:pPr>
              <w:keepNext/>
              <w:keepLine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p>
        </w:tc>
      </w:tr>
      <w:tr w:rsidR="00E13CFF" w:rsidRPr="007C7483" w14:paraId="6B60FF06" w14:textId="77777777" w:rsidTr="000F6508">
        <w:tc>
          <w:tcPr>
            <w:cnfStyle w:val="001000000000" w:firstRow="0" w:lastRow="0" w:firstColumn="1" w:lastColumn="0" w:oddVBand="0" w:evenVBand="0" w:oddHBand="0" w:evenHBand="0" w:firstRowFirstColumn="0" w:firstRowLastColumn="0" w:lastRowFirstColumn="0" w:lastRowLastColumn="0"/>
            <w:tcW w:w="8529" w:type="dxa"/>
            <w:gridSpan w:val="7"/>
          </w:tcPr>
          <w:p w14:paraId="04B9EA5F" w14:textId="77777777" w:rsidR="00E13CFF" w:rsidRPr="007C7483" w:rsidRDefault="00E13CFF" w:rsidP="00D74E12">
            <w:pPr>
              <w:keepNext/>
              <w:keepLines/>
              <w:spacing w:before="60" w:after="60"/>
              <w:rPr>
                <w:rFonts w:asciiTheme="minorHAnsi" w:hAnsiTheme="minorHAnsi" w:cstheme="minorHAnsi"/>
                <w:color w:val="auto"/>
                <w:sz w:val="18"/>
                <w:szCs w:val="18"/>
              </w:rPr>
            </w:pPr>
            <w:r w:rsidRPr="007C7483">
              <w:rPr>
                <w:rFonts w:asciiTheme="minorHAnsi" w:hAnsiTheme="minorHAnsi" w:cstheme="minorHAnsi"/>
                <w:b/>
                <w:color w:val="auto"/>
                <w:sz w:val="18"/>
                <w:szCs w:val="18"/>
              </w:rPr>
              <w:t>Category C</w:t>
            </w:r>
            <w:r w:rsidRPr="007C7483">
              <w:rPr>
                <w:rFonts w:asciiTheme="minorHAnsi" w:hAnsiTheme="minorHAnsi" w:cstheme="minorHAnsi"/>
                <w:color w:val="auto"/>
                <w:sz w:val="18"/>
                <w:szCs w:val="18"/>
              </w:rPr>
              <w:t xml:space="preserve"> – Drugs which, owing to their pharmacological effects, have caused or may be suspected of causing, harmful effects on the human foetus or neonate without causing malformations. These effects may be reversible. Accompanying texts should be consulted for further details.</w:t>
            </w:r>
          </w:p>
        </w:tc>
      </w:tr>
    </w:tbl>
    <w:p w14:paraId="03247215" w14:textId="0AC61B46" w:rsidR="00E13CFF" w:rsidRPr="007C7483" w:rsidRDefault="00E13CFF" w:rsidP="00EB1099">
      <w:pPr>
        <w:pStyle w:val="ListBullet"/>
        <w:numPr>
          <w:ilvl w:val="0"/>
          <w:numId w:val="83"/>
        </w:numPr>
      </w:pPr>
      <w:r w:rsidRPr="007C7483">
        <w:t xml:space="preserve">There are no warning statements pertaining to meloxicam in the </w:t>
      </w:r>
      <w:hyperlink r:id="rId156" w:history="1">
        <w:r w:rsidRPr="007C7483">
          <w:rPr>
            <w:rStyle w:val="Hyperlink"/>
            <w:rFonts w:asciiTheme="minorHAnsi" w:hAnsiTheme="minorHAnsi"/>
          </w:rPr>
          <w:t>Therapeutic Goods (Medicines Advisory Statements) Specification 2021</w:t>
        </w:r>
      </w:hyperlink>
    </w:p>
    <w:p w14:paraId="28394E7F" w14:textId="28B6150D" w:rsidR="00E13CFF" w:rsidRPr="007C7483" w:rsidRDefault="00E13CFF" w:rsidP="00EB1099">
      <w:pPr>
        <w:pStyle w:val="ListBullet"/>
        <w:numPr>
          <w:ilvl w:val="0"/>
          <w:numId w:val="83"/>
        </w:numPr>
      </w:pPr>
      <w:r w:rsidRPr="007C7483">
        <w:t xml:space="preserve">Between July 2013 and July 2023, there were 213 reports of adverse events for products containing meloxicam as an active ingredient on the </w:t>
      </w:r>
      <w:hyperlink r:id="rId157" w:history="1">
        <w:r w:rsidR="00EB1099">
          <w:rPr>
            <w:rStyle w:val="Hyperlink"/>
            <w:rFonts w:asciiTheme="minorHAnsi" w:hAnsiTheme="minorHAnsi"/>
          </w:rPr>
          <w:t>Database of Adverse Event Notifications</w:t>
        </w:r>
      </w:hyperlink>
      <w:r w:rsidR="00EB1099" w:rsidRPr="00EB1099">
        <w:rPr>
          <w:rStyle w:val="Hyperlink"/>
          <w:rFonts w:asciiTheme="minorHAnsi" w:hAnsiTheme="minorHAnsi"/>
          <w:color w:val="auto"/>
          <w:u w:val="none"/>
        </w:rPr>
        <w:t xml:space="preserve"> (DAEN)</w:t>
      </w:r>
      <w:r w:rsidRPr="007C7483">
        <w:t>, with 121 reports where meloxicam was the single suspected medicine. The majority of reports related to gastrointestinal disorders such as nausea and haemorrhages, or skin tissue disorders such as rash or pruritus.</w:t>
      </w:r>
    </w:p>
    <w:p w14:paraId="398520D3" w14:textId="09820146" w:rsidR="00E13CFF" w:rsidRPr="007C7483" w:rsidRDefault="00E13CFF" w:rsidP="00EB1099">
      <w:pPr>
        <w:pStyle w:val="ListBullet"/>
        <w:numPr>
          <w:ilvl w:val="0"/>
          <w:numId w:val="83"/>
        </w:numPr>
      </w:pPr>
      <w:r w:rsidRPr="007C7483">
        <w:t xml:space="preserve">As of August 2023, there were 72 products containing meloxicam as an active ingredient/constituent or scheduled substance listed on the </w:t>
      </w:r>
      <w:hyperlink r:id="rId158" w:history="1">
        <w:r w:rsidR="00EB1099">
          <w:rPr>
            <w:rStyle w:val="Hyperlink"/>
            <w:rFonts w:asciiTheme="minorHAnsi" w:hAnsiTheme="minorHAnsi"/>
          </w:rPr>
          <w:t>Public Chemical Registration Information System Search</w:t>
        </w:r>
      </w:hyperlink>
      <w:r w:rsidR="00EB1099" w:rsidRPr="00EB1099">
        <w:rPr>
          <w:rStyle w:val="Hyperlink"/>
          <w:rFonts w:asciiTheme="minorHAnsi" w:hAnsiTheme="minorHAnsi"/>
          <w:color w:val="auto"/>
          <w:u w:val="none"/>
        </w:rPr>
        <w:t xml:space="preserve"> (PubCRIS)</w:t>
      </w:r>
      <w:r w:rsidRPr="007C7483">
        <w:t>. These were in a variety of dosage forms including oral suspensions, injections, tablets and transmucosal gels.</w:t>
      </w:r>
    </w:p>
    <w:p w14:paraId="43492275" w14:textId="126C8766" w:rsidR="00E13CFF" w:rsidRPr="007C7483" w:rsidRDefault="00E13CFF" w:rsidP="00EB1099">
      <w:pPr>
        <w:pStyle w:val="ListBullet"/>
        <w:numPr>
          <w:ilvl w:val="0"/>
          <w:numId w:val="83"/>
        </w:numPr>
      </w:pPr>
      <w:r w:rsidRPr="007C7483">
        <w:t xml:space="preserve">In 2015-2020 the following adverse experiences were recorded for meloxicam in the </w:t>
      </w:r>
      <w:hyperlink r:id="rId159" w:history="1">
        <w:r w:rsidRPr="007C7483">
          <w:rPr>
            <w:rStyle w:val="Hyperlink"/>
            <w:rFonts w:asciiTheme="minorHAnsi" w:hAnsiTheme="minorHAnsi"/>
          </w:rPr>
          <w:t>APVMA Adverse Experience Reporting Program</w:t>
        </w:r>
      </w:hyperlink>
      <w:r w:rsidRPr="00EB1099">
        <w:rPr>
          <w:rStyle w:val="Hyperlink"/>
          <w:rFonts w:asciiTheme="minorHAnsi" w:hAnsiTheme="minorHAnsi"/>
          <w:color w:val="auto"/>
          <w:u w:val="none"/>
        </w:rPr>
        <w:t xml:space="preserve"> </w:t>
      </w:r>
      <w:r w:rsidR="00EB1099" w:rsidRPr="00EB1099">
        <w:rPr>
          <w:rStyle w:val="Hyperlink"/>
          <w:rFonts w:asciiTheme="minorHAnsi" w:hAnsiTheme="minorHAnsi"/>
          <w:color w:val="auto"/>
          <w:u w:val="none"/>
        </w:rPr>
        <w:t xml:space="preserve">(AERP) </w:t>
      </w:r>
      <w:r w:rsidRPr="00EB1099">
        <w:rPr>
          <w:rStyle w:val="Hyperlink"/>
          <w:rFonts w:asciiTheme="minorHAnsi" w:hAnsiTheme="minorHAnsi"/>
          <w:color w:val="auto"/>
          <w:u w:val="none"/>
        </w:rPr>
        <w:t>database:</w:t>
      </w:r>
    </w:p>
    <w:p w14:paraId="67BBBA3E" w14:textId="689312B1" w:rsidR="00E13CFF" w:rsidRPr="007C7483" w:rsidRDefault="00E13CFF" w:rsidP="00EB1099">
      <w:pPr>
        <w:pStyle w:val="ListBullet2"/>
        <w:numPr>
          <w:ilvl w:val="1"/>
          <w:numId w:val="39"/>
        </w:numPr>
        <w:ind w:left="714" w:hanging="357"/>
        <w:rPr>
          <w:rFonts w:cstheme="minorHAnsi"/>
          <w:color w:val="auto"/>
        </w:rPr>
      </w:pPr>
      <w:r w:rsidRPr="007C7483">
        <w:rPr>
          <w:rFonts w:cstheme="minorHAnsi"/>
          <w:color w:val="auto"/>
        </w:rPr>
        <w:t>74 reports of incidents classified as related to animal health</w:t>
      </w:r>
    </w:p>
    <w:p w14:paraId="27E4D143" w14:textId="2EE3D560" w:rsidR="00E13CFF" w:rsidRPr="007C7483" w:rsidRDefault="00C66551" w:rsidP="00EB1099">
      <w:pPr>
        <w:pStyle w:val="ListBullet2"/>
        <w:numPr>
          <w:ilvl w:val="1"/>
          <w:numId w:val="39"/>
        </w:numPr>
        <w:ind w:left="714" w:hanging="357"/>
        <w:rPr>
          <w:rFonts w:cstheme="minorHAnsi"/>
          <w:color w:val="auto"/>
        </w:rPr>
      </w:pPr>
      <w:r>
        <w:rPr>
          <w:rFonts w:cstheme="minorHAnsi"/>
          <w:color w:val="auto"/>
        </w:rPr>
        <w:t>O</w:t>
      </w:r>
      <w:r w:rsidR="007040B0">
        <w:rPr>
          <w:rFonts w:cstheme="minorHAnsi"/>
          <w:color w:val="auto"/>
        </w:rPr>
        <w:t>ne</w:t>
      </w:r>
      <w:r w:rsidR="00E13CFF" w:rsidRPr="007C7483">
        <w:rPr>
          <w:rFonts w:cstheme="minorHAnsi"/>
          <w:color w:val="auto"/>
        </w:rPr>
        <w:t xml:space="preserve"> report of an incident related to lack of efficacy.</w:t>
      </w:r>
    </w:p>
    <w:p w14:paraId="103CD108" w14:textId="77777777" w:rsidR="00E13CFF" w:rsidRDefault="00E13CFF" w:rsidP="00E13CFF">
      <w:pPr>
        <w:pStyle w:val="Heading4"/>
      </w:pPr>
      <w:bookmarkStart w:id="150" w:name="_Toc144110938"/>
      <w:r>
        <w:t>International regulations</w:t>
      </w:r>
      <w:bookmarkEnd w:id="150"/>
    </w:p>
    <w:p w14:paraId="082BE3A5" w14:textId="77777777" w:rsidR="00E13CFF" w:rsidRPr="007C7483" w:rsidRDefault="00E13CFF" w:rsidP="00EB1099">
      <w:pPr>
        <w:pStyle w:val="ListBullet"/>
        <w:numPr>
          <w:ilvl w:val="0"/>
          <w:numId w:val="83"/>
        </w:numPr>
      </w:pPr>
      <w:r w:rsidRPr="007C7483">
        <w:t xml:space="preserve">Ireland’s </w:t>
      </w:r>
      <w:hyperlink r:id="rId160" w:history="1">
        <w:r w:rsidRPr="007C7483">
          <w:rPr>
            <w:rStyle w:val="Hyperlink"/>
            <w:rFonts w:asciiTheme="minorHAnsi" w:hAnsiTheme="minorHAnsi"/>
          </w:rPr>
          <w:t>Health Products Regulatory Authority</w:t>
        </w:r>
      </w:hyperlink>
      <w:r w:rsidRPr="007C7483">
        <w:t xml:space="preserve"> regulates 4 products containing meloxicam. All are prescription-only tablets.</w:t>
      </w:r>
    </w:p>
    <w:p w14:paraId="16C8EC36" w14:textId="77777777" w:rsidR="00E13CFF" w:rsidRPr="007C7483" w:rsidRDefault="00E13CFF" w:rsidP="00EB1099">
      <w:pPr>
        <w:pStyle w:val="ListBullet"/>
        <w:numPr>
          <w:ilvl w:val="0"/>
          <w:numId w:val="83"/>
        </w:numPr>
        <w:rPr>
          <w:color w:val="0000FF"/>
          <w:szCs w:val="22"/>
          <w:u w:val="single"/>
        </w:rPr>
      </w:pPr>
      <w:r w:rsidRPr="007C7483">
        <w:t xml:space="preserve">Health Canada’s </w:t>
      </w:r>
      <w:hyperlink r:id="rId161" w:history="1">
        <w:r w:rsidRPr="007C7483">
          <w:rPr>
            <w:rStyle w:val="Hyperlink"/>
            <w:rFonts w:asciiTheme="minorHAnsi" w:hAnsiTheme="minorHAnsi"/>
          </w:rPr>
          <w:t>Drug Product Database</w:t>
        </w:r>
      </w:hyperlink>
      <w:r w:rsidRPr="007C7483">
        <w:t xml:space="preserve"> includes 32 marketed products containing meloxicam. These include 22 products for veterinary use. All marketed products containing meloxicam are only available by prescription.</w:t>
      </w:r>
    </w:p>
    <w:p w14:paraId="351AA118" w14:textId="77777777" w:rsidR="00E13CFF" w:rsidRPr="007C7483" w:rsidRDefault="00E13CFF" w:rsidP="00EB1099">
      <w:pPr>
        <w:pStyle w:val="ListBullet"/>
        <w:numPr>
          <w:ilvl w:val="0"/>
          <w:numId w:val="83"/>
        </w:numPr>
        <w:rPr>
          <w:rStyle w:val="Hyperlink"/>
          <w:rFonts w:asciiTheme="minorHAnsi" w:hAnsiTheme="minorHAnsi"/>
          <w:color w:val="auto"/>
          <w:szCs w:val="22"/>
          <w:u w:val="none"/>
        </w:rPr>
      </w:pPr>
      <w:r w:rsidRPr="007C7483">
        <w:rPr>
          <w:rStyle w:val="Hyperlink"/>
          <w:rFonts w:asciiTheme="minorHAnsi" w:hAnsiTheme="minorHAnsi"/>
          <w:color w:val="auto"/>
          <w:szCs w:val="22"/>
          <w:u w:val="none"/>
        </w:rPr>
        <w:t xml:space="preserve">New Zealand’s </w:t>
      </w:r>
      <w:hyperlink r:id="rId162" w:history="1">
        <w:r w:rsidRPr="007C7483">
          <w:rPr>
            <w:rStyle w:val="Hyperlink"/>
            <w:rFonts w:asciiTheme="minorHAnsi" w:hAnsiTheme="minorHAnsi"/>
            <w:szCs w:val="22"/>
          </w:rPr>
          <w:t>Medicines Classification Database</w:t>
        </w:r>
      </w:hyperlink>
      <w:r w:rsidRPr="007C7483">
        <w:rPr>
          <w:rStyle w:val="Hyperlink"/>
          <w:rFonts w:asciiTheme="minorHAnsi" w:hAnsiTheme="minorHAnsi"/>
          <w:color w:val="auto"/>
          <w:szCs w:val="22"/>
          <w:u w:val="none"/>
        </w:rPr>
        <w:t xml:space="preserve"> lists meloxicam as a prescription medicine for all preparations and applications.</w:t>
      </w:r>
    </w:p>
    <w:p w14:paraId="59BEDEC7" w14:textId="55E73071" w:rsidR="00E13CFF" w:rsidRPr="00EC14ED" w:rsidRDefault="00E13CFF" w:rsidP="00EB1099">
      <w:pPr>
        <w:pStyle w:val="ListBullet"/>
        <w:numPr>
          <w:ilvl w:val="0"/>
          <w:numId w:val="83"/>
        </w:numPr>
      </w:pPr>
      <w:r w:rsidRPr="007C7483">
        <w:rPr>
          <w:rStyle w:val="Hyperlink"/>
          <w:rFonts w:asciiTheme="minorHAnsi" w:hAnsiTheme="minorHAnsi"/>
          <w:color w:val="auto"/>
          <w:szCs w:val="22"/>
          <w:u w:val="none"/>
        </w:rPr>
        <w:t xml:space="preserve">The United States Food and Drug Administration’s </w:t>
      </w:r>
      <w:hyperlink r:id="rId163" w:history="1">
        <w:r w:rsidRPr="007C7483">
          <w:rPr>
            <w:rStyle w:val="Hyperlink"/>
            <w:rFonts w:asciiTheme="minorHAnsi" w:hAnsiTheme="minorHAnsi"/>
            <w:szCs w:val="22"/>
          </w:rPr>
          <w:t>Drugs@FDA</w:t>
        </w:r>
      </w:hyperlink>
      <w:r w:rsidRPr="007C7483">
        <w:rPr>
          <w:rStyle w:val="Hyperlink"/>
          <w:rFonts w:asciiTheme="minorHAnsi" w:hAnsiTheme="minorHAnsi"/>
          <w:color w:val="auto"/>
          <w:szCs w:val="22"/>
          <w:u w:val="none"/>
        </w:rPr>
        <w:t xml:space="preserve"> database includes 18 current products containing meloxicam, in tablets, capsules and oral suspensions. All are regulated as prescription medicines.</w:t>
      </w:r>
    </w:p>
    <w:p w14:paraId="0A75556F" w14:textId="5605D421" w:rsidR="00E13CFF" w:rsidRDefault="001D5CC5" w:rsidP="00E13CFF">
      <w:pPr>
        <w:pStyle w:val="Heading3"/>
      </w:pPr>
      <w:bookmarkStart w:id="151" w:name="_Toc144110939"/>
      <w:r>
        <w:t>2.4</w:t>
      </w:r>
      <w:r>
        <w:tab/>
      </w:r>
      <w:r w:rsidR="00E13CFF" w:rsidRPr="00BC03E0">
        <w:t>Palmitoylethanolamide</w:t>
      </w:r>
      <w:r w:rsidR="00E13CFF">
        <w:t xml:space="preserve"> (PEA)</w:t>
      </w:r>
      <w:bookmarkEnd w:id="151"/>
    </w:p>
    <w:p w14:paraId="525B2E55" w14:textId="77777777" w:rsidR="00E13CFF" w:rsidRDefault="00E13CFF" w:rsidP="00E13CFF">
      <w:pPr>
        <w:pStyle w:val="Heading4"/>
      </w:pPr>
      <w:bookmarkStart w:id="152" w:name="_Toc144110940"/>
      <w:r>
        <w:t>Proposal</w:t>
      </w:r>
      <w:bookmarkEnd w:id="152"/>
    </w:p>
    <w:p w14:paraId="0F0D56C3" w14:textId="7EE5FC1D" w:rsidR="00E13CFF" w:rsidRDefault="00E13CFF" w:rsidP="00E13CFF">
      <w:pPr>
        <w:rPr>
          <w:color w:val="000000"/>
          <w:shd w:val="clear" w:color="auto" w:fill="FFFFFF"/>
        </w:rPr>
      </w:pPr>
      <w:r w:rsidRPr="00E97A7E">
        <w:t xml:space="preserve">The applicant has proposed a new Schedule 6 entry for palmitoylethanolamide </w:t>
      </w:r>
      <w:r w:rsidR="00C66551">
        <w:t xml:space="preserve">(PEA) </w:t>
      </w:r>
      <w:r w:rsidR="0059548A">
        <w:t xml:space="preserve">with an </w:t>
      </w:r>
      <w:r w:rsidRPr="00E97A7E">
        <w:t>ex</w:t>
      </w:r>
      <w:r w:rsidR="0059548A">
        <w:t>emption</w:t>
      </w:r>
      <w:r w:rsidRPr="00E97A7E">
        <w:t xml:space="preserve"> for </w:t>
      </w:r>
      <w:r w:rsidR="0059548A">
        <w:t xml:space="preserve">use in </w:t>
      </w:r>
      <w:r w:rsidRPr="00E97A7E">
        <w:t xml:space="preserve">listed human medicines. The proposal would require </w:t>
      </w:r>
      <w:r>
        <w:t xml:space="preserve">products </w:t>
      </w:r>
      <w:r w:rsidR="0059548A">
        <w:t xml:space="preserve">containing PEA </w:t>
      </w:r>
      <w:r>
        <w:t xml:space="preserve">that are not listed as human medicines, such as veterinary products, </w:t>
      </w:r>
      <w:r w:rsidRPr="00E97A7E">
        <w:rPr>
          <w:color w:val="000000"/>
          <w:shd w:val="clear" w:color="auto" w:fill="FFFFFF"/>
        </w:rPr>
        <w:t xml:space="preserve">to </w:t>
      </w:r>
      <w:r w:rsidR="0059548A">
        <w:rPr>
          <w:color w:val="000000"/>
          <w:shd w:val="clear" w:color="auto" w:fill="FFFFFF"/>
        </w:rPr>
        <w:t>have</w:t>
      </w:r>
      <w:r w:rsidRPr="00E97A7E">
        <w:rPr>
          <w:color w:val="000000"/>
          <w:shd w:val="clear" w:color="auto" w:fill="FFFFFF"/>
        </w:rPr>
        <w:t xml:space="preserve"> distinctive packaging with strong warnings and safety directions on the label.</w:t>
      </w:r>
    </w:p>
    <w:p w14:paraId="0DC62F30" w14:textId="13421EA5" w:rsidR="00E13CFF" w:rsidRDefault="00E13CFF" w:rsidP="00E13CFF">
      <w:pPr>
        <w:pStyle w:val="Heading4"/>
      </w:pPr>
      <w:bookmarkStart w:id="153" w:name="_Toc144110941"/>
      <w:r>
        <w:t>CAS Number</w:t>
      </w:r>
      <w:bookmarkEnd w:id="153"/>
    </w:p>
    <w:p w14:paraId="070D0EB2" w14:textId="77777777" w:rsidR="00E13CFF" w:rsidRPr="00B85375" w:rsidRDefault="00E13CFF" w:rsidP="00E13CFF">
      <w:pPr>
        <w:rPr>
          <w:color w:val="000000"/>
          <w:shd w:val="clear" w:color="auto" w:fill="FFFFFF"/>
        </w:rPr>
      </w:pPr>
      <w:r w:rsidRPr="008D2CE1">
        <w:rPr>
          <w:color w:val="000000"/>
          <w:shd w:val="clear" w:color="auto" w:fill="FFFFFF"/>
        </w:rPr>
        <w:t>544-31-0</w:t>
      </w:r>
    </w:p>
    <w:p w14:paraId="1AF9765E" w14:textId="77777777" w:rsidR="00E13CFF" w:rsidRDefault="00E13CFF" w:rsidP="00E13CFF">
      <w:pPr>
        <w:pStyle w:val="Heading4"/>
      </w:pPr>
      <w:bookmarkStart w:id="154" w:name="_Toc144110942"/>
      <w:r>
        <w:t>Alternative names</w:t>
      </w:r>
      <w:bookmarkEnd w:id="154"/>
    </w:p>
    <w:p w14:paraId="6F3EB45C" w14:textId="7348805C" w:rsidR="00E13CFF" w:rsidRDefault="00E13CFF" w:rsidP="00E13CFF">
      <w:r>
        <w:t>Palmidrol, PEA</w:t>
      </w:r>
      <w:r w:rsidR="00BC03E0">
        <w:t xml:space="preserve">, </w:t>
      </w:r>
      <w:r w:rsidR="00BC03E0" w:rsidRPr="00BC03E0">
        <w:t>palmitic acid monoethanolamide</w:t>
      </w:r>
    </w:p>
    <w:p w14:paraId="539A20D0" w14:textId="77777777" w:rsidR="00E13CFF" w:rsidRDefault="00E13CFF" w:rsidP="00E13CFF">
      <w:pPr>
        <w:pStyle w:val="Heading4"/>
      </w:pPr>
      <w:bookmarkStart w:id="155" w:name="_Toc144110943"/>
      <w:r>
        <w:t>Applicant</w:t>
      </w:r>
      <w:bookmarkEnd w:id="155"/>
    </w:p>
    <w:p w14:paraId="5AE99AE9" w14:textId="77777777" w:rsidR="00E13CFF" w:rsidRDefault="00E13CFF" w:rsidP="00E13CFF">
      <w:r>
        <w:t>Australian Pesticides and Veterinary Medicines Authority (APVMA)</w:t>
      </w:r>
    </w:p>
    <w:p w14:paraId="4EE8C432" w14:textId="77777777" w:rsidR="00E13CFF" w:rsidRDefault="00E13CFF" w:rsidP="00E13CFF">
      <w:pPr>
        <w:pStyle w:val="Heading4"/>
      </w:pPr>
      <w:bookmarkStart w:id="156" w:name="_Toc144110944"/>
      <w:r>
        <w:t>Proposed Scheduling</w:t>
      </w:r>
      <w:bookmarkEnd w:id="156"/>
    </w:p>
    <w:p w14:paraId="52BB8D0D" w14:textId="438EB58C" w:rsidR="00E13CFF" w:rsidRDefault="00E13CFF" w:rsidP="00E13CFF">
      <w:pPr>
        <w:rPr>
          <w:rFonts w:cstheme="minorHAnsi"/>
        </w:rPr>
      </w:pPr>
      <w:r>
        <w:rPr>
          <w:rFonts w:cstheme="minorHAnsi"/>
        </w:rPr>
        <w:t>P</w:t>
      </w:r>
      <w:r w:rsidRPr="001B3E4F">
        <w:rPr>
          <w:rFonts w:cstheme="minorHAnsi"/>
        </w:rPr>
        <w:t xml:space="preserve">almitoylethanolamide </w:t>
      </w:r>
      <w:r w:rsidRPr="00AF12F6">
        <w:rPr>
          <w:rFonts w:cstheme="minorHAnsi"/>
        </w:rPr>
        <w:t>is not specifically scheduled</w:t>
      </w:r>
      <w:r>
        <w:rPr>
          <w:rFonts w:cstheme="minorHAnsi"/>
        </w:rPr>
        <w:t xml:space="preserve"> in the current Poisons Standard</w:t>
      </w:r>
      <w:r w:rsidRPr="00AF12F6">
        <w:rPr>
          <w:rFonts w:cstheme="minorHAnsi"/>
        </w:rPr>
        <w:t>.</w:t>
      </w:r>
    </w:p>
    <w:p w14:paraId="6F099503" w14:textId="77777777" w:rsidR="00D74E12" w:rsidRDefault="00D74E12" w:rsidP="00D74E12">
      <w:pPr>
        <w:rPr>
          <w:rFonts w:cstheme="minorHAnsi"/>
        </w:rPr>
      </w:pPr>
      <w:r>
        <w:rPr>
          <w:rFonts w:cstheme="minorHAnsi"/>
        </w:rPr>
        <w:t>The applicant’s proposed amendments to the Poisons Standard are:</w:t>
      </w:r>
      <w:r>
        <w:rPr>
          <w:rStyle w:val="FootnoteReference"/>
          <w:rFonts w:cstheme="minorHAnsi"/>
        </w:rPr>
        <w:footnoteReference w:id="13"/>
      </w:r>
    </w:p>
    <w:p w14:paraId="001F123B" w14:textId="77777777" w:rsidR="00E13CFF" w:rsidRDefault="00E13CFF" w:rsidP="0072362E">
      <w:pPr>
        <w:ind w:left="426"/>
        <w:rPr>
          <w:b/>
          <w:bCs/>
        </w:rPr>
      </w:pPr>
      <w:r w:rsidRPr="006C76FF">
        <w:rPr>
          <w:b/>
          <w:bCs/>
        </w:rPr>
        <w:t>Schedule 6</w:t>
      </w:r>
      <w:r>
        <w:rPr>
          <w:b/>
          <w:bCs/>
        </w:rPr>
        <w:t xml:space="preserve"> – New Entry</w:t>
      </w:r>
    </w:p>
    <w:p w14:paraId="430B0121" w14:textId="77777777" w:rsidR="00E13CFF" w:rsidRPr="008D2CE1" w:rsidRDefault="00E13CFF" w:rsidP="00E13CFF">
      <w:pPr>
        <w:ind w:firstLine="720"/>
        <w:rPr>
          <w:rFonts w:cstheme="minorHAnsi"/>
          <w:color w:val="00B050"/>
          <w:u w:val="single"/>
        </w:rPr>
      </w:pPr>
      <w:r w:rsidRPr="008D2CE1">
        <w:rPr>
          <w:rFonts w:cstheme="minorHAnsi"/>
          <w:color w:val="00B050"/>
          <w:u w:val="single"/>
        </w:rPr>
        <w:t xml:space="preserve">PALMITOYLETHANOLAMIDE </w:t>
      </w:r>
      <w:r w:rsidRPr="0059548A">
        <w:rPr>
          <w:rFonts w:cstheme="minorHAnsi"/>
          <w:b/>
          <w:bCs/>
          <w:color w:val="00B050"/>
          <w:u w:val="single"/>
        </w:rPr>
        <w:t>except</w:t>
      </w:r>
      <w:r w:rsidRPr="008D2CE1">
        <w:rPr>
          <w:rFonts w:cstheme="minorHAnsi"/>
          <w:color w:val="00B050"/>
          <w:u w:val="single"/>
        </w:rPr>
        <w:t xml:space="preserve"> in listed human medicines</w:t>
      </w:r>
    </w:p>
    <w:p w14:paraId="38678802" w14:textId="0315B683" w:rsidR="000F3020" w:rsidRDefault="00E13CFF" w:rsidP="0072362E">
      <w:pPr>
        <w:pStyle w:val="NoSpacing"/>
        <w:ind w:left="426"/>
        <w:rPr>
          <w:rFonts w:ascii="Times New Roman" w:hAnsi="Times New Roman" w:cs="Times New Roman"/>
          <w:b/>
          <w:bCs/>
          <w:noProof/>
          <w:sz w:val="24"/>
          <w:szCs w:val="24"/>
        </w:rPr>
      </w:pPr>
      <w:r>
        <w:rPr>
          <w:b/>
          <w:bCs/>
        </w:rPr>
        <w:t>Index – New Entry</w:t>
      </w:r>
    </w:p>
    <w:p w14:paraId="113ADDCB" w14:textId="77777777" w:rsidR="00E13CFF" w:rsidRPr="0072362E" w:rsidRDefault="00E13CFF" w:rsidP="0072362E">
      <w:pPr>
        <w:pStyle w:val="NoSpacing"/>
        <w:spacing w:before="120"/>
        <w:ind w:left="709"/>
        <w:rPr>
          <w:rFonts w:eastAsiaTheme="minorHAnsi" w:cstheme="minorHAnsi"/>
          <w:b/>
          <w:bCs/>
          <w:color w:val="00B050"/>
          <w:u w:val="single"/>
          <w:lang w:eastAsia="en-US"/>
        </w:rPr>
      </w:pPr>
      <w:r w:rsidRPr="0072362E">
        <w:rPr>
          <w:rFonts w:eastAsiaTheme="minorHAnsi" w:cstheme="minorHAnsi"/>
          <w:b/>
          <w:bCs/>
          <w:color w:val="00B050"/>
          <w:u w:val="single"/>
          <w:lang w:eastAsia="en-US"/>
        </w:rPr>
        <w:t xml:space="preserve">PALMITOYLETHANOLAMIDE </w:t>
      </w:r>
    </w:p>
    <w:p w14:paraId="38420AEC" w14:textId="77777777" w:rsidR="0059548A" w:rsidRDefault="00E13CFF">
      <w:pPr>
        <w:pStyle w:val="NoSpacing"/>
        <w:ind w:left="709"/>
        <w:jc w:val="left"/>
        <w:rPr>
          <w:rFonts w:eastAsiaTheme="minorHAnsi" w:cstheme="minorHAnsi"/>
          <w:color w:val="00B050"/>
          <w:u w:val="single"/>
          <w:lang w:eastAsia="en-US"/>
        </w:rPr>
      </w:pPr>
      <w:r w:rsidRPr="008D2CE1">
        <w:rPr>
          <w:rFonts w:eastAsiaTheme="minorHAnsi" w:cstheme="minorHAnsi"/>
          <w:color w:val="00B050"/>
          <w:u w:val="single"/>
          <w:lang w:eastAsia="en-US"/>
        </w:rPr>
        <w:t>cross reference: PALMIDROL</w:t>
      </w:r>
    </w:p>
    <w:p w14:paraId="1A5B7184" w14:textId="4AAF0AE7" w:rsidR="00E13CFF" w:rsidRPr="008D2CE1" w:rsidRDefault="00E13CFF" w:rsidP="0059548A">
      <w:pPr>
        <w:pStyle w:val="NoSpacing"/>
        <w:spacing w:before="120"/>
        <w:ind w:left="709"/>
        <w:jc w:val="left"/>
        <w:rPr>
          <w:rFonts w:eastAsiaTheme="minorHAnsi" w:cstheme="minorHAnsi"/>
          <w:color w:val="00B050"/>
          <w:u w:val="single"/>
          <w:lang w:eastAsia="en-US"/>
        </w:rPr>
      </w:pPr>
      <w:r>
        <w:rPr>
          <w:rFonts w:eastAsiaTheme="minorHAnsi" w:cstheme="minorHAnsi"/>
          <w:color w:val="00B050"/>
          <w:u w:val="single"/>
          <w:lang w:eastAsia="en-US"/>
        </w:rPr>
        <w:t>Schedule 6</w:t>
      </w:r>
    </w:p>
    <w:p w14:paraId="411E9458" w14:textId="77777777" w:rsidR="00E13CFF" w:rsidRDefault="00E13CFF" w:rsidP="00E13CFF">
      <w:pPr>
        <w:pStyle w:val="Heading4"/>
      </w:pPr>
      <w:bookmarkStart w:id="157" w:name="_Toc144110945"/>
      <w:r>
        <w:t>Background</w:t>
      </w:r>
      <w:bookmarkEnd w:id="157"/>
    </w:p>
    <w:p w14:paraId="4D2DC112" w14:textId="3F714F9E" w:rsidR="00E13CFF" w:rsidRPr="007B21F2" w:rsidRDefault="00E13CFF" w:rsidP="00E13CFF">
      <w:pPr>
        <w:spacing w:before="120"/>
        <w:jc w:val="both"/>
      </w:pPr>
      <w:r>
        <w:t>P</w:t>
      </w:r>
      <w:r w:rsidRPr="00F03FFC">
        <w:t>almitoylethanolamide</w:t>
      </w:r>
      <w:r w:rsidRPr="007B21F2">
        <w:t xml:space="preserve"> </w:t>
      </w:r>
      <w:r>
        <w:t xml:space="preserve">(PEA) </w:t>
      </w:r>
      <w:r w:rsidRPr="007B21F2">
        <w:t xml:space="preserve">is a new </w:t>
      </w:r>
      <w:r>
        <w:t>veterinary</w:t>
      </w:r>
      <w:r w:rsidRPr="007B21F2">
        <w:t xml:space="preserve"> active constituent in Australia and is not listed in the </w:t>
      </w:r>
      <w:r>
        <w:t xml:space="preserve">Poisons Standard. </w:t>
      </w:r>
      <w:r w:rsidRPr="00E97A7E">
        <w:t>Palmitoylethanolamide</w:t>
      </w:r>
      <w:r w:rsidRPr="00E97A7E">
        <w:rPr>
          <w:color w:val="000000"/>
          <w:shd w:val="clear" w:color="auto" w:fill="FFFFFF"/>
        </w:rPr>
        <w:t xml:space="preserve"> is typically used as a dietary supplement or food additive internationally and </w:t>
      </w:r>
      <w:r w:rsidR="0059548A">
        <w:rPr>
          <w:color w:val="000000"/>
          <w:shd w:val="clear" w:color="auto" w:fill="FFFFFF"/>
        </w:rPr>
        <w:t>in</w:t>
      </w:r>
      <w:r w:rsidRPr="00E97A7E">
        <w:rPr>
          <w:color w:val="000000"/>
          <w:shd w:val="clear" w:color="auto" w:fill="FFFFFF"/>
        </w:rPr>
        <w:t xml:space="preserve"> listed </w:t>
      </w:r>
      <w:r>
        <w:rPr>
          <w:color w:val="000000"/>
          <w:shd w:val="clear" w:color="auto" w:fill="FFFFFF"/>
        </w:rPr>
        <w:t xml:space="preserve">human </w:t>
      </w:r>
      <w:r w:rsidRPr="00E97A7E">
        <w:rPr>
          <w:color w:val="000000"/>
          <w:shd w:val="clear" w:color="auto" w:fill="FFFFFF"/>
        </w:rPr>
        <w:t>medicine</w:t>
      </w:r>
      <w:r w:rsidR="0059548A">
        <w:rPr>
          <w:color w:val="000000"/>
          <w:shd w:val="clear" w:color="auto" w:fill="FFFFFF"/>
        </w:rPr>
        <w:t>s</w:t>
      </w:r>
      <w:r w:rsidRPr="00E97A7E">
        <w:rPr>
          <w:color w:val="000000"/>
          <w:shd w:val="clear" w:color="auto" w:fill="FFFFFF"/>
        </w:rPr>
        <w:t xml:space="preserve"> in Australia</w:t>
      </w:r>
      <w:r>
        <w:rPr>
          <w:color w:val="000000"/>
          <w:shd w:val="clear" w:color="auto" w:fill="FFFFFF"/>
        </w:rPr>
        <w:t>. It</w:t>
      </w:r>
      <w:r w:rsidRPr="00E97A7E">
        <w:rPr>
          <w:color w:val="000000"/>
          <w:shd w:val="clear" w:color="auto" w:fill="FFFFFF"/>
        </w:rPr>
        <w:t xml:space="preserve"> is purported to </w:t>
      </w:r>
      <w:r>
        <w:rPr>
          <w:color w:val="000000"/>
          <w:shd w:val="clear" w:color="auto" w:fill="FFFFFF"/>
        </w:rPr>
        <w:t>have</w:t>
      </w:r>
      <w:r w:rsidRPr="00E97A7E">
        <w:rPr>
          <w:color w:val="000000"/>
          <w:shd w:val="clear" w:color="auto" w:fill="FFFFFF"/>
        </w:rPr>
        <w:t xml:space="preserve"> a role as an anti-inflammatory, antihypertensive, neuroprotective and anticonvulsant agent.</w:t>
      </w:r>
    </w:p>
    <w:p w14:paraId="6F54A5DB" w14:textId="77777777" w:rsidR="00E13CFF" w:rsidRDefault="00E13CFF" w:rsidP="00E13CFF">
      <w:pPr>
        <w:pStyle w:val="Heading4"/>
      </w:pPr>
      <w:bookmarkStart w:id="158" w:name="_Toc144110946"/>
      <w:r>
        <w:t>Summary of applicant’s reasons for the proposal</w:t>
      </w:r>
      <w:bookmarkEnd w:id="158"/>
    </w:p>
    <w:p w14:paraId="1D6BA5FE" w14:textId="059F5FBE" w:rsidR="00E13CFF" w:rsidRPr="00D44CC1" w:rsidRDefault="00E13CFF" w:rsidP="0072362E">
      <w:pPr>
        <w:pStyle w:val="ListParagraph"/>
        <w:numPr>
          <w:ilvl w:val="0"/>
          <w:numId w:val="38"/>
        </w:numPr>
        <w:rPr>
          <w:rFonts w:cstheme="minorHAnsi"/>
        </w:rPr>
      </w:pPr>
      <w:r w:rsidRPr="0072362E">
        <w:rPr>
          <w:rFonts w:asciiTheme="minorHAnsi" w:hAnsiTheme="minorHAnsi" w:cstheme="minorHAnsi"/>
        </w:rPr>
        <w:t xml:space="preserve">The findings from the applicant </w:t>
      </w:r>
      <w:r w:rsidRPr="0072362E">
        <w:rPr>
          <w:rFonts w:asciiTheme="minorHAnsi" w:eastAsia="Yu Mincho" w:hAnsiTheme="minorHAnsi" w:cstheme="minorHAnsi"/>
        </w:rPr>
        <w:t xml:space="preserve">indicate that </w:t>
      </w:r>
      <w:r w:rsidRPr="0072362E">
        <w:rPr>
          <w:rFonts w:asciiTheme="minorHAnsi" w:hAnsiTheme="minorHAnsi" w:cstheme="minorHAnsi"/>
        </w:rPr>
        <w:t xml:space="preserve">PEA </w:t>
      </w:r>
      <w:r w:rsidRPr="0072362E">
        <w:rPr>
          <w:rFonts w:asciiTheme="minorHAnsi" w:eastAsia="Yu Mincho" w:hAnsiTheme="minorHAnsi" w:cstheme="minorHAnsi"/>
        </w:rPr>
        <w:t xml:space="preserve">has low acute </w:t>
      </w:r>
      <w:r w:rsidRPr="0072362E">
        <w:rPr>
          <w:rFonts w:asciiTheme="minorHAnsi" w:hAnsiTheme="minorHAnsi" w:cstheme="minorHAnsi"/>
        </w:rPr>
        <w:t>toxicity by the oral, dermal and inhalation routes, but is a severe eye and skin irritant and a potential respiratory irritant.</w:t>
      </w:r>
    </w:p>
    <w:p w14:paraId="45CBB63F" w14:textId="77777777" w:rsidR="00E13CFF" w:rsidRDefault="00E13CFF" w:rsidP="00E13CFF">
      <w:pPr>
        <w:pStyle w:val="Heading4"/>
      </w:pPr>
      <w:bookmarkStart w:id="159" w:name="_Toc144110947"/>
      <w:r>
        <w:t>Key uses / expected use</w:t>
      </w:r>
      <w:bookmarkEnd w:id="159"/>
    </w:p>
    <w:p w14:paraId="331B78D6" w14:textId="1F5CA5A3" w:rsidR="00E13CFF" w:rsidRDefault="00E13CFF" w:rsidP="00E13CFF">
      <w:r>
        <w:t>Medicines, veterinary</w:t>
      </w:r>
    </w:p>
    <w:p w14:paraId="3FF77D70" w14:textId="77777777" w:rsidR="00E13CFF" w:rsidRDefault="00E13CFF" w:rsidP="00E13CFF">
      <w:pPr>
        <w:pStyle w:val="Heading4"/>
      </w:pPr>
      <w:bookmarkStart w:id="160" w:name="_Toc144110948"/>
      <w:r>
        <w:t>Australian regulations</w:t>
      </w:r>
      <w:bookmarkEnd w:id="160"/>
    </w:p>
    <w:p w14:paraId="14940769" w14:textId="79084686" w:rsidR="00E13CFF" w:rsidRDefault="00E13CFF" w:rsidP="00EB1099">
      <w:pPr>
        <w:pStyle w:val="ListBullet"/>
        <w:numPr>
          <w:ilvl w:val="0"/>
          <w:numId w:val="83"/>
        </w:numPr>
      </w:pPr>
      <w:r w:rsidRPr="00470294">
        <w:t xml:space="preserve">According to the </w:t>
      </w:r>
      <w:hyperlink r:id="rId164" w:history="1">
        <w:r w:rsidRPr="002C746C">
          <w:rPr>
            <w:rStyle w:val="Hyperlink"/>
            <w:rFonts w:asciiTheme="minorHAnsi" w:hAnsiTheme="minorHAnsi"/>
          </w:rPr>
          <w:t>TGA Ingredient Database</w:t>
        </w:r>
      </w:hyperlink>
      <w:r w:rsidRPr="00470294">
        <w:t>, palmitoylethanolamide is:</w:t>
      </w:r>
    </w:p>
    <w:p w14:paraId="0DECF2D5" w14:textId="5F0AC500" w:rsidR="00E13CFF" w:rsidRPr="00881763" w:rsidRDefault="00E13CFF" w:rsidP="009441F8">
      <w:pPr>
        <w:pStyle w:val="ListParagraph"/>
        <w:numPr>
          <w:ilvl w:val="0"/>
          <w:numId w:val="51"/>
        </w:numPr>
        <w:ind w:left="714" w:hanging="357"/>
        <w:contextualSpacing w:val="0"/>
        <w:rPr>
          <w:rFonts w:asciiTheme="minorHAnsi" w:hAnsiTheme="minorHAnsi" w:cstheme="minorHAnsi"/>
        </w:rPr>
      </w:pPr>
      <w:r w:rsidRPr="00881763">
        <w:rPr>
          <w:rFonts w:asciiTheme="minorHAnsi" w:hAnsiTheme="minorHAnsi" w:cstheme="minorHAnsi"/>
        </w:rPr>
        <w:t>Available for use as an Active Ingredient in Export only and Listed Medicines</w:t>
      </w:r>
    </w:p>
    <w:p w14:paraId="562C84E2" w14:textId="77777777" w:rsidR="00E13CFF" w:rsidRPr="00881763" w:rsidRDefault="00E13CFF" w:rsidP="009441F8">
      <w:pPr>
        <w:pStyle w:val="ListParagraph"/>
        <w:numPr>
          <w:ilvl w:val="0"/>
          <w:numId w:val="51"/>
        </w:numPr>
        <w:ind w:left="714" w:hanging="357"/>
        <w:contextualSpacing w:val="0"/>
        <w:rPr>
          <w:rFonts w:asciiTheme="minorHAnsi" w:hAnsiTheme="minorHAnsi" w:cstheme="minorHAnsi"/>
        </w:rPr>
      </w:pPr>
      <w:r w:rsidRPr="00881763">
        <w:rPr>
          <w:rFonts w:asciiTheme="minorHAnsi" w:hAnsiTheme="minorHAnsi" w:cstheme="minorHAnsi"/>
        </w:rPr>
        <w:t>Not available as a Homeopathic Ingredient in Listed Medicines</w:t>
      </w:r>
    </w:p>
    <w:p w14:paraId="04F2B217" w14:textId="0F810AFE" w:rsidR="00E13CFF" w:rsidRPr="00881763" w:rsidRDefault="00E13CFF" w:rsidP="009441F8">
      <w:pPr>
        <w:pStyle w:val="ListParagraph"/>
        <w:numPr>
          <w:ilvl w:val="0"/>
          <w:numId w:val="51"/>
        </w:numPr>
        <w:ind w:left="714" w:hanging="357"/>
        <w:contextualSpacing w:val="0"/>
        <w:rPr>
          <w:rFonts w:asciiTheme="minorHAnsi" w:hAnsiTheme="minorHAnsi" w:cstheme="minorHAnsi"/>
        </w:rPr>
      </w:pPr>
      <w:r w:rsidRPr="00881763">
        <w:rPr>
          <w:rFonts w:asciiTheme="minorHAnsi" w:hAnsiTheme="minorHAnsi" w:cstheme="minorHAnsi"/>
        </w:rPr>
        <w:t xml:space="preserve">Available for </w:t>
      </w:r>
      <w:r>
        <w:rPr>
          <w:rFonts w:asciiTheme="minorHAnsi" w:hAnsiTheme="minorHAnsi" w:cstheme="minorHAnsi"/>
        </w:rPr>
        <w:t>use</w:t>
      </w:r>
      <w:r w:rsidRPr="00881763">
        <w:rPr>
          <w:rFonts w:asciiTheme="minorHAnsi" w:hAnsiTheme="minorHAnsi" w:cstheme="minorHAnsi"/>
        </w:rPr>
        <w:t xml:space="preserve"> as an Excipient Ingredient in Devices</w:t>
      </w:r>
      <w:r w:rsidR="0059548A">
        <w:rPr>
          <w:rFonts w:asciiTheme="minorHAnsi" w:hAnsiTheme="minorHAnsi" w:cstheme="minorHAnsi"/>
        </w:rPr>
        <w:t xml:space="preserve"> and</w:t>
      </w:r>
      <w:r w:rsidRPr="00881763">
        <w:rPr>
          <w:rFonts w:asciiTheme="minorHAnsi" w:hAnsiTheme="minorHAnsi" w:cstheme="minorHAnsi"/>
        </w:rPr>
        <w:t xml:space="preserve"> </w:t>
      </w:r>
      <w:r w:rsidR="0059548A">
        <w:rPr>
          <w:rFonts w:asciiTheme="minorHAnsi" w:hAnsiTheme="minorHAnsi" w:cstheme="minorHAnsi"/>
        </w:rPr>
        <w:t xml:space="preserve">for </w:t>
      </w:r>
      <w:r w:rsidRPr="00881763">
        <w:rPr>
          <w:rFonts w:asciiTheme="minorHAnsi" w:hAnsiTheme="minorHAnsi" w:cstheme="minorHAnsi"/>
        </w:rPr>
        <w:t>Export Only</w:t>
      </w:r>
    </w:p>
    <w:p w14:paraId="6DA6C39E" w14:textId="77777777" w:rsidR="00E13CFF" w:rsidRPr="00881763" w:rsidRDefault="00E13CFF" w:rsidP="009441F8">
      <w:pPr>
        <w:pStyle w:val="ListParagraph"/>
        <w:numPr>
          <w:ilvl w:val="0"/>
          <w:numId w:val="51"/>
        </w:numPr>
        <w:ind w:left="714" w:hanging="357"/>
        <w:contextualSpacing w:val="0"/>
        <w:rPr>
          <w:rFonts w:asciiTheme="minorHAnsi" w:hAnsiTheme="minorHAnsi" w:cstheme="minorHAnsi"/>
        </w:rPr>
      </w:pPr>
      <w:r w:rsidRPr="00881763">
        <w:rPr>
          <w:rFonts w:asciiTheme="minorHAnsi" w:hAnsiTheme="minorHAnsi" w:cstheme="minorHAnsi"/>
        </w:rPr>
        <w:t>Not available as an Equivalent Ingredient in any application</w:t>
      </w:r>
    </w:p>
    <w:p w14:paraId="31AB6522" w14:textId="1A0627CA" w:rsidR="00E13CFF" w:rsidRPr="002C746C" w:rsidRDefault="00E13CFF" w:rsidP="00EB1099">
      <w:pPr>
        <w:pStyle w:val="ListBullet"/>
        <w:numPr>
          <w:ilvl w:val="0"/>
          <w:numId w:val="83"/>
        </w:numPr>
      </w:pPr>
      <w:r w:rsidRPr="00470294">
        <w:t xml:space="preserve">As of August 2023, there were </w:t>
      </w:r>
      <w:r>
        <w:t>23</w:t>
      </w:r>
      <w:r w:rsidRPr="00470294">
        <w:t xml:space="preserve"> medicines currently active on the </w:t>
      </w:r>
      <w:hyperlink r:id="rId165" w:history="1">
        <w:r w:rsidR="00EB1099">
          <w:rPr>
            <w:rStyle w:val="Hyperlink"/>
            <w:rFonts w:asciiTheme="minorHAnsi" w:hAnsiTheme="minorHAnsi"/>
          </w:rPr>
          <w:t>Australian Register of Therapeutic Goods</w:t>
        </w:r>
      </w:hyperlink>
      <w:r w:rsidR="00EB1099" w:rsidRPr="00EB1099">
        <w:rPr>
          <w:rStyle w:val="Hyperlink"/>
          <w:rFonts w:asciiTheme="minorHAnsi" w:hAnsiTheme="minorHAnsi"/>
          <w:color w:val="auto"/>
          <w:u w:val="none"/>
        </w:rPr>
        <w:t xml:space="preserve"> (ARTG)</w:t>
      </w:r>
      <w:r w:rsidRPr="00470294">
        <w:t xml:space="preserve"> that contain palmitoylethanolamide (PEA) </w:t>
      </w:r>
      <w:r>
        <w:t xml:space="preserve">(under palmidrol) </w:t>
      </w:r>
      <w:r w:rsidRPr="00470294">
        <w:t>as an active ingredient</w:t>
      </w:r>
      <w:r>
        <w:t>, all of which are listed medicines.</w:t>
      </w:r>
    </w:p>
    <w:p w14:paraId="17539003" w14:textId="793131CB" w:rsidR="00E13CFF" w:rsidRPr="002C746C" w:rsidRDefault="00E13CFF" w:rsidP="00EB1099">
      <w:pPr>
        <w:pStyle w:val="ListBullet"/>
        <w:numPr>
          <w:ilvl w:val="0"/>
          <w:numId w:val="83"/>
        </w:numPr>
      </w:pPr>
      <w:r w:rsidRPr="00470294">
        <w:t xml:space="preserve">According to the </w:t>
      </w:r>
      <w:hyperlink r:id="rId166" w:history="1">
        <w:r w:rsidRPr="002C746C">
          <w:rPr>
            <w:rStyle w:val="Hyperlink"/>
            <w:rFonts w:asciiTheme="minorHAnsi" w:hAnsiTheme="minorHAnsi"/>
          </w:rPr>
          <w:t>Therapeutic Goods (Permissible Ingredients) Determination</w:t>
        </w:r>
      </w:hyperlink>
      <w:r w:rsidRPr="00470294">
        <w:t xml:space="preserve"> No.3 of 2023, palmitoylethanolamide is permitted to be included in listed medicines as follows:</w:t>
      </w:r>
    </w:p>
    <w:tbl>
      <w:tblPr>
        <w:tblStyle w:val="TableTGAblue"/>
        <w:tblW w:w="8646" w:type="dxa"/>
        <w:tblInd w:w="416" w:type="dxa"/>
        <w:tblLook w:val="04A0" w:firstRow="1" w:lastRow="0" w:firstColumn="1" w:lastColumn="0" w:noHBand="0" w:noVBand="1"/>
      </w:tblPr>
      <w:tblGrid>
        <w:gridCol w:w="750"/>
        <w:gridCol w:w="2663"/>
        <w:gridCol w:w="1325"/>
        <w:gridCol w:w="3908"/>
      </w:tblGrid>
      <w:tr w:rsidR="002B4733" w:rsidRPr="002B4733" w14:paraId="45F38736" w14:textId="77777777" w:rsidTr="000F65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7BC88194" w14:textId="77777777" w:rsidR="00E13CFF" w:rsidRPr="002B4733" w:rsidRDefault="00E13CFF" w:rsidP="002B4733">
            <w:pPr>
              <w:pStyle w:val="ListBullet"/>
              <w:numPr>
                <w:ilvl w:val="0"/>
                <w:numId w:val="0"/>
              </w:numPr>
              <w:spacing w:before="60" w:after="60"/>
              <w:rPr>
                <w:rFonts w:asciiTheme="minorHAnsi" w:hAnsiTheme="minorHAnsi"/>
                <w:color w:val="FFFFFF" w:themeColor="background1"/>
                <w:sz w:val="20"/>
                <w:szCs w:val="20"/>
              </w:rPr>
            </w:pPr>
            <w:r w:rsidRPr="002B4733">
              <w:rPr>
                <w:rFonts w:asciiTheme="minorHAnsi" w:hAnsiTheme="minorHAnsi"/>
                <w:color w:val="FFFFFF" w:themeColor="background1"/>
                <w:sz w:val="20"/>
                <w:szCs w:val="20"/>
              </w:rPr>
              <w:t>Item</w:t>
            </w:r>
          </w:p>
        </w:tc>
        <w:tc>
          <w:tcPr>
            <w:tcW w:w="2663" w:type="dxa"/>
          </w:tcPr>
          <w:p w14:paraId="561FF756" w14:textId="77777777" w:rsidR="00E13CFF" w:rsidRPr="002B4733" w:rsidRDefault="00E13CFF" w:rsidP="002B4733">
            <w:pPr>
              <w:pStyle w:val="ListBullet"/>
              <w:numPr>
                <w:ilvl w:val="0"/>
                <w:numId w:val="0"/>
              </w:num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2B4733">
              <w:rPr>
                <w:rFonts w:asciiTheme="minorHAnsi" w:hAnsiTheme="minorHAnsi"/>
                <w:color w:val="FFFFFF" w:themeColor="background1"/>
                <w:sz w:val="20"/>
                <w:szCs w:val="20"/>
              </w:rPr>
              <w:t>Ingredient Name</w:t>
            </w:r>
          </w:p>
        </w:tc>
        <w:tc>
          <w:tcPr>
            <w:tcW w:w="1325" w:type="dxa"/>
          </w:tcPr>
          <w:p w14:paraId="23607FBA" w14:textId="77777777" w:rsidR="00E13CFF" w:rsidRPr="002B4733" w:rsidRDefault="00E13CFF" w:rsidP="002B4733">
            <w:pPr>
              <w:pStyle w:val="ListBullet"/>
              <w:numPr>
                <w:ilvl w:val="0"/>
                <w:numId w:val="0"/>
              </w:numPr>
              <w:spacing w:before="60" w:after="60"/>
              <w:ind w:left="360" w:hanging="36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2B4733">
              <w:rPr>
                <w:rFonts w:asciiTheme="minorHAnsi" w:hAnsiTheme="minorHAnsi"/>
                <w:color w:val="FFFFFF" w:themeColor="background1"/>
                <w:sz w:val="20"/>
                <w:szCs w:val="20"/>
              </w:rPr>
              <w:t>Purpose</w:t>
            </w:r>
          </w:p>
        </w:tc>
        <w:tc>
          <w:tcPr>
            <w:tcW w:w="3908" w:type="dxa"/>
          </w:tcPr>
          <w:p w14:paraId="4810C21C" w14:textId="77777777" w:rsidR="00E13CFF" w:rsidRPr="002B4733" w:rsidRDefault="00E13CFF" w:rsidP="002B4733">
            <w:pPr>
              <w:pStyle w:val="ListBullet"/>
              <w:numPr>
                <w:ilvl w:val="0"/>
                <w:numId w:val="0"/>
              </w:numPr>
              <w:spacing w:before="60" w:after="60"/>
              <w:ind w:left="360" w:hanging="36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2B4733">
              <w:rPr>
                <w:rFonts w:asciiTheme="minorHAnsi" w:hAnsiTheme="minorHAnsi"/>
                <w:color w:val="FFFFFF" w:themeColor="background1"/>
                <w:sz w:val="20"/>
                <w:szCs w:val="20"/>
              </w:rPr>
              <w:t>Specific requirements</w:t>
            </w:r>
          </w:p>
        </w:tc>
      </w:tr>
      <w:tr w:rsidR="00E13CFF" w:rsidRPr="002B4733" w14:paraId="5FB7AB2A" w14:textId="77777777" w:rsidTr="000F6508">
        <w:tc>
          <w:tcPr>
            <w:cnfStyle w:val="001000000000" w:firstRow="0" w:lastRow="0" w:firstColumn="1" w:lastColumn="0" w:oddVBand="0" w:evenVBand="0" w:oddHBand="0" w:evenHBand="0" w:firstRowFirstColumn="0" w:firstRowLastColumn="0" w:lastRowFirstColumn="0" w:lastRowLastColumn="0"/>
            <w:tcW w:w="750" w:type="dxa"/>
          </w:tcPr>
          <w:p w14:paraId="2A96F0B2" w14:textId="77777777" w:rsidR="00E13CFF" w:rsidRPr="002B4733" w:rsidRDefault="00E13CFF" w:rsidP="002B4733">
            <w:pPr>
              <w:spacing w:before="60" w:after="60"/>
              <w:rPr>
                <w:rFonts w:asciiTheme="minorHAnsi" w:hAnsiTheme="minorHAnsi" w:cstheme="minorHAnsi"/>
                <w:sz w:val="20"/>
                <w:szCs w:val="20"/>
              </w:rPr>
            </w:pPr>
            <w:r w:rsidRPr="002B4733">
              <w:rPr>
                <w:rFonts w:asciiTheme="minorHAnsi" w:hAnsiTheme="minorHAnsi" w:cstheme="minorHAnsi"/>
                <w:sz w:val="20"/>
                <w:szCs w:val="20"/>
              </w:rPr>
              <w:t>3651</w:t>
            </w:r>
          </w:p>
        </w:tc>
        <w:tc>
          <w:tcPr>
            <w:tcW w:w="2663" w:type="dxa"/>
          </w:tcPr>
          <w:p w14:paraId="7B9C9A7A" w14:textId="77777777" w:rsidR="00E13CFF" w:rsidRPr="002B4733" w:rsidRDefault="00E13CFF" w:rsidP="002B473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B4733">
              <w:rPr>
                <w:rFonts w:asciiTheme="minorHAnsi" w:hAnsiTheme="minorHAnsi" w:cstheme="minorHAnsi"/>
                <w:sz w:val="20"/>
                <w:szCs w:val="20"/>
              </w:rPr>
              <w:t>PALMIDROL</w:t>
            </w:r>
          </w:p>
        </w:tc>
        <w:tc>
          <w:tcPr>
            <w:tcW w:w="1325" w:type="dxa"/>
          </w:tcPr>
          <w:p w14:paraId="41DF34E7" w14:textId="77777777" w:rsidR="00E13CFF" w:rsidRPr="002B4733" w:rsidRDefault="00E13CFF" w:rsidP="002B473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B4733">
              <w:rPr>
                <w:rFonts w:asciiTheme="minorHAnsi" w:hAnsiTheme="minorHAnsi" w:cstheme="minorHAnsi"/>
                <w:sz w:val="20"/>
                <w:szCs w:val="20"/>
              </w:rPr>
              <w:t>A</w:t>
            </w:r>
          </w:p>
        </w:tc>
        <w:tc>
          <w:tcPr>
            <w:tcW w:w="3908" w:type="dxa"/>
          </w:tcPr>
          <w:p w14:paraId="2AFD620D" w14:textId="77777777" w:rsidR="00E13CFF" w:rsidRPr="002B4733" w:rsidRDefault="00E13CFF" w:rsidP="002B4733">
            <w:pPr>
              <w:spacing w:before="60" w:after="60" w:line="253"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B4733">
              <w:rPr>
                <w:rFonts w:asciiTheme="minorHAnsi" w:hAnsiTheme="minorHAnsi" w:cstheme="minorHAnsi"/>
                <w:sz w:val="20"/>
                <w:szCs w:val="20"/>
              </w:rPr>
              <w:t>Only permitted for use in medicines limited to oral routes of administration.</w:t>
            </w:r>
          </w:p>
          <w:p w14:paraId="55A76849" w14:textId="77777777" w:rsidR="00E13CFF" w:rsidRPr="002B4733" w:rsidRDefault="00E13CFF" w:rsidP="002B4733">
            <w:pPr>
              <w:spacing w:before="60" w:after="60" w:line="253"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B4733">
              <w:rPr>
                <w:rFonts w:asciiTheme="minorHAnsi" w:hAnsiTheme="minorHAnsi" w:cstheme="minorHAnsi"/>
                <w:sz w:val="20"/>
                <w:szCs w:val="20"/>
              </w:rPr>
              <w:t>The maximum recommended daily dose of the medicine must not provide more than 600 mg of palmidrol.</w:t>
            </w:r>
          </w:p>
          <w:p w14:paraId="12589103" w14:textId="77777777" w:rsidR="00E13CFF" w:rsidRPr="002B4733" w:rsidRDefault="00E13CFF" w:rsidP="002B4733">
            <w:pPr>
              <w:spacing w:before="60" w:after="60" w:line="253"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B4733">
              <w:rPr>
                <w:rFonts w:asciiTheme="minorHAnsi" w:hAnsiTheme="minorHAnsi" w:cstheme="minorHAnsi"/>
                <w:sz w:val="20"/>
                <w:szCs w:val="20"/>
              </w:rPr>
              <w:t>The following warning statements (or words to the same effect) are required on the medicine label:</w:t>
            </w:r>
          </w:p>
          <w:p w14:paraId="6ABFE76B" w14:textId="77777777" w:rsidR="00E13CFF" w:rsidRPr="002B4733" w:rsidRDefault="00E13CFF" w:rsidP="002B4733">
            <w:pPr>
              <w:spacing w:before="60" w:after="60" w:line="253"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B4733">
              <w:rPr>
                <w:rFonts w:asciiTheme="minorHAnsi" w:hAnsiTheme="minorHAnsi" w:cstheme="minorHAnsi"/>
                <w:sz w:val="20"/>
                <w:szCs w:val="20"/>
              </w:rPr>
              <w:t>- (ANALG) 'The medicine may interact with other prescription analgesic medicines, please consult your healthcare practitioner before use.'</w:t>
            </w:r>
          </w:p>
          <w:p w14:paraId="5F1DF113" w14:textId="77777777" w:rsidR="00E13CFF" w:rsidRPr="002B4733" w:rsidRDefault="00E13CFF" w:rsidP="002B4733">
            <w:pPr>
              <w:spacing w:before="60" w:after="60" w:line="253"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B4733">
              <w:rPr>
                <w:rFonts w:asciiTheme="minorHAnsi" w:hAnsiTheme="minorHAnsi" w:cstheme="minorHAnsi"/>
                <w:sz w:val="20"/>
                <w:szCs w:val="20"/>
              </w:rPr>
              <w:t>- (ADULT) ‘Adults only.’</w:t>
            </w:r>
          </w:p>
          <w:p w14:paraId="1AB653C0" w14:textId="77777777" w:rsidR="00E13CFF" w:rsidRPr="002B4733" w:rsidRDefault="00E13CFF" w:rsidP="002B473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B4733">
              <w:rPr>
                <w:rFonts w:asciiTheme="minorHAnsi" w:hAnsiTheme="minorHAnsi" w:cstheme="minorHAnsi"/>
                <w:sz w:val="20"/>
                <w:szCs w:val="20"/>
              </w:rPr>
              <w:t>- (21DAYS) ‘Not to be used for more than 21 consecutive days.’</w:t>
            </w:r>
          </w:p>
        </w:tc>
      </w:tr>
      <w:tr w:rsidR="00E13CFF" w:rsidRPr="00D74E12" w14:paraId="1FBA9074" w14:textId="77777777" w:rsidTr="002B4733">
        <w:trPr>
          <w:trHeight w:val="305"/>
        </w:trPr>
        <w:tc>
          <w:tcPr>
            <w:cnfStyle w:val="001000000000" w:firstRow="0" w:lastRow="0" w:firstColumn="1" w:lastColumn="0" w:oddVBand="0" w:evenVBand="0" w:oddHBand="0" w:evenHBand="0" w:firstRowFirstColumn="0" w:firstRowLastColumn="0" w:lastRowFirstColumn="0" w:lastRowLastColumn="0"/>
            <w:tcW w:w="8646" w:type="dxa"/>
            <w:gridSpan w:val="4"/>
          </w:tcPr>
          <w:p w14:paraId="242E4FDD" w14:textId="77777777" w:rsidR="00E13CFF" w:rsidRPr="00D74E12" w:rsidRDefault="00E13CFF" w:rsidP="002B4733">
            <w:pPr>
              <w:spacing w:before="60" w:after="60"/>
              <w:rPr>
                <w:rFonts w:asciiTheme="minorHAnsi" w:hAnsiTheme="minorHAnsi" w:cstheme="minorHAnsi"/>
                <w:sz w:val="18"/>
                <w:szCs w:val="18"/>
              </w:rPr>
            </w:pPr>
            <w:r w:rsidRPr="00D74E12">
              <w:rPr>
                <w:rFonts w:asciiTheme="minorHAnsi" w:hAnsiTheme="minorHAnsi" w:cstheme="minorHAnsi"/>
                <w:sz w:val="18"/>
                <w:szCs w:val="18"/>
              </w:rPr>
              <w:t>H = active ingredient meaning an ingredient has the same meaning as in the Regulations.</w:t>
            </w:r>
          </w:p>
        </w:tc>
      </w:tr>
    </w:tbl>
    <w:p w14:paraId="02B047ED" w14:textId="2A8D7277" w:rsidR="00E13CFF" w:rsidRPr="002C746C" w:rsidRDefault="00E13CFF" w:rsidP="00EB1099">
      <w:pPr>
        <w:pStyle w:val="ListBullet"/>
        <w:numPr>
          <w:ilvl w:val="0"/>
          <w:numId w:val="83"/>
        </w:numPr>
      </w:pPr>
      <w:r w:rsidRPr="00470294">
        <w:t xml:space="preserve">According to the </w:t>
      </w:r>
      <w:hyperlink r:id="rId167" w:history="1">
        <w:r w:rsidRPr="002C746C">
          <w:rPr>
            <w:rStyle w:val="Hyperlink"/>
            <w:rFonts w:asciiTheme="minorHAnsi" w:hAnsiTheme="minorHAnsi"/>
          </w:rPr>
          <w:t>TGA prescribing medicines in pregnancy database</w:t>
        </w:r>
      </w:hyperlink>
      <w:r w:rsidR="00D74E12" w:rsidRPr="00D74E12">
        <w:rPr>
          <w:rStyle w:val="Hyperlink"/>
          <w:rFonts w:asciiTheme="minorHAnsi" w:hAnsiTheme="minorHAnsi"/>
          <w:color w:val="auto"/>
          <w:u w:val="none"/>
        </w:rPr>
        <w:t>,</w:t>
      </w:r>
      <w:r w:rsidRPr="00470294">
        <w:t xml:space="preserve"> palmitoylethanolamide is not categorised.</w:t>
      </w:r>
    </w:p>
    <w:p w14:paraId="3FC40B0A" w14:textId="71301045" w:rsidR="00E13CFF" w:rsidRPr="002C746C" w:rsidRDefault="00E13CFF" w:rsidP="00EB1099">
      <w:pPr>
        <w:pStyle w:val="ListBullet"/>
        <w:numPr>
          <w:ilvl w:val="0"/>
          <w:numId w:val="83"/>
        </w:numPr>
      </w:pPr>
      <w:r w:rsidRPr="00470294">
        <w:t xml:space="preserve">There are no warning statements pertaining to palmitoylethanolamide in the </w:t>
      </w:r>
      <w:hyperlink r:id="rId168" w:history="1">
        <w:r w:rsidRPr="002C746C">
          <w:rPr>
            <w:rStyle w:val="Hyperlink"/>
            <w:rFonts w:asciiTheme="minorHAnsi" w:hAnsiTheme="minorHAnsi"/>
          </w:rPr>
          <w:t>Therapeutic Goods (Medicines Advisory Statements) Specification 2021</w:t>
        </w:r>
      </w:hyperlink>
    </w:p>
    <w:p w14:paraId="5EE86476" w14:textId="3259CDB9" w:rsidR="00E13CFF" w:rsidRPr="002C746C" w:rsidRDefault="00E13CFF" w:rsidP="00EB1099">
      <w:pPr>
        <w:pStyle w:val="ListBullet"/>
        <w:numPr>
          <w:ilvl w:val="0"/>
          <w:numId w:val="83"/>
        </w:numPr>
      </w:pPr>
      <w:r w:rsidRPr="00470294">
        <w:t xml:space="preserve">Between January 2013 and July 2023, there were 4 reports of adverse events for products containing palmitoylethanolamide (palmidrol) as an active ingredient on the </w:t>
      </w:r>
      <w:hyperlink r:id="rId169" w:history="1">
        <w:r w:rsidR="00EB1099">
          <w:rPr>
            <w:rStyle w:val="Hyperlink"/>
            <w:rFonts w:asciiTheme="minorHAnsi" w:hAnsiTheme="minorHAnsi"/>
          </w:rPr>
          <w:t>Database of Adverse Event Notifications</w:t>
        </w:r>
      </w:hyperlink>
      <w:r w:rsidR="00EB1099" w:rsidRPr="00EB1099">
        <w:rPr>
          <w:rStyle w:val="Hyperlink"/>
          <w:rFonts w:asciiTheme="minorHAnsi" w:hAnsiTheme="minorHAnsi"/>
          <w:color w:val="auto"/>
          <w:u w:val="none"/>
        </w:rPr>
        <w:t xml:space="preserve"> (DAEN)</w:t>
      </w:r>
      <w:r w:rsidRPr="002C746C">
        <w:t>,</w:t>
      </w:r>
      <w:r w:rsidRPr="00470294">
        <w:t xml:space="preserve"> with 4 reports where palmitoylethanolamide was the single suspected medicine.</w:t>
      </w:r>
    </w:p>
    <w:p w14:paraId="1462EDF1" w14:textId="2ADE8FB0" w:rsidR="00E13CFF" w:rsidRPr="002C746C" w:rsidRDefault="00E13CFF" w:rsidP="00EB1099">
      <w:pPr>
        <w:pStyle w:val="ListBullet"/>
        <w:numPr>
          <w:ilvl w:val="0"/>
          <w:numId w:val="83"/>
        </w:numPr>
      </w:pPr>
      <w:r w:rsidRPr="00470294">
        <w:t>As of August 2023, there were n</w:t>
      </w:r>
      <w:r w:rsidR="002B4733">
        <w:t>o</w:t>
      </w:r>
      <w:r w:rsidRPr="00470294">
        <w:t xml:space="preserve"> products containing palmitoylethanolamide as an active ingredient/constituent or scheduled substance listed on the </w:t>
      </w:r>
      <w:hyperlink r:id="rId170" w:history="1">
        <w:r w:rsidR="00EB1099">
          <w:rPr>
            <w:rStyle w:val="Hyperlink"/>
            <w:rFonts w:asciiTheme="minorHAnsi" w:hAnsiTheme="minorHAnsi"/>
          </w:rPr>
          <w:t>Public Chemical Registration Information System Search</w:t>
        </w:r>
      </w:hyperlink>
      <w:r w:rsidR="00EB1099" w:rsidRPr="00EB1099">
        <w:rPr>
          <w:rStyle w:val="Hyperlink"/>
          <w:rFonts w:asciiTheme="minorHAnsi" w:hAnsiTheme="minorHAnsi"/>
          <w:color w:val="auto"/>
          <w:u w:val="none"/>
        </w:rPr>
        <w:t xml:space="preserve"> (PubCRIS)</w:t>
      </w:r>
      <w:r w:rsidRPr="002C746C">
        <w:t>.</w:t>
      </w:r>
    </w:p>
    <w:p w14:paraId="324EFFAF" w14:textId="77777777" w:rsidR="00E13CFF" w:rsidRPr="00CB687C" w:rsidRDefault="00E13CFF" w:rsidP="00E13CFF">
      <w:pPr>
        <w:pStyle w:val="Heading4"/>
      </w:pPr>
      <w:bookmarkStart w:id="161" w:name="_Toc144110949"/>
      <w:r>
        <w:t>International regulations</w:t>
      </w:r>
      <w:bookmarkEnd w:id="161"/>
    </w:p>
    <w:p w14:paraId="1BB39AD8" w14:textId="2127A5C6" w:rsidR="00E13CFF" w:rsidRPr="002C746C" w:rsidRDefault="00E13CFF" w:rsidP="00EB1099">
      <w:pPr>
        <w:pStyle w:val="ListBullet"/>
        <w:numPr>
          <w:ilvl w:val="0"/>
          <w:numId w:val="83"/>
        </w:numPr>
      </w:pPr>
      <w:r w:rsidRPr="00470294">
        <w:t xml:space="preserve">New Zealand Medsafe’s </w:t>
      </w:r>
      <w:hyperlink r:id="rId171" w:history="1">
        <w:r w:rsidRPr="002C746C">
          <w:rPr>
            <w:rStyle w:val="Hyperlink"/>
            <w:rFonts w:asciiTheme="minorHAnsi" w:hAnsiTheme="minorHAnsi"/>
          </w:rPr>
          <w:t>Medicines Classification Database</w:t>
        </w:r>
      </w:hyperlink>
      <w:r w:rsidRPr="002C746C">
        <w:t xml:space="preserve"> </w:t>
      </w:r>
      <w:r w:rsidRPr="00470294">
        <w:t>do</w:t>
      </w:r>
      <w:r w:rsidR="002B4733">
        <w:t>es not include</w:t>
      </w:r>
      <w:r w:rsidRPr="00470294">
        <w:t xml:space="preserve"> palmitoylethanolamide.</w:t>
      </w:r>
    </w:p>
    <w:p w14:paraId="544801C5" w14:textId="77777777" w:rsidR="00E13CFF" w:rsidRPr="002C746C" w:rsidRDefault="00E13CFF" w:rsidP="00EB1099">
      <w:pPr>
        <w:pStyle w:val="ListBullet"/>
        <w:numPr>
          <w:ilvl w:val="0"/>
          <w:numId w:val="83"/>
        </w:numPr>
      </w:pPr>
      <w:r w:rsidRPr="00470294">
        <w:t>Ireland’s</w:t>
      </w:r>
      <w:r w:rsidRPr="002C746C">
        <w:t xml:space="preserve"> </w:t>
      </w:r>
      <w:hyperlink r:id="rId172" w:history="1">
        <w:r w:rsidRPr="002C746C">
          <w:rPr>
            <w:rStyle w:val="Hyperlink"/>
            <w:rFonts w:asciiTheme="minorHAnsi" w:hAnsiTheme="minorHAnsi"/>
          </w:rPr>
          <w:t>Health Products Regulatory Authority</w:t>
        </w:r>
      </w:hyperlink>
      <w:r w:rsidRPr="002C746C">
        <w:t xml:space="preserve"> </w:t>
      </w:r>
      <w:r w:rsidRPr="00470294">
        <w:t>do not list any products containing palmitoylethanolamide.</w:t>
      </w:r>
    </w:p>
    <w:p w14:paraId="6978D056" w14:textId="7056FFCE" w:rsidR="00E13CFF" w:rsidRPr="002C746C" w:rsidRDefault="00E13CFF" w:rsidP="00EB1099">
      <w:pPr>
        <w:pStyle w:val="ListBullet"/>
        <w:numPr>
          <w:ilvl w:val="0"/>
          <w:numId w:val="83"/>
        </w:numPr>
      </w:pPr>
      <w:r w:rsidRPr="00470294">
        <w:t xml:space="preserve">Health Canada’s </w:t>
      </w:r>
      <w:hyperlink r:id="rId173" w:history="1">
        <w:r w:rsidRPr="002C746C">
          <w:rPr>
            <w:rStyle w:val="Hyperlink"/>
            <w:rFonts w:asciiTheme="minorHAnsi" w:hAnsiTheme="minorHAnsi"/>
          </w:rPr>
          <w:t>Drug Product Database</w:t>
        </w:r>
      </w:hyperlink>
      <w:r w:rsidRPr="002C746C">
        <w:t xml:space="preserve"> </w:t>
      </w:r>
      <w:r w:rsidRPr="00470294">
        <w:t>do</w:t>
      </w:r>
      <w:r w:rsidR="002B4733">
        <w:t>es</w:t>
      </w:r>
      <w:r w:rsidRPr="00470294">
        <w:t xml:space="preserve"> not list any products containing palmitoylethanolamide.</w:t>
      </w:r>
    </w:p>
    <w:p w14:paraId="5ADD510D" w14:textId="6264AC84" w:rsidR="00E13CFF" w:rsidRPr="00470294" w:rsidRDefault="00E13CFF" w:rsidP="00EB1099">
      <w:pPr>
        <w:pStyle w:val="ListBullet"/>
        <w:numPr>
          <w:ilvl w:val="0"/>
          <w:numId w:val="83"/>
        </w:numPr>
      </w:pPr>
      <w:r w:rsidRPr="00470294">
        <w:t xml:space="preserve">The US Food and Drug Administration’s </w:t>
      </w:r>
      <w:hyperlink r:id="rId174" w:history="1">
        <w:r w:rsidRPr="002C746C">
          <w:rPr>
            <w:rStyle w:val="Hyperlink"/>
            <w:rFonts w:asciiTheme="minorHAnsi" w:hAnsiTheme="minorHAnsi"/>
          </w:rPr>
          <w:t>Drugs@FDA</w:t>
        </w:r>
      </w:hyperlink>
      <w:r w:rsidRPr="002C746C">
        <w:t xml:space="preserve"> </w:t>
      </w:r>
      <w:r w:rsidR="002B4733">
        <w:t xml:space="preserve">database </w:t>
      </w:r>
      <w:r w:rsidRPr="00470294">
        <w:t>do</w:t>
      </w:r>
      <w:r w:rsidR="002B4733">
        <w:t>es</w:t>
      </w:r>
      <w:r w:rsidRPr="00470294">
        <w:t xml:space="preserve"> not list any products containing palmitoylethanolamide.</w:t>
      </w:r>
    </w:p>
    <w:p w14:paraId="396D875C" w14:textId="4AA11871" w:rsidR="00685E72" w:rsidRDefault="00E13CFF" w:rsidP="00117E07">
      <w:pPr>
        <w:pStyle w:val="Heading2"/>
      </w:pPr>
      <w:r>
        <w:br w:type="page"/>
      </w:r>
      <w:bookmarkStart w:id="162" w:name="_Toc144110950"/>
      <w:r w:rsidR="001D5CC5">
        <w:t>3</w:t>
      </w:r>
      <w:r w:rsidR="001D5CC5">
        <w:tab/>
      </w:r>
      <w:r w:rsidR="00685E72">
        <w:t>Proposed amendments referred for scheduling advice to ACCS meeting #</w:t>
      </w:r>
      <w:bookmarkEnd w:id="32"/>
      <w:r w:rsidR="00DF2343">
        <w:t>37</w:t>
      </w:r>
      <w:bookmarkEnd w:id="162"/>
    </w:p>
    <w:p w14:paraId="39EEAF29" w14:textId="741C43B6" w:rsidR="00685E72" w:rsidRDefault="001D5CC5" w:rsidP="00685E72">
      <w:pPr>
        <w:pStyle w:val="Heading3"/>
      </w:pPr>
      <w:bookmarkStart w:id="163" w:name="_Toc144110951"/>
      <w:r>
        <w:t>3.1</w:t>
      </w:r>
      <w:r>
        <w:tab/>
      </w:r>
      <w:r w:rsidR="00DF2343" w:rsidRPr="00D82C05">
        <w:t>Animal Blood Products</w:t>
      </w:r>
      <w:bookmarkEnd w:id="163"/>
    </w:p>
    <w:p w14:paraId="14C29076" w14:textId="2C40E666" w:rsidR="00685E72" w:rsidRDefault="00685E72" w:rsidP="00685E72">
      <w:pPr>
        <w:pStyle w:val="Heading4"/>
      </w:pPr>
      <w:bookmarkStart w:id="164" w:name="_Toc122614227"/>
      <w:bookmarkStart w:id="165" w:name="_Toc144110952"/>
      <w:r>
        <w:t>Proposal</w:t>
      </w:r>
      <w:bookmarkEnd w:id="164"/>
      <w:bookmarkEnd w:id="165"/>
    </w:p>
    <w:p w14:paraId="072CCD2C" w14:textId="0BD83E50" w:rsidR="00685E72" w:rsidRDefault="00EA19A0" w:rsidP="00685E72">
      <w:r>
        <w:t xml:space="preserve">An applicant has proposed to create a new Schedule 4 entry for animal blood products for veterinary use. Animal blood products are currently unscheduled and have not previously been considered for </w:t>
      </w:r>
      <w:r w:rsidR="002B4733">
        <w:t>s</w:t>
      </w:r>
      <w:r>
        <w:t>cheduling. Human blood products are currently captured in Appendix A which provides a general exemption from the controls set out in the Poisons Standard.</w:t>
      </w:r>
    </w:p>
    <w:p w14:paraId="238D00B9" w14:textId="68736F85" w:rsidR="00685E72" w:rsidRDefault="00685E72" w:rsidP="00685E72">
      <w:pPr>
        <w:pStyle w:val="Heading4"/>
      </w:pPr>
      <w:bookmarkStart w:id="166" w:name="_Toc122614230"/>
      <w:bookmarkStart w:id="167" w:name="_Toc144110953"/>
      <w:r>
        <w:t>Applicant</w:t>
      </w:r>
      <w:bookmarkEnd w:id="166"/>
      <w:bookmarkEnd w:id="167"/>
    </w:p>
    <w:p w14:paraId="73617E10" w14:textId="0E92BD04" w:rsidR="00685E72" w:rsidRDefault="00EA19A0" w:rsidP="00685E72">
      <w:r>
        <w:t>A</w:t>
      </w:r>
      <w:r w:rsidR="002B4733">
        <w:t xml:space="preserve">ustralian </w:t>
      </w:r>
      <w:r>
        <w:t>P</w:t>
      </w:r>
      <w:r w:rsidR="002B4733">
        <w:t xml:space="preserve">esticides and </w:t>
      </w:r>
      <w:r>
        <w:t>V</w:t>
      </w:r>
      <w:r w:rsidR="002B4733">
        <w:t xml:space="preserve">eterinary </w:t>
      </w:r>
      <w:r>
        <w:t>M</w:t>
      </w:r>
      <w:r w:rsidR="002B4733">
        <w:t xml:space="preserve">edicines </w:t>
      </w:r>
      <w:r>
        <w:t>A</w:t>
      </w:r>
      <w:r w:rsidR="002B4733">
        <w:t>uthority</w:t>
      </w:r>
    </w:p>
    <w:p w14:paraId="7E2E293D" w14:textId="1AE8E1D5" w:rsidR="00685E72" w:rsidRDefault="00685E72" w:rsidP="00685E72">
      <w:pPr>
        <w:pStyle w:val="Heading4"/>
      </w:pPr>
      <w:bookmarkStart w:id="168" w:name="_Toc122614231"/>
      <w:bookmarkStart w:id="169" w:name="_Toc144110954"/>
      <w:r>
        <w:t>Proposed Scheduling</w:t>
      </w:r>
      <w:bookmarkEnd w:id="168"/>
      <w:bookmarkEnd w:id="169"/>
    </w:p>
    <w:p w14:paraId="04979210" w14:textId="011FCBA6" w:rsidR="00D6337C" w:rsidRDefault="00EA19A0" w:rsidP="00D6337C">
      <w:pPr>
        <w:rPr>
          <w:rFonts w:cstheme="minorHAnsi"/>
        </w:rPr>
      </w:pPr>
      <w:r>
        <w:rPr>
          <w:rFonts w:cstheme="minorHAnsi"/>
        </w:rPr>
        <w:t>Animal blood products</w:t>
      </w:r>
      <w:r w:rsidR="00D6337C" w:rsidRPr="00AF12F6">
        <w:rPr>
          <w:rFonts w:cstheme="minorHAnsi"/>
        </w:rPr>
        <w:t xml:space="preserve"> </w:t>
      </w:r>
      <w:r>
        <w:rPr>
          <w:rFonts w:cstheme="minorHAnsi"/>
        </w:rPr>
        <w:t>are</w:t>
      </w:r>
      <w:r w:rsidR="00D6337C" w:rsidRPr="00AF12F6">
        <w:rPr>
          <w:rFonts w:cstheme="minorHAnsi"/>
        </w:rPr>
        <w:t xml:space="preserve"> not specifically scheduled</w:t>
      </w:r>
      <w:r w:rsidR="00D6337C">
        <w:rPr>
          <w:rFonts w:cstheme="minorHAnsi"/>
        </w:rPr>
        <w:t xml:space="preserve"> in the current Poisons Standard</w:t>
      </w:r>
      <w:r w:rsidR="00D6337C" w:rsidRPr="00AF12F6">
        <w:rPr>
          <w:rFonts w:cstheme="minorHAnsi"/>
        </w:rPr>
        <w:t>.</w:t>
      </w:r>
    </w:p>
    <w:p w14:paraId="5B5C0C6F" w14:textId="34B5BE7C" w:rsidR="00DC1C7F" w:rsidRPr="002B4733" w:rsidRDefault="00DC1C7F" w:rsidP="00D6337C">
      <w:pPr>
        <w:rPr>
          <w:bCs/>
        </w:rPr>
      </w:pPr>
      <w:r w:rsidRPr="002B4733">
        <w:rPr>
          <w:bCs/>
        </w:rPr>
        <w:t>The applicant’s proposed amendments to the Poisons Standard are</w:t>
      </w:r>
      <w:r w:rsidR="002B4733">
        <w:rPr>
          <w:bCs/>
        </w:rPr>
        <w:t>:</w:t>
      </w:r>
      <w:r w:rsidRPr="002B4733">
        <w:rPr>
          <w:rStyle w:val="FootnoteReference"/>
          <w:bCs/>
        </w:rPr>
        <w:footnoteReference w:id="14"/>
      </w:r>
    </w:p>
    <w:p w14:paraId="5FB2C6A9" w14:textId="4389C48D" w:rsidR="00DC1C7F" w:rsidRPr="0072362E" w:rsidRDefault="00DC1C7F" w:rsidP="0072362E">
      <w:pPr>
        <w:ind w:left="426"/>
        <w:rPr>
          <w:rFonts w:cstheme="minorHAnsi"/>
          <w:b/>
          <w:bCs/>
        </w:rPr>
      </w:pPr>
      <w:r w:rsidRPr="0072362E">
        <w:rPr>
          <w:rFonts w:cstheme="minorHAnsi"/>
          <w:b/>
          <w:bCs/>
        </w:rPr>
        <w:t>Schedule 4 – New entry</w:t>
      </w:r>
    </w:p>
    <w:p w14:paraId="687C3A2D" w14:textId="77777777" w:rsidR="00DC1C7F" w:rsidRPr="00DC1C7F" w:rsidRDefault="00DC1C7F" w:rsidP="0072362E">
      <w:pPr>
        <w:ind w:left="709"/>
        <w:rPr>
          <w:rFonts w:cstheme="minorHAnsi"/>
          <w:color w:val="00B050"/>
        </w:rPr>
      </w:pPr>
      <w:r w:rsidRPr="00DC1C7F">
        <w:rPr>
          <w:rFonts w:cstheme="minorHAnsi"/>
          <w:b/>
          <w:bCs/>
          <w:color w:val="00B050"/>
          <w:u w:val="single"/>
        </w:rPr>
        <w:t>ANIMAL BLOOD PRODUCTS</w:t>
      </w:r>
      <w:r w:rsidRPr="00DC1C7F">
        <w:rPr>
          <w:rFonts w:cstheme="minorHAnsi"/>
          <w:color w:val="00B050"/>
          <w:u w:val="single"/>
        </w:rPr>
        <w:t xml:space="preserve"> for veterinary use including:</w:t>
      </w:r>
    </w:p>
    <w:p w14:paraId="00D0C910" w14:textId="77777777" w:rsidR="00DC1C7F" w:rsidRPr="00DC1C7F" w:rsidRDefault="00DC1C7F" w:rsidP="0072362E">
      <w:pPr>
        <w:ind w:left="1134"/>
        <w:rPr>
          <w:rFonts w:cstheme="minorHAnsi"/>
          <w:color w:val="00B050"/>
        </w:rPr>
      </w:pPr>
      <w:r w:rsidRPr="00DC1C7F">
        <w:rPr>
          <w:rFonts w:cstheme="minorHAnsi"/>
          <w:color w:val="00B050"/>
          <w:u w:val="single"/>
        </w:rPr>
        <w:t>(a) whole blood;</w:t>
      </w:r>
    </w:p>
    <w:p w14:paraId="64BE0FD3" w14:textId="77777777" w:rsidR="00DC1C7F" w:rsidRPr="00DC1C7F" w:rsidRDefault="00DC1C7F" w:rsidP="0072362E">
      <w:pPr>
        <w:ind w:left="1134"/>
        <w:rPr>
          <w:rFonts w:cstheme="minorHAnsi"/>
          <w:color w:val="00B050"/>
        </w:rPr>
      </w:pPr>
      <w:r w:rsidRPr="00DC1C7F">
        <w:rPr>
          <w:rFonts w:cstheme="minorHAnsi"/>
          <w:color w:val="00B050"/>
          <w:u w:val="single"/>
        </w:rPr>
        <w:t>(b) blood components including red cells, white cells, platelets, and plasma (including cryoprecipitate); and</w:t>
      </w:r>
    </w:p>
    <w:p w14:paraId="6A720783" w14:textId="77777777" w:rsidR="00DC1C7F" w:rsidRPr="00DC1C7F" w:rsidRDefault="00DC1C7F" w:rsidP="0072362E">
      <w:pPr>
        <w:ind w:left="1134"/>
        <w:rPr>
          <w:rFonts w:cstheme="minorHAnsi"/>
          <w:color w:val="00B050"/>
        </w:rPr>
      </w:pPr>
      <w:r w:rsidRPr="00DC1C7F">
        <w:rPr>
          <w:rFonts w:cstheme="minorHAnsi"/>
          <w:color w:val="00B050"/>
          <w:u w:val="single"/>
        </w:rPr>
        <w:t>(c) the following plasma-derived therapeutic proteins; and their equivalent recombinant alternatives:</w:t>
      </w:r>
    </w:p>
    <w:p w14:paraId="33972D8B" w14:textId="77777777" w:rsidR="00DC1C7F" w:rsidRPr="00DC1C7F" w:rsidRDefault="00DC1C7F" w:rsidP="0072362E">
      <w:pPr>
        <w:ind w:left="1560" w:hanging="33"/>
        <w:rPr>
          <w:rFonts w:cstheme="minorHAnsi"/>
          <w:color w:val="00B050"/>
        </w:rPr>
      </w:pPr>
      <w:r w:rsidRPr="00DC1C7F">
        <w:rPr>
          <w:rFonts w:cstheme="minorHAnsi"/>
          <w:color w:val="00B050"/>
          <w:u w:val="single"/>
        </w:rPr>
        <w:t>(i) albumin;</w:t>
      </w:r>
    </w:p>
    <w:p w14:paraId="49BAF820" w14:textId="77777777" w:rsidR="00DC1C7F" w:rsidRPr="00DC1C7F" w:rsidRDefault="00DC1C7F" w:rsidP="0072362E">
      <w:pPr>
        <w:ind w:left="1560" w:hanging="33"/>
        <w:rPr>
          <w:rFonts w:cstheme="minorHAnsi"/>
          <w:color w:val="00B050"/>
        </w:rPr>
      </w:pPr>
      <w:r w:rsidRPr="00DC1C7F">
        <w:rPr>
          <w:rFonts w:cstheme="minorHAnsi"/>
          <w:color w:val="00B050"/>
          <w:u w:val="single"/>
        </w:rPr>
        <w:t>(ii) anticoagulation complex;</w:t>
      </w:r>
    </w:p>
    <w:p w14:paraId="24CDBA2B" w14:textId="77777777" w:rsidR="00DC1C7F" w:rsidRPr="00DC1C7F" w:rsidRDefault="00DC1C7F" w:rsidP="0072362E">
      <w:pPr>
        <w:ind w:left="1560" w:hanging="33"/>
        <w:rPr>
          <w:rFonts w:cstheme="minorHAnsi"/>
          <w:color w:val="00B050"/>
        </w:rPr>
      </w:pPr>
      <w:r w:rsidRPr="00DC1C7F">
        <w:rPr>
          <w:rFonts w:cstheme="minorHAnsi"/>
          <w:color w:val="00B050"/>
          <w:u w:val="single"/>
        </w:rPr>
        <w:t>(iii) C1 esterase inhibitors;</w:t>
      </w:r>
    </w:p>
    <w:p w14:paraId="036BD599" w14:textId="77777777" w:rsidR="00DC1C7F" w:rsidRPr="00DC1C7F" w:rsidRDefault="00DC1C7F" w:rsidP="0072362E">
      <w:pPr>
        <w:ind w:left="1560" w:hanging="33"/>
        <w:rPr>
          <w:rFonts w:cstheme="minorHAnsi"/>
          <w:color w:val="00B050"/>
        </w:rPr>
      </w:pPr>
      <w:r w:rsidRPr="00DC1C7F">
        <w:rPr>
          <w:rFonts w:cstheme="minorHAnsi"/>
          <w:color w:val="00B050"/>
          <w:u w:val="single"/>
        </w:rPr>
        <w:t>(iv) clotting factors;</w:t>
      </w:r>
    </w:p>
    <w:p w14:paraId="5AEDF71E" w14:textId="77777777" w:rsidR="00DC1C7F" w:rsidRPr="00DC1C7F" w:rsidRDefault="00DC1C7F" w:rsidP="0072362E">
      <w:pPr>
        <w:ind w:left="1560" w:hanging="33"/>
        <w:rPr>
          <w:rFonts w:cstheme="minorHAnsi"/>
          <w:color w:val="00B050"/>
        </w:rPr>
      </w:pPr>
      <w:r w:rsidRPr="00DC1C7F">
        <w:rPr>
          <w:rFonts w:cstheme="minorHAnsi"/>
          <w:color w:val="00B050"/>
          <w:u w:val="single"/>
        </w:rPr>
        <w:t>(v) fibrinogen;</w:t>
      </w:r>
    </w:p>
    <w:p w14:paraId="762E1E00" w14:textId="77777777" w:rsidR="00DC1C7F" w:rsidRPr="00DC1C7F" w:rsidRDefault="00DC1C7F" w:rsidP="0072362E">
      <w:pPr>
        <w:ind w:left="1560" w:hanging="33"/>
        <w:rPr>
          <w:rFonts w:cstheme="minorHAnsi"/>
          <w:color w:val="00B050"/>
        </w:rPr>
      </w:pPr>
      <w:r w:rsidRPr="00DC1C7F">
        <w:rPr>
          <w:rFonts w:cstheme="minorHAnsi"/>
          <w:color w:val="00B050"/>
          <w:u w:val="single"/>
        </w:rPr>
        <w:t>(vi) protein C;</w:t>
      </w:r>
    </w:p>
    <w:p w14:paraId="6241D99D" w14:textId="77777777" w:rsidR="00DC1C7F" w:rsidRPr="00DC1C7F" w:rsidRDefault="00DC1C7F" w:rsidP="0072362E">
      <w:pPr>
        <w:ind w:left="1560"/>
        <w:rPr>
          <w:rFonts w:cstheme="minorHAnsi"/>
          <w:color w:val="00B050"/>
        </w:rPr>
      </w:pPr>
      <w:r w:rsidRPr="00DC1C7F">
        <w:rPr>
          <w:rFonts w:cstheme="minorHAnsi"/>
          <w:color w:val="00B050"/>
          <w:u w:val="single"/>
        </w:rPr>
        <w:t>(vii) prothrombin complex concentrate (PCC);</w:t>
      </w:r>
    </w:p>
    <w:p w14:paraId="3EE2F2A0" w14:textId="1034D19C" w:rsidR="00DC1C7F" w:rsidRDefault="00DC1C7F" w:rsidP="0072362E">
      <w:pPr>
        <w:ind w:left="1560"/>
        <w:rPr>
          <w:rFonts w:cstheme="minorHAnsi"/>
          <w:color w:val="00B050"/>
          <w:u w:val="single"/>
        </w:rPr>
      </w:pPr>
      <w:r w:rsidRPr="00DC1C7F">
        <w:rPr>
          <w:rFonts w:cstheme="minorHAnsi"/>
          <w:color w:val="00B050"/>
          <w:u w:val="single"/>
        </w:rPr>
        <w:t>(viii) thrombin</w:t>
      </w:r>
    </w:p>
    <w:p w14:paraId="1F10708B" w14:textId="5A8F541D" w:rsidR="00DC1C7F" w:rsidRPr="0072362E" w:rsidRDefault="00DC1C7F" w:rsidP="0072362E">
      <w:pPr>
        <w:ind w:left="426"/>
        <w:rPr>
          <w:rFonts w:cstheme="minorHAnsi"/>
          <w:b/>
          <w:bCs/>
        </w:rPr>
      </w:pPr>
      <w:r w:rsidRPr="0072362E">
        <w:rPr>
          <w:rFonts w:cstheme="minorHAnsi"/>
          <w:b/>
          <w:bCs/>
        </w:rPr>
        <w:t>INDEX</w:t>
      </w:r>
      <w:r w:rsidR="002234D4">
        <w:rPr>
          <w:rFonts w:cstheme="minorHAnsi"/>
          <w:b/>
          <w:bCs/>
        </w:rPr>
        <w:t xml:space="preserve"> – New entry </w:t>
      </w:r>
    </w:p>
    <w:p w14:paraId="77CEE86A" w14:textId="31FCB232" w:rsidR="00DC1C7F" w:rsidRPr="00DC1C7F" w:rsidRDefault="00DC1C7F" w:rsidP="0072362E">
      <w:pPr>
        <w:ind w:left="709"/>
        <w:rPr>
          <w:rFonts w:cstheme="minorHAnsi"/>
          <w:color w:val="00B050"/>
          <w:u w:val="single"/>
        </w:rPr>
      </w:pPr>
      <w:r w:rsidRPr="00DC1C7F">
        <w:rPr>
          <w:rFonts w:cstheme="minorHAnsi"/>
          <w:b/>
          <w:bCs/>
          <w:color w:val="00B050"/>
          <w:u w:val="single"/>
        </w:rPr>
        <w:t>ANIMAL BLOOD PRODUCTS</w:t>
      </w:r>
      <w:r>
        <w:rPr>
          <w:rFonts w:cstheme="minorHAnsi"/>
          <w:color w:val="00B050"/>
          <w:u w:val="single"/>
        </w:rPr>
        <w:br/>
        <w:t>Schedule 4</w:t>
      </w:r>
    </w:p>
    <w:p w14:paraId="691E22DB" w14:textId="1AD230DA" w:rsidR="00D6337C" w:rsidRDefault="00D6337C" w:rsidP="00D6337C">
      <w:pPr>
        <w:pStyle w:val="Heading4"/>
      </w:pPr>
      <w:bookmarkStart w:id="170" w:name="_Toc144110955"/>
      <w:r>
        <w:t>Background</w:t>
      </w:r>
      <w:bookmarkEnd w:id="170"/>
    </w:p>
    <w:p w14:paraId="442C0B64" w14:textId="28B7E7D2" w:rsidR="00D6337C" w:rsidRDefault="00DC1C7F" w:rsidP="009441F8">
      <w:r>
        <w:t>Animal blood products are used in transfusions in other animals to support the treatment of surgical procedures following various ailments and injuries such as snake bites, anaemia, cancers, bleeding disorders, after a traumatic accident</w:t>
      </w:r>
      <w:r w:rsidR="00EB1099">
        <w:t>,</w:t>
      </w:r>
      <w:r>
        <w:t xml:space="preserve"> and other medical conditions or diseases.</w:t>
      </w:r>
    </w:p>
    <w:p w14:paraId="0F00B09C" w14:textId="149E1D84" w:rsidR="00DE0214" w:rsidRDefault="00DC1C7F" w:rsidP="009441F8">
      <w:r>
        <w:t xml:space="preserve">Animal blood products are currently extracted in private veterinary practices and used in-house for other animals. </w:t>
      </w:r>
      <w:r w:rsidR="00DE0214">
        <w:t>Additionally, there a</w:t>
      </w:r>
      <w:r w:rsidR="004C7298">
        <w:t>re</w:t>
      </w:r>
      <w:r w:rsidR="00DE0214">
        <w:t xml:space="preserve"> some commercial suppliers who supply through wholesalers direct to veterinary practices.</w:t>
      </w:r>
    </w:p>
    <w:p w14:paraId="3A51C679" w14:textId="04890CE6" w:rsidR="00DE0214" w:rsidRDefault="00D6337C" w:rsidP="00DE0214">
      <w:pPr>
        <w:pStyle w:val="Heading4"/>
      </w:pPr>
      <w:bookmarkStart w:id="171" w:name="_Toc144110956"/>
      <w:r>
        <w:t>Summary of applicant’s reasons for the proposal</w:t>
      </w:r>
      <w:bookmarkEnd w:id="171"/>
    </w:p>
    <w:p w14:paraId="1F02A1A7" w14:textId="660C54F7" w:rsidR="00DE0214" w:rsidRPr="00224E3B" w:rsidRDefault="00DE0214" w:rsidP="0072362E">
      <w:pPr>
        <w:pStyle w:val="ListParagraph"/>
        <w:numPr>
          <w:ilvl w:val="0"/>
          <w:numId w:val="20"/>
        </w:numPr>
        <w:ind w:left="426" w:hanging="357"/>
        <w:contextualSpacing w:val="0"/>
        <w:rPr>
          <w:rFonts w:asciiTheme="minorHAnsi" w:hAnsiTheme="minorHAnsi" w:cstheme="minorHAnsi"/>
        </w:rPr>
      </w:pPr>
      <w:r w:rsidRPr="00224E3B">
        <w:rPr>
          <w:rFonts w:asciiTheme="minorHAnsi" w:hAnsiTheme="minorHAnsi" w:cstheme="minorHAnsi"/>
        </w:rPr>
        <w:t xml:space="preserve">There are currently several registered animal blood products with the APVMA for various animals including companion animals </w:t>
      </w:r>
      <w:r w:rsidR="00EB1099">
        <w:rPr>
          <w:rFonts w:asciiTheme="minorHAnsi" w:hAnsiTheme="minorHAnsi" w:cstheme="minorHAnsi"/>
        </w:rPr>
        <w:t>and</w:t>
      </w:r>
      <w:r w:rsidR="00EB1099" w:rsidRPr="00224E3B">
        <w:rPr>
          <w:rFonts w:asciiTheme="minorHAnsi" w:hAnsiTheme="minorHAnsi" w:cstheme="minorHAnsi"/>
        </w:rPr>
        <w:t xml:space="preserve"> </w:t>
      </w:r>
      <w:r w:rsidRPr="00224E3B">
        <w:rPr>
          <w:rFonts w:asciiTheme="minorHAnsi" w:hAnsiTheme="minorHAnsi" w:cstheme="minorHAnsi"/>
        </w:rPr>
        <w:t>production animals. While human blood products are regulated by the Therapeutic Goods Admin</w:t>
      </w:r>
      <w:r w:rsidR="00224E3B" w:rsidRPr="00224E3B">
        <w:rPr>
          <w:rFonts w:asciiTheme="minorHAnsi" w:hAnsiTheme="minorHAnsi" w:cstheme="minorHAnsi"/>
        </w:rPr>
        <w:t>istration (TGA)</w:t>
      </w:r>
      <w:r w:rsidR="009441F8">
        <w:rPr>
          <w:rFonts w:asciiTheme="minorHAnsi" w:hAnsiTheme="minorHAnsi" w:cstheme="minorHAnsi"/>
        </w:rPr>
        <w:t xml:space="preserve"> </w:t>
      </w:r>
      <w:r w:rsidR="00224E3B" w:rsidRPr="00224E3B">
        <w:rPr>
          <w:rFonts w:asciiTheme="minorHAnsi" w:hAnsiTheme="minorHAnsi" w:cstheme="minorHAnsi"/>
        </w:rPr>
        <w:t xml:space="preserve">and the National Blood Authority (NBA), there is no </w:t>
      </w:r>
      <w:r w:rsidR="00EB1099">
        <w:rPr>
          <w:rFonts w:asciiTheme="minorHAnsi" w:hAnsiTheme="minorHAnsi" w:cstheme="minorHAnsi"/>
        </w:rPr>
        <w:t>equivalent</w:t>
      </w:r>
      <w:r w:rsidR="00224E3B" w:rsidRPr="00224E3B">
        <w:rPr>
          <w:rFonts w:asciiTheme="minorHAnsi" w:hAnsiTheme="minorHAnsi" w:cstheme="minorHAnsi"/>
        </w:rPr>
        <w:t xml:space="preserve"> authority </w:t>
      </w:r>
      <w:r w:rsidR="00EB1099">
        <w:rPr>
          <w:rFonts w:asciiTheme="minorHAnsi" w:hAnsiTheme="minorHAnsi" w:cstheme="minorHAnsi"/>
        </w:rPr>
        <w:t xml:space="preserve">for the regulation of </w:t>
      </w:r>
      <w:r w:rsidR="00224E3B" w:rsidRPr="00224E3B">
        <w:rPr>
          <w:rFonts w:asciiTheme="minorHAnsi" w:hAnsiTheme="minorHAnsi" w:cstheme="minorHAnsi"/>
        </w:rPr>
        <w:t xml:space="preserve">animal </w:t>
      </w:r>
      <w:r w:rsidR="00EB1099">
        <w:rPr>
          <w:rFonts w:asciiTheme="minorHAnsi" w:hAnsiTheme="minorHAnsi" w:cstheme="minorHAnsi"/>
        </w:rPr>
        <w:t>blood products</w:t>
      </w:r>
      <w:r w:rsidR="00224E3B" w:rsidRPr="00224E3B">
        <w:rPr>
          <w:rFonts w:asciiTheme="minorHAnsi" w:hAnsiTheme="minorHAnsi" w:cstheme="minorHAnsi"/>
        </w:rPr>
        <w:t>.</w:t>
      </w:r>
    </w:p>
    <w:p w14:paraId="577C2F36" w14:textId="7A7FBD1B" w:rsidR="00D6337C" w:rsidRDefault="00224E3B" w:rsidP="0072362E">
      <w:pPr>
        <w:pStyle w:val="ListParagraph"/>
        <w:numPr>
          <w:ilvl w:val="0"/>
          <w:numId w:val="20"/>
        </w:numPr>
        <w:ind w:left="426" w:hanging="357"/>
        <w:contextualSpacing w:val="0"/>
        <w:rPr>
          <w:rFonts w:asciiTheme="minorHAnsi" w:hAnsiTheme="minorHAnsi" w:cstheme="minorHAnsi"/>
        </w:rPr>
      </w:pPr>
      <w:r w:rsidRPr="00224E3B">
        <w:rPr>
          <w:rFonts w:asciiTheme="minorHAnsi" w:hAnsiTheme="minorHAnsi" w:cstheme="minorHAnsi"/>
        </w:rPr>
        <w:t xml:space="preserve">Schedule 4 would be </w:t>
      </w:r>
      <w:r>
        <w:rPr>
          <w:rFonts w:asciiTheme="minorHAnsi" w:hAnsiTheme="minorHAnsi" w:cstheme="minorHAnsi"/>
        </w:rPr>
        <w:t xml:space="preserve">the </w:t>
      </w:r>
      <w:r w:rsidRPr="00224E3B">
        <w:rPr>
          <w:rFonts w:asciiTheme="minorHAnsi" w:hAnsiTheme="minorHAnsi" w:cstheme="minorHAnsi"/>
        </w:rPr>
        <w:t xml:space="preserve">most appropriate </w:t>
      </w:r>
      <w:r>
        <w:rPr>
          <w:rFonts w:asciiTheme="minorHAnsi" w:hAnsiTheme="minorHAnsi" w:cstheme="minorHAnsi"/>
        </w:rPr>
        <w:t xml:space="preserve">schedule </w:t>
      </w:r>
      <w:r w:rsidR="00EB1099" w:rsidRPr="00224E3B">
        <w:rPr>
          <w:rFonts w:asciiTheme="minorHAnsi" w:hAnsiTheme="minorHAnsi" w:cstheme="minorHAnsi"/>
        </w:rPr>
        <w:t>to</w:t>
      </w:r>
      <w:r w:rsidRPr="00224E3B">
        <w:rPr>
          <w:rFonts w:asciiTheme="minorHAnsi" w:hAnsiTheme="minorHAnsi" w:cstheme="minorHAnsi"/>
        </w:rPr>
        <w:t xml:space="preserve"> regulate access and supply</w:t>
      </w:r>
      <w:r w:rsidR="00EB1099" w:rsidRPr="00EB1099">
        <w:rPr>
          <w:rFonts w:asciiTheme="minorHAnsi" w:hAnsiTheme="minorHAnsi" w:cstheme="minorHAnsi"/>
        </w:rPr>
        <w:t xml:space="preserve"> </w:t>
      </w:r>
      <w:r w:rsidR="00EB1099">
        <w:rPr>
          <w:rFonts w:asciiTheme="minorHAnsi" w:hAnsiTheme="minorHAnsi" w:cstheme="minorHAnsi"/>
        </w:rPr>
        <w:t>a</w:t>
      </w:r>
      <w:r w:rsidR="00EB1099" w:rsidRPr="00224E3B">
        <w:rPr>
          <w:rFonts w:asciiTheme="minorHAnsi" w:hAnsiTheme="minorHAnsi" w:cstheme="minorHAnsi"/>
        </w:rPr>
        <w:t>s animal blood products must be administered by a veterinarian</w:t>
      </w:r>
      <w:r w:rsidRPr="00224E3B">
        <w:rPr>
          <w:rFonts w:asciiTheme="minorHAnsi" w:hAnsiTheme="minorHAnsi" w:cstheme="minorHAnsi"/>
        </w:rPr>
        <w:t>.</w:t>
      </w:r>
    </w:p>
    <w:p w14:paraId="32EC566C" w14:textId="263E32ED" w:rsidR="00224E3B" w:rsidRPr="00224E3B" w:rsidRDefault="00224E3B" w:rsidP="0072362E">
      <w:pPr>
        <w:pStyle w:val="ListParagraph"/>
        <w:numPr>
          <w:ilvl w:val="0"/>
          <w:numId w:val="20"/>
        </w:numPr>
        <w:ind w:left="426" w:hanging="357"/>
        <w:contextualSpacing w:val="0"/>
        <w:rPr>
          <w:rFonts w:asciiTheme="minorHAnsi" w:hAnsiTheme="minorHAnsi" w:cstheme="minorHAnsi"/>
        </w:rPr>
      </w:pPr>
      <w:r>
        <w:rPr>
          <w:rFonts w:asciiTheme="minorHAnsi" w:hAnsiTheme="minorHAnsi" w:cstheme="minorHAnsi"/>
        </w:rPr>
        <w:t>The human health risks associated with collection, handling and administration are low due to the products being handled only by appropriately trained staff.</w:t>
      </w:r>
    </w:p>
    <w:p w14:paraId="522C16D0" w14:textId="47069549" w:rsidR="00D6337C" w:rsidRDefault="00D6337C" w:rsidP="00D6337C">
      <w:pPr>
        <w:pStyle w:val="Heading4"/>
      </w:pPr>
      <w:bookmarkStart w:id="172" w:name="_Toc144110957"/>
      <w:r>
        <w:t>Key uses / expected use</w:t>
      </w:r>
      <w:bookmarkEnd w:id="172"/>
    </w:p>
    <w:p w14:paraId="00740E7F" w14:textId="69B7EA17" w:rsidR="00D6337C" w:rsidRDefault="00DC1C7F" w:rsidP="00D6337C">
      <w:r>
        <w:t>Veterinary use only.</w:t>
      </w:r>
    </w:p>
    <w:p w14:paraId="7F5CC4F2" w14:textId="4A826D2E" w:rsidR="00D6337C" w:rsidRDefault="00D6337C" w:rsidP="00D6337C">
      <w:pPr>
        <w:pStyle w:val="Heading4"/>
      </w:pPr>
      <w:bookmarkStart w:id="173" w:name="_Toc144110958"/>
      <w:r>
        <w:t>Australian regulations</w:t>
      </w:r>
      <w:bookmarkEnd w:id="173"/>
    </w:p>
    <w:p w14:paraId="5C0F06F6" w14:textId="1D860CCE" w:rsidR="00D6337C" w:rsidRPr="00224E3B" w:rsidRDefault="00224E3B" w:rsidP="00EB1099">
      <w:pPr>
        <w:pStyle w:val="ListBullet"/>
        <w:numPr>
          <w:ilvl w:val="0"/>
          <w:numId w:val="83"/>
        </w:numPr>
      </w:pPr>
      <w:r w:rsidRPr="00224E3B">
        <w:t>Animal blood products are not present in the</w:t>
      </w:r>
      <w:r w:rsidR="00D6337C" w:rsidRPr="00224E3B">
        <w:t xml:space="preserve"> </w:t>
      </w:r>
      <w:hyperlink r:id="rId175" w:history="1">
        <w:r w:rsidR="00D6337C" w:rsidRPr="008007EB">
          <w:rPr>
            <w:rStyle w:val="Hyperlink"/>
            <w:rFonts w:asciiTheme="minorHAnsi" w:hAnsiTheme="minorHAnsi"/>
          </w:rPr>
          <w:t>TGA Ingredient Database</w:t>
        </w:r>
      </w:hyperlink>
      <w:r>
        <w:t>.</w:t>
      </w:r>
    </w:p>
    <w:p w14:paraId="478AFC0F" w14:textId="6DA931F7" w:rsidR="00D6337C" w:rsidRPr="008007EB" w:rsidRDefault="00D6337C" w:rsidP="00EB1099">
      <w:pPr>
        <w:pStyle w:val="ListBullet"/>
        <w:numPr>
          <w:ilvl w:val="0"/>
          <w:numId w:val="83"/>
        </w:numPr>
      </w:pPr>
      <w:r w:rsidRPr="00FD789C">
        <w:t xml:space="preserve">As of </w:t>
      </w:r>
      <w:r w:rsidR="008B0FEB" w:rsidRPr="008B0FEB">
        <w:t>July 2023</w:t>
      </w:r>
      <w:r w:rsidRPr="008B0FEB">
        <w:t>,</w:t>
      </w:r>
      <w:r w:rsidRPr="00FD789C">
        <w:t xml:space="preserve"> there were </w:t>
      </w:r>
      <w:r w:rsidR="00224E3B" w:rsidRPr="00FD789C">
        <w:t>no</w:t>
      </w:r>
      <w:r w:rsidRPr="00FD789C">
        <w:t xml:space="preserve"> medicines currently active on the </w:t>
      </w:r>
      <w:hyperlink r:id="rId176" w:history="1">
        <w:r w:rsidR="00EB1099">
          <w:rPr>
            <w:rStyle w:val="Hyperlink"/>
            <w:rFonts w:asciiTheme="minorHAnsi" w:hAnsiTheme="minorHAnsi"/>
          </w:rPr>
          <w:t>Australian Register of Therapeutic Goods</w:t>
        </w:r>
      </w:hyperlink>
      <w:r w:rsidR="00EB1099" w:rsidRPr="00EB1099">
        <w:rPr>
          <w:rStyle w:val="Hyperlink"/>
          <w:rFonts w:asciiTheme="minorHAnsi" w:hAnsiTheme="minorHAnsi"/>
          <w:color w:val="auto"/>
          <w:u w:val="none"/>
        </w:rPr>
        <w:t xml:space="preserve"> (ARTG)</w:t>
      </w:r>
      <w:r w:rsidRPr="008007EB">
        <w:t xml:space="preserve"> </w:t>
      </w:r>
      <w:r w:rsidRPr="00FD789C">
        <w:t xml:space="preserve">that contain </w:t>
      </w:r>
      <w:r w:rsidR="00224E3B" w:rsidRPr="00FD789C">
        <w:t>animal blood products</w:t>
      </w:r>
      <w:r w:rsidRPr="00FD789C">
        <w:t xml:space="preserve"> as an active ingredient.</w:t>
      </w:r>
    </w:p>
    <w:p w14:paraId="12ADF94E" w14:textId="20D17BD7" w:rsidR="00D6337C" w:rsidRPr="00FD789C" w:rsidRDefault="00FD789C" w:rsidP="00EB1099">
      <w:pPr>
        <w:pStyle w:val="ListBullet"/>
        <w:numPr>
          <w:ilvl w:val="0"/>
          <w:numId w:val="83"/>
        </w:numPr>
      </w:pPr>
      <w:r>
        <w:t xml:space="preserve">Animal blood products are </w:t>
      </w:r>
      <w:r w:rsidR="00D6337C" w:rsidRPr="00FD789C">
        <w:t xml:space="preserve">not permitted to be included in listed medicines as it is not included in the </w:t>
      </w:r>
      <w:hyperlink r:id="rId177" w:history="1">
        <w:r w:rsidR="00D6337C" w:rsidRPr="008007EB">
          <w:rPr>
            <w:rStyle w:val="Hyperlink"/>
            <w:rFonts w:asciiTheme="minorHAnsi" w:hAnsiTheme="minorHAnsi"/>
          </w:rPr>
          <w:t>Therapeutic Goods (Permissible Ingredients) Determination</w:t>
        </w:r>
      </w:hyperlink>
      <w:r w:rsidR="00D6337C" w:rsidRPr="008007EB">
        <w:t xml:space="preserve"> </w:t>
      </w:r>
      <w:r w:rsidR="00D6337C" w:rsidRPr="00FD789C">
        <w:t>No.</w:t>
      </w:r>
      <w:r>
        <w:t xml:space="preserve"> 3</w:t>
      </w:r>
      <w:r w:rsidR="00D6337C" w:rsidRPr="00FD789C">
        <w:t xml:space="preserve"> of 20</w:t>
      </w:r>
      <w:r>
        <w:t>23</w:t>
      </w:r>
      <w:r w:rsidR="00D6337C" w:rsidRPr="00FD789C">
        <w:t>.</w:t>
      </w:r>
    </w:p>
    <w:p w14:paraId="169A409B" w14:textId="0F2E66A0" w:rsidR="00D6337C" w:rsidRPr="008007EB" w:rsidRDefault="00FD789C" w:rsidP="00EB1099">
      <w:pPr>
        <w:pStyle w:val="ListBullet"/>
        <w:numPr>
          <w:ilvl w:val="0"/>
          <w:numId w:val="83"/>
        </w:numPr>
      </w:pPr>
      <w:r w:rsidRPr="00FD789C">
        <w:t>Animal blood products are not listed in the</w:t>
      </w:r>
      <w:r w:rsidR="00D6337C" w:rsidRPr="00FD789C">
        <w:t xml:space="preserve"> </w:t>
      </w:r>
      <w:hyperlink r:id="rId178" w:history="1">
        <w:r w:rsidR="00D6337C" w:rsidRPr="008007EB">
          <w:rPr>
            <w:rStyle w:val="Hyperlink"/>
            <w:rFonts w:asciiTheme="minorHAnsi" w:hAnsiTheme="minorHAnsi"/>
          </w:rPr>
          <w:t>TGA prescribing medicines in pregnancy database</w:t>
        </w:r>
      </w:hyperlink>
      <w:r w:rsidR="002B4733" w:rsidRPr="002B4733">
        <w:rPr>
          <w:rStyle w:val="Hyperlink"/>
          <w:rFonts w:asciiTheme="minorHAnsi" w:hAnsiTheme="minorHAnsi"/>
          <w:color w:val="auto"/>
          <w:u w:val="none"/>
        </w:rPr>
        <w:t>.</w:t>
      </w:r>
    </w:p>
    <w:p w14:paraId="5B8A6D82" w14:textId="0223C831" w:rsidR="00D6337C" w:rsidRPr="00FD789C" w:rsidRDefault="00D6337C" w:rsidP="00EB1099">
      <w:pPr>
        <w:pStyle w:val="ListBullet"/>
        <w:numPr>
          <w:ilvl w:val="0"/>
          <w:numId w:val="83"/>
        </w:numPr>
      </w:pPr>
      <w:r w:rsidRPr="00FD789C">
        <w:t xml:space="preserve">There are no warning statements pertaining to </w:t>
      </w:r>
      <w:r w:rsidR="00FD789C" w:rsidRPr="00FD789C">
        <w:t>animal blood products</w:t>
      </w:r>
      <w:r w:rsidRPr="00FD789C">
        <w:t xml:space="preserve"> in the </w:t>
      </w:r>
      <w:hyperlink r:id="rId179" w:history="1">
        <w:r w:rsidRPr="008007EB">
          <w:rPr>
            <w:rStyle w:val="Hyperlink"/>
            <w:rFonts w:asciiTheme="minorHAnsi" w:hAnsiTheme="minorHAnsi"/>
          </w:rPr>
          <w:t>Therapeutic Goods (Medicines Advisory Statements) Specification 2021</w:t>
        </w:r>
      </w:hyperlink>
      <w:r w:rsidR="002B4733" w:rsidRPr="002B4733">
        <w:rPr>
          <w:rStyle w:val="Hyperlink"/>
          <w:rFonts w:asciiTheme="minorHAnsi" w:hAnsiTheme="minorHAnsi"/>
          <w:color w:val="auto"/>
          <w:u w:val="none"/>
        </w:rPr>
        <w:t>.</w:t>
      </w:r>
    </w:p>
    <w:p w14:paraId="60082D05" w14:textId="3A83925B" w:rsidR="00D6337C" w:rsidRPr="00FD789C" w:rsidRDefault="00D6337C" w:rsidP="00EB1099">
      <w:pPr>
        <w:pStyle w:val="ListBullet"/>
        <w:numPr>
          <w:ilvl w:val="0"/>
          <w:numId w:val="83"/>
        </w:numPr>
        <w:rPr>
          <w:i/>
          <w:color w:val="8496B0" w:themeColor="text2" w:themeTint="99"/>
        </w:rPr>
      </w:pPr>
      <w:r w:rsidRPr="00655AA6">
        <w:t xml:space="preserve">As of </w:t>
      </w:r>
      <w:r w:rsidR="00EB1099">
        <w:t>August</w:t>
      </w:r>
      <w:r w:rsidR="00EB1099" w:rsidRPr="00655AA6">
        <w:t xml:space="preserve"> </w:t>
      </w:r>
      <w:r w:rsidR="008B0FEB" w:rsidRPr="00655AA6">
        <w:t>2023</w:t>
      </w:r>
      <w:r w:rsidRPr="00655AA6">
        <w:t xml:space="preserve">, there were </w:t>
      </w:r>
      <w:r w:rsidR="00FD789C" w:rsidRPr="00655AA6">
        <w:t>no</w:t>
      </w:r>
      <w:r w:rsidRPr="00655AA6">
        <w:t xml:space="preserve"> reports of adverse events for products containing </w:t>
      </w:r>
      <w:r w:rsidR="00FD789C" w:rsidRPr="00655AA6">
        <w:t>animal blood products</w:t>
      </w:r>
      <w:r w:rsidRPr="00655AA6">
        <w:t xml:space="preserve"> as an active ingredient on the </w:t>
      </w:r>
      <w:hyperlink r:id="rId180" w:history="1">
        <w:r w:rsidR="00EB1099">
          <w:rPr>
            <w:rStyle w:val="Hyperlink"/>
            <w:rFonts w:asciiTheme="minorHAnsi" w:hAnsiTheme="minorHAnsi"/>
          </w:rPr>
          <w:t>Database of Adverse Event Notifications</w:t>
        </w:r>
      </w:hyperlink>
      <w:r w:rsidR="00EB1099" w:rsidRPr="00EB1099">
        <w:rPr>
          <w:rStyle w:val="Hyperlink"/>
          <w:rFonts w:asciiTheme="minorHAnsi" w:hAnsiTheme="minorHAnsi"/>
          <w:color w:val="auto"/>
          <w:u w:val="none"/>
        </w:rPr>
        <w:t xml:space="preserve"> (DAEN)</w:t>
      </w:r>
      <w:r w:rsidR="00FD789C" w:rsidRPr="00FD789C">
        <w:t xml:space="preserve">. </w:t>
      </w:r>
    </w:p>
    <w:p w14:paraId="34B3F474" w14:textId="1A41E8D9" w:rsidR="00D6337C" w:rsidRPr="008007EB" w:rsidRDefault="00D6337C" w:rsidP="00EB1099">
      <w:pPr>
        <w:pStyle w:val="ListBullet"/>
        <w:numPr>
          <w:ilvl w:val="0"/>
          <w:numId w:val="83"/>
        </w:numPr>
      </w:pPr>
      <w:r w:rsidRPr="00FD789C">
        <w:t xml:space="preserve">As of </w:t>
      </w:r>
      <w:r w:rsidR="00EB1099">
        <w:t xml:space="preserve">August </w:t>
      </w:r>
      <w:r w:rsidR="008B0FEB">
        <w:t>2023</w:t>
      </w:r>
      <w:r w:rsidRPr="00FD789C">
        <w:t xml:space="preserve">, there were </w:t>
      </w:r>
      <w:r w:rsidR="00FD789C" w:rsidRPr="00FD789C">
        <w:t xml:space="preserve">3 </w:t>
      </w:r>
      <w:r w:rsidRPr="00FD789C">
        <w:t xml:space="preserve">products containing </w:t>
      </w:r>
      <w:r w:rsidR="00FD789C" w:rsidRPr="00FD789C">
        <w:t>animal blood products</w:t>
      </w:r>
      <w:r w:rsidRPr="00FD789C">
        <w:t xml:space="preserve"> listed on the </w:t>
      </w:r>
      <w:hyperlink r:id="rId181" w:history="1">
        <w:r w:rsidR="00EB1099">
          <w:rPr>
            <w:rStyle w:val="Hyperlink"/>
            <w:rFonts w:asciiTheme="minorHAnsi" w:hAnsiTheme="minorHAnsi"/>
          </w:rPr>
          <w:t>Public Chemical Registration Information System Search</w:t>
        </w:r>
      </w:hyperlink>
      <w:r w:rsidR="00EB1099" w:rsidRPr="00EB1099">
        <w:rPr>
          <w:rStyle w:val="Hyperlink"/>
          <w:rFonts w:asciiTheme="minorHAnsi" w:hAnsiTheme="minorHAnsi"/>
          <w:color w:val="auto"/>
          <w:u w:val="none"/>
        </w:rPr>
        <w:t xml:space="preserve"> (PubCRIS)</w:t>
      </w:r>
      <w:r w:rsidRPr="008007EB">
        <w:t>.</w:t>
      </w:r>
    </w:p>
    <w:p w14:paraId="6CF77C45" w14:textId="22958049" w:rsidR="00D6337C" w:rsidRPr="00CB687C" w:rsidRDefault="00D6337C" w:rsidP="00D6337C">
      <w:pPr>
        <w:pStyle w:val="Heading4"/>
      </w:pPr>
      <w:bookmarkStart w:id="174" w:name="_Toc144110959"/>
      <w:r>
        <w:t>International regulations</w:t>
      </w:r>
      <w:bookmarkEnd w:id="174"/>
    </w:p>
    <w:p w14:paraId="7FE9711F" w14:textId="289BC57B" w:rsidR="00D6337C" w:rsidRPr="00DC6D55" w:rsidRDefault="00DC6D55" w:rsidP="00EB1099">
      <w:pPr>
        <w:pStyle w:val="ListBullet"/>
        <w:numPr>
          <w:ilvl w:val="0"/>
          <w:numId w:val="83"/>
        </w:numPr>
      </w:pPr>
      <w:r w:rsidRPr="00DC6D55">
        <w:t>Animal blood products in the U</w:t>
      </w:r>
      <w:r>
        <w:t xml:space="preserve">nited </w:t>
      </w:r>
      <w:r w:rsidRPr="00DC6D55">
        <w:t>K</w:t>
      </w:r>
      <w:r>
        <w:t>ingdom</w:t>
      </w:r>
      <w:r w:rsidRPr="00DC6D55">
        <w:t xml:space="preserve"> are regulated by the </w:t>
      </w:r>
      <w:hyperlink r:id="rId182" w:history="1">
        <w:r w:rsidRPr="005106C4">
          <w:rPr>
            <w:rStyle w:val="Hyperlink"/>
            <w:rFonts w:asciiTheme="minorHAnsi" w:hAnsiTheme="minorHAnsi"/>
            <w:szCs w:val="22"/>
          </w:rPr>
          <w:t>Veterinary Medicines Directorate</w:t>
        </w:r>
      </w:hyperlink>
      <w:r w:rsidRPr="00DC6D55">
        <w:t xml:space="preserve">, an executive agency </w:t>
      </w:r>
      <w:r>
        <w:t xml:space="preserve">who are sponsored by </w:t>
      </w:r>
      <w:hyperlink r:id="rId183" w:history="1">
        <w:r w:rsidRPr="005106C4">
          <w:rPr>
            <w:rStyle w:val="Hyperlink"/>
            <w:rFonts w:asciiTheme="minorHAnsi" w:hAnsiTheme="minorHAnsi"/>
            <w:szCs w:val="22"/>
          </w:rPr>
          <w:t>The Department for Environment, Food and Rural Affairs</w:t>
        </w:r>
      </w:hyperlink>
      <w:r w:rsidRPr="00DC6D55">
        <w:t>.</w:t>
      </w:r>
      <w:r>
        <w:t xml:space="preserve"> A permit granted by the </w:t>
      </w:r>
      <w:hyperlink r:id="rId184" w:anchor="non-food-animal-blood-bank-authorisation-nfabba" w:history="1">
        <w:r w:rsidRPr="00DC6D55">
          <w:rPr>
            <w:rStyle w:val="Hyperlink"/>
            <w:rFonts w:asciiTheme="minorHAnsi" w:hAnsiTheme="minorHAnsi"/>
            <w:szCs w:val="22"/>
          </w:rPr>
          <w:t>Non-Food Animal Blood Bank Authorisation</w:t>
        </w:r>
      </w:hyperlink>
      <w:r>
        <w:t xml:space="preserve"> is </w:t>
      </w:r>
      <w:r w:rsidRPr="00163F51">
        <w:t xml:space="preserve">required in order to collect, store and supply animal blood to a veterinary surgeon for treatment of non-food producing animals. </w:t>
      </w:r>
      <w:r w:rsidR="005106C4" w:rsidRPr="00163F51">
        <w:t>These products can only</w:t>
      </w:r>
      <w:r w:rsidR="00EB1099">
        <w:t xml:space="preserve"> be</w:t>
      </w:r>
      <w:r w:rsidR="005106C4" w:rsidRPr="00163F51">
        <w:t xml:space="preserve"> </w:t>
      </w:r>
      <w:hyperlink r:id="rId185" w:anchor="non-food-animal-blood-bank-authorisation-nfabba" w:history="1">
        <w:r w:rsidR="00EB1099">
          <w:rPr>
            <w:rStyle w:val="Hyperlink"/>
            <w:rFonts w:asciiTheme="minorHAnsi" w:hAnsiTheme="minorHAnsi"/>
          </w:rPr>
          <w:t>supplied</w:t>
        </w:r>
      </w:hyperlink>
      <w:r w:rsidR="005106C4" w:rsidRPr="00163F51">
        <w:t xml:space="preserve"> to a vet and o</w:t>
      </w:r>
      <w:r w:rsidRPr="00163F51">
        <w:t>nly a veterinarian surgeon, or someone acting under a veterinary surgeon’s direction may administer the animal blood products.</w:t>
      </w:r>
    </w:p>
    <w:p w14:paraId="52EDC392" w14:textId="1EB0C1DE" w:rsidR="00DF2343" w:rsidRDefault="001D5CC5" w:rsidP="00DF2343">
      <w:pPr>
        <w:pStyle w:val="Heading3"/>
      </w:pPr>
      <w:bookmarkStart w:id="175" w:name="_Toc144110960"/>
      <w:bookmarkStart w:id="176" w:name="_Toc122614237"/>
      <w:r>
        <w:t>3.2</w:t>
      </w:r>
      <w:r>
        <w:tab/>
      </w:r>
      <w:r w:rsidR="00DF2343">
        <w:t>Bile acids</w:t>
      </w:r>
      <w:bookmarkEnd w:id="175"/>
    </w:p>
    <w:p w14:paraId="06748A9D" w14:textId="23BCFE31" w:rsidR="00DF2343" w:rsidRDefault="00DF2343" w:rsidP="00DF2343">
      <w:pPr>
        <w:pStyle w:val="Heading4"/>
      </w:pPr>
      <w:bookmarkStart w:id="177" w:name="_Toc144110961"/>
      <w:r>
        <w:t>Proposal</w:t>
      </w:r>
      <w:bookmarkEnd w:id="177"/>
    </w:p>
    <w:p w14:paraId="3D0A65D0" w14:textId="373DAB1F" w:rsidR="00352BEA" w:rsidRDefault="00352BEA" w:rsidP="00352BEA">
      <w:r>
        <w:t>The applicant proposed to amend the Schedule 4 entry for three bile acids (</w:t>
      </w:r>
      <w:r w:rsidR="002B4733">
        <w:t>c</w:t>
      </w:r>
      <w:r w:rsidRPr="00481A8B">
        <w:t xml:space="preserve">henodeoxycholic acid, </w:t>
      </w:r>
      <w:r w:rsidR="002B4733">
        <w:t>c</w:t>
      </w:r>
      <w:r w:rsidRPr="00481A8B">
        <w:t>holic acid,</w:t>
      </w:r>
      <w:r>
        <w:t xml:space="preserve"> and</w:t>
      </w:r>
      <w:r w:rsidRPr="00481A8B">
        <w:t xml:space="preserve"> </w:t>
      </w:r>
      <w:r w:rsidR="002B4733">
        <w:t>d</w:t>
      </w:r>
      <w:r w:rsidRPr="00481A8B">
        <w:t>eoxycholic acid</w:t>
      </w:r>
      <w:r>
        <w:t xml:space="preserve">). The proposed amendment would exempt these substances </w:t>
      </w:r>
      <w:r w:rsidR="002B4733">
        <w:t xml:space="preserve">from scheduling </w:t>
      </w:r>
      <w:r>
        <w:t>when used as an animal feed additive or in feed pre-mixes.</w:t>
      </w:r>
    </w:p>
    <w:p w14:paraId="6A3F1423" w14:textId="53DA975B" w:rsidR="00DF2343" w:rsidRDefault="00DF2343" w:rsidP="00DF2343">
      <w:pPr>
        <w:pStyle w:val="Heading4"/>
      </w:pPr>
      <w:bookmarkStart w:id="178" w:name="_Toc144110962"/>
      <w:r>
        <w:t>CAS Number</w:t>
      </w:r>
      <w:bookmarkEnd w:id="178"/>
    </w:p>
    <w:p w14:paraId="14C6B3D1" w14:textId="729A8CC1" w:rsidR="00593624" w:rsidRDefault="00593624" w:rsidP="00593624">
      <w:r w:rsidRPr="00A25C5F">
        <w:t>Chenodeoxycholic acid</w:t>
      </w:r>
      <w:r>
        <w:t>: 474-25-9</w:t>
      </w:r>
    </w:p>
    <w:p w14:paraId="25ED0E5A" w14:textId="2E16C8EB" w:rsidR="00593624" w:rsidRDefault="00593624" w:rsidP="00593624">
      <w:r>
        <w:t>Cholic acid:</w:t>
      </w:r>
      <w:r w:rsidRPr="00A25C5F">
        <w:t xml:space="preserve"> 81-25-4</w:t>
      </w:r>
    </w:p>
    <w:p w14:paraId="10F47954" w14:textId="3B269C23" w:rsidR="00DF2343" w:rsidRDefault="00593624" w:rsidP="00DF2343">
      <w:r>
        <w:t xml:space="preserve">Deoxycholic acid: </w:t>
      </w:r>
      <w:r w:rsidRPr="00A25C5F">
        <w:t>83-44-3</w:t>
      </w:r>
    </w:p>
    <w:p w14:paraId="0DDF539A" w14:textId="77777777" w:rsidR="00DF2343" w:rsidRDefault="00DF2343" w:rsidP="00DF2343">
      <w:pPr>
        <w:pStyle w:val="Heading4"/>
      </w:pPr>
      <w:bookmarkStart w:id="179" w:name="_Toc144110963"/>
      <w:r>
        <w:t>Alternative names</w:t>
      </w:r>
      <w:bookmarkEnd w:id="179"/>
    </w:p>
    <w:p w14:paraId="60AFEBBE" w14:textId="77777777" w:rsidR="00593624" w:rsidRDefault="00593624" w:rsidP="00593624">
      <w:r w:rsidRPr="00A25C5F">
        <w:t>Chenodeoxycholic acid</w:t>
      </w:r>
      <w:r>
        <w:t xml:space="preserve">: </w:t>
      </w:r>
      <w:r w:rsidRPr="003C1683">
        <w:t>3α,7α-Dihydroxy-5β-cholanic acid, 5β-Cholanic acid-3α,7α-diol, Chenodiol</w:t>
      </w:r>
    </w:p>
    <w:p w14:paraId="57F3D261" w14:textId="77777777" w:rsidR="00593624" w:rsidRPr="00593624" w:rsidRDefault="00593624" w:rsidP="00593624">
      <w:r>
        <w:t xml:space="preserve">Cholic </w:t>
      </w:r>
      <w:r w:rsidRPr="00A25C5F">
        <w:t>acid</w:t>
      </w:r>
      <w:r>
        <w:t xml:space="preserve">: </w:t>
      </w:r>
      <w:r w:rsidRPr="00593624">
        <w:t>3α,7α,12α-Trihydroxy-5β-cholanic acid, Cholanic acid</w:t>
      </w:r>
    </w:p>
    <w:p w14:paraId="3FDAC4D4" w14:textId="77777777" w:rsidR="00593624" w:rsidRPr="003C1683" w:rsidRDefault="00593624" w:rsidP="00593624">
      <w:r>
        <w:t xml:space="preserve">Deoxycholic acid: </w:t>
      </w:r>
      <w:r w:rsidRPr="00593624">
        <w:t>Deoxycholate, Desoxycholic acid, 3α, 12α-Dihydroxy-</w:t>
      </w:r>
      <w:r w:rsidRPr="003C1683">
        <w:t>5β-cholanic acid</w:t>
      </w:r>
    </w:p>
    <w:p w14:paraId="76C4483C" w14:textId="77777777" w:rsidR="00DF2343" w:rsidRDefault="00DF2343" w:rsidP="00DF2343">
      <w:pPr>
        <w:pStyle w:val="Heading4"/>
      </w:pPr>
      <w:bookmarkStart w:id="180" w:name="_Toc144110964"/>
      <w:r>
        <w:t>Applicant</w:t>
      </w:r>
      <w:bookmarkEnd w:id="180"/>
    </w:p>
    <w:p w14:paraId="61013B84" w14:textId="77777777" w:rsidR="00593624" w:rsidRDefault="00593624" w:rsidP="00593624">
      <w:r w:rsidRPr="006C5028">
        <w:t>Private applicant</w:t>
      </w:r>
    </w:p>
    <w:p w14:paraId="1376489E" w14:textId="77777777" w:rsidR="00DF2343" w:rsidRDefault="00DF2343" w:rsidP="00DF2343">
      <w:pPr>
        <w:pStyle w:val="Heading4"/>
      </w:pPr>
      <w:bookmarkStart w:id="181" w:name="_Toc144110965"/>
      <w:r>
        <w:t>Proposed Scheduling</w:t>
      </w:r>
      <w:bookmarkEnd w:id="181"/>
    </w:p>
    <w:p w14:paraId="4FB3CFC7" w14:textId="68F999BF" w:rsidR="00593624" w:rsidRPr="00FA052C" w:rsidRDefault="00593624" w:rsidP="0072362E">
      <w:r w:rsidRPr="00A25C5F">
        <w:t xml:space="preserve">Chenodeoxycholic </w:t>
      </w:r>
      <w:r>
        <w:t>acid, Cholic acid, and Deoxycholic acid are</w:t>
      </w:r>
      <w:r w:rsidRPr="00AF12F6">
        <w:rPr>
          <w:rFonts w:cstheme="minorHAnsi"/>
        </w:rPr>
        <w:t xml:space="preserve"> currently listed in Schedule </w:t>
      </w:r>
      <w:r>
        <w:rPr>
          <w:rFonts w:cstheme="minorHAnsi"/>
        </w:rPr>
        <w:t>4 of the Poisons Standard</w:t>
      </w:r>
      <w:r w:rsidR="001B3E4F">
        <w:rPr>
          <w:rFonts w:cstheme="minorHAnsi"/>
        </w:rPr>
        <w:t>.</w:t>
      </w:r>
    </w:p>
    <w:p w14:paraId="4036D398" w14:textId="47053CC9" w:rsidR="00593624" w:rsidRPr="0072362E" w:rsidRDefault="00593624" w:rsidP="00593624">
      <w:pPr>
        <w:rPr>
          <w:bCs/>
        </w:rPr>
      </w:pPr>
      <w:r w:rsidRPr="0072362E">
        <w:rPr>
          <w:bCs/>
        </w:rPr>
        <w:t xml:space="preserve">The </w:t>
      </w:r>
      <w:r w:rsidRPr="000F6508">
        <w:rPr>
          <w:bCs/>
        </w:rPr>
        <w:t xml:space="preserve">applicant’s </w:t>
      </w:r>
      <w:r w:rsidRPr="0072362E">
        <w:rPr>
          <w:bCs/>
        </w:rPr>
        <w:t>proposed amendments to the Poisons Standard are</w:t>
      </w:r>
      <w:r w:rsidR="002B4733">
        <w:rPr>
          <w:bCs/>
        </w:rPr>
        <w:t>:</w:t>
      </w:r>
      <w:r w:rsidRPr="0072362E">
        <w:rPr>
          <w:rStyle w:val="FootnoteReference"/>
          <w:bCs/>
        </w:rPr>
        <w:footnoteReference w:id="15"/>
      </w:r>
    </w:p>
    <w:p w14:paraId="126040F1" w14:textId="77777777" w:rsidR="00593624" w:rsidRPr="00CD40FB" w:rsidRDefault="00593624" w:rsidP="00593624">
      <w:pPr>
        <w:ind w:left="426"/>
        <w:rPr>
          <w:b/>
        </w:rPr>
      </w:pPr>
      <w:r w:rsidRPr="00FA052C">
        <w:rPr>
          <w:b/>
        </w:rPr>
        <w:t>Schedule 4 –</w:t>
      </w:r>
      <w:r>
        <w:rPr>
          <w:b/>
        </w:rPr>
        <w:t xml:space="preserve"> </w:t>
      </w:r>
      <w:r w:rsidRPr="00FA052C">
        <w:rPr>
          <w:b/>
        </w:rPr>
        <w:t>Amend Entry</w:t>
      </w:r>
    </w:p>
    <w:p w14:paraId="11A82569" w14:textId="77777777" w:rsidR="00593624" w:rsidRDefault="00593624" w:rsidP="00593624">
      <w:pPr>
        <w:ind w:left="720"/>
        <w:rPr>
          <w:rFonts w:cstheme="minorHAnsi"/>
          <w:color w:val="00B050"/>
          <w:u w:val="single"/>
        </w:rPr>
      </w:pPr>
      <w:r w:rsidRPr="00A25C5F">
        <w:t>CHENODEOXYCHOLIC ACID</w:t>
      </w:r>
      <w:r>
        <w:rPr>
          <w:b/>
        </w:rPr>
        <w:t xml:space="preserve"> </w:t>
      </w:r>
      <w:r>
        <w:rPr>
          <w:rFonts w:cstheme="minorHAnsi"/>
          <w:b/>
          <w:bCs/>
          <w:color w:val="00B050"/>
          <w:u w:val="single"/>
        </w:rPr>
        <w:t xml:space="preserve">except </w:t>
      </w:r>
      <w:r>
        <w:rPr>
          <w:rFonts w:cstheme="minorHAnsi"/>
          <w:color w:val="00B050"/>
          <w:u w:val="single"/>
        </w:rPr>
        <w:t>when used as an animal feed additive or in animal feed pre-mixes.</w:t>
      </w:r>
    </w:p>
    <w:p w14:paraId="7AAFE809" w14:textId="77777777" w:rsidR="00593624" w:rsidRPr="00FA052C" w:rsidRDefault="00593624" w:rsidP="00593624">
      <w:pPr>
        <w:ind w:left="426"/>
        <w:rPr>
          <w:b/>
        </w:rPr>
      </w:pPr>
      <w:r w:rsidRPr="00FA052C">
        <w:rPr>
          <w:b/>
        </w:rPr>
        <w:t>Schedule 4 –</w:t>
      </w:r>
      <w:r>
        <w:rPr>
          <w:b/>
        </w:rPr>
        <w:t xml:space="preserve"> </w:t>
      </w:r>
      <w:r w:rsidRPr="00FA052C">
        <w:rPr>
          <w:b/>
        </w:rPr>
        <w:t>Amend Entry</w:t>
      </w:r>
    </w:p>
    <w:p w14:paraId="496598A1" w14:textId="77777777" w:rsidR="00593624" w:rsidRDefault="00593624" w:rsidP="00593624">
      <w:pPr>
        <w:ind w:left="720"/>
        <w:rPr>
          <w:rFonts w:cstheme="minorHAnsi"/>
          <w:color w:val="00B050"/>
          <w:u w:val="single"/>
        </w:rPr>
      </w:pPr>
      <w:r>
        <w:t xml:space="preserve">CHOLIC </w:t>
      </w:r>
      <w:r w:rsidRPr="00A25C5F">
        <w:t>ACID</w:t>
      </w:r>
      <w:r w:rsidRPr="002F224C">
        <w:rPr>
          <w:rFonts w:cstheme="minorHAnsi"/>
          <w:b/>
          <w:bCs/>
          <w:color w:val="00B050"/>
        </w:rPr>
        <w:t xml:space="preserve"> </w:t>
      </w:r>
      <w:r>
        <w:rPr>
          <w:rFonts w:cstheme="minorHAnsi"/>
          <w:b/>
          <w:bCs/>
          <w:color w:val="00B050"/>
          <w:u w:val="single"/>
        </w:rPr>
        <w:t xml:space="preserve">except </w:t>
      </w:r>
      <w:r>
        <w:rPr>
          <w:rFonts w:cstheme="minorHAnsi"/>
          <w:color w:val="00B050"/>
          <w:u w:val="single"/>
        </w:rPr>
        <w:t>when used as an animal feed additive or in animal feed pre-mixes.</w:t>
      </w:r>
    </w:p>
    <w:p w14:paraId="599D3FF7" w14:textId="77777777" w:rsidR="00593624" w:rsidRDefault="00593624" w:rsidP="0072362E">
      <w:pPr>
        <w:keepNext/>
        <w:ind w:left="425"/>
        <w:rPr>
          <w:b/>
        </w:rPr>
      </w:pPr>
      <w:r w:rsidRPr="00FA052C">
        <w:rPr>
          <w:b/>
        </w:rPr>
        <w:t>Schedule 4 –</w:t>
      </w:r>
      <w:r>
        <w:rPr>
          <w:b/>
        </w:rPr>
        <w:t xml:space="preserve"> </w:t>
      </w:r>
      <w:r w:rsidRPr="00FA052C">
        <w:rPr>
          <w:b/>
        </w:rPr>
        <w:t>Amend Entry</w:t>
      </w:r>
    </w:p>
    <w:p w14:paraId="00ABBAA8" w14:textId="77777777" w:rsidR="00593624" w:rsidRDefault="00593624" w:rsidP="00593624">
      <w:pPr>
        <w:ind w:left="720"/>
      </w:pPr>
      <w:r>
        <w:t>DEOXYCHOLIC ACID</w:t>
      </w:r>
      <w:r w:rsidRPr="002F224C">
        <w:rPr>
          <w:rFonts w:cstheme="minorHAnsi"/>
          <w:b/>
          <w:bCs/>
          <w:color w:val="00B050"/>
        </w:rPr>
        <w:t xml:space="preserve"> </w:t>
      </w:r>
      <w:r>
        <w:rPr>
          <w:rFonts w:cstheme="minorHAnsi"/>
          <w:b/>
          <w:bCs/>
          <w:color w:val="00B050"/>
          <w:u w:val="single"/>
        </w:rPr>
        <w:t xml:space="preserve">except </w:t>
      </w:r>
      <w:r>
        <w:rPr>
          <w:rFonts w:cstheme="minorHAnsi"/>
          <w:color w:val="00B050"/>
          <w:u w:val="single"/>
        </w:rPr>
        <w:t>when used as an animal feed additive or in animal feed pre-mixes.</w:t>
      </w:r>
    </w:p>
    <w:p w14:paraId="2A1E1954" w14:textId="40968F1A" w:rsidR="00593624" w:rsidRPr="005133F7" w:rsidRDefault="00593624" w:rsidP="00593624">
      <w:pPr>
        <w:ind w:left="426"/>
        <w:rPr>
          <w:b/>
        </w:rPr>
      </w:pPr>
      <w:r>
        <w:rPr>
          <w:b/>
        </w:rPr>
        <w:t>Index</w:t>
      </w:r>
      <w:r w:rsidR="002F224C">
        <w:rPr>
          <w:b/>
        </w:rPr>
        <w:t xml:space="preserve"> – Amend Entries</w:t>
      </w:r>
    </w:p>
    <w:p w14:paraId="5FBE61E9" w14:textId="134B9453" w:rsidR="00593624" w:rsidRDefault="00593624" w:rsidP="006D7D84">
      <w:pPr>
        <w:ind w:left="720"/>
      </w:pPr>
      <w:r w:rsidRPr="00FA052C">
        <w:rPr>
          <w:b/>
          <w:bCs/>
        </w:rPr>
        <w:t>CHENODEOXYCHOLIC ACID</w:t>
      </w:r>
    </w:p>
    <w:p w14:paraId="01682B7D" w14:textId="23906FDC" w:rsidR="002F224C" w:rsidRDefault="002B4733" w:rsidP="002F224C">
      <w:pPr>
        <w:spacing w:before="120"/>
        <w:rPr>
          <w:rFonts w:cstheme="minorHAnsi"/>
          <w:color w:val="00B050"/>
          <w:u w:val="single"/>
        </w:rPr>
      </w:pPr>
      <w:r>
        <w:rPr>
          <w:b/>
          <w:bCs/>
        </w:rPr>
        <w:tab/>
      </w:r>
      <w:r w:rsidR="00593624">
        <w:t>Schedule 4</w:t>
      </w:r>
    </w:p>
    <w:p w14:paraId="2315BE79" w14:textId="4E4C41FF" w:rsidR="00593624" w:rsidRDefault="00593624" w:rsidP="002F224C">
      <w:pPr>
        <w:spacing w:before="240"/>
        <w:ind w:firstLine="720"/>
      </w:pPr>
      <w:r w:rsidRPr="00FA052C">
        <w:rPr>
          <w:b/>
          <w:bCs/>
        </w:rPr>
        <w:t>CHOLIC ACID</w:t>
      </w:r>
    </w:p>
    <w:p w14:paraId="09CFA41C" w14:textId="12D80AE3" w:rsidR="002B4733" w:rsidRDefault="00593624" w:rsidP="002F224C">
      <w:pPr>
        <w:spacing w:before="120"/>
        <w:ind w:firstLine="720"/>
        <w:rPr>
          <w:rFonts w:cstheme="minorHAnsi"/>
          <w:color w:val="00B050"/>
          <w:u w:val="single"/>
        </w:rPr>
      </w:pPr>
      <w:r>
        <w:t>Schedule 4</w:t>
      </w:r>
    </w:p>
    <w:p w14:paraId="34B7F513" w14:textId="210C16D6" w:rsidR="00593624" w:rsidRDefault="00593624" w:rsidP="002F224C">
      <w:pPr>
        <w:spacing w:before="240"/>
        <w:ind w:firstLine="720"/>
        <w:rPr>
          <w:b/>
          <w:bCs/>
        </w:rPr>
      </w:pPr>
      <w:r w:rsidRPr="00FA052C">
        <w:rPr>
          <w:b/>
          <w:bCs/>
        </w:rPr>
        <w:t>DEOXYCHOLIC ACID</w:t>
      </w:r>
    </w:p>
    <w:p w14:paraId="435FD448" w14:textId="7B151495" w:rsidR="00593624" w:rsidRPr="004C4102" w:rsidRDefault="00593624" w:rsidP="002F224C">
      <w:pPr>
        <w:ind w:firstLine="720"/>
        <w:rPr>
          <w:rFonts w:cstheme="minorHAnsi"/>
          <w:color w:val="00B050"/>
          <w:u w:val="single"/>
        </w:rPr>
      </w:pPr>
      <w:r>
        <w:t>Schedule 4</w:t>
      </w:r>
    </w:p>
    <w:p w14:paraId="778B6A94" w14:textId="77777777" w:rsidR="00DF2343" w:rsidRDefault="00DF2343" w:rsidP="00DF2343">
      <w:pPr>
        <w:pStyle w:val="Heading4"/>
      </w:pPr>
      <w:bookmarkStart w:id="182" w:name="_Toc144110966"/>
      <w:r>
        <w:t>Background</w:t>
      </w:r>
      <w:bookmarkEnd w:id="182"/>
    </w:p>
    <w:p w14:paraId="0B601A06" w14:textId="543CD4B9" w:rsidR="00593624" w:rsidRDefault="00593624" w:rsidP="009441F8">
      <w:r w:rsidRPr="00D86851">
        <w:t xml:space="preserve">Chenodeoxycholic acid, </w:t>
      </w:r>
      <w:r w:rsidR="002F224C">
        <w:t>c</w:t>
      </w:r>
      <w:r w:rsidRPr="00D86851">
        <w:t xml:space="preserve">holic acid and </w:t>
      </w:r>
      <w:r w:rsidR="002F224C">
        <w:t>d</w:t>
      </w:r>
      <w:r w:rsidRPr="00D86851">
        <w:t xml:space="preserve">eoxycholic acid are bile acids naturally found in </w:t>
      </w:r>
      <w:r w:rsidR="00EB1099">
        <w:t>mammals</w:t>
      </w:r>
      <w:r w:rsidR="00C449ED">
        <w:t>.</w:t>
      </w:r>
      <w:r w:rsidR="009441F8">
        <w:t xml:space="preserve"> </w:t>
      </w:r>
      <w:r w:rsidR="00C449ED">
        <w:t xml:space="preserve">These substances </w:t>
      </w:r>
      <w:r w:rsidR="002F224C">
        <w:t xml:space="preserve">have </w:t>
      </w:r>
      <w:r w:rsidRPr="00D86851">
        <w:t>therapeutic applications in the treatment of primary biliary cirrhosis and gallstones</w:t>
      </w:r>
      <w:r w:rsidR="00C449ED">
        <w:t xml:space="preserve">, </w:t>
      </w:r>
      <w:r>
        <w:t xml:space="preserve">bile acid synthesis disorders due to single enzyme defects, and for peroxisomal disorder such as Zellweger syndrome. </w:t>
      </w:r>
      <w:r w:rsidR="00C449ED">
        <w:t xml:space="preserve">There are also cosmetic applications as they can be used to </w:t>
      </w:r>
      <w:r>
        <w:t xml:space="preserve">destroy submental fat cells and </w:t>
      </w:r>
      <w:r w:rsidRPr="00A1650E">
        <w:t>reduce facial fullness or convexity</w:t>
      </w:r>
      <w:r>
        <w:t xml:space="preserve"> in adults.</w:t>
      </w:r>
    </w:p>
    <w:p w14:paraId="00D30EE2" w14:textId="258499A9" w:rsidR="00593624" w:rsidRDefault="00593624" w:rsidP="009441F8">
      <w:r w:rsidRPr="00D86851">
        <w:t>Chenodeoxycholic acid</w:t>
      </w:r>
      <w:r>
        <w:t xml:space="preserve"> was first listed </w:t>
      </w:r>
      <w:r w:rsidR="0072362E">
        <w:t xml:space="preserve">in </w:t>
      </w:r>
      <w:r>
        <w:t xml:space="preserve">Schedule 4 in March 1980, whilst </w:t>
      </w:r>
      <w:r w:rsidR="0072362E">
        <w:t>c</w:t>
      </w:r>
      <w:r>
        <w:t xml:space="preserve">holic acid and </w:t>
      </w:r>
      <w:r w:rsidR="0072362E">
        <w:t>d</w:t>
      </w:r>
      <w:r>
        <w:t>eoxycholic acid were listed under Schedule 4 in March 2015 and March 2016 respectively.</w:t>
      </w:r>
    </w:p>
    <w:p w14:paraId="0C3AB30E" w14:textId="77777777" w:rsidR="00DF2343" w:rsidRDefault="00DF2343" w:rsidP="00DF2343">
      <w:pPr>
        <w:pStyle w:val="Heading4"/>
      </w:pPr>
      <w:bookmarkStart w:id="183" w:name="_Toc144110967"/>
      <w:r>
        <w:t>Summary of applicant’s reasons for the proposal</w:t>
      </w:r>
      <w:bookmarkEnd w:id="183"/>
    </w:p>
    <w:p w14:paraId="4D0354BC" w14:textId="35401BE7" w:rsidR="00CD0782" w:rsidRPr="00EB1099" w:rsidRDefault="00760A80" w:rsidP="004C7298">
      <w:pPr>
        <w:pStyle w:val="ListParagraph"/>
        <w:numPr>
          <w:ilvl w:val="0"/>
          <w:numId w:val="23"/>
        </w:numPr>
        <w:spacing w:before="0" w:after="120" w:line="259" w:lineRule="auto"/>
        <w:ind w:left="419" w:hanging="357"/>
        <w:rPr>
          <w:rFonts w:cstheme="minorHAnsi"/>
        </w:rPr>
      </w:pPr>
      <w:r w:rsidRPr="00EB1099">
        <w:rPr>
          <w:rFonts w:asciiTheme="minorHAnsi" w:hAnsiTheme="minorHAnsi" w:cstheme="minorHAnsi"/>
        </w:rPr>
        <w:t xml:space="preserve">Chenodeoxycholic acid, </w:t>
      </w:r>
      <w:r w:rsidR="002F224C" w:rsidRPr="00EB1099">
        <w:rPr>
          <w:rFonts w:asciiTheme="minorHAnsi" w:hAnsiTheme="minorHAnsi" w:cstheme="minorHAnsi"/>
        </w:rPr>
        <w:t>c</w:t>
      </w:r>
      <w:r w:rsidRPr="00EB1099">
        <w:rPr>
          <w:rFonts w:asciiTheme="minorHAnsi" w:hAnsiTheme="minorHAnsi" w:cstheme="minorHAnsi"/>
        </w:rPr>
        <w:t xml:space="preserve">holic acid and </w:t>
      </w:r>
      <w:r w:rsidR="002F224C" w:rsidRPr="00EB1099">
        <w:rPr>
          <w:rFonts w:asciiTheme="minorHAnsi" w:hAnsiTheme="minorHAnsi" w:cstheme="minorHAnsi"/>
        </w:rPr>
        <w:t>d</w:t>
      </w:r>
      <w:r w:rsidRPr="00EB1099">
        <w:rPr>
          <w:rFonts w:asciiTheme="minorHAnsi" w:hAnsiTheme="minorHAnsi" w:cstheme="minorHAnsi"/>
        </w:rPr>
        <w:t xml:space="preserve">eoxycholic acid are naturally occurring </w:t>
      </w:r>
      <w:r w:rsidR="005F3195" w:rsidRPr="00EB1099">
        <w:rPr>
          <w:rFonts w:asciiTheme="minorHAnsi" w:hAnsiTheme="minorHAnsi" w:cstheme="minorHAnsi"/>
        </w:rPr>
        <w:t>steroid</w:t>
      </w:r>
      <w:r w:rsidRPr="00EB1099">
        <w:rPr>
          <w:rFonts w:asciiTheme="minorHAnsi" w:hAnsiTheme="minorHAnsi" w:cstheme="minorHAnsi"/>
        </w:rPr>
        <w:t xml:space="preserve"> acids</w:t>
      </w:r>
      <w:r w:rsidR="005F3195" w:rsidRPr="00EB1099">
        <w:rPr>
          <w:rFonts w:asciiTheme="minorHAnsi" w:hAnsiTheme="minorHAnsi" w:cstheme="minorHAnsi"/>
        </w:rPr>
        <w:t xml:space="preserve"> found in the bile of mammals and other vertebrates</w:t>
      </w:r>
      <w:r w:rsidR="00CD0782" w:rsidRPr="00EB1099">
        <w:rPr>
          <w:rFonts w:asciiTheme="minorHAnsi" w:hAnsiTheme="minorHAnsi" w:cstheme="minorHAnsi"/>
        </w:rPr>
        <w:t>.</w:t>
      </w:r>
    </w:p>
    <w:p w14:paraId="1D03BAD3" w14:textId="237A0B0A" w:rsidR="00CD0782" w:rsidRPr="00EB1099" w:rsidRDefault="00CD0782" w:rsidP="004C7298">
      <w:pPr>
        <w:pStyle w:val="ListParagraph"/>
        <w:numPr>
          <w:ilvl w:val="0"/>
          <w:numId w:val="23"/>
        </w:numPr>
        <w:spacing w:before="0" w:after="120" w:line="259" w:lineRule="auto"/>
        <w:ind w:left="419" w:hanging="357"/>
      </w:pPr>
      <w:r w:rsidRPr="00EB1099">
        <w:rPr>
          <w:rFonts w:asciiTheme="minorHAnsi" w:hAnsiTheme="minorHAnsi" w:cstheme="minorHAnsi"/>
        </w:rPr>
        <w:t xml:space="preserve">The addition of exogenous bile acid to animal feed </w:t>
      </w:r>
      <w:r w:rsidRPr="00CD0782">
        <w:rPr>
          <w:rFonts w:asciiTheme="minorHAnsi" w:eastAsiaTheme="minorHAnsi" w:hAnsiTheme="minorHAnsi" w:cstheme="minorHAnsi"/>
        </w:rPr>
        <w:t>in conventional or reduced protein diets is intended to enhance animal health and performance.</w:t>
      </w:r>
      <w:r w:rsidRPr="00CD0782">
        <w:t xml:space="preserve"> </w:t>
      </w:r>
      <w:r w:rsidRPr="00CD0782">
        <w:rPr>
          <w:rFonts w:asciiTheme="minorHAnsi" w:eastAsiaTheme="minorHAnsi" w:hAnsiTheme="minorHAnsi" w:cstheme="minorHAnsi"/>
        </w:rPr>
        <w:t xml:space="preserve">It </w:t>
      </w:r>
      <w:r>
        <w:rPr>
          <w:rFonts w:asciiTheme="minorHAnsi" w:eastAsiaTheme="minorHAnsi" w:hAnsiTheme="minorHAnsi" w:cstheme="minorHAnsi"/>
        </w:rPr>
        <w:t xml:space="preserve">is not </w:t>
      </w:r>
      <w:r w:rsidRPr="00CD0782">
        <w:rPr>
          <w:rFonts w:asciiTheme="minorHAnsi" w:eastAsiaTheme="minorHAnsi" w:hAnsiTheme="minorHAnsi" w:cstheme="minorHAnsi"/>
        </w:rPr>
        <w:t>intend</w:t>
      </w:r>
      <w:r>
        <w:rPr>
          <w:rFonts w:asciiTheme="minorHAnsi" w:eastAsiaTheme="minorHAnsi" w:hAnsiTheme="minorHAnsi" w:cstheme="minorHAnsi"/>
        </w:rPr>
        <w:t>ed</w:t>
      </w:r>
      <w:r w:rsidRPr="00CD0782">
        <w:rPr>
          <w:rFonts w:asciiTheme="minorHAnsi" w:eastAsiaTheme="minorHAnsi" w:hAnsiTheme="minorHAnsi" w:cstheme="minorHAnsi"/>
        </w:rPr>
        <w:t xml:space="preserve"> to alleviate any animal illness or disease</w:t>
      </w:r>
      <w:r>
        <w:rPr>
          <w:rFonts w:asciiTheme="minorHAnsi" w:eastAsiaTheme="minorHAnsi" w:hAnsiTheme="minorHAnsi" w:cstheme="minorHAnsi"/>
        </w:rPr>
        <w:t>.</w:t>
      </w:r>
    </w:p>
    <w:p w14:paraId="1A2C67CA" w14:textId="0D884539" w:rsidR="00760A80" w:rsidRPr="000F3020" w:rsidRDefault="00760A80" w:rsidP="004C7298">
      <w:pPr>
        <w:pStyle w:val="ListParagraph"/>
        <w:numPr>
          <w:ilvl w:val="0"/>
          <w:numId w:val="23"/>
        </w:numPr>
        <w:spacing w:before="0" w:after="120" w:line="259" w:lineRule="auto"/>
        <w:ind w:left="419" w:hanging="357"/>
      </w:pPr>
      <w:r>
        <w:rPr>
          <w:rFonts w:asciiTheme="minorHAnsi" w:eastAsiaTheme="minorHAnsi" w:hAnsiTheme="minorHAnsi" w:cstheme="minorBidi"/>
        </w:rPr>
        <w:t>The proposed animal feed formulation comprises 30% bile acids</w:t>
      </w:r>
      <w:r w:rsidR="00EB1099">
        <w:rPr>
          <w:rFonts w:asciiTheme="minorHAnsi" w:eastAsiaTheme="minorHAnsi" w:hAnsiTheme="minorHAnsi" w:cstheme="minorBidi"/>
        </w:rPr>
        <w:t>,</w:t>
      </w:r>
      <w:r>
        <w:rPr>
          <w:rFonts w:asciiTheme="minorHAnsi" w:eastAsiaTheme="minorHAnsi" w:hAnsiTheme="minorHAnsi" w:cstheme="minorBidi"/>
        </w:rPr>
        <w:t xml:space="preserve"> made up of a minimum </w:t>
      </w:r>
      <w:r w:rsidR="00EB1099">
        <w:rPr>
          <w:rFonts w:asciiTheme="minorHAnsi" w:eastAsiaTheme="minorHAnsi" w:hAnsiTheme="minorHAnsi" w:cstheme="minorBidi"/>
        </w:rPr>
        <w:t xml:space="preserve">of </w:t>
      </w:r>
      <w:r>
        <w:rPr>
          <w:rFonts w:asciiTheme="minorHAnsi" w:eastAsiaTheme="minorHAnsi" w:hAnsiTheme="minorHAnsi" w:cstheme="minorBidi"/>
        </w:rPr>
        <w:t>3</w:t>
      </w:r>
      <w:r w:rsidR="00EB1099">
        <w:rPr>
          <w:rFonts w:asciiTheme="minorHAnsi" w:eastAsiaTheme="minorHAnsi" w:hAnsiTheme="minorHAnsi" w:cstheme="minorBidi"/>
        </w:rPr>
        <w:t>% c</w:t>
      </w:r>
      <w:r>
        <w:rPr>
          <w:rFonts w:asciiTheme="minorHAnsi" w:eastAsiaTheme="minorHAnsi" w:hAnsiTheme="minorHAnsi" w:cstheme="minorBidi"/>
        </w:rPr>
        <w:t xml:space="preserve">holic acid, 21% </w:t>
      </w:r>
      <w:r w:rsidR="00EB1099">
        <w:rPr>
          <w:rFonts w:asciiTheme="minorHAnsi" w:eastAsiaTheme="minorHAnsi" w:hAnsiTheme="minorHAnsi" w:cstheme="minorBidi"/>
        </w:rPr>
        <w:t>d</w:t>
      </w:r>
      <w:r>
        <w:rPr>
          <w:rFonts w:asciiTheme="minorHAnsi" w:eastAsiaTheme="minorHAnsi" w:hAnsiTheme="minorHAnsi" w:cstheme="minorBidi"/>
        </w:rPr>
        <w:t xml:space="preserve">eoxycholic acid, and 6% </w:t>
      </w:r>
      <w:r w:rsidR="00EB1099">
        <w:rPr>
          <w:rFonts w:asciiTheme="minorHAnsi" w:eastAsiaTheme="minorHAnsi" w:hAnsiTheme="minorHAnsi" w:cstheme="minorBidi"/>
        </w:rPr>
        <w:t>c</w:t>
      </w:r>
      <w:r>
        <w:rPr>
          <w:rFonts w:asciiTheme="minorHAnsi" w:eastAsiaTheme="minorHAnsi" w:hAnsiTheme="minorHAnsi" w:cstheme="minorBidi"/>
        </w:rPr>
        <w:t>henodeoxycholic acid.</w:t>
      </w:r>
    </w:p>
    <w:p w14:paraId="34965D44" w14:textId="24C43448" w:rsidR="00760A80" w:rsidRDefault="00760A80" w:rsidP="0072362E">
      <w:pPr>
        <w:pStyle w:val="ListParagraph"/>
        <w:numPr>
          <w:ilvl w:val="0"/>
          <w:numId w:val="23"/>
        </w:numPr>
        <w:spacing w:before="0"/>
        <w:ind w:left="425" w:hanging="357"/>
        <w:contextualSpacing w:val="0"/>
        <w:rPr>
          <w:rFonts w:asciiTheme="minorHAnsi" w:eastAsiaTheme="minorHAnsi" w:hAnsiTheme="minorHAnsi" w:cstheme="minorBidi"/>
        </w:rPr>
      </w:pPr>
      <w:r>
        <w:rPr>
          <w:rFonts w:asciiTheme="minorHAnsi" w:eastAsiaTheme="minorHAnsi" w:hAnsiTheme="minorHAnsi" w:cstheme="minorBidi"/>
        </w:rPr>
        <w:t xml:space="preserve">The product </w:t>
      </w:r>
      <w:r w:rsidR="00471508">
        <w:rPr>
          <w:rFonts w:asciiTheme="minorHAnsi" w:eastAsiaTheme="minorHAnsi" w:hAnsiTheme="minorHAnsi" w:cstheme="minorBidi"/>
        </w:rPr>
        <w:t xml:space="preserve">is classified as follows under </w:t>
      </w:r>
      <w:r>
        <w:rPr>
          <w:rFonts w:asciiTheme="minorHAnsi" w:eastAsiaTheme="minorHAnsi" w:hAnsiTheme="minorHAnsi" w:cstheme="minorBidi"/>
        </w:rPr>
        <w:t>the GHS:</w:t>
      </w:r>
    </w:p>
    <w:p w14:paraId="0784D77B" w14:textId="12E2C304" w:rsidR="00760A80" w:rsidRDefault="00760A80" w:rsidP="00EB1099">
      <w:pPr>
        <w:pStyle w:val="ListParagraph"/>
        <w:numPr>
          <w:ilvl w:val="1"/>
          <w:numId w:val="56"/>
        </w:numPr>
        <w:ind w:left="714" w:hanging="357"/>
        <w:contextualSpacing w:val="0"/>
        <w:rPr>
          <w:rFonts w:asciiTheme="minorHAnsi" w:eastAsiaTheme="minorHAnsi" w:hAnsiTheme="minorHAnsi" w:cstheme="minorBidi"/>
        </w:rPr>
      </w:pPr>
      <w:r>
        <w:rPr>
          <w:rFonts w:asciiTheme="minorHAnsi" w:eastAsiaTheme="minorHAnsi" w:hAnsiTheme="minorHAnsi" w:cstheme="minorBidi"/>
        </w:rPr>
        <w:t>H303: May be harmful if swallowed</w:t>
      </w:r>
    </w:p>
    <w:p w14:paraId="0E4B3662" w14:textId="3A83E3F1" w:rsidR="00760A80" w:rsidRDefault="00760A80" w:rsidP="00EB1099">
      <w:pPr>
        <w:pStyle w:val="ListParagraph"/>
        <w:numPr>
          <w:ilvl w:val="1"/>
          <w:numId w:val="56"/>
        </w:numPr>
        <w:ind w:left="714" w:hanging="357"/>
        <w:contextualSpacing w:val="0"/>
        <w:rPr>
          <w:rFonts w:asciiTheme="minorHAnsi" w:eastAsiaTheme="minorHAnsi" w:hAnsiTheme="minorHAnsi" w:cstheme="minorBidi"/>
        </w:rPr>
      </w:pPr>
      <w:r>
        <w:rPr>
          <w:rFonts w:asciiTheme="minorHAnsi" w:eastAsiaTheme="minorHAnsi" w:hAnsiTheme="minorHAnsi" w:cstheme="minorBidi"/>
        </w:rPr>
        <w:t>H320: Causes eye irritation</w:t>
      </w:r>
    </w:p>
    <w:p w14:paraId="0DC167F7" w14:textId="7E891CEB" w:rsidR="00760A80" w:rsidRPr="000F3020" w:rsidRDefault="00760A80" w:rsidP="00EB1099">
      <w:pPr>
        <w:pStyle w:val="ListParagraph"/>
        <w:numPr>
          <w:ilvl w:val="1"/>
          <w:numId w:val="56"/>
        </w:numPr>
        <w:ind w:left="714" w:hanging="357"/>
        <w:contextualSpacing w:val="0"/>
      </w:pPr>
      <w:r>
        <w:rPr>
          <w:rFonts w:asciiTheme="minorHAnsi" w:eastAsiaTheme="minorHAnsi" w:hAnsiTheme="minorHAnsi" w:cstheme="minorBidi"/>
        </w:rPr>
        <w:t>H335: May cause respiratory irritation.</w:t>
      </w:r>
    </w:p>
    <w:p w14:paraId="4B24E915" w14:textId="548CE53B" w:rsidR="00760A80" w:rsidRPr="000F3020" w:rsidRDefault="00760A80" w:rsidP="0072362E">
      <w:pPr>
        <w:pStyle w:val="ListParagraph"/>
        <w:numPr>
          <w:ilvl w:val="0"/>
          <w:numId w:val="23"/>
        </w:numPr>
        <w:spacing w:before="0"/>
        <w:ind w:left="425"/>
        <w:contextualSpacing w:val="0"/>
      </w:pPr>
      <w:r>
        <w:rPr>
          <w:rFonts w:asciiTheme="minorHAnsi" w:eastAsiaTheme="minorHAnsi" w:hAnsiTheme="minorHAnsi" w:cstheme="minorBidi"/>
        </w:rPr>
        <w:t>Product toxicity is relatively low with a product oral LD50 of &gt;5</w:t>
      </w:r>
      <w:r w:rsidR="00471508">
        <w:rPr>
          <w:rFonts w:asciiTheme="minorHAnsi" w:eastAsiaTheme="minorHAnsi" w:hAnsiTheme="minorHAnsi" w:cstheme="minorBidi"/>
        </w:rPr>
        <w:t>,</w:t>
      </w:r>
      <w:r>
        <w:rPr>
          <w:rFonts w:asciiTheme="minorHAnsi" w:eastAsiaTheme="minorHAnsi" w:hAnsiTheme="minorHAnsi" w:cstheme="minorBidi"/>
        </w:rPr>
        <w:t>000 mg/kg bw with an oral subchronic NOAEL of 3</w:t>
      </w:r>
      <w:r w:rsidR="00471508">
        <w:rPr>
          <w:rFonts w:asciiTheme="minorHAnsi" w:eastAsiaTheme="minorHAnsi" w:hAnsiTheme="minorHAnsi" w:cstheme="minorBidi"/>
        </w:rPr>
        <w:t>,</w:t>
      </w:r>
      <w:r>
        <w:rPr>
          <w:rFonts w:asciiTheme="minorHAnsi" w:eastAsiaTheme="minorHAnsi" w:hAnsiTheme="minorHAnsi" w:cstheme="minorBidi"/>
        </w:rPr>
        <w:t>000 mg/kg.</w:t>
      </w:r>
    </w:p>
    <w:p w14:paraId="620EA7C3" w14:textId="431C8462" w:rsidR="00760A80" w:rsidRDefault="00760A80" w:rsidP="00EB1099">
      <w:pPr>
        <w:pStyle w:val="ListParagraph"/>
        <w:numPr>
          <w:ilvl w:val="0"/>
          <w:numId w:val="23"/>
        </w:numPr>
        <w:spacing w:before="0"/>
        <w:ind w:left="419" w:hanging="357"/>
        <w:contextualSpacing w:val="0"/>
        <w:rPr>
          <w:rFonts w:asciiTheme="minorHAnsi" w:eastAsiaTheme="minorHAnsi" w:hAnsiTheme="minorHAnsi" w:cstheme="minorBidi"/>
        </w:rPr>
      </w:pPr>
      <w:r>
        <w:rPr>
          <w:rFonts w:asciiTheme="minorHAnsi" w:eastAsiaTheme="minorHAnsi" w:hAnsiTheme="minorHAnsi" w:cstheme="minorBidi"/>
        </w:rPr>
        <w:t>The potential for misuse or abuse is very low as the proposed preparation is for an animal feed additive and feed pre-mix.</w:t>
      </w:r>
    </w:p>
    <w:p w14:paraId="380F781F" w14:textId="47534EF1" w:rsidR="00CD0782" w:rsidRPr="00EB1099" w:rsidRDefault="00CD0782" w:rsidP="00EB1099">
      <w:pPr>
        <w:pStyle w:val="ListParagraph"/>
        <w:numPr>
          <w:ilvl w:val="0"/>
          <w:numId w:val="23"/>
        </w:numPr>
        <w:ind w:left="419" w:hanging="357"/>
        <w:rPr>
          <w:rFonts w:asciiTheme="minorHAnsi" w:eastAsiaTheme="minorHAnsi" w:hAnsiTheme="minorHAnsi" w:cstheme="minorHAnsi"/>
        </w:rPr>
      </w:pPr>
      <w:r w:rsidRPr="00CD0782">
        <w:rPr>
          <w:rFonts w:asciiTheme="minorHAnsi" w:eastAsiaTheme="minorHAnsi" w:hAnsiTheme="minorHAnsi" w:cstheme="minorHAnsi"/>
        </w:rPr>
        <w:t>The preparation and administration of animal feed containing bile acids does</w:t>
      </w:r>
      <w:r>
        <w:rPr>
          <w:rFonts w:asciiTheme="minorHAnsi" w:eastAsiaTheme="minorHAnsi" w:hAnsiTheme="minorHAnsi" w:cstheme="minorHAnsi"/>
        </w:rPr>
        <w:t xml:space="preserve"> </w:t>
      </w:r>
      <w:r w:rsidRPr="00EB1099">
        <w:rPr>
          <w:rFonts w:asciiTheme="minorHAnsi" w:hAnsiTheme="minorHAnsi" w:cstheme="minorHAnsi"/>
        </w:rPr>
        <w:t>not require specialised handling.</w:t>
      </w:r>
    </w:p>
    <w:p w14:paraId="20751C90" w14:textId="77777777" w:rsidR="00DF2343" w:rsidRDefault="00DF2343" w:rsidP="00DF2343">
      <w:pPr>
        <w:pStyle w:val="Heading4"/>
      </w:pPr>
      <w:bookmarkStart w:id="184" w:name="_Toc144110968"/>
      <w:r>
        <w:t>Key uses / expected use</w:t>
      </w:r>
      <w:bookmarkEnd w:id="184"/>
    </w:p>
    <w:p w14:paraId="5892AE89" w14:textId="77777777" w:rsidR="00760A80" w:rsidRDefault="00760A80" w:rsidP="00760A80">
      <w:r w:rsidRPr="008C1A51">
        <w:t>Agriculture</w:t>
      </w:r>
    </w:p>
    <w:p w14:paraId="64C4A729" w14:textId="77777777" w:rsidR="00DF2343" w:rsidRDefault="00DF2343" w:rsidP="00DF2343">
      <w:pPr>
        <w:pStyle w:val="Heading4"/>
      </w:pPr>
      <w:bookmarkStart w:id="185" w:name="_Toc144110969"/>
      <w:r>
        <w:t>Australian regulations</w:t>
      </w:r>
      <w:bookmarkEnd w:id="185"/>
    </w:p>
    <w:p w14:paraId="059A57E8" w14:textId="16167604" w:rsidR="00760A80" w:rsidRPr="00163F51" w:rsidRDefault="00760A80" w:rsidP="00EB1099">
      <w:pPr>
        <w:pStyle w:val="ListBullet"/>
        <w:numPr>
          <w:ilvl w:val="0"/>
          <w:numId w:val="83"/>
        </w:numPr>
        <w:rPr>
          <w:rFonts w:eastAsiaTheme="minorHAnsi" w:cstheme="minorBidi"/>
        </w:rPr>
      </w:pPr>
      <w:r w:rsidRPr="00163F51">
        <w:t xml:space="preserve">According to the </w:t>
      </w:r>
      <w:hyperlink r:id="rId186" w:history="1">
        <w:r w:rsidRPr="008007EB">
          <w:rPr>
            <w:rStyle w:val="Hyperlink"/>
            <w:rFonts w:asciiTheme="minorHAnsi" w:hAnsiTheme="minorHAnsi"/>
          </w:rPr>
          <w:t>TGA Ingredient Database</w:t>
        </w:r>
      </w:hyperlink>
      <w:r w:rsidRPr="008007EB">
        <w:t xml:space="preserve">, </w:t>
      </w:r>
      <w:r w:rsidR="002F224C">
        <w:rPr>
          <w:rFonts w:eastAsiaTheme="minorHAnsi" w:cstheme="minorBidi"/>
        </w:rPr>
        <w:t>c</w:t>
      </w:r>
      <w:r w:rsidRPr="00163F51">
        <w:rPr>
          <w:rFonts w:eastAsiaTheme="minorHAnsi" w:cstheme="minorBidi"/>
        </w:rPr>
        <w:t xml:space="preserve">henodeoxycholic acid, </w:t>
      </w:r>
      <w:r w:rsidR="002F224C">
        <w:rPr>
          <w:rFonts w:eastAsiaTheme="minorHAnsi" w:cstheme="minorBidi"/>
        </w:rPr>
        <w:t>c</w:t>
      </w:r>
      <w:r w:rsidRPr="00163F51">
        <w:rPr>
          <w:rFonts w:eastAsiaTheme="minorHAnsi" w:cstheme="minorBidi"/>
        </w:rPr>
        <w:t xml:space="preserve">holic acid, and </w:t>
      </w:r>
      <w:r w:rsidR="002F224C">
        <w:rPr>
          <w:rFonts w:eastAsiaTheme="minorHAnsi" w:cstheme="minorBidi"/>
        </w:rPr>
        <w:t>d</w:t>
      </w:r>
      <w:r w:rsidRPr="00163F51">
        <w:rPr>
          <w:rFonts w:eastAsiaTheme="minorHAnsi" w:cstheme="minorBidi"/>
        </w:rPr>
        <w:t>eoxycholic acid are:</w:t>
      </w:r>
    </w:p>
    <w:p w14:paraId="0D2B10AA" w14:textId="18785EC4" w:rsidR="00760A80" w:rsidRPr="00163F51" w:rsidRDefault="00760A80" w:rsidP="00EB1099">
      <w:pPr>
        <w:pStyle w:val="ListBullet2"/>
        <w:numPr>
          <w:ilvl w:val="1"/>
          <w:numId w:val="83"/>
        </w:numPr>
        <w:ind w:left="782" w:hanging="425"/>
        <w:rPr>
          <w:rFonts w:eastAsiaTheme="minorHAnsi" w:cstheme="minorBidi"/>
          <w:color w:val="auto"/>
        </w:rPr>
      </w:pPr>
      <w:r w:rsidRPr="00163F51">
        <w:rPr>
          <w:rFonts w:eastAsiaTheme="minorHAnsi" w:cstheme="minorBidi"/>
          <w:color w:val="auto"/>
        </w:rPr>
        <w:t>Available for use as an Active Ingredient in Biologicals, Prescription Medicines</w:t>
      </w:r>
    </w:p>
    <w:p w14:paraId="482AF1C5" w14:textId="5CD84664" w:rsidR="00760A80" w:rsidRPr="00163F51" w:rsidRDefault="00760A80" w:rsidP="00EB1099">
      <w:pPr>
        <w:pStyle w:val="ListBullet2"/>
        <w:numPr>
          <w:ilvl w:val="1"/>
          <w:numId w:val="83"/>
        </w:numPr>
        <w:ind w:left="782" w:hanging="425"/>
        <w:rPr>
          <w:rFonts w:eastAsiaTheme="minorHAnsi" w:cstheme="minorBidi"/>
          <w:color w:val="auto"/>
        </w:rPr>
      </w:pPr>
      <w:r w:rsidRPr="00163F51">
        <w:rPr>
          <w:rFonts w:eastAsiaTheme="minorHAnsi" w:cstheme="minorBidi"/>
          <w:color w:val="auto"/>
        </w:rPr>
        <w:t>Available for use as an Excipient Ingredient in Biologicals, Devices, Prescription Medicines</w:t>
      </w:r>
    </w:p>
    <w:p w14:paraId="3289EC42" w14:textId="51DA2EAB" w:rsidR="00760A80" w:rsidRPr="00163F51" w:rsidRDefault="00760A80" w:rsidP="00EB1099">
      <w:pPr>
        <w:pStyle w:val="ListBullet2"/>
        <w:numPr>
          <w:ilvl w:val="1"/>
          <w:numId w:val="83"/>
        </w:numPr>
        <w:ind w:left="782" w:hanging="425"/>
        <w:rPr>
          <w:rFonts w:eastAsiaTheme="minorHAnsi" w:cstheme="minorBidi"/>
          <w:color w:val="auto"/>
        </w:rPr>
      </w:pPr>
      <w:r w:rsidRPr="00163F51">
        <w:rPr>
          <w:rFonts w:eastAsiaTheme="minorHAnsi" w:cstheme="minorBidi"/>
          <w:color w:val="auto"/>
        </w:rPr>
        <w:t>Not available as an Equivalent Ingredient in any application</w:t>
      </w:r>
      <w:r w:rsidR="00EB1099">
        <w:rPr>
          <w:rFonts w:eastAsiaTheme="minorHAnsi" w:cstheme="minorBidi"/>
          <w:color w:val="auto"/>
        </w:rPr>
        <w:t>.</w:t>
      </w:r>
    </w:p>
    <w:p w14:paraId="703963B6" w14:textId="23BC3A0D" w:rsidR="00760A80" w:rsidRPr="008007EB" w:rsidRDefault="00760A80" w:rsidP="00EB1099">
      <w:pPr>
        <w:pStyle w:val="ListBullet"/>
        <w:numPr>
          <w:ilvl w:val="0"/>
          <w:numId w:val="83"/>
        </w:numPr>
      </w:pPr>
      <w:r w:rsidRPr="00163F51">
        <w:t xml:space="preserve">As of </w:t>
      </w:r>
      <w:r w:rsidR="004C7298">
        <w:t>August</w:t>
      </w:r>
      <w:r w:rsidR="004C7298" w:rsidRPr="00163F51">
        <w:t xml:space="preserve"> </w:t>
      </w:r>
      <w:r w:rsidRPr="00163F51">
        <w:t xml:space="preserve">2023, there was </w:t>
      </w:r>
      <w:r w:rsidR="002F224C">
        <w:t>one</w:t>
      </w:r>
      <w:r w:rsidRPr="00163F51">
        <w:t xml:space="preserve"> medicine currently active on the </w:t>
      </w:r>
      <w:hyperlink r:id="rId187" w:history="1">
        <w:r w:rsidR="00EB1099">
          <w:rPr>
            <w:rStyle w:val="Hyperlink"/>
            <w:rFonts w:asciiTheme="minorHAnsi" w:hAnsiTheme="minorHAnsi"/>
          </w:rPr>
          <w:t>Australian Register of Therapeutic Goods</w:t>
        </w:r>
      </w:hyperlink>
      <w:r w:rsidR="00EB1099" w:rsidRPr="00EB1099">
        <w:rPr>
          <w:rStyle w:val="Hyperlink"/>
          <w:rFonts w:asciiTheme="minorHAnsi" w:hAnsiTheme="minorHAnsi"/>
          <w:color w:val="auto"/>
          <w:u w:val="none"/>
        </w:rPr>
        <w:t xml:space="preserve"> (ARTG)</w:t>
      </w:r>
      <w:r w:rsidRPr="008007EB">
        <w:t xml:space="preserve"> </w:t>
      </w:r>
      <w:r w:rsidRPr="00163F51">
        <w:t xml:space="preserve">that contains </w:t>
      </w:r>
      <w:r w:rsidR="002F224C">
        <w:t>d</w:t>
      </w:r>
      <w:r w:rsidRPr="00163F51">
        <w:t xml:space="preserve">eoxycholic acid as an active ingredient, </w:t>
      </w:r>
      <w:r w:rsidR="002F224C">
        <w:t xml:space="preserve">which is a prescription medicine, </w:t>
      </w:r>
      <w:r w:rsidRPr="00163F51">
        <w:t xml:space="preserve">and </w:t>
      </w:r>
      <w:r w:rsidR="002F224C">
        <w:t>no</w:t>
      </w:r>
      <w:r w:rsidRPr="00163F51">
        <w:t xml:space="preserve"> medicines containing </w:t>
      </w:r>
      <w:r w:rsidR="002F224C">
        <w:t>c</w:t>
      </w:r>
      <w:r w:rsidRPr="00163F51">
        <w:t xml:space="preserve">henodeoxycholic acid or </w:t>
      </w:r>
      <w:r w:rsidR="002F224C">
        <w:t>c</w:t>
      </w:r>
      <w:r w:rsidRPr="00163F51">
        <w:t>holic acid.</w:t>
      </w:r>
    </w:p>
    <w:p w14:paraId="64B31EBF" w14:textId="37567F23" w:rsidR="00760A80" w:rsidRPr="008007EB" w:rsidRDefault="00760A80" w:rsidP="00EB1099">
      <w:pPr>
        <w:pStyle w:val="ListBullet"/>
        <w:numPr>
          <w:ilvl w:val="0"/>
          <w:numId w:val="83"/>
        </w:numPr>
      </w:pPr>
      <w:r w:rsidRPr="00163F51">
        <w:t xml:space="preserve">Chenodeoxycholic acid, </w:t>
      </w:r>
      <w:r w:rsidR="002F224C">
        <w:t>c</w:t>
      </w:r>
      <w:r w:rsidRPr="00163F51">
        <w:t xml:space="preserve">holic acid and </w:t>
      </w:r>
      <w:r w:rsidR="002F224C">
        <w:t>d</w:t>
      </w:r>
      <w:r w:rsidRPr="00163F51">
        <w:t xml:space="preserve">eoxycholic acid are not permitted to be included in listed medicines as </w:t>
      </w:r>
      <w:r w:rsidR="002F224C">
        <w:t xml:space="preserve">they are </w:t>
      </w:r>
      <w:r w:rsidRPr="00163F51">
        <w:t xml:space="preserve">not included in the </w:t>
      </w:r>
      <w:hyperlink r:id="rId188" w:history="1">
        <w:r w:rsidRPr="008007EB">
          <w:rPr>
            <w:rStyle w:val="Hyperlink"/>
            <w:rFonts w:asciiTheme="minorHAnsi" w:hAnsiTheme="minorHAnsi"/>
          </w:rPr>
          <w:t>Therapeutic Goods (Permissible Ingredients) Determination</w:t>
        </w:r>
      </w:hyperlink>
      <w:r w:rsidRPr="00163F51">
        <w:t xml:space="preserve"> No.3 of 2023.</w:t>
      </w:r>
    </w:p>
    <w:p w14:paraId="46AF794D" w14:textId="18D0D06D" w:rsidR="00760A80" w:rsidRPr="008007EB" w:rsidRDefault="00760A80" w:rsidP="00EB1099">
      <w:pPr>
        <w:pStyle w:val="ListBullet"/>
        <w:numPr>
          <w:ilvl w:val="0"/>
          <w:numId w:val="83"/>
        </w:numPr>
      </w:pPr>
      <w:r w:rsidRPr="00163F51">
        <w:t>The</w:t>
      </w:r>
      <w:r w:rsidRPr="008007EB">
        <w:t xml:space="preserve"> </w:t>
      </w:r>
      <w:hyperlink r:id="rId189" w:history="1">
        <w:r w:rsidRPr="008007EB">
          <w:rPr>
            <w:rStyle w:val="Hyperlink"/>
            <w:rFonts w:asciiTheme="minorHAnsi" w:hAnsiTheme="minorHAnsi"/>
          </w:rPr>
          <w:t>TGA prescribing medicines in pregnancy database</w:t>
        </w:r>
      </w:hyperlink>
      <w:r w:rsidRPr="00163F51">
        <w:t xml:space="preserve"> classifies </w:t>
      </w:r>
      <w:r w:rsidR="002F224C">
        <w:t>c</w:t>
      </w:r>
      <w:r w:rsidRPr="00163F51">
        <w:t xml:space="preserve">henodeoxycholic acid, </w:t>
      </w:r>
      <w:r w:rsidR="002F224C">
        <w:t>c</w:t>
      </w:r>
      <w:r w:rsidRPr="00163F51">
        <w:t xml:space="preserve">holic acid and </w:t>
      </w:r>
      <w:r w:rsidR="002F224C">
        <w:t>d</w:t>
      </w:r>
      <w:r w:rsidRPr="00163F51">
        <w:t>eoxycholic acid as:</w:t>
      </w:r>
    </w:p>
    <w:tbl>
      <w:tblPr>
        <w:tblStyle w:val="TableTGAblue"/>
        <w:tblW w:w="8670" w:type="dxa"/>
        <w:tblInd w:w="392" w:type="dxa"/>
        <w:tblLook w:val="04A0" w:firstRow="1" w:lastRow="0" w:firstColumn="1" w:lastColumn="0" w:noHBand="0" w:noVBand="1"/>
      </w:tblPr>
      <w:tblGrid>
        <w:gridCol w:w="1698"/>
        <w:gridCol w:w="1019"/>
        <w:gridCol w:w="1984"/>
        <w:gridCol w:w="1985"/>
        <w:gridCol w:w="1984"/>
      </w:tblGrid>
      <w:tr w:rsidR="00760A80" w:rsidRPr="002F224C" w14:paraId="11A9AAAA" w14:textId="77777777" w:rsidTr="002F22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Pr>
          <w:p w14:paraId="54CD58BC" w14:textId="77777777" w:rsidR="00760A80" w:rsidRPr="002F224C" w:rsidRDefault="00760A80" w:rsidP="002F224C">
            <w:pPr>
              <w:keepLines/>
              <w:spacing w:before="60" w:after="60"/>
              <w:rPr>
                <w:rFonts w:asciiTheme="minorHAnsi" w:hAnsiTheme="minorHAnsi" w:cstheme="minorHAnsi"/>
                <w:sz w:val="20"/>
                <w:szCs w:val="20"/>
              </w:rPr>
            </w:pPr>
            <w:r w:rsidRPr="002F224C">
              <w:rPr>
                <w:rFonts w:asciiTheme="minorHAnsi" w:hAnsiTheme="minorHAnsi" w:cstheme="minorHAnsi"/>
                <w:sz w:val="20"/>
                <w:szCs w:val="20"/>
              </w:rPr>
              <w:t>Drug name</w:t>
            </w:r>
          </w:p>
        </w:tc>
        <w:tc>
          <w:tcPr>
            <w:tcW w:w="1019" w:type="dxa"/>
          </w:tcPr>
          <w:p w14:paraId="64D2155D" w14:textId="77777777" w:rsidR="00760A80" w:rsidRPr="002F224C" w:rsidRDefault="00760A80" w:rsidP="002F224C">
            <w:pPr>
              <w:keepLine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F224C">
              <w:rPr>
                <w:rFonts w:asciiTheme="minorHAnsi" w:hAnsiTheme="minorHAnsi" w:cstheme="minorHAnsi"/>
                <w:sz w:val="20"/>
                <w:szCs w:val="20"/>
              </w:rPr>
              <w:t>Category</w:t>
            </w:r>
          </w:p>
        </w:tc>
        <w:tc>
          <w:tcPr>
            <w:tcW w:w="1984" w:type="dxa"/>
          </w:tcPr>
          <w:p w14:paraId="6A8A6E4B" w14:textId="77777777" w:rsidR="00760A80" w:rsidRPr="002F224C" w:rsidRDefault="00760A80" w:rsidP="002F224C">
            <w:pPr>
              <w:keepLine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F224C">
              <w:rPr>
                <w:rFonts w:asciiTheme="minorHAnsi" w:hAnsiTheme="minorHAnsi" w:cstheme="minorHAnsi"/>
                <w:sz w:val="20"/>
                <w:szCs w:val="20"/>
              </w:rPr>
              <w:t>Classification Level 1</w:t>
            </w:r>
          </w:p>
        </w:tc>
        <w:tc>
          <w:tcPr>
            <w:tcW w:w="1985" w:type="dxa"/>
          </w:tcPr>
          <w:p w14:paraId="5BB62775" w14:textId="77777777" w:rsidR="00760A80" w:rsidRPr="002F224C" w:rsidRDefault="00760A80" w:rsidP="002F224C">
            <w:pPr>
              <w:keepLine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F224C">
              <w:rPr>
                <w:rFonts w:asciiTheme="minorHAnsi" w:hAnsiTheme="minorHAnsi" w:cstheme="minorHAnsi"/>
                <w:sz w:val="20"/>
                <w:szCs w:val="20"/>
              </w:rPr>
              <w:t>Classification Level 2</w:t>
            </w:r>
          </w:p>
        </w:tc>
        <w:tc>
          <w:tcPr>
            <w:tcW w:w="1984" w:type="dxa"/>
          </w:tcPr>
          <w:p w14:paraId="7614A923" w14:textId="77777777" w:rsidR="00760A80" w:rsidRPr="002F224C" w:rsidRDefault="00760A80" w:rsidP="002F224C">
            <w:pPr>
              <w:keepLines/>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F224C">
              <w:rPr>
                <w:rFonts w:asciiTheme="minorHAnsi" w:hAnsiTheme="minorHAnsi" w:cstheme="minorHAnsi"/>
                <w:sz w:val="20"/>
                <w:szCs w:val="20"/>
              </w:rPr>
              <w:t>Classification Level 3</w:t>
            </w:r>
          </w:p>
        </w:tc>
      </w:tr>
      <w:tr w:rsidR="00760A80" w:rsidRPr="002F224C" w14:paraId="35618ABF" w14:textId="77777777" w:rsidTr="002F224C">
        <w:tc>
          <w:tcPr>
            <w:cnfStyle w:val="001000000000" w:firstRow="0" w:lastRow="0" w:firstColumn="1" w:lastColumn="0" w:oddVBand="0" w:evenVBand="0" w:oddHBand="0" w:evenHBand="0" w:firstRowFirstColumn="0" w:firstRowLastColumn="0" w:lastRowFirstColumn="0" w:lastRowLastColumn="0"/>
            <w:tcW w:w="1698" w:type="dxa"/>
          </w:tcPr>
          <w:p w14:paraId="3504F47B" w14:textId="77777777" w:rsidR="00760A80" w:rsidRPr="002F224C" w:rsidRDefault="00760A80" w:rsidP="002F224C">
            <w:pPr>
              <w:keepNext/>
              <w:keepLines/>
              <w:spacing w:before="60" w:after="60"/>
              <w:rPr>
                <w:rFonts w:asciiTheme="minorHAnsi" w:hAnsiTheme="minorHAnsi" w:cstheme="minorHAnsi"/>
                <w:sz w:val="20"/>
                <w:szCs w:val="20"/>
              </w:rPr>
            </w:pPr>
            <w:r w:rsidRPr="002F224C">
              <w:rPr>
                <w:rFonts w:asciiTheme="minorHAnsi" w:hAnsiTheme="minorHAnsi" w:cstheme="minorHAnsi"/>
                <w:sz w:val="20"/>
                <w:szCs w:val="20"/>
              </w:rPr>
              <w:t>Chenodeoxycholic acid</w:t>
            </w:r>
          </w:p>
        </w:tc>
        <w:tc>
          <w:tcPr>
            <w:tcW w:w="1019" w:type="dxa"/>
          </w:tcPr>
          <w:p w14:paraId="1A23D96B" w14:textId="77777777" w:rsidR="00760A80" w:rsidRPr="002F224C" w:rsidRDefault="00760A80" w:rsidP="002F224C">
            <w:pPr>
              <w:keepNext/>
              <w:keepLine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F224C">
              <w:rPr>
                <w:rFonts w:asciiTheme="minorHAnsi" w:hAnsiTheme="minorHAnsi" w:cstheme="minorHAnsi"/>
                <w:sz w:val="20"/>
                <w:szCs w:val="20"/>
              </w:rPr>
              <w:t>B3</w:t>
            </w:r>
          </w:p>
        </w:tc>
        <w:tc>
          <w:tcPr>
            <w:tcW w:w="1984" w:type="dxa"/>
          </w:tcPr>
          <w:p w14:paraId="6C58A354" w14:textId="77777777" w:rsidR="00760A80" w:rsidRPr="002F224C" w:rsidRDefault="00760A80" w:rsidP="002F224C">
            <w:pPr>
              <w:keepNext/>
              <w:keepLine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F224C">
              <w:rPr>
                <w:rFonts w:asciiTheme="minorHAnsi" w:hAnsiTheme="minorHAnsi" w:cstheme="minorHAnsi"/>
                <w:sz w:val="20"/>
                <w:szCs w:val="20"/>
              </w:rPr>
              <w:t>Alimentary System</w:t>
            </w:r>
          </w:p>
        </w:tc>
        <w:tc>
          <w:tcPr>
            <w:tcW w:w="1985" w:type="dxa"/>
          </w:tcPr>
          <w:p w14:paraId="1F7EB5F8" w14:textId="77777777" w:rsidR="00760A80" w:rsidRPr="002F224C" w:rsidRDefault="00760A80" w:rsidP="002F224C">
            <w:pPr>
              <w:keepNext/>
              <w:keepLine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F224C">
              <w:rPr>
                <w:rFonts w:asciiTheme="minorHAnsi" w:hAnsiTheme="minorHAnsi" w:cstheme="minorHAnsi"/>
                <w:sz w:val="20"/>
                <w:szCs w:val="20"/>
              </w:rPr>
              <w:t>Cholelitholytics</w:t>
            </w:r>
          </w:p>
        </w:tc>
        <w:tc>
          <w:tcPr>
            <w:tcW w:w="1984" w:type="dxa"/>
          </w:tcPr>
          <w:p w14:paraId="5B17A6A9" w14:textId="77777777" w:rsidR="00760A80" w:rsidRPr="002F224C" w:rsidRDefault="00760A80" w:rsidP="002F224C">
            <w:pPr>
              <w:keepNext/>
              <w:keepLine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760A80" w:rsidRPr="002F224C" w14:paraId="747811A3" w14:textId="77777777" w:rsidTr="002F224C">
        <w:tc>
          <w:tcPr>
            <w:cnfStyle w:val="001000000000" w:firstRow="0" w:lastRow="0" w:firstColumn="1" w:lastColumn="0" w:oddVBand="0" w:evenVBand="0" w:oddHBand="0" w:evenHBand="0" w:firstRowFirstColumn="0" w:firstRowLastColumn="0" w:lastRowFirstColumn="0" w:lastRowLastColumn="0"/>
            <w:tcW w:w="1698" w:type="dxa"/>
          </w:tcPr>
          <w:p w14:paraId="7A1483B2" w14:textId="77777777" w:rsidR="00760A80" w:rsidRPr="002F224C" w:rsidRDefault="00760A80" w:rsidP="002F224C">
            <w:pPr>
              <w:keepNext/>
              <w:keepLines/>
              <w:spacing w:before="60" w:after="60"/>
              <w:rPr>
                <w:rFonts w:asciiTheme="minorHAnsi" w:hAnsiTheme="minorHAnsi" w:cstheme="minorHAnsi"/>
                <w:sz w:val="20"/>
                <w:szCs w:val="20"/>
              </w:rPr>
            </w:pPr>
            <w:r w:rsidRPr="002F224C">
              <w:rPr>
                <w:rFonts w:asciiTheme="minorHAnsi" w:hAnsiTheme="minorHAnsi" w:cstheme="minorHAnsi"/>
                <w:sz w:val="20"/>
                <w:szCs w:val="20"/>
              </w:rPr>
              <w:t>Cholic acid</w:t>
            </w:r>
          </w:p>
        </w:tc>
        <w:tc>
          <w:tcPr>
            <w:tcW w:w="1019" w:type="dxa"/>
          </w:tcPr>
          <w:p w14:paraId="000D3A5B" w14:textId="77777777" w:rsidR="00760A80" w:rsidRPr="002F224C" w:rsidRDefault="00760A80" w:rsidP="002F224C">
            <w:pPr>
              <w:keepNext/>
              <w:keepLine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F224C">
              <w:rPr>
                <w:rFonts w:asciiTheme="minorHAnsi" w:hAnsiTheme="minorHAnsi" w:cstheme="minorHAnsi"/>
                <w:sz w:val="20"/>
                <w:szCs w:val="20"/>
              </w:rPr>
              <w:t>B2</w:t>
            </w:r>
          </w:p>
        </w:tc>
        <w:tc>
          <w:tcPr>
            <w:tcW w:w="1984" w:type="dxa"/>
          </w:tcPr>
          <w:p w14:paraId="16845DBF" w14:textId="77777777" w:rsidR="00760A80" w:rsidRPr="002F224C" w:rsidRDefault="00760A80" w:rsidP="002F224C">
            <w:pPr>
              <w:keepNext/>
              <w:keepLine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F224C">
              <w:rPr>
                <w:rFonts w:asciiTheme="minorHAnsi" w:hAnsiTheme="minorHAnsi" w:cstheme="minorHAnsi"/>
                <w:sz w:val="20"/>
                <w:szCs w:val="20"/>
              </w:rPr>
              <w:t>Alimentary System</w:t>
            </w:r>
          </w:p>
        </w:tc>
        <w:tc>
          <w:tcPr>
            <w:tcW w:w="1985" w:type="dxa"/>
          </w:tcPr>
          <w:p w14:paraId="6F0D3410" w14:textId="77777777" w:rsidR="00760A80" w:rsidRPr="002F224C" w:rsidRDefault="00760A80" w:rsidP="002F224C">
            <w:pPr>
              <w:keepNext/>
              <w:keepLine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F224C">
              <w:rPr>
                <w:rFonts w:asciiTheme="minorHAnsi" w:hAnsiTheme="minorHAnsi" w:cstheme="minorHAnsi"/>
                <w:sz w:val="20"/>
                <w:szCs w:val="20"/>
              </w:rPr>
              <w:t>Cholelitholytics</w:t>
            </w:r>
          </w:p>
        </w:tc>
        <w:tc>
          <w:tcPr>
            <w:tcW w:w="1984" w:type="dxa"/>
          </w:tcPr>
          <w:p w14:paraId="689342D7" w14:textId="77777777" w:rsidR="00760A80" w:rsidRPr="002F224C" w:rsidRDefault="00760A80" w:rsidP="002F224C">
            <w:pPr>
              <w:keepNext/>
              <w:keepLines/>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60A80" w:rsidRPr="002F224C" w14:paraId="39658D5B" w14:textId="77777777" w:rsidTr="002F224C">
        <w:tc>
          <w:tcPr>
            <w:cnfStyle w:val="001000000000" w:firstRow="0" w:lastRow="0" w:firstColumn="1" w:lastColumn="0" w:oddVBand="0" w:evenVBand="0" w:oddHBand="0" w:evenHBand="0" w:firstRowFirstColumn="0" w:firstRowLastColumn="0" w:lastRowFirstColumn="0" w:lastRowLastColumn="0"/>
            <w:tcW w:w="1698" w:type="dxa"/>
          </w:tcPr>
          <w:p w14:paraId="3D498AC2" w14:textId="77777777" w:rsidR="00760A80" w:rsidRPr="002F224C" w:rsidRDefault="00760A80" w:rsidP="002F224C">
            <w:pPr>
              <w:keepNext/>
              <w:keepLines/>
              <w:spacing w:before="60" w:after="60"/>
              <w:rPr>
                <w:rFonts w:asciiTheme="minorHAnsi" w:hAnsiTheme="minorHAnsi" w:cstheme="minorHAnsi"/>
                <w:sz w:val="20"/>
                <w:szCs w:val="20"/>
              </w:rPr>
            </w:pPr>
            <w:r w:rsidRPr="002F224C">
              <w:rPr>
                <w:rFonts w:asciiTheme="minorHAnsi" w:hAnsiTheme="minorHAnsi" w:cstheme="minorHAnsi"/>
                <w:sz w:val="20"/>
                <w:szCs w:val="20"/>
              </w:rPr>
              <w:t>Deoxycholic acid</w:t>
            </w:r>
          </w:p>
        </w:tc>
        <w:tc>
          <w:tcPr>
            <w:tcW w:w="1019" w:type="dxa"/>
          </w:tcPr>
          <w:p w14:paraId="495D07B9" w14:textId="77777777" w:rsidR="00760A80" w:rsidRPr="002F224C" w:rsidRDefault="00760A80" w:rsidP="002F224C">
            <w:pPr>
              <w:keepNext/>
              <w:keepLine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F224C">
              <w:rPr>
                <w:rFonts w:asciiTheme="minorHAnsi" w:hAnsiTheme="minorHAnsi" w:cstheme="minorHAnsi"/>
                <w:sz w:val="20"/>
                <w:szCs w:val="20"/>
              </w:rPr>
              <w:t>B1</w:t>
            </w:r>
          </w:p>
        </w:tc>
        <w:tc>
          <w:tcPr>
            <w:tcW w:w="1984" w:type="dxa"/>
          </w:tcPr>
          <w:p w14:paraId="10FE167B" w14:textId="77777777" w:rsidR="00760A80" w:rsidRPr="002F224C" w:rsidRDefault="00760A80" w:rsidP="002F224C">
            <w:pPr>
              <w:keepNext/>
              <w:keepLine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F224C">
              <w:rPr>
                <w:rFonts w:asciiTheme="minorHAnsi" w:hAnsiTheme="minorHAnsi" w:cstheme="minorHAnsi"/>
                <w:sz w:val="20"/>
                <w:szCs w:val="20"/>
              </w:rPr>
              <w:t>Drug Used in Dermatology</w:t>
            </w:r>
          </w:p>
        </w:tc>
        <w:tc>
          <w:tcPr>
            <w:tcW w:w="1985" w:type="dxa"/>
          </w:tcPr>
          <w:p w14:paraId="7EB13117" w14:textId="77777777" w:rsidR="00760A80" w:rsidRPr="002F224C" w:rsidRDefault="00760A80" w:rsidP="002F224C">
            <w:pPr>
              <w:keepNext/>
              <w:keepLine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984" w:type="dxa"/>
          </w:tcPr>
          <w:p w14:paraId="6EB53956" w14:textId="77777777" w:rsidR="00760A80" w:rsidRPr="002F224C" w:rsidRDefault="00760A80" w:rsidP="002F224C">
            <w:pPr>
              <w:keepNext/>
              <w:keepLines/>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60A80" w:rsidRPr="002F224C" w14:paraId="7A55BB4B" w14:textId="77777777" w:rsidTr="00AC5E26">
        <w:tc>
          <w:tcPr>
            <w:cnfStyle w:val="001000000000" w:firstRow="0" w:lastRow="0" w:firstColumn="1" w:lastColumn="0" w:oddVBand="0" w:evenVBand="0" w:oddHBand="0" w:evenHBand="0" w:firstRowFirstColumn="0" w:firstRowLastColumn="0" w:lastRowFirstColumn="0" w:lastRowLastColumn="0"/>
            <w:tcW w:w="8670" w:type="dxa"/>
            <w:gridSpan w:val="5"/>
          </w:tcPr>
          <w:p w14:paraId="07ECB24E" w14:textId="77777777" w:rsidR="00760A80" w:rsidRPr="002F224C" w:rsidRDefault="00760A80" w:rsidP="002F224C">
            <w:pPr>
              <w:keepNext/>
              <w:keepLines/>
              <w:spacing w:before="60" w:after="60"/>
              <w:rPr>
                <w:rFonts w:asciiTheme="minorHAnsi" w:hAnsiTheme="minorHAnsi" w:cstheme="minorHAnsi"/>
                <w:sz w:val="18"/>
                <w:szCs w:val="18"/>
              </w:rPr>
            </w:pPr>
            <w:r w:rsidRPr="002F224C">
              <w:rPr>
                <w:rFonts w:asciiTheme="minorHAnsi" w:hAnsiTheme="minorHAnsi" w:cstheme="minorHAnsi"/>
                <w:b/>
                <w:sz w:val="18"/>
                <w:szCs w:val="18"/>
              </w:rPr>
              <w:t>Category B1</w:t>
            </w:r>
            <w:r w:rsidRPr="002F224C">
              <w:rPr>
                <w:rFonts w:asciiTheme="minorHAnsi" w:hAnsiTheme="minorHAnsi" w:cstheme="minorHAnsi"/>
                <w:sz w:val="18"/>
                <w:szCs w:val="18"/>
              </w:rPr>
              <w:t xml:space="preserve"> – Drugs which have been taken by only a limited number of pregnant women and women of childbearing age, without an increase in the frequency of malformation or other direct or indirect harmful effects on the human foetus having been observed.</w:t>
            </w:r>
          </w:p>
          <w:p w14:paraId="1E811070" w14:textId="77777777" w:rsidR="00760A80" w:rsidRPr="002F224C" w:rsidRDefault="00760A80" w:rsidP="002F224C">
            <w:pPr>
              <w:keepNext/>
              <w:keepLines/>
              <w:spacing w:before="60" w:after="60"/>
              <w:rPr>
                <w:rFonts w:asciiTheme="minorHAnsi" w:hAnsiTheme="minorHAnsi" w:cstheme="minorHAnsi"/>
                <w:sz w:val="18"/>
                <w:szCs w:val="18"/>
              </w:rPr>
            </w:pPr>
            <w:r w:rsidRPr="002F224C">
              <w:rPr>
                <w:rFonts w:asciiTheme="minorHAnsi" w:hAnsiTheme="minorHAnsi" w:cstheme="minorHAnsi"/>
                <w:sz w:val="18"/>
                <w:szCs w:val="18"/>
              </w:rPr>
              <w:t>Studies in animals have not shown evidence of an increased occurrence of foetal damage.</w:t>
            </w:r>
          </w:p>
          <w:p w14:paraId="586051B5" w14:textId="77777777" w:rsidR="00760A80" w:rsidRPr="002F224C" w:rsidRDefault="00760A80" w:rsidP="002F224C">
            <w:pPr>
              <w:keepNext/>
              <w:keepLines/>
              <w:spacing w:before="60" w:after="60"/>
              <w:rPr>
                <w:rFonts w:asciiTheme="minorHAnsi" w:hAnsiTheme="minorHAnsi" w:cstheme="minorHAnsi"/>
                <w:sz w:val="18"/>
                <w:szCs w:val="18"/>
              </w:rPr>
            </w:pPr>
            <w:r w:rsidRPr="002F224C">
              <w:rPr>
                <w:rFonts w:asciiTheme="minorHAnsi" w:hAnsiTheme="minorHAnsi" w:cstheme="minorHAnsi"/>
                <w:b/>
                <w:sz w:val="18"/>
                <w:szCs w:val="18"/>
              </w:rPr>
              <w:t>Category B2</w:t>
            </w:r>
            <w:r w:rsidRPr="002F224C">
              <w:rPr>
                <w:rFonts w:asciiTheme="minorHAnsi" w:hAnsiTheme="minorHAnsi" w:cstheme="minorHAnsi"/>
                <w:sz w:val="18"/>
                <w:szCs w:val="18"/>
              </w:rPr>
              <w:t xml:space="preserve"> – Drugs which have been taken by only a limited number of pregnant women and women of childbearing age, without an increase in the frequency of malformation or other direct or indirect harmful effects on the human foetus having been observed.</w:t>
            </w:r>
          </w:p>
          <w:p w14:paraId="022B6F5D" w14:textId="77777777" w:rsidR="00760A80" w:rsidRPr="002F224C" w:rsidRDefault="00760A80" w:rsidP="002F224C">
            <w:pPr>
              <w:keepNext/>
              <w:keepLines/>
              <w:spacing w:before="60" w:after="60"/>
              <w:rPr>
                <w:rFonts w:asciiTheme="minorHAnsi" w:hAnsiTheme="minorHAnsi" w:cstheme="minorHAnsi"/>
                <w:sz w:val="18"/>
                <w:szCs w:val="18"/>
              </w:rPr>
            </w:pPr>
            <w:r w:rsidRPr="002F224C">
              <w:rPr>
                <w:rFonts w:asciiTheme="minorHAnsi" w:hAnsiTheme="minorHAnsi" w:cstheme="minorHAnsi"/>
                <w:sz w:val="18"/>
                <w:szCs w:val="18"/>
              </w:rPr>
              <w:t>Studies in animals are inadequate or may be lacking, but available data show no evidence of an increased occurrence of foetal damage.</w:t>
            </w:r>
          </w:p>
          <w:p w14:paraId="575BF7C2" w14:textId="77777777" w:rsidR="00760A80" w:rsidRPr="002F224C" w:rsidRDefault="00760A80" w:rsidP="002F224C">
            <w:pPr>
              <w:keepNext/>
              <w:keepLines/>
              <w:spacing w:before="60" w:after="60"/>
              <w:rPr>
                <w:rFonts w:asciiTheme="minorHAnsi" w:hAnsiTheme="minorHAnsi" w:cstheme="minorHAnsi"/>
                <w:sz w:val="18"/>
                <w:szCs w:val="18"/>
              </w:rPr>
            </w:pPr>
            <w:r w:rsidRPr="002F224C">
              <w:rPr>
                <w:rFonts w:asciiTheme="minorHAnsi" w:hAnsiTheme="minorHAnsi" w:cstheme="minorHAnsi"/>
                <w:b/>
                <w:sz w:val="18"/>
                <w:szCs w:val="18"/>
              </w:rPr>
              <w:t>Category B3</w:t>
            </w:r>
            <w:r w:rsidRPr="002F224C">
              <w:rPr>
                <w:rFonts w:asciiTheme="minorHAnsi" w:hAnsiTheme="minorHAnsi" w:cstheme="minorHAnsi"/>
                <w:sz w:val="18"/>
                <w:szCs w:val="18"/>
              </w:rPr>
              <w:t xml:space="preserve"> – Drugs which have been taken by only a limited number of pregnant women and women of childbearing age, without an increase in the frequency of malformation or other direct or indirect harmful effects on the human foetus having been observed.</w:t>
            </w:r>
          </w:p>
          <w:p w14:paraId="7E3CB76D" w14:textId="77777777" w:rsidR="00760A80" w:rsidRPr="002F224C" w:rsidRDefault="00760A80" w:rsidP="002F224C">
            <w:pPr>
              <w:keepNext/>
              <w:keepLines/>
              <w:spacing w:before="60" w:after="60"/>
              <w:rPr>
                <w:rFonts w:asciiTheme="minorHAnsi" w:hAnsiTheme="minorHAnsi" w:cstheme="minorHAnsi"/>
                <w:sz w:val="20"/>
                <w:szCs w:val="20"/>
              </w:rPr>
            </w:pPr>
            <w:r w:rsidRPr="002F224C">
              <w:rPr>
                <w:rFonts w:asciiTheme="minorHAnsi" w:hAnsiTheme="minorHAnsi" w:cstheme="minorHAnsi"/>
                <w:sz w:val="18"/>
                <w:szCs w:val="18"/>
              </w:rPr>
              <w:t>Studies in animals have shown evidence of an increased occurrence of foetal damage, the significance of which is considered uncertain in humans.</w:t>
            </w:r>
          </w:p>
        </w:tc>
      </w:tr>
    </w:tbl>
    <w:p w14:paraId="45FF1F43" w14:textId="43E8FC58" w:rsidR="00760A80" w:rsidRPr="003429BB" w:rsidRDefault="00760A80" w:rsidP="00EB1099">
      <w:pPr>
        <w:pStyle w:val="ListBullet"/>
        <w:numPr>
          <w:ilvl w:val="0"/>
          <w:numId w:val="83"/>
        </w:numPr>
      </w:pPr>
      <w:r w:rsidRPr="00163F51">
        <w:t xml:space="preserve">There are no warning statements </w:t>
      </w:r>
      <w:r w:rsidR="00EB1099">
        <w:t>for</w:t>
      </w:r>
      <w:r w:rsidRPr="00163F51">
        <w:t xml:space="preserve"> </w:t>
      </w:r>
      <w:r w:rsidR="002F224C">
        <w:t>c</w:t>
      </w:r>
      <w:r w:rsidRPr="00163F51">
        <w:t xml:space="preserve">henodeoxycholic acid, </w:t>
      </w:r>
      <w:r w:rsidR="002F224C">
        <w:t>c</w:t>
      </w:r>
      <w:r w:rsidRPr="00163F51">
        <w:t xml:space="preserve">holic acid or </w:t>
      </w:r>
      <w:r w:rsidR="002F224C">
        <w:t>d</w:t>
      </w:r>
      <w:r w:rsidRPr="00163F51">
        <w:t xml:space="preserve">eoxycholic acid in the </w:t>
      </w:r>
      <w:hyperlink r:id="rId190" w:history="1">
        <w:r w:rsidRPr="008007EB">
          <w:rPr>
            <w:rStyle w:val="Hyperlink"/>
            <w:rFonts w:asciiTheme="minorHAnsi" w:hAnsiTheme="minorHAnsi"/>
          </w:rPr>
          <w:t>Therapeutic Goods (Medicines Advisory Statements) Specification 2021</w:t>
        </w:r>
      </w:hyperlink>
      <w:r w:rsidR="002F224C" w:rsidRPr="002F224C">
        <w:rPr>
          <w:rStyle w:val="Hyperlink"/>
          <w:rFonts w:asciiTheme="minorHAnsi" w:hAnsiTheme="minorHAnsi"/>
          <w:color w:val="auto"/>
          <w:u w:val="none"/>
        </w:rPr>
        <w:t>.</w:t>
      </w:r>
    </w:p>
    <w:p w14:paraId="77CDF7E9" w14:textId="31EFA5E5" w:rsidR="00D932DF" w:rsidRDefault="00760A80" w:rsidP="00EB1099">
      <w:pPr>
        <w:pStyle w:val="ListBullet"/>
        <w:numPr>
          <w:ilvl w:val="0"/>
          <w:numId w:val="83"/>
        </w:numPr>
      </w:pPr>
      <w:r w:rsidRPr="00AC69AB">
        <w:t xml:space="preserve">As of July 2023, </w:t>
      </w:r>
      <w:r w:rsidR="00EB1099">
        <w:t xml:space="preserve">on the </w:t>
      </w:r>
      <w:hyperlink r:id="rId191" w:history="1">
        <w:r w:rsidR="00EB1099">
          <w:rPr>
            <w:rStyle w:val="Hyperlink"/>
            <w:rFonts w:asciiTheme="minorHAnsi" w:hAnsiTheme="minorHAnsi"/>
          </w:rPr>
          <w:t>Database of Adverse Event Notifications</w:t>
        </w:r>
      </w:hyperlink>
      <w:r w:rsidR="00EB1099" w:rsidRPr="0040314F">
        <w:rPr>
          <w:rStyle w:val="Hyperlink"/>
          <w:rFonts w:asciiTheme="minorHAnsi" w:hAnsiTheme="minorHAnsi"/>
          <w:color w:val="auto"/>
          <w:u w:val="none"/>
        </w:rPr>
        <w:t xml:space="preserve"> (DAEN)</w:t>
      </w:r>
      <w:r w:rsidR="00EB1099">
        <w:rPr>
          <w:rStyle w:val="Hyperlink"/>
          <w:rFonts w:asciiTheme="minorHAnsi" w:hAnsiTheme="minorHAnsi"/>
          <w:color w:val="auto"/>
          <w:u w:val="none"/>
        </w:rPr>
        <w:t xml:space="preserve"> </w:t>
      </w:r>
      <w:r w:rsidRPr="00AC69AB">
        <w:t>there were</w:t>
      </w:r>
      <w:r w:rsidR="00D932DF">
        <w:t>:</w:t>
      </w:r>
    </w:p>
    <w:p w14:paraId="4B13B8CC" w14:textId="2CC2B315" w:rsidR="00D932DF" w:rsidRDefault="00760A80" w:rsidP="00EB1099">
      <w:pPr>
        <w:pStyle w:val="ListBullet2"/>
        <w:numPr>
          <w:ilvl w:val="1"/>
          <w:numId w:val="83"/>
        </w:numPr>
        <w:ind w:left="782" w:hanging="425"/>
      </w:pPr>
      <w:r w:rsidRPr="00EB1099">
        <w:rPr>
          <w:color w:val="auto"/>
        </w:rPr>
        <w:t xml:space="preserve">9 reports of adverse events for products containing </w:t>
      </w:r>
      <w:r w:rsidR="002F224C" w:rsidRPr="00EB1099">
        <w:rPr>
          <w:color w:val="auto"/>
        </w:rPr>
        <w:t>c</w:t>
      </w:r>
      <w:r w:rsidRPr="00EB1099">
        <w:rPr>
          <w:color w:val="auto"/>
        </w:rPr>
        <w:t xml:space="preserve">henodeoxycholic acid as an active ingredient, with 7 reports where </w:t>
      </w:r>
      <w:r w:rsidR="002F224C" w:rsidRPr="00EB1099">
        <w:rPr>
          <w:color w:val="auto"/>
        </w:rPr>
        <w:t>c</w:t>
      </w:r>
      <w:r w:rsidRPr="00EB1099">
        <w:rPr>
          <w:color w:val="auto"/>
        </w:rPr>
        <w:t>henodeoxycholic acid was the single suspected medicine</w:t>
      </w:r>
      <w:r w:rsidR="00D932DF" w:rsidRPr="00EB1099">
        <w:rPr>
          <w:color w:val="auto"/>
        </w:rPr>
        <w:t>.</w:t>
      </w:r>
    </w:p>
    <w:p w14:paraId="3D53BC74" w14:textId="5F0C2051" w:rsidR="00D932DF" w:rsidRPr="00EB1099" w:rsidRDefault="00760A80" w:rsidP="00EB1099">
      <w:pPr>
        <w:pStyle w:val="ListBullet2"/>
        <w:numPr>
          <w:ilvl w:val="1"/>
          <w:numId w:val="83"/>
        </w:numPr>
        <w:ind w:left="782" w:hanging="425"/>
        <w:rPr>
          <w:color w:val="auto"/>
        </w:rPr>
      </w:pPr>
      <w:r w:rsidRPr="00EB1099">
        <w:rPr>
          <w:color w:val="auto"/>
        </w:rPr>
        <w:t>1</w:t>
      </w:r>
      <w:r w:rsidR="003A1869" w:rsidRPr="00EB1099">
        <w:rPr>
          <w:color w:val="auto"/>
        </w:rPr>
        <w:t>5</w:t>
      </w:r>
      <w:r w:rsidRPr="00EB1099">
        <w:rPr>
          <w:color w:val="auto"/>
        </w:rPr>
        <w:t xml:space="preserve"> reports of adverse events for products containing </w:t>
      </w:r>
      <w:r w:rsidR="00D932DF" w:rsidRPr="00EB1099">
        <w:rPr>
          <w:color w:val="auto"/>
        </w:rPr>
        <w:t>d</w:t>
      </w:r>
      <w:r w:rsidRPr="00EB1099">
        <w:rPr>
          <w:color w:val="auto"/>
        </w:rPr>
        <w:t xml:space="preserve">eoxycholic acid </w:t>
      </w:r>
      <w:r w:rsidR="003A1869" w:rsidRPr="00EB1099">
        <w:rPr>
          <w:color w:val="auto"/>
        </w:rPr>
        <w:t xml:space="preserve">(or sodium salt) </w:t>
      </w:r>
      <w:r w:rsidRPr="00EB1099">
        <w:rPr>
          <w:color w:val="auto"/>
        </w:rPr>
        <w:t>as an active ingredient</w:t>
      </w:r>
      <w:r w:rsidR="00EB1099">
        <w:rPr>
          <w:color w:val="auto"/>
        </w:rPr>
        <w:t xml:space="preserve">, </w:t>
      </w:r>
      <w:r w:rsidRPr="00EB1099">
        <w:rPr>
          <w:color w:val="auto"/>
        </w:rPr>
        <w:t xml:space="preserve">with </w:t>
      </w:r>
      <w:r w:rsidR="003A1869" w:rsidRPr="00EB1099">
        <w:rPr>
          <w:color w:val="auto"/>
        </w:rPr>
        <w:t>11</w:t>
      </w:r>
      <w:r w:rsidRPr="00EB1099">
        <w:rPr>
          <w:color w:val="auto"/>
        </w:rPr>
        <w:t xml:space="preserve"> reports where </w:t>
      </w:r>
      <w:r w:rsidR="00D932DF" w:rsidRPr="00EB1099">
        <w:rPr>
          <w:color w:val="auto"/>
        </w:rPr>
        <w:t>d</w:t>
      </w:r>
      <w:r w:rsidRPr="00EB1099">
        <w:rPr>
          <w:color w:val="auto"/>
        </w:rPr>
        <w:t>eoxycholic acid was the single suspected medicine.</w:t>
      </w:r>
    </w:p>
    <w:p w14:paraId="152453AC" w14:textId="0FBB4361" w:rsidR="003A1869" w:rsidRDefault="00760A80" w:rsidP="00EB1099">
      <w:pPr>
        <w:pStyle w:val="ListBullet2"/>
        <w:numPr>
          <w:ilvl w:val="1"/>
          <w:numId w:val="83"/>
        </w:numPr>
        <w:ind w:left="782" w:hanging="425"/>
        <w:rPr>
          <w:rStyle w:val="Hyperlink"/>
          <w:rFonts w:asciiTheme="minorHAnsi" w:hAnsiTheme="minorHAnsi"/>
          <w:color w:val="333F48"/>
          <w:u w:val="none"/>
        </w:rPr>
      </w:pPr>
      <w:r w:rsidRPr="00EB1099">
        <w:rPr>
          <w:color w:val="auto"/>
        </w:rPr>
        <w:t xml:space="preserve">No listed medicines containing </w:t>
      </w:r>
      <w:r w:rsidR="00D932DF" w:rsidRPr="00EB1099">
        <w:rPr>
          <w:color w:val="auto"/>
        </w:rPr>
        <w:t>c</w:t>
      </w:r>
      <w:r w:rsidRPr="00EB1099">
        <w:rPr>
          <w:color w:val="auto"/>
        </w:rPr>
        <w:t>holic acid as an active ingredient</w:t>
      </w:r>
      <w:r w:rsidR="00EB1099">
        <w:rPr>
          <w:color w:val="auto"/>
        </w:rPr>
        <w:t>.</w:t>
      </w:r>
    </w:p>
    <w:p w14:paraId="0061FB98" w14:textId="630A74BC" w:rsidR="003A1869" w:rsidRPr="00EB1099" w:rsidRDefault="003A1869" w:rsidP="003A1869">
      <w:pPr>
        <w:pStyle w:val="ListBullet2"/>
        <w:numPr>
          <w:ilvl w:val="0"/>
          <w:numId w:val="0"/>
        </w:numPr>
        <w:ind w:left="425"/>
        <w:rPr>
          <w:color w:val="auto"/>
        </w:rPr>
      </w:pPr>
      <w:r w:rsidRPr="00EB1099">
        <w:rPr>
          <w:rStyle w:val="Hyperlink"/>
          <w:rFonts w:asciiTheme="minorHAnsi" w:hAnsiTheme="minorHAnsi"/>
          <w:color w:val="auto"/>
          <w:u w:val="none"/>
        </w:rPr>
        <w:t>The reported adverse events were diverse in nature.</w:t>
      </w:r>
    </w:p>
    <w:p w14:paraId="60066C43" w14:textId="2890D049" w:rsidR="00DF2343" w:rsidRPr="00760A80" w:rsidRDefault="00760A80" w:rsidP="00EB1099">
      <w:pPr>
        <w:pStyle w:val="ListBullet"/>
        <w:numPr>
          <w:ilvl w:val="0"/>
          <w:numId w:val="83"/>
        </w:numPr>
      </w:pPr>
      <w:r w:rsidRPr="00AC69AB">
        <w:t xml:space="preserve">As of July 2023, there were no products containing </w:t>
      </w:r>
      <w:r w:rsidR="00D932DF">
        <w:t>c</w:t>
      </w:r>
      <w:r w:rsidRPr="00AC69AB">
        <w:t xml:space="preserve">henodeoxycholic acid, </w:t>
      </w:r>
      <w:r w:rsidR="00D932DF">
        <w:t>c</w:t>
      </w:r>
      <w:r w:rsidRPr="00AC69AB">
        <w:t xml:space="preserve">holic acid or </w:t>
      </w:r>
      <w:r w:rsidR="00D932DF">
        <w:t>d</w:t>
      </w:r>
      <w:r w:rsidRPr="00AC69AB">
        <w:t xml:space="preserve">eoxycholic acid as an active ingredient/constituent or scheduled substance listed on the </w:t>
      </w:r>
      <w:hyperlink r:id="rId192" w:history="1">
        <w:r w:rsidR="00EB1099">
          <w:rPr>
            <w:rStyle w:val="Hyperlink"/>
            <w:rFonts w:asciiTheme="minorHAnsi" w:hAnsiTheme="minorHAnsi"/>
          </w:rPr>
          <w:t>Public Chemical Registration Information System Search</w:t>
        </w:r>
      </w:hyperlink>
      <w:r w:rsidR="00EB1099" w:rsidRPr="00EB1099">
        <w:rPr>
          <w:rStyle w:val="Hyperlink"/>
          <w:rFonts w:asciiTheme="minorHAnsi" w:hAnsiTheme="minorHAnsi"/>
          <w:color w:val="auto"/>
          <w:u w:val="none"/>
        </w:rPr>
        <w:t xml:space="preserve"> (PubCRIS)</w:t>
      </w:r>
      <w:r w:rsidRPr="008007EB">
        <w:t>.</w:t>
      </w:r>
    </w:p>
    <w:p w14:paraId="71743CCC" w14:textId="77777777" w:rsidR="00DF2343" w:rsidRPr="00CB687C" w:rsidRDefault="00DF2343" w:rsidP="00DF2343">
      <w:pPr>
        <w:pStyle w:val="Heading4"/>
      </w:pPr>
      <w:bookmarkStart w:id="186" w:name="_Toc144110970"/>
      <w:r>
        <w:t>International regulations</w:t>
      </w:r>
      <w:bookmarkEnd w:id="186"/>
    </w:p>
    <w:p w14:paraId="4D8B8422" w14:textId="242E5301" w:rsidR="008D0FBD" w:rsidRPr="00AC69AB" w:rsidRDefault="008D0FBD" w:rsidP="00EB1099">
      <w:pPr>
        <w:pStyle w:val="ListBullet"/>
        <w:numPr>
          <w:ilvl w:val="0"/>
          <w:numId w:val="83"/>
        </w:numPr>
      </w:pPr>
      <w:r w:rsidRPr="00AC69AB">
        <w:t xml:space="preserve">Chenodeoxycholic acid, </w:t>
      </w:r>
      <w:r w:rsidR="00D932DF">
        <w:t>c</w:t>
      </w:r>
      <w:r w:rsidRPr="00AC69AB">
        <w:t xml:space="preserve">holic acid and </w:t>
      </w:r>
      <w:r w:rsidR="00D932DF">
        <w:t>d</w:t>
      </w:r>
      <w:r w:rsidRPr="00AC69AB">
        <w:t xml:space="preserve">eoxycholic acid are approved as prescription-only medicines in the United States. Two products containing </w:t>
      </w:r>
      <w:r w:rsidR="00D932DF">
        <w:t>c</w:t>
      </w:r>
      <w:r w:rsidRPr="00AC69AB">
        <w:t xml:space="preserve">henodeoxycholic acid are approved by the </w:t>
      </w:r>
      <w:hyperlink r:id="rId193" w:history="1">
        <w:r w:rsidRPr="00710D2F">
          <w:rPr>
            <w:rStyle w:val="Hyperlink"/>
            <w:rFonts w:asciiTheme="minorHAnsi" w:hAnsiTheme="minorHAnsi"/>
            <w:szCs w:val="22"/>
          </w:rPr>
          <w:t>United States’ FDA</w:t>
        </w:r>
      </w:hyperlink>
      <w:r w:rsidR="00D932DF">
        <w:t>,</w:t>
      </w:r>
      <w:r w:rsidRPr="00AC69AB">
        <w:t xml:space="preserve"> whilst </w:t>
      </w:r>
      <w:r w:rsidR="00D932DF">
        <w:t xml:space="preserve">12 </w:t>
      </w:r>
      <w:r w:rsidRPr="00AC69AB">
        <w:t xml:space="preserve">approved products contain </w:t>
      </w:r>
      <w:r w:rsidR="00D932DF">
        <w:t>c</w:t>
      </w:r>
      <w:r w:rsidRPr="00AC69AB">
        <w:t xml:space="preserve">holic acid or a therapeutic equivalent (Obeticholic acid), with </w:t>
      </w:r>
      <w:r w:rsidR="00D932DF">
        <w:t xml:space="preserve">2 </w:t>
      </w:r>
      <w:r w:rsidRPr="00AC69AB">
        <w:t xml:space="preserve">products indicated as subcutaneous solutions. Deoxycholic acid is an active ingredient in </w:t>
      </w:r>
      <w:r w:rsidR="00D932DF">
        <w:t xml:space="preserve">2 </w:t>
      </w:r>
      <w:r w:rsidRPr="00AC69AB">
        <w:t>approved products within the United States.</w:t>
      </w:r>
    </w:p>
    <w:p w14:paraId="49646196" w14:textId="11FB0326" w:rsidR="00D932DF" w:rsidRDefault="00471508" w:rsidP="00EB1099">
      <w:pPr>
        <w:pStyle w:val="ListBullet"/>
        <w:numPr>
          <w:ilvl w:val="0"/>
          <w:numId w:val="83"/>
        </w:numPr>
      </w:pPr>
      <w:r>
        <w:t xml:space="preserve">The </w:t>
      </w:r>
      <w:hyperlink r:id="rId194" w:history="1">
        <w:r>
          <w:rPr>
            <w:rStyle w:val="Hyperlink"/>
            <w:rFonts w:asciiTheme="minorHAnsi" w:hAnsiTheme="minorHAnsi"/>
            <w:szCs w:val="22"/>
          </w:rPr>
          <w:t>European Chemicals Agency</w:t>
        </w:r>
      </w:hyperlink>
      <w:r w:rsidRPr="00EB1099">
        <w:rPr>
          <w:rStyle w:val="Hyperlink"/>
          <w:rFonts w:asciiTheme="minorHAnsi" w:hAnsiTheme="minorHAnsi"/>
          <w:color w:val="auto"/>
          <w:szCs w:val="22"/>
          <w:u w:val="none"/>
        </w:rPr>
        <w:t xml:space="preserve"> (ECHA</w:t>
      </w:r>
      <w:r w:rsidR="008D0FBD" w:rsidRPr="00163F51">
        <w:t>)</w:t>
      </w:r>
      <w:r w:rsidR="008D0FBD" w:rsidRPr="004C7298">
        <w:fldChar w:fldCharType="begin"/>
      </w:r>
      <w:r w:rsidR="008D0FBD" w:rsidRPr="004C7298">
        <w:instrText xml:space="preserve"> NOTEREF _Ref141440898 \h  \* MERGEFORMAT </w:instrText>
      </w:r>
      <w:r w:rsidR="008D0FBD" w:rsidRPr="004C7298">
        <w:fldChar w:fldCharType="separate"/>
      </w:r>
      <w:r w:rsidR="008D0FBD" w:rsidRPr="004C7298">
        <w:rPr>
          <w:rStyle w:val="FootnoteReference"/>
          <w:szCs w:val="22"/>
          <w:vertAlign w:val="baseline"/>
        </w:rPr>
        <w:t xml:space="preserve"> </w:t>
      </w:r>
      <w:r w:rsidR="008D0FBD" w:rsidRPr="004C7298">
        <w:fldChar w:fldCharType="end"/>
      </w:r>
      <w:r w:rsidR="00EB1099">
        <w:t>lists</w:t>
      </w:r>
      <w:r w:rsidR="00EB1099" w:rsidRPr="004C7298">
        <w:t xml:space="preserve"> </w:t>
      </w:r>
      <w:r w:rsidR="008D0FBD" w:rsidRPr="00163F51">
        <w:t>hazard classification</w:t>
      </w:r>
      <w:r w:rsidR="00EB1099">
        <w:t>s</w:t>
      </w:r>
      <w:r w:rsidR="008D0FBD" w:rsidRPr="00163F51">
        <w:t xml:space="preserve"> for</w:t>
      </w:r>
      <w:r w:rsidR="00D932DF">
        <w:t xml:space="preserve"> these substances </w:t>
      </w:r>
      <w:r w:rsidR="00EB1099">
        <w:t>(from n</w:t>
      </w:r>
      <w:r w:rsidR="00EB1099" w:rsidRPr="00EB1099">
        <w:t>otifications under the Classification, Labelling and Packaging (CLP) Regulation</w:t>
      </w:r>
      <w:r w:rsidR="00EB1099">
        <w:t>)</w:t>
      </w:r>
      <w:r w:rsidR="00D932DF">
        <w:t xml:space="preserve"> as follows:</w:t>
      </w:r>
    </w:p>
    <w:p w14:paraId="0417CA11" w14:textId="77777777" w:rsidR="00D932DF" w:rsidRPr="00EB1099" w:rsidRDefault="00D932DF" w:rsidP="00EB1099">
      <w:pPr>
        <w:pStyle w:val="ListBullet2"/>
        <w:numPr>
          <w:ilvl w:val="1"/>
          <w:numId w:val="83"/>
        </w:numPr>
        <w:ind w:left="782" w:hanging="425"/>
        <w:rPr>
          <w:color w:val="auto"/>
        </w:rPr>
      </w:pPr>
      <w:r w:rsidRPr="00EB1099">
        <w:rPr>
          <w:color w:val="auto"/>
        </w:rPr>
        <w:t>C</w:t>
      </w:r>
      <w:r w:rsidR="008D0FBD" w:rsidRPr="00EB1099">
        <w:rPr>
          <w:color w:val="auto"/>
        </w:rPr>
        <w:t>henodeoxycholic acid: ‘Danger… this substance causes serious eye irritation, is suspected of damaging fertility or the unborn child, is harmful if swallowed, is harmful in contact with skin, is harmful if inhaled, may cause long lasting harmful effects to aquatic life, causes skin irritation, may cause respiratory irritation, may cause an allergic skin reaction and may cause allergy or asthma symptoms or breathing difficulties if inhaled.’</w:t>
      </w:r>
    </w:p>
    <w:p w14:paraId="779A843E" w14:textId="6BABC179" w:rsidR="00D932DF" w:rsidRPr="00EB1099" w:rsidRDefault="008D0FBD" w:rsidP="00EB1099">
      <w:pPr>
        <w:pStyle w:val="ListBullet2"/>
        <w:numPr>
          <w:ilvl w:val="1"/>
          <w:numId w:val="83"/>
        </w:numPr>
        <w:ind w:left="782" w:hanging="425"/>
        <w:rPr>
          <w:color w:val="auto"/>
        </w:rPr>
      </w:pPr>
      <w:r w:rsidRPr="00EB1099">
        <w:rPr>
          <w:color w:val="auto"/>
        </w:rPr>
        <w:t>Cholic acid: ‘Warning… th</w:t>
      </w:r>
      <w:r w:rsidR="00EB1099">
        <w:rPr>
          <w:color w:val="auto"/>
        </w:rPr>
        <w:t xml:space="preserve">is substance </w:t>
      </w:r>
      <w:r w:rsidR="00EB1099" w:rsidRPr="00EB1099">
        <w:rPr>
          <w:color w:val="auto"/>
        </w:rPr>
        <w:t>is harmful in contact with skin and may cause an allergic skin reaction</w:t>
      </w:r>
      <w:r w:rsidRPr="00EB1099">
        <w:rPr>
          <w:color w:val="auto"/>
        </w:rPr>
        <w:t>.’</w:t>
      </w:r>
    </w:p>
    <w:p w14:paraId="21590B62" w14:textId="7DD0440B" w:rsidR="008D0FBD" w:rsidRPr="00EB1099" w:rsidRDefault="008D0FBD" w:rsidP="00EB1099">
      <w:pPr>
        <w:pStyle w:val="ListBullet2"/>
        <w:numPr>
          <w:ilvl w:val="1"/>
          <w:numId w:val="83"/>
        </w:numPr>
        <w:ind w:left="782" w:hanging="425"/>
        <w:rPr>
          <w:color w:val="auto"/>
        </w:rPr>
      </w:pPr>
      <w:r w:rsidRPr="00EB1099">
        <w:rPr>
          <w:color w:val="auto"/>
        </w:rPr>
        <w:t>Deoxycholic acid: ‘Warning… this substance is harmful if swallowed, causes serious eye irritation, causes skin irritation and may cause respiratory irritation.’</w:t>
      </w:r>
    </w:p>
    <w:p w14:paraId="701674A8" w14:textId="7A2D7001" w:rsidR="008D0FBD" w:rsidRPr="00163F51" w:rsidRDefault="008D0FBD" w:rsidP="00EB1099">
      <w:pPr>
        <w:pStyle w:val="ListBullet"/>
        <w:numPr>
          <w:ilvl w:val="0"/>
          <w:numId w:val="83"/>
        </w:numPr>
      </w:pPr>
      <w:r w:rsidRPr="00163F51">
        <w:t xml:space="preserve">The </w:t>
      </w:r>
      <w:hyperlink r:id="rId195" w:history="1">
        <w:r w:rsidRPr="00710D2F">
          <w:rPr>
            <w:rStyle w:val="Hyperlink"/>
            <w:rFonts w:asciiTheme="minorHAnsi" w:hAnsiTheme="minorHAnsi"/>
            <w:szCs w:val="22"/>
          </w:rPr>
          <w:t>European Union</w:t>
        </w:r>
      </w:hyperlink>
      <w:r w:rsidRPr="00163F51">
        <w:t xml:space="preserve"> lists </w:t>
      </w:r>
      <w:r w:rsidR="00D932DF">
        <w:t>d</w:t>
      </w:r>
      <w:r w:rsidRPr="00163F51">
        <w:t>eoxycholic acid as a cosmetic ingredient with therapeutic functions as a skin emollient, humectant and condition agent. The EU Register of medicinal products</w:t>
      </w:r>
      <w:r w:rsidRPr="00163F51">
        <w:rPr>
          <w:rStyle w:val="FootnoteReference"/>
          <w:szCs w:val="22"/>
        </w:rPr>
        <w:footnoteReference w:id="16"/>
      </w:r>
      <w:r w:rsidRPr="00163F51">
        <w:t xml:space="preserve"> includes </w:t>
      </w:r>
      <w:r w:rsidR="00D932DF">
        <w:t>c</w:t>
      </w:r>
      <w:r w:rsidRPr="00163F51">
        <w:t xml:space="preserve">henodeoxycholic acid and </w:t>
      </w:r>
      <w:r w:rsidR="00D932DF">
        <w:t>c</w:t>
      </w:r>
      <w:r w:rsidRPr="00163F51">
        <w:t>holic acid products indicated for the treatment of inborn errors in primary bile acid synthesis and primary biliary cirrhosis.</w:t>
      </w:r>
    </w:p>
    <w:p w14:paraId="28864ADE" w14:textId="12A5AEAE" w:rsidR="008D0FBD" w:rsidRPr="00163F51" w:rsidRDefault="008D0FBD" w:rsidP="00EB1099">
      <w:pPr>
        <w:pStyle w:val="ListBullet"/>
        <w:numPr>
          <w:ilvl w:val="0"/>
          <w:numId w:val="83"/>
        </w:numPr>
      </w:pPr>
      <w:r w:rsidRPr="00163F51">
        <w:t xml:space="preserve">In New Zealand </w:t>
      </w:r>
      <w:r w:rsidR="00D932DF">
        <w:t>d</w:t>
      </w:r>
      <w:r w:rsidRPr="00163F51">
        <w:t xml:space="preserve">eoxycholic acid and </w:t>
      </w:r>
      <w:r w:rsidR="00D932DF">
        <w:t>c</w:t>
      </w:r>
      <w:r w:rsidRPr="00163F51">
        <w:t xml:space="preserve">holic acid are listed on the </w:t>
      </w:r>
      <w:hyperlink r:id="rId196" w:history="1">
        <w:r w:rsidRPr="00710D2F">
          <w:rPr>
            <w:rStyle w:val="Hyperlink"/>
            <w:rFonts w:asciiTheme="minorHAnsi" w:hAnsiTheme="minorHAnsi"/>
            <w:szCs w:val="22"/>
          </w:rPr>
          <w:t>Inventory of Chemicals</w:t>
        </w:r>
      </w:hyperlink>
      <w:r w:rsidRPr="00163F51">
        <w:t xml:space="preserve"> without individual approval but may be used under an appropriate group standard. </w:t>
      </w:r>
      <w:hyperlink r:id="rId197" w:history="1">
        <w:r w:rsidRPr="00710D2F">
          <w:rPr>
            <w:rStyle w:val="Hyperlink"/>
            <w:rFonts w:asciiTheme="minorHAnsi" w:hAnsiTheme="minorHAnsi"/>
            <w:szCs w:val="22"/>
          </w:rPr>
          <w:t>New Zealand MedSafe</w:t>
        </w:r>
      </w:hyperlink>
      <w:r w:rsidRPr="00163F51">
        <w:t xml:space="preserve"> classifies </w:t>
      </w:r>
      <w:r w:rsidR="00C449ED">
        <w:t>c</w:t>
      </w:r>
      <w:r w:rsidRPr="00163F51">
        <w:t xml:space="preserve">henodeoxycholic acid and </w:t>
      </w:r>
      <w:r w:rsidR="00C449ED">
        <w:t>c</w:t>
      </w:r>
      <w:r w:rsidRPr="00163F51">
        <w:t>holic acid as prescription medicines. Deoxycholic acid is prescription-only when for injection, though is available for general sale in oral usage preparations.</w:t>
      </w:r>
    </w:p>
    <w:p w14:paraId="42F2E79D" w14:textId="3102FE1B" w:rsidR="008D0FBD" w:rsidRPr="00163F51" w:rsidRDefault="008D0FBD" w:rsidP="00EB1099">
      <w:pPr>
        <w:pStyle w:val="ListBullet"/>
        <w:numPr>
          <w:ilvl w:val="0"/>
          <w:numId w:val="83"/>
        </w:numPr>
      </w:pPr>
      <w:r w:rsidRPr="00163F51">
        <w:t xml:space="preserve">Deoxycholic acid is a prescription medicine in </w:t>
      </w:r>
      <w:hyperlink r:id="rId198" w:history="1">
        <w:r w:rsidRPr="00710D2F">
          <w:rPr>
            <w:rStyle w:val="Hyperlink"/>
            <w:rFonts w:asciiTheme="minorHAnsi" w:hAnsiTheme="minorHAnsi"/>
            <w:szCs w:val="22"/>
          </w:rPr>
          <w:t>Canada</w:t>
        </w:r>
      </w:hyperlink>
      <w:r w:rsidRPr="00163F51">
        <w:t xml:space="preserve"> and </w:t>
      </w:r>
      <w:hyperlink r:id="rId199" w:history="1">
        <w:r w:rsidRPr="00710D2F">
          <w:rPr>
            <w:rStyle w:val="Hyperlink"/>
            <w:rFonts w:asciiTheme="minorHAnsi" w:hAnsiTheme="minorHAnsi"/>
            <w:szCs w:val="22"/>
          </w:rPr>
          <w:t>Ireland</w:t>
        </w:r>
      </w:hyperlink>
      <w:r w:rsidR="0072362E">
        <w:t>.</w:t>
      </w:r>
    </w:p>
    <w:p w14:paraId="32600EC6" w14:textId="77777777" w:rsidR="00170F56" w:rsidRDefault="00170F56">
      <w:pPr>
        <w:rPr>
          <w:rFonts w:eastAsia="Times New Roman" w:cstheme="minorHAnsi"/>
          <w:b/>
          <w:bCs/>
          <w:color w:val="001871"/>
          <w:sz w:val="38"/>
          <w:szCs w:val="38"/>
        </w:rPr>
      </w:pPr>
      <w:bookmarkStart w:id="187" w:name="_How_to_respond"/>
      <w:bookmarkStart w:id="188" w:name="_Toc122614249"/>
      <w:bookmarkEnd w:id="176"/>
      <w:bookmarkEnd w:id="187"/>
      <w:r>
        <w:rPr>
          <w:rFonts w:cstheme="minorHAnsi"/>
        </w:rPr>
        <w:br w:type="page"/>
      </w:r>
    </w:p>
    <w:p w14:paraId="0A8F58FE" w14:textId="4BA68791" w:rsidR="00685E72" w:rsidRDefault="00685E72" w:rsidP="009C26DB">
      <w:pPr>
        <w:pStyle w:val="Heading2"/>
      </w:pPr>
      <w:bookmarkStart w:id="189" w:name="_Toc144110971"/>
      <w:r>
        <w:t>How to respond</w:t>
      </w:r>
      <w:bookmarkEnd w:id="188"/>
      <w:bookmarkEnd w:id="189"/>
    </w:p>
    <w:p w14:paraId="3855C80A" w14:textId="514AD09B" w:rsidR="00685E72" w:rsidRPr="008F6897" w:rsidRDefault="00685E72" w:rsidP="008F6897">
      <w:pPr>
        <w:rPr>
          <w:rFonts w:cstheme="minorHAnsi"/>
        </w:rPr>
      </w:pPr>
      <w:r w:rsidRPr="008F6897">
        <w:rPr>
          <w:rFonts w:cstheme="minorHAnsi"/>
        </w:rPr>
        <w:t xml:space="preserve">Submissions must be provided by the closing date of </w:t>
      </w:r>
      <w:r w:rsidR="00A83DFC">
        <w:rPr>
          <w:rFonts w:cstheme="minorHAnsi"/>
          <w:b/>
        </w:rPr>
        <w:t xml:space="preserve">29 September </w:t>
      </w:r>
      <w:r w:rsidRPr="008F6897">
        <w:rPr>
          <w:rFonts w:cstheme="minorHAnsi"/>
          <w:b/>
        </w:rPr>
        <w:t>20</w:t>
      </w:r>
      <w:r w:rsidR="00357751">
        <w:rPr>
          <w:rFonts w:cstheme="minorHAnsi"/>
          <w:b/>
        </w:rPr>
        <w:t>23</w:t>
      </w:r>
      <w:r w:rsidRPr="008F6897">
        <w:rPr>
          <w:rFonts w:cstheme="minorHAnsi"/>
        </w:rPr>
        <w:t xml:space="preserve"> through </w:t>
      </w:r>
      <w:r w:rsidRPr="009C634A">
        <w:rPr>
          <w:rFonts w:cstheme="minorHAnsi"/>
        </w:rPr>
        <w:t>our </w:t>
      </w:r>
      <w:hyperlink r:id="rId200" w:history="1">
        <w:r w:rsidRPr="0072362E">
          <w:rPr>
            <w:rStyle w:val="Hyperlink"/>
            <w:rFonts w:asciiTheme="minorHAnsi" w:hAnsiTheme="minorHAnsi" w:cstheme="minorHAnsi"/>
          </w:rPr>
          <w:t>consultation hub</w:t>
        </w:r>
      </w:hyperlink>
      <w:r w:rsidRPr="009C634A">
        <w:rPr>
          <w:rFonts w:cstheme="minorHAnsi"/>
        </w:rPr>
        <w:t>. A</w:t>
      </w:r>
      <w:r w:rsidRPr="008F6897">
        <w:rPr>
          <w:rFonts w:cstheme="minorHAnsi"/>
        </w:rPr>
        <w:t>ny submission about any of the proposals to amend the Poisons Standard will be considered at the next meeting of the </w:t>
      </w:r>
      <w:hyperlink r:id="rId201" w:history="1">
        <w:r w:rsidR="00EB1099">
          <w:rPr>
            <w:rStyle w:val="Hyperlink"/>
            <w:rFonts w:asciiTheme="minorHAnsi" w:hAnsiTheme="minorHAnsi" w:cstheme="minorHAnsi"/>
          </w:rPr>
          <w:t>Advisory Committee on Medicines Scheduling</w:t>
        </w:r>
      </w:hyperlink>
      <w:r w:rsidR="00EB1099" w:rsidRPr="00EB1099">
        <w:rPr>
          <w:rStyle w:val="Hyperlink"/>
          <w:rFonts w:asciiTheme="minorHAnsi" w:hAnsiTheme="minorHAnsi" w:cstheme="minorHAnsi"/>
          <w:color w:val="auto"/>
          <w:u w:val="none"/>
        </w:rPr>
        <w:t xml:space="preserve"> (ACMS)</w:t>
      </w:r>
      <w:r w:rsidRPr="008F6897">
        <w:rPr>
          <w:rFonts w:cstheme="minorHAnsi"/>
        </w:rPr>
        <w:t>, meeting of the </w:t>
      </w:r>
      <w:hyperlink r:id="rId202" w:history="1">
        <w:r w:rsidR="00EB1099">
          <w:rPr>
            <w:rStyle w:val="Hyperlink"/>
            <w:rFonts w:asciiTheme="minorHAnsi" w:hAnsiTheme="minorHAnsi" w:cstheme="minorHAnsi"/>
          </w:rPr>
          <w:t>Advisory Committee on Chemicals Scheduling</w:t>
        </w:r>
      </w:hyperlink>
      <w:r w:rsidR="00EB1099" w:rsidRPr="00EB1099">
        <w:rPr>
          <w:rStyle w:val="Hyperlink"/>
          <w:rFonts w:asciiTheme="minorHAnsi" w:hAnsiTheme="minorHAnsi" w:cstheme="minorHAnsi"/>
          <w:color w:val="auto"/>
          <w:u w:val="none"/>
        </w:rPr>
        <w:t xml:space="preserve"> (ACCS)</w:t>
      </w:r>
      <w:r w:rsidRPr="008F6897">
        <w:rPr>
          <w:rFonts w:cstheme="minorHAnsi"/>
        </w:rPr>
        <w:t>, or a joint meeting of these two committees.</w:t>
      </w:r>
    </w:p>
    <w:p w14:paraId="4DE7F136" w14:textId="77777777" w:rsidR="00685E72" w:rsidRDefault="00685E72" w:rsidP="00685E72">
      <w:pPr>
        <w:pStyle w:val="Heading2"/>
      </w:pPr>
      <w:bookmarkStart w:id="190" w:name="_Toc122614250"/>
      <w:bookmarkStart w:id="191" w:name="_Toc144110972"/>
      <w:r>
        <w:t>What will happen</w:t>
      </w:r>
      <w:bookmarkEnd w:id="190"/>
      <w:bookmarkEnd w:id="191"/>
    </w:p>
    <w:p w14:paraId="561D8CB1" w14:textId="77777777" w:rsidR="00685E72" w:rsidRPr="008F6897" w:rsidRDefault="00685E72" w:rsidP="00685E72">
      <w:pPr>
        <w:rPr>
          <w:rFonts w:cstheme="minorHAnsi"/>
        </w:rPr>
      </w:pPr>
      <w:r w:rsidRPr="008F6897">
        <w:rPr>
          <w:rFonts w:cstheme="minorHAnsi"/>
        </w:rPr>
        <w:t xml:space="preserve">All public submissions will be published on the TGA website at </w:t>
      </w:r>
      <w:hyperlink r:id="rId203" w:history="1">
        <w:r w:rsidRPr="008F6897">
          <w:rPr>
            <w:rStyle w:val="Hyperlink"/>
            <w:rFonts w:asciiTheme="minorHAnsi" w:hAnsiTheme="minorHAnsi" w:cstheme="minorHAnsi"/>
          </w:rPr>
          <w:t>Public submissions on scheduling matters</w:t>
        </w:r>
      </w:hyperlink>
      <w:r w:rsidRPr="008F6897">
        <w:rPr>
          <w:rFonts w:cstheme="minorHAnsi"/>
        </w:rPr>
        <w:t xml:space="preserve">, unless marked confidential or indicated otherwise in the submission coversheet (see </w:t>
      </w:r>
      <w:hyperlink r:id="rId204" w:history="1">
        <w:r w:rsidRPr="008F6897">
          <w:rPr>
            <w:rStyle w:val="Hyperlink"/>
            <w:rFonts w:asciiTheme="minorHAnsi" w:hAnsiTheme="minorHAnsi" w:cstheme="minorHAnsi"/>
          </w:rPr>
          <w:t>Privacy information</w:t>
        </w:r>
      </w:hyperlink>
      <w:r w:rsidRPr="008F6897">
        <w:rPr>
          <w:rFonts w:cstheme="minorHAnsi"/>
        </w:rPr>
        <w:t>).</w:t>
      </w:r>
    </w:p>
    <w:p w14:paraId="46AB479B" w14:textId="2328A644" w:rsidR="00685E72" w:rsidRPr="008F6897" w:rsidRDefault="00685E72" w:rsidP="00685E72">
      <w:pPr>
        <w:rPr>
          <w:rFonts w:cstheme="minorHAnsi"/>
        </w:rPr>
      </w:pPr>
      <w:r w:rsidRPr="00AF299A">
        <w:rPr>
          <w:rFonts w:cstheme="minorHAnsi"/>
        </w:rPr>
        <w:t>Following consideration of public submissions received before the closing date and advice from the expert advisory committees, decisions on the proposed amendments will be published as interim decisions on the TGA website</w:t>
      </w:r>
      <w:r w:rsidRPr="008F6897">
        <w:rPr>
          <w:rFonts w:cstheme="minorHAnsi"/>
        </w:rPr>
        <w:t xml:space="preserve">: </w:t>
      </w:r>
      <w:hyperlink r:id="rId205" w:history="1">
        <w:r w:rsidR="00EB1099">
          <w:rPr>
            <w:rStyle w:val="Hyperlink"/>
            <w:rFonts w:asciiTheme="minorHAnsi" w:hAnsiTheme="minorHAnsi" w:cstheme="minorHAnsi"/>
          </w:rPr>
          <w:t>Scheduling delegate's interim decisions &amp; invitations for further comment</w:t>
        </w:r>
      </w:hyperlink>
      <w:r w:rsidRPr="008F6897">
        <w:rPr>
          <w:rFonts w:cstheme="minorHAnsi"/>
        </w:rPr>
        <w:t xml:space="preserve"> </w:t>
      </w:r>
      <w:r w:rsidR="00357751" w:rsidRPr="00A83DFC">
        <w:rPr>
          <w:rFonts w:cstheme="minorHAnsi"/>
        </w:rPr>
        <w:t xml:space="preserve">in </w:t>
      </w:r>
      <w:r w:rsidR="00A83DFC" w:rsidRPr="00A83DFC">
        <w:rPr>
          <w:rFonts w:cstheme="minorHAnsi"/>
          <w:b/>
        </w:rPr>
        <w:t>February</w:t>
      </w:r>
      <w:r w:rsidRPr="00A83DFC">
        <w:rPr>
          <w:rFonts w:cstheme="minorHAnsi"/>
          <w:b/>
        </w:rPr>
        <w:t xml:space="preserve"> 20</w:t>
      </w:r>
      <w:r w:rsidR="00357751" w:rsidRPr="00A83DFC">
        <w:rPr>
          <w:rFonts w:cstheme="minorHAnsi"/>
          <w:b/>
        </w:rPr>
        <w:t xml:space="preserve">24. </w:t>
      </w:r>
    </w:p>
    <w:p w14:paraId="6BD7A14D" w14:textId="77777777" w:rsidR="00685E72" w:rsidRPr="00685E72" w:rsidRDefault="00685E72" w:rsidP="00685E72"/>
    <w:p w14:paraId="14380530" w14:textId="77777777" w:rsidR="00F02AEC" w:rsidRPr="00215D48" w:rsidRDefault="00F02AEC" w:rsidP="00AC5E26">
      <w:pPr>
        <w:spacing w:after="0" w:line="240" w:lineRule="auto"/>
        <w:sectPr w:rsidR="00F02AEC" w:rsidRPr="00215D48" w:rsidSect="00AC5E26">
          <w:headerReference w:type="default" r:id="rId206"/>
          <w:footerReference w:type="default" r:id="rId207"/>
          <w:pgSz w:w="11906" w:h="16838" w:code="9"/>
          <w:pgMar w:top="1134" w:right="1418" w:bottom="1361" w:left="1418" w:header="573" w:footer="567" w:gutter="0"/>
          <w:cols w:space="708"/>
          <w:docGrid w:linePitch="360"/>
        </w:sectPr>
      </w:pPr>
    </w:p>
    <w:tbl>
      <w:tblPr>
        <w:tblStyle w:val="GridTable1Light"/>
        <w:tblpPr w:leftFromText="180" w:rightFromText="180" w:vertAnchor="page" w:horzAnchor="margin" w:tblpY="14009"/>
        <w:tblW w:w="9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45"/>
      </w:tblGrid>
      <w:tr w:rsidR="00F02AEC" w:rsidRPr="00215D48" w14:paraId="5F4CFCE1" w14:textId="77777777" w:rsidTr="0072362E">
        <w:trPr>
          <w:cnfStyle w:val="100000000000" w:firstRow="1" w:lastRow="0" w:firstColumn="0" w:lastColumn="0" w:oddVBand="0" w:evenVBand="0" w:oddHBand="0" w:evenHBand="0" w:firstRowFirstColumn="0" w:firstRowLastColumn="0" w:lastRowFirstColumn="0" w:lastRowLastColumn="0"/>
          <w:trHeight w:hRule="exact" w:val="565"/>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tcPr>
          <w:p w14:paraId="442BCC64" w14:textId="77777777" w:rsidR="00F02AEC" w:rsidRPr="0072362E" w:rsidRDefault="00F02AEC" w:rsidP="009C634A">
            <w:pPr>
              <w:pStyle w:val="TGASignoff"/>
              <w:rPr>
                <w:b/>
                <w:bCs w:val="0"/>
              </w:rPr>
            </w:pPr>
            <w:r w:rsidRPr="0072362E">
              <w:rPr>
                <w:color w:val="auto"/>
              </w:rPr>
              <w:t>Therapeutic Goods Administration</w:t>
            </w:r>
          </w:p>
        </w:tc>
      </w:tr>
      <w:tr w:rsidR="00F02AEC" w:rsidRPr="00215D48" w14:paraId="7A4D9E91" w14:textId="77777777" w:rsidTr="0072362E">
        <w:trPr>
          <w:trHeight w:val="963"/>
        </w:trPr>
        <w:tc>
          <w:tcPr>
            <w:cnfStyle w:val="001000000000" w:firstRow="0" w:lastRow="0" w:firstColumn="1" w:lastColumn="0" w:oddVBand="0" w:evenVBand="0" w:oddHBand="0" w:evenHBand="0" w:firstRowFirstColumn="0" w:firstRowLastColumn="0" w:lastRowFirstColumn="0" w:lastRowLastColumn="0"/>
            <w:tcW w:w="0" w:type="dxa"/>
          </w:tcPr>
          <w:p w14:paraId="278E3ACD" w14:textId="77777777" w:rsidR="00F02AEC" w:rsidRPr="00215D48" w:rsidRDefault="00F02AEC" w:rsidP="009C634A">
            <w:pPr>
              <w:pStyle w:val="Address"/>
              <w:jc w:val="center"/>
            </w:pPr>
            <w:r w:rsidRPr="00215D48">
              <w:t>PO Box 100 Woden ACT 2606 Australia</w:t>
            </w:r>
          </w:p>
          <w:p w14:paraId="16729601" w14:textId="32FE80DE" w:rsidR="00F02AEC" w:rsidRDefault="00F02AEC" w:rsidP="009C634A">
            <w:pPr>
              <w:pStyle w:val="Address"/>
              <w:jc w:val="center"/>
              <w:rPr>
                <w:sz w:val="22"/>
                <w:szCs w:val="22"/>
              </w:rPr>
            </w:pPr>
            <w:r w:rsidRPr="00215D48">
              <w:t xml:space="preserve">Email: </w:t>
            </w:r>
            <w:hyperlink r:id="rId208" w:history="1">
              <w:r w:rsidRPr="00215D48">
                <w:rPr>
                  <w:rStyle w:val="Hyperlink"/>
                </w:rPr>
                <w:t>info@tga.gov.au</w:t>
              </w:r>
            </w:hyperlink>
            <w:r w:rsidRPr="00215D48">
              <w:t xml:space="preserve">  Phone: 1800 020 653 Fax: </w:t>
            </w:r>
            <w:r w:rsidRPr="00BA0DFC">
              <w:t>02 6203 1605</w:t>
            </w:r>
          </w:p>
          <w:p w14:paraId="44F15B70" w14:textId="77777777" w:rsidR="00F02AEC" w:rsidRPr="00215D48" w:rsidRDefault="00013F20" w:rsidP="009C634A">
            <w:pPr>
              <w:pStyle w:val="Address"/>
              <w:jc w:val="center"/>
              <w:rPr>
                <w:rStyle w:val="Hyperlink"/>
                <w:b w:val="0"/>
                <w:color w:val="auto"/>
                <w:sz w:val="22"/>
              </w:rPr>
            </w:pPr>
            <w:hyperlink r:id="rId209" w:history="1">
              <w:r w:rsidR="00F02AEC" w:rsidRPr="00C4721A">
                <w:rPr>
                  <w:rStyle w:val="Hyperlink"/>
                </w:rPr>
                <w:t>https://www.tga.gov.au</w:t>
              </w:r>
            </w:hyperlink>
          </w:p>
        </w:tc>
      </w:tr>
    </w:tbl>
    <w:p w14:paraId="39E12073" w14:textId="77777777" w:rsidR="00AC5E26" w:rsidRDefault="00AC5E26"/>
    <w:sectPr w:rsidR="00AC5E26" w:rsidSect="00AC5E26">
      <w:headerReference w:type="first" r:id="rId210"/>
      <w:footerReference w:type="first" r:id="rId211"/>
      <w:pgSz w:w="11906" w:h="16838" w:code="9"/>
      <w:pgMar w:top="13571" w:right="1701" w:bottom="567" w:left="1701" w:header="1134"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BBFF2" w14:textId="77777777" w:rsidR="00EA720F" w:rsidRDefault="00EA720F" w:rsidP="00F02AEC">
      <w:pPr>
        <w:spacing w:after="0" w:line="240" w:lineRule="auto"/>
      </w:pPr>
      <w:r>
        <w:separator/>
      </w:r>
    </w:p>
  </w:endnote>
  <w:endnote w:type="continuationSeparator" w:id="0">
    <w:p w14:paraId="2F9A8558" w14:textId="77777777" w:rsidR="00EA720F" w:rsidRDefault="00EA720F" w:rsidP="00F0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F02AEC" w:rsidRPr="00257138" w14:paraId="4CFC1A7C" w14:textId="77777777" w:rsidTr="00AC5E26">
      <w:trPr>
        <w:trHeight w:val="423"/>
      </w:trPr>
      <w:tc>
        <w:tcPr>
          <w:tcW w:w="4360" w:type="dxa"/>
          <w:tcBorders>
            <w:top w:val="single" w:sz="4" w:space="0" w:color="auto"/>
          </w:tcBorders>
        </w:tcPr>
        <w:p w14:paraId="1B77F06E" w14:textId="77777777" w:rsidR="00F02AEC" w:rsidRDefault="00F02AEC" w:rsidP="00AC5E26">
          <w:pPr>
            <w:pStyle w:val="Footer"/>
          </w:pPr>
        </w:p>
        <w:p w14:paraId="634F6009" w14:textId="77777777" w:rsidR="00F02AEC" w:rsidRPr="00257138" w:rsidRDefault="00F02AEC" w:rsidP="00AC5E26">
          <w:pPr>
            <w:pStyle w:val="Footer"/>
          </w:pPr>
          <w:r w:rsidRPr="00257138">
            <w:t>Document title</w:t>
          </w:r>
        </w:p>
      </w:tc>
      <w:tc>
        <w:tcPr>
          <w:tcW w:w="4360" w:type="dxa"/>
          <w:tcBorders>
            <w:top w:val="single" w:sz="4" w:space="0" w:color="auto"/>
          </w:tcBorders>
        </w:tcPr>
        <w:sdt>
          <w:sdtPr>
            <w:id w:val="1087729233"/>
            <w:docPartObj>
              <w:docPartGallery w:val="Page Numbers (Top of Page)"/>
              <w:docPartUnique/>
            </w:docPartObj>
          </w:sdtPr>
          <w:sdtEndPr/>
          <w:sdtContent>
            <w:p w14:paraId="77241C52" w14:textId="77777777" w:rsidR="00F02AEC" w:rsidRDefault="00F02AEC" w:rsidP="00AC5E26">
              <w:pPr>
                <w:pStyle w:val="Footer"/>
                <w:jc w:val="right"/>
              </w:pPr>
            </w:p>
            <w:p w14:paraId="3F5F7AF0" w14:textId="77777777" w:rsidR="00F02AEC" w:rsidRPr="00257138" w:rsidRDefault="00F02AEC" w:rsidP="00AC5E26">
              <w:pPr>
                <w:pStyle w:val="Footer"/>
                <w:jc w:val="right"/>
              </w:pPr>
              <w:r w:rsidRPr="00257138">
                <w:t xml:space="preserve">Page </w:t>
              </w:r>
              <w:r>
                <w:fldChar w:fldCharType="begin"/>
              </w:r>
              <w:r>
                <w:instrText xml:space="preserve"> PAGE </w:instrText>
              </w:r>
              <w:r>
                <w:fldChar w:fldCharType="separate"/>
              </w:r>
              <w:r>
                <w:rPr>
                  <w:noProof/>
                </w:rPr>
                <w:t>2</w:t>
              </w:r>
              <w:r>
                <w:rPr>
                  <w:noProof/>
                </w:rPr>
                <w:fldChar w:fldCharType="end"/>
              </w:r>
              <w:r w:rsidRPr="00257138">
                <w:t xml:space="preserve"> of </w:t>
              </w:r>
              <w:r w:rsidR="00013F20">
                <w:fldChar w:fldCharType="begin"/>
              </w:r>
              <w:r w:rsidR="00013F20">
                <w:instrText xml:space="preserve"> NUMPAGES  </w:instrText>
              </w:r>
              <w:r w:rsidR="00013F20">
                <w:fldChar w:fldCharType="separate"/>
              </w:r>
              <w:r>
                <w:rPr>
                  <w:noProof/>
                </w:rPr>
                <w:t>2</w:t>
              </w:r>
              <w:r w:rsidR="00013F20">
                <w:rPr>
                  <w:noProof/>
                </w:rPr>
                <w:fldChar w:fldCharType="end"/>
              </w:r>
            </w:p>
          </w:sdtContent>
        </w:sdt>
      </w:tc>
    </w:tr>
    <w:tr w:rsidR="00F02AEC" w:rsidRPr="00257138" w14:paraId="0D40ABB3" w14:textId="77777777" w:rsidTr="00AC5E26">
      <w:trPr>
        <w:trHeight w:val="263"/>
      </w:trPr>
      <w:tc>
        <w:tcPr>
          <w:tcW w:w="4360" w:type="dxa"/>
        </w:tcPr>
        <w:p w14:paraId="7E90E3F4" w14:textId="77777777" w:rsidR="00F02AEC" w:rsidRPr="00257138" w:rsidRDefault="00F02AEC" w:rsidP="00AC5E26">
          <w:pPr>
            <w:pStyle w:val="Footer"/>
          </w:pPr>
          <w:r w:rsidRPr="00257138">
            <w:t xml:space="preserve">V1.0 </w:t>
          </w:r>
          <w:r>
            <w:t>Month</w:t>
          </w:r>
          <w:r w:rsidRPr="00257138">
            <w:t xml:space="preserve"> 201</w:t>
          </w:r>
          <w:r>
            <w:t>2</w:t>
          </w:r>
        </w:p>
      </w:tc>
      <w:tc>
        <w:tcPr>
          <w:tcW w:w="4360" w:type="dxa"/>
        </w:tcPr>
        <w:p w14:paraId="178610D6" w14:textId="77777777" w:rsidR="00F02AEC" w:rsidRPr="00257138" w:rsidRDefault="00F02AEC" w:rsidP="00AC5E26">
          <w:pPr>
            <w:pStyle w:val="Footer"/>
            <w:jc w:val="right"/>
          </w:pPr>
        </w:p>
      </w:tc>
    </w:tr>
  </w:tbl>
  <w:p w14:paraId="0507B039" w14:textId="77777777" w:rsidR="00F02AEC" w:rsidRPr="00826007" w:rsidRDefault="00F02AEC" w:rsidP="00AC5E26">
    <w:pPr>
      <w:pStyle w:val="Footer"/>
      <w:tabs>
        <w:tab w:val="left" w:pos="7620"/>
        <w:tab w:val="right" w:pos="85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57EE" w14:textId="77777777" w:rsidR="00F02AEC" w:rsidRDefault="00F02AEC" w:rsidP="00AC5E26">
    <w:pPr>
      <w:pStyle w:val="Footer"/>
      <w:ind w:left="-1701"/>
    </w:pPr>
    <w:r w:rsidRPr="002B29B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4A0" w:firstRow="1" w:lastRow="0" w:firstColumn="1" w:lastColumn="0" w:noHBand="0" w:noVBand="1"/>
    </w:tblPr>
    <w:tblGrid>
      <w:gridCol w:w="7338"/>
      <w:gridCol w:w="1734"/>
    </w:tblGrid>
    <w:tr w:rsidR="00F02AEC" w:rsidRPr="00796620" w14:paraId="5ABB6CD7" w14:textId="77777777" w:rsidTr="00AC5E26">
      <w:trPr>
        <w:trHeight w:val="423"/>
      </w:trPr>
      <w:tc>
        <w:tcPr>
          <w:tcW w:w="7338" w:type="dxa"/>
          <w:tcBorders>
            <w:top w:val="single" w:sz="4" w:space="0" w:color="auto"/>
          </w:tcBorders>
        </w:tcPr>
        <w:p w14:paraId="102C175F" w14:textId="1C77F542" w:rsidR="00F02AEC" w:rsidRPr="00796620" w:rsidRDefault="003610AE" w:rsidP="003C6F67">
          <w:pPr>
            <w:pStyle w:val="Footer"/>
            <w:ind w:left="-104"/>
            <w:rPr>
              <w:rFonts w:asciiTheme="minorHAnsi" w:hAnsiTheme="minorHAnsi" w:cstheme="minorHAnsi"/>
            </w:rPr>
          </w:pPr>
          <w:r w:rsidRPr="00796620">
            <w:rPr>
              <w:rFonts w:asciiTheme="minorHAnsi" w:hAnsiTheme="minorHAnsi" w:cstheme="minorHAnsi"/>
            </w:rPr>
            <w:t>Consultation: Proposed amendments to the Poisons Standard – ACCS, ACMS and Joint ACMS-ACCS meetings, November 2023</w:t>
          </w:r>
          <w:r w:rsidR="00B641B5">
            <w:rPr>
              <w:rFonts w:asciiTheme="minorHAnsi" w:hAnsiTheme="minorHAnsi" w:cstheme="minorHAnsi"/>
            </w:rPr>
            <w:t xml:space="preserve"> – Version 2.0 </w:t>
          </w:r>
        </w:p>
      </w:tc>
      <w:tc>
        <w:tcPr>
          <w:tcW w:w="1734" w:type="dxa"/>
          <w:tcBorders>
            <w:top w:val="single" w:sz="4" w:space="0" w:color="auto"/>
          </w:tcBorders>
        </w:tcPr>
        <w:sdt>
          <w:sdtPr>
            <w:rPr>
              <w:rFonts w:asciiTheme="minorHAnsi" w:hAnsiTheme="minorHAnsi" w:cstheme="minorHAnsi"/>
            </w:rPr>
            <w:id w:val="11571659"/>
            <w:docPartObj>
              <w:docPartGallery w:val="Page Numbers (Top of Page)"/>
              <w:docPartUnique/>
            </w:docPartObj>
          </w:sdtPr>
          <w:sdtEndPr/>
          <w:sdtContent>
            <w:p w14:paraId="06894226" w14:textId="77777777" w:rsidR="00F02AEC" w:rsidRPr="00796620" w:rsidRDefault="00F02AEC" w:rsidP="003C6F67">
              <w:pPr>
                <w:pStyle w:val="Footer"/>
                <w:ind w:right="-109"/>
                <w:jc w:val="right"/>
                <w:rPr>
                  <w:rFonts w:asciiTheme="minorHAnsi" w:hAnsiTheme="minorHAnsi" w:cstheme="minorHAnsi"/>
                </w:rPr>
              </w:pPr>
              <w:r w:rsidRPr="00796620">
                <w:rPr>
                  <w:rFonts w:asciiTheme="minorHAnsi" w:hAnsiTheme="minorHAnsi" w:cstheme="minorHAnsi"/>
                </w:rPr>
                <w:t xml:space="preserve">Page </w:t>
              </w:r>
              <w:r w:rsidRPr="00796620">
                <w:rPr>
                  <w:rFonts w:asciiTheme="minorHAnsi" w:hAnsiTheme="minorHAnsi" w:cstheme="minorHAnsi"/>
                </w:rPr>
                <w:fldChar w:fldCharType="begin"/>
              </w:r>
              <w:r w:rsidRPr="00796620">
                <w:rPr>
                  <w:rFonts w:asciiTheme="minorHAnsi" w:hAnsiTheme="minorHAnsi" w:cstheme="minorHAnsi"/>
                </w:rPr>
                <w:instrText xml:space="preserve"> PAGE </w:instrText>
              </w:r>
              <w:r w:rsidRPr="00796620">
                <w:rPr>
                  <w:rFonts w:asciiTheme="minorHAnsi" w:hAnsiTheme="minorHAnsi" w:cstheme="minorHAnsi"/>
                </w:rPr>
                <w:fldChar w:fldCharType="separate"/>
              </w:r>
              <w:r w:rsidRPr="00796620">
                <w:rPr>
                  <w:rFonts w:asciiTheme="minorHAnsi" w:hAnsiTheme="minorHAnsi" w:cstheme="minorHAnsi"/>
                  <w:noProof/>
                </w:rPr>
                <w:t>6</w:t>
              </w:r>
              <w:r w:rsidRPr="00796620">
                <w:rPr>
                  <w:rFonts w:asciiTheme="minorHAnsi" w:hAnsiTheme="minorHAnsi" w:cstheme="minorHAnsi"/>
                  <w:noProof/>
                </w:rPr>
                <w:fldChar w:fldCharType="end"/>
              </w:r>
              <w:r w:rsidRPr="00796620">
                <w:rPr>
                  <w:rFonts w:asciiTheme="minorHAnsi" w:hAnsiTheme="minorHAnsi" w:cstheme="minorHAnsi"/>
                </w:rPr>
                <w:t xml:space="preserve"> of </w:t>
              </w:r>
              <w:r w:rsidR="00A8397C" w:rsidRPr="00796620">
                <w:rPr>
                  <w:rFonts w:asciiTheme="minorHAnsi" w:hAnsiTheme="minorHAnsi" w:cstheme="minorHAnsi"/>
                </w:rPr>
                <w:fldChar w:fldCharType="begin"/>
              </w:r>
              <w:r w:rsidR="00A8397C" w:rsidRPr="00796620">
                <w:rPr>
                  <w:rFonts w:asciiTheme="minorHAnsi" w:hAnsiTheme="minorHAnsi" w:cstheme="minorHAnsi"/>
                </w:rPr>
                <w:instrText xml:space="preserve"> NUMPAGES  </w:instrText>
              </w:r>
              <w:r w:rsidR="00A8397C" w:rsidRPr="00796620">
                <w:rPr>
                  <w:rFonts w:asciiTheme="minorHAnsi" w:hAnsiTheme="minorHAnsi" w:cstheme="minorHAnsi"/>
                </w:rPr>
                <w:fldChar w:fldCharType="separate"/>
              </w:r>
              <w:r w:rsidRPr="00796620">
                <w:rPr>
                  <w:rFonts w:asciiTheme="minorHAnsi" w:hAnsiTheme="minorHAnsi" w:cstheme="minorHAnsi"/>
                  <w:noProof/>
                </w:rPr>
                <w:t>7</w:t>
              </w:r>
              <w:r w:rsidR="00A8397C" w:rsidRPr="00796620">
                <w:rPr>
                  <w:rFonts w:asciiTheme="minorHAnsi" w:hAnsiTheme="minorHAnsi" w:cstheme="minorHAnsi"/>
                  <w:noProof/>
                </w:rPr>
                <w:fldChar w:fldCharType="end"/>
              </w:r>
            </w:p>
          </w:sdtContent>
        </w:sdt>
      </w:tc>
    </w:tr>
  </w:tbl>
  <w:p w14:paraId="634B676B" w14:textId="77777777" w:rsidR="00F02AEC" w:rsidRPr="00796620" w:rsidRDefault="00F02AEC" w:rsidP="00AC5E26">
    <w:pPr>
      <w:pStyle w:val="Footer"/>
      <w:tabs>
        <w:tab w:val="left" w:pos="7620"/>
        <w:tab w:val="right" w:pos="8504"/>
      </w:tabs>
      <w:rPr>
        <w:rFonts w:asciiTheme="minorHAnsi" w:hAnsiTheme="minorHAnsi" w:cstheme="minorHAns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58BA" w14:textId="77777777" w:rsidR="00AC5E26" w:rsidRPr="008E3C43" w:rsidRDefault="00AC5E26" w:rsidP="00AC5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DE77C" w14:textId="77777777" w:rsidR="00EA720F" w:rsidRDefault="00EA720F" w:rsidP="00F02AEC">
      <w:pPr>
        <w:spacing w:after="0" w:line="240" w:lineRule="auto"/>
      </w:pPr>
      <w:r>
        <w:separator/>
      </w:r>
    </w:p>
  </w:footnote>
  <w:footnote w:type="continuationSeparator" w:id="0">
    <w:p w14:paraId="758BE173" w14:textId="77777777" w:rsidR="00EA720F" w:rsidRDefault="00EA720F" w:rsidP="00F02AEC">
      <w:pPr>
        <w:spacing w:after="0" w:line="240" w:lineRule="auto"/>
      </w:pPr>
      <w:r>
        <w:continuationSeparator/>
      </w:r>
    </w:p>
  </w:footnote>
  <w:footnote w:id="1">
    <w:p w14:paraId="5B4763CC" w14:textId="77777777" w:rsidR="00685E72" w:rsidRPr="00687F35" w:rsidRDefault="00685E72" w:rsidP="008007EB">
      <w:pPr>
        <w:rPr>
          <w:rFonts w:cstheme="minorHAnsi"/>
          <w:sz w:val="18"/>
          <w:szCs w:val="18"/>
        </w:rPr>
      </w:pPr>
      <w:r w:rsidRPr="00687F35">
        <w:rPr>
          <w:rStyle w:val="FootnoteReference"/>
          <w:rFonts w:cstheme="minorHAnsi"/>
          <w:sz w:val="18"/>
          <w:szCs w:val="18"/>
        </w:rPr>
        <w:footnoteRef/>
      </w:r>
      <w:r w:rsidRPr="00687F35">
        <w:rPr>
          <w:rFonts w:cstheme="minorHAnsi"/>
          <w:sz w:val="18"/>
          <w:szCs w:val="18"/>
        </w:rPr>
        <w:t xml:space="preserve"> Proposed additions are shown in green underlined font, proposed deletions are shown in red strikethrough font, and text without this formatting represents the current text in the Poisons Standard.</w:t>
      </w:r>
    </w:p>
  </w:footnote>
  <w:footnote w:id="2">
    <w:p w14:paraId="11A6D60A" w14:textId="6C8CCDAB" w:rsidR="00B21C87" w:rsidRPr="00B21C87" w:rsidRDefault="00B21C87">
      <w:pPr>
        <w:pStyle w:val="FootnoteText"/>
        <w:rPr>
          <w:rFonts w:asciiTheme="minorHAnsi" w:hAnsiTheme="minorHAnsi" w:cstheme="minorHAnsi"/>
          <w:color w:val="auto"/>
          <w:sz w:val="18"/>
          <w:szCs w:val="18"/>
        </w:rPr>
      </w:pPr>
      <w:r w:rsidRPr="00B21C87">
        <w:rPr>
          <w:rFonts w:asciiTheme="minorHAnsi" w:hAnsiTheme="minorHAnsi" w:cstheme="minorHAnsi"/>
          <w:color w:val="auto"/>
          <w:sz w:val="18"/>
          <w:szCs w:val="18"/>
        </w:rPr>
        <w:footnoteRef/>
      </w:r>
      <w:r w:rsidRPr="00B21C87">
        <w:rPr>
          <w:rFonts w:asciiTheme="minorHAnsi" w:hAnsiTheme="minorHAnsi" w:cstheme="minorHAnsi"/>
          <w:color w:val="auto"/>
          <w:sz w:val="18"/>
          <w:szCs w:val="18"/>
        </w:rPr>
        <w:t xml:space="preserve"> Proposed additions are shown in green underlined font, proposed deletions are shown in red strikethrough font, and text without this formatting represents the current text in the Poisons Standard.</w:t>
      </w:r>
    </w:p>
  </w:footnote>
  <w:footnote w:id="3">
    <w:p w14:paraId="7DE8F0EA" w14:textId="77777777" w:rsidR="000E7528" w:rsidRPr="00E22509" w:rsidRDefault="000E7528" w:rsidP="000E7528">
      <w:pPr>
        <w:rPr>
          <w:rFonts w:cstheme="minorHAnsi"/>
          <w:sz w:val="18"/>
          <w:szCs w:val="18"/>
        </w:rPr>
      </w:pPr>
      <w:r w:rsidRPr="00E22509">
        <w:rPr>
          <w:rStyle w:val="FootnoteReference"/>
          <w:rFonts w:cstheme="minorHAnsi"/>
          <w:sz w:val="18"/>
          <w:szCs w:val="18"/>
        </w:rPr>
        <w:footnoteRef/>
      </w:r>
      <w:r w:rsidRPr="00E22509">
        <w:rPr>
          <w:rFonts w:cstheme="minorHAnsi"/>
          <w:sz w:val="18"/>
          <w:szCs w:val="18"/>
        </w:rPr>
        <w:t xml:space="preserve"> Proposed additions are shown in green underlined font, proposed deletions are shown in red strikethrough font, and text without this formatting represents the current text in the Poisons Standard.</w:t>
      </w:r>
    </w:p>
  </w:footnote>
  <w:footnote w:id="4">
    <w:p w14:paraId="535D8C7A" w14:textId="242DCF86" w:rsidR="00B94718" w:rsidRPr="00EB1099" w:rsidRDefault="00B94718">
      <w:pPr>
        <w:pStyle w:val="FootnoteText"/>
        <w:rPr>
          <w:rFonts w:asciiTheme="minorHAnsi" w:hAnsiTheme="minorHAnsi" w:cstheme="minorHAnsi"/>
          <w:sz w:val="18"/>
          <w:szCs w:val="18"/>
        </w:rPr>
      </w:pPr>
    </w:p>
  </w:footnote>
  <w:footnote w:id="5">
    <w:p w14:paraId="2826B88A" w14:textId="7AB87215" w:rsidR="008D4FF7" w:rsidRPr="008D4FF7" w:rsidRDefault="008D4FF7">
      <w:pPr>
        <w:pStyle w:val="FootnoteText"/>
        <w:rPr>
          <w:rFonts w:asciiTheme="minorHAnsi" w:hAnsiTheme="minorHAnsi" w:cstheme="minorHAnsi"/>
          <w:sz w:val="18"/>
          <w:szCs w:val="18"/>
        </w:rPr>
      </w:pPr>
      <w:r w:rsidRPr="008D4FF7">
        <w:rPr>
          <w:rStyle w:val="FootnoteReference"/>
          <w:rFonts w:asciiTheme="minorHAnsi" w:hAnsiTheme="minorHAnsi" w:cstheme="minorHAnsi"/>
          <w:sz w:val="18"/>
          <w:szCs w:val="18"/>
        </w:rPr>
        <w:footnoteRef/>
      </w:r>
      <w:r w:rsidRPr="008D4FF7">
        <w:rPr>
          <w:rFonts w:asciiTheme="minorHAnsi" w:hAnsiTheme="minorHAnsi" w:cstheme="minorHAnsi"/>
          <w:sz w:val="18"/>
          <w:szCs w:val="18"/>
        </w:rPr>
        <w:t xml:space="preserve"> Proposed additions are shown in green underlined font, proposed deletions are shown in red strikethrough font, and text without this formatting represents the current text in the Poisons Standard.</w:t>
      </w:r>
    </w:p>
  </w:footnote>
  <w:footnote w:id="6">
    <w:p w14:paraId="3E230A90" w14:textId="57CE07AA" w:rsidR="008D4FF7" w:rsidRPr="008D4FF7" w:rsidRDefault="008D4FF7">
      <w:pPr>
        <w:pStyle w:val="FootnoteText"/>
        <w:rPr>
          <w:rFonts w:asciiTheme="minorHAnsi" w:hAnsiTheme="minorHAnsi" w:cstheme="minorHAnsi"/>
          <w:sz w:val="18"/>
          <w:szCs w:val="18"/>
        </w:rPr>
      </w:pPr>
      <w:r w:rsidRPr="008D4FF7">
        <w:rPr>
          <w:rStyle w:val="FootnoteReference"/>
          <w:rFonts w:asciiTheme="minorHAnsi" w:hAnsiTheme="minorHAnsi" w:cstheme="minorHAnsi"/>
          <w:sz w:val="18"/>
          <w:szCs w:val="18"/>
        </w:rPr>
        <w:footnoteRef/>
      </w:r>
      <w:r w:rsidRPr="008D4FF7">
        <w:rPr>
          <w:rFonts w:asciiTheme="minorHAnsi" w:hAnsiTheme="minorHAnsi" w:cstheme="minorHAnsi"/>
          <w:sz w:val="18"/>
          <w:szCs w:val="18"/>
        </w:rPr>
        <w:t xml:space="preserve"> Proposed additions are shown in green underlined font, proposed deletions are shown in red strikethrough font, and text without this formatting represents the current text in the Poisons Standard.</w:t>
      </w:r>
    </w:p>
  </w:footnote>
  <w:footnote w:id="7">
    <w:p w14:paraId="31B2A05B" w14:textId="77777777" w:rsidR="00BA2399" w:rsidRPr="00277240" w:rsidRDefault="00BA2399" w:rsidP="00BA2399">
      <w:pPr>
        <w:rPr>
          <w:rFonts w:cstheme="minorHAnsi"/>
          <w:sz w:val="18"/>
          <w:szCs w:val="18"/>
        </w:rPr>
      </w:pPr>
      <w:r w:rsidRPr="00277240">
        <w:rPr>
          <w:rStyle w:val="FootnoteReference"/>
          <w:rFonts w:cstheme="minorHAnsi"/>
          <w:sz w:val="18"/>
          <w:szCs w:val="18"/>
        </w:rPr>
        <w:footnoteRef/>
      </w:r>
      <w:r w:rsidRPr="00277240">
        <w:rPr>
          <w:rFonts w:cstheme="minorHAnsi"/>
          <w:sz w:val="18"/>
          <w:szCs w:val="18"/>
        </w:rPr>
        <w:t xml:space="preserve"> Proposed additions are shown in green underlined font, proposed deletions are shown in red strikethrough font, and text without this formatting represents the current text in the Poisons Standard.</w:t>
      </w:r>
    </w:p>
  </w:footnote>
  <w:footnote w:id="8">
    <w:p w14:paraId="6F1E3260" w14:textId="19D9BBF7" w:rsidR="0072362E" w:rsidRPr="0072362E" w:rsidRDefault="0072362E">
      <w:pPr>
        <w:pStyle w:val="FootnoteText"/>
        <w:rPr>
          <w:rFonts w:asciiTheme="minorHAnsi" w:hAnsiTheme="minorHAnsi" w:cstheme="minorHAnsi"/>
          <w:sz w:val="18"/>
          <w:szCs w:val="18"/>
        </w:rPr>
      </w:pPr>
      <w:r w:rsidRPr="0072362E">
        <w:rPr>
          <w:rStyle w:val="FootnoteReference"/>
          <w:rFonts w:asciiTheme="minorHAnsi" w:hAnsiTheme="minorHAnsi" w:cstheme="minorHAnsi"/>
          <w:sz w:val="18"/>
          <w:szCs w:val="18"/>
        </w:rPr>
        <w:footnoteRef/>
      </w:r>
      <w:r w:rsidRPr="0072362E">
        <w:rPr>
          <w:rFonts w:asciiTheme="minorHAnsi" w:hAnsiTheme="minorHAnsi" w:cstheme="minorHAnsi"/>
          <w:sz w:val="18"/>
          <w:szCs w:val="18"/>
        </w:rPr>
        <w:t xml:space="preserve"> Proposed additions are shown in green underlined font, proposed deletions are shown in red strikethrough font, and text without this formatting represents the current text in the Poisons Standard.</w:t>
      </w:r>
    </w:p>
  </w:footnote>
  <w:footnote w:id="9">
    <w:p w14:paraId="5D760624" w14:textId="77777777" w:rsidR="00E13CFF" w:rsidRPr="00611EE2" w:rsidRDefault="00E13CFF" w:rsidP="00E13CFF">
      <w:pPr>
        <w:rPr>
          <w:rFonts w:cstheme="minorHAnsi"/>
          <w:sz w:val="18"/>
          <w:szCs w:val="18"/>
        </w:rPr>
      </w:pPr>
      <w:r w:rsidRPr="00611EE2">
        <w:rPr>
          <w:rStyle w:val="FootnoteReference"/>
          <w:rFonts w:cstheme="minorHAnsi"/>
          <w:sz w:val="18"/>
          <w:szCs w:val="18"/>
        </w:rPr>
        <w:footnoteRef/>
      </w:r>
      <w:r w:rsidRPr="00611EE2">
        <w:rPr>
          <w:rFonts w:cstheme="minorHAnsi"/>
          <w:sz w:val="18"/>
          <w:szCs w:val="18"/>
        </w:rPr>
        <w:t xml:space="preserve"> Proposed additions are shown in green underlined font, proposed deletions are shown in red strikethrough font, and text without this formatting represents the current text in the Poisons Standard.</w:t>
      </w:r>
    </w:p>
  </w:footnote>
  <w:footnote w:id="10">
    <w:p w14:paraId="23DE07E4" w14:textId="77777777" w:rsidR="00E13CFF" w:rsidRPr="00611EE2" w:rsidRDefault="00E13CFF" w:rsidP="00E13CFF">
      <w:pPr>
        <w:pStyle w:val="FootnoteText"/>
        <w:rPr>
          <w:rFonts w:asciiTheme="minorHAnsi" w:hAnsiTheme="minorHAnsi" w:cstheme="minorHAnsi"/>
          <w:sz w:val="18"/>
          <w:szCs w:val="18"/>
        </w:rPr>
      </w:pPr>
      <w:r w:rsidRPr="00611EE2">
        <w:rPr>
          <w:rStyle w:val="FootnoteReference"/>
          <w:rFonts w:asciiTheme="minorHAnsi" w:hAnsiTheme="minorHAnsi" w:cstheme="minorHAnsi"/>
          <w:sz w:val="18"/>
          <w:szCs w:val="18"/>
        </w:rPr>
        <w:footnoteRef/>
      </w:r>
      <w:r w:rsidRPr="00611EE2">
        <w:rPr>
          <w:rFonts w:asciiTheme="minorHAnsi" w:hAnsiTheme="minorHAnsi" w:cstheme="minorHAnsi"/>
          <w:sz w:val="18"/>
          <w:szCs w:val="18"/>
        </w:rPr>
        <w:t xml:space="preserve"> Adrenaline is also included in the Ingredient Database as the acid tartrate and hydrochloride salts</w:t>
      </w:r>
    </w:p>
  </w:footnote>
  <w:footnote w:id="11">
    <w:p w14:paraId="53176216" w14:textId="77777777" w:rsidR="00E13CFF" w:rsidRPr="007040B0" w:rsidRDefault="00E13CFF" w:rsidP="00E13CFF">
      <w:pPr>
        <w:pStyle w:val="FootnoteText"/>
        <w:rPr>
          <w:rFonts w:asciiTheme="minorHAnsi" w:hAnsiTheme="minorHAnsi" w:cstheme="minorHAnsi"/>
          <w:sz w:val="18"/>
          <w:szCs w:val="18"/>
        </w:rPr>
      </w:pPr>
      <w:r w:rsidRPr="007040B0">
        <w:rPr>
          <w:rStyle w:val="FootnoteReference"/>
          <w:rFonts w:asciiTheme="minorHAnsi" w:hAnsiTheme="minorHAnsi" w:cstheme="minorHAnsi"/>
          <w:sz w:val="18"/>
          <w:szCs w:val="18"/>
        </w:rPr>
        <w:footnoteRef/>
      </w:r>
      <w:r w:rsidRPr="007040B0">
        <w:rPr>
          <w:rFonts w:asciiTheme="minorHAnsi" w:hAnsiTheme="minorHAnsi" w:cstheme="minorHAnsi"/>
          <w:sz w:val="18"/>
          <w:szCs w:val="18"/>
        </w:rPr>
        <w:t xml:space="preserve"> Proposed additions are shown in green underlined font, proposed deletions are shown in red strikethrough font, and text without this formatting represents the current text in the Poisons Standard.</w:t>
      </w:r>
    </w:p>
  </w:footnote>
  <w:footnote w:id="12">
    <w:p w14:paraId="6E322B3F" w14:textId="77777777" w:rsidR="00E13CFF" w:rsidRPr="007040B0" w:rsidRDefault="00E13CFF" w:rsidP="00E13CFF">
      <w:pPr>
        <w:pStyle w:val="FootnoteText"/>
        <w:rPr>
          <w:rFonts w:asciiTheme="minorHAnsi" w:hAnsiTheme="minorHAnsi" w:cstheme="minorHAnsi"/>
          <w:sz w:val="18"/>
          <w:szCs w:val="18"/>
        </w:rPr>
      </w:pPr>
      <w:r w:rsidRPr="007040B0">
        <w:rPr>
          <w:rStyle w:val="FootnoteReference"/>
          <w:rFonts w:asciiTheme="minorHAnsi" w:hAnsiTheme="minorHAnsi" w:cstheme="minorHAnsi"/>
          <w:sz w:val="18"/>
          <w:szCs w:val="18"/>
        </w:rPr>
        <w:footnoteRef/>
      </w:r>
      <w:r w:rsidRPr="007040B0">
        <w:rPr>
          <w:rFonts w:asciiTheme="minorHAnsi" w:hAnsiTheme="minorHAnsi" w:cstheme="minorHAnsi"/>
          <w:sz w:val="18"/>
          <w:szCs w:val="18"/>
        </w:rPr>
        <w:t xml:space="preserve"> Proposed additions are shown in green underlined font, proposed deletions are shown in red strikethrough font, and text without this formatting represents the current text in the Poisons Standard.</w:t>
      </w:r>
    </w:p>
  </w:footnote>
  <w:footnote w:id="13">
    <w:p w14:paraId="5DA69950" w14:textId="77777777" w:rsidR="00D74E12" w:rsidRPr="007040B0" w:rsidRDefault="00D74E12" w:rsidP="00D74E12">
      <w:pPr>
        <w:pStyle w:val="FootnoteText"/>
        <w:rPr>
          <w:rFonts w:asciiTheme="minorHAnsi" w:hAnsiTheme="minorHAnsi" w:cstheme="minorHAnsi"/>
          <w:sz w:val="18"/>
          <w:szCs w:val="18"/>
        </w:rPr>
      </w:pPr>
      <w:r w:rsidRPr="007040B0">
        <w:rPr>
          <w:rStyle w:val="FootnoteReference"/>
          <w:rFonts w:asciiTheme="minorHAnsi" w:hAnsiTheme="minorHAnsi" w:cstheme="minorHAnsi"/>
          <w:sz w:val="18"/>
          <w:szCs w:val="18"/>
        </w:rPr>
        <w:footnoteRef/>
      </w:r>
      <w:r w:rsidRPr="007040B0">
        <w:rPr>
          <w:rFonts w:asciiTheme="minorHAnsi" w:hAnsiTheme="minorHAnsi" w:cstheme="minorHAnsi"/>
          <w:sz w:val="18"/>
          <w:szCs w:val="18"/>
        </w:rPr>
        <w:t xml:space="preserve"> Proposed additions are shown in green underlined font, proposed deletions are shown in red strikethrough font, and text without this formatting represents the current text in the Poisons Standard.</w:t>
      </w:r>
    </w:p>
  </w:footnote>
  <w:footnote w:id="14">
    <w:p w14:paraId="7B1300C0" w14:textId="77777777" w:rsidR="00DC1C7F" w:rsidRPr="002B4733" w:rsidRDefault="00DC1C7F" w:rsidP="00DC1C7F">
      <w:pPr>
        <w:rPr>
          <w:rFonts w:cstheme="minorHAnsi"/>
          <w:sz w:val="18"/>
          <w:szCs w:val="18"/>
        </w:rPr>
      </w:pPr>
      <w:r w:rsidRPr="002B4733">
        <w:rPr>
          <w:rStyle w:val="FootnoteReference"/>
          <w:rFonts w:cstheme="minorHAnsi"/>
          <w:sz w:val="18"/>
          <w:szCs w:val="18"/>
        </w:rPr>
        <w:footnoteRef/>
      </w:r>
      <w:r w:rsidRPr="002B4733">
        <w:rPr>
          <w:rFonts w:cstheme="minorHAnsi"/>
          <w:sz w:val="18"/>
          <w:szCs w:val="18"/>
        </w:rPr>
        <w:t xml:space="preserve"> Proposed additions are shown in green underlined font, proposed deletions are shown in red strikethrough font, and text without this formatting represents the current text in the Poisons Standard.</w:t>
      </w:r>
    </w:p>
  </w:footnote>
  <w:footnote w:id="15">
    <w:p w14:paraId="4E5FAD3D" w14:textId="77777777" w:rsidR="00593624" w:rsidRPr="002F224C" w:rsidRDefault="00593624" w:rsidP="00593624">
      <w:pPr>
        <w:rPr>
          <w:rFonts w:cstheme="minorHAnsi"/>
          <w:sz w:val="18"/>
          <w:szCs w:val="18"/>
        </w:rPr>
      </w:pPr>
      <w:r w:rsidRPr="002F224C">
        <w:rPr>
          <w:rStyle w:val="FootnoteReference"/>
          <w:rFonts w:cstheme="minorHAnsi"/>
          <w:sz w:val="18"/>
          <w:szCs w:val="18"/>
        </w:rPr>
        <w:footnoteRef/>
      </w:r>
      <w:r w:rsidRPr="002F224C">
        <w:rPr>
          <w:rFonts w:cstheme="minorHAnsi"/>
          <w:sz w:val="18"/>
          <w:szCs w:val="18"/>
        </w:rPr>
        <w:t xml:space="preserve"> Proposed additions are shown in green underlined font, proposed deletions are shown in red strikethrough font, and text without this formatting represents the current text in the Poisons Standard.</w:t>
      </w:r>
    </w:p>
  </w:footnote>
  <w:footnote w:id="16">
    <w:p w14:paraId="795CE2CB" w14:textId="77777777" w:rsidR="008D0FBD" w:rsidRPr="0072362E" w:rsidRDefault="008D0FBD" w:rsidP="008D0FBD">
      <w:pPr>
        <w:spacing w:after="0"/>
        <w:rPr>
          <w:rFonts w:cstheme="minorHAnsi"/>
          <w:sz w:val="18"/>
          <w:szCs w:val="18"/>
        </w:rPr>
      </w:pPr>
      <w:r w:rsidRPr="0072362E">
        <w:rPr>
          <w:rStyle w:val="FootnoteReference"/>
          <w:rFonts w:cstheme="minorHAnsi"/>
          <w:sz w:val="18"/>
          <w:szCs w:val="18"/>
        </w:rPr>
        <w:footnoteRef/>
      </w:r>
      <w:r w:rsidRPr="0072362E">
        <w:rPr>
          <w:rFonts w:cstheme="minorHAnsi"/>
          <w:sz w:val="18"/>
          <w:szCs w:val="18"/>
        </w:rPr>
        <w:t xml:space="preserve"> European Commission </w:t>
      </w:r>
      <w:hyperlink r:id="rId1" w:history="1">
        <w:r w:rsidRPr="0072362E">
          <w:rPr>
            <w:rStyle w:val="Hyperlink"/>
            <w:rFonts w:asciiTheme="minorHAnsi" w:hAnsiTheme="minorHAnsi" w:cstheme="minorHAnsi"/>
            <w:sz w:val="18"/>
            <w:szCs w:val="18"/>
          </w:rPr>
          <w:t>https://ec.europa.eu/health/documents/community-register/html/reg_index_inn.htm</w:t>
        </w:r>
      </w:hyperlink>
      <w:r w:rsidRPr="0072362E">
        <w:rPr>
          <w:rFonts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1BED" w14:textId="77777777" w:rsidR="00F02AEC" w:rsidRPr="00CB0550" w:rsidRDefault="00F02AEC" w:rsidP="00CB0550">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 w:tblpY="8999"/>
      <w:tblOverlap w:val="never"/>
      <w:tblW w:w="11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4"/>
    </w:tblGrid>
    <w:tr w:rsidR="00F02AEC" w:rsidRPr="002B29B2" w14:paraId="35940C1E" w14:textId="77777777" w:rsidTr="00AC5E26">
      <w:trPr>
        <w:trHeight w:hRule="exact" w:val="8845"/>
      </w:trPr>
      <w:tc>
        <w:tcPr>
          <w:tcW w:w="11964" w:type="dxa"/>
          <w:vAlign w:val="center"/>
        </w:tcPr>
        <w:p w14:paraId="0799E287" w14:textId="10E55BE8" w:rsidR="00F02AEC" w:rsidRPr="002B29B2" w:rsidRDefault="00F02AEC" w:rsidP="00AC5E26">
          <w:pPr>
            <w:ind w:left="-57"/>
            <w:rPr>
              <w:noProof/>
            </w:rPr>
          </w:pPr>
        </w:p>
      </w:tc>
    </w:tr>
  </w:tbl>
  <w:p w14:paraId="0BA1A1C9" w14:textId="77777777" w:rsidR="00F02AEC" w:rsidRDefault="00CB0550" w:rsidP="00AC5E26">
    <w:pPr>
      <w:rPr>
        <w:noProof/>
      </w:rPr>
    </w:pPr>
    <w:r>
      <w:rPr>
        <w:noProof/>
        <w:lang w:eastAsia="en-AU"/>
      </w:rPr>
      <w:drawing>
        <wp:anchor distT="0" distB="0" distL="114300" distR="114300" simplePos="0" relativeHeight="251661312" behindDoc="0" locked="0" layoutInCell="1" allowOverlap="1" wp14:anchorId="30FCA57B" wp14:editId="67652F2E">
          <wp:simplePos x="0" y="0"/>
          <wp:positionH relativeFrom="column">
            <wp:posOffset>-400050</wp:posOffset>
          </wp:positionH>
          <wp:positionV relativeFrom="paragraph">
            <wp:posOffset>-116205</wp:posOffset>
          </wp:positionV>
          <wp:extent cx="2676525" cy="621665"/>
          <wp:effectExtent l="0" t="0" r="9525" b="6985"/>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76525" cy="621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02AEC" w:rsidRPr="002B29B2">
      <w:rPr>
        <w:noProof/>
        <w:lang w:eastAsia="en-AU"/>
      </w:rPr>
      <w:drawing>
        <wp:anchor distT="0" distB="0" distL="114300" distR="114300" simplePos="0" relativeHeight="251660288" behindDoc="0" locked="0" layoutInCell="0" allowOverlap="1" wp14:anchorId="2FCFED33" wp14:editId="56CB902C">
          <wp:simplePos x="0" y="0"/>
          <wp:positionH relativeFrom="page">
            <wp:align>left</wp:align>
          </wp:positionH>
          <wp:positionV relativeFrom="page">
            <wp:posOffset>3239495</wp:posOffset>
          </wp:positionV>
          <wp:extent cx="7663815" cy="4323091"/>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663815" cy="43230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0FA4" w14:textId="77777777" w:rsidR="00F02AEC" w:rsidRPr="00796620" w:rsidRDefault="00F02AEC" w:rsidP="00AC5E26">
    <w:pPr>
      <w:pStyle w:val="Header"/>
      <w:rPr>
        <w:rFonts w:asciiTheme="minorHAnsi" w:hAnsiTheme="minorHAnsi" w:cstheme="minorHAnsi"/>
        <w:color w:val="auto"/>
      </w:rPr>
    </w:pPr>
    <w:bookmarkStart w:id="192" w:name="_Hlk139891503"/>
    <w:bookmarkStart w:id="193" w:name="_Hlk139891504"/>
    <w:bookmarkStart w:id="194" w:name="_Hlk139891507"/>
    <w:bookmarkStart w:id="195" w:name="_Hlk139891508"/>
    <w:bookmarkStart w:id="196" w:name="_Hlk139891512"/>
    <w:bookmarkStart w:id="197" w:name="_Hlk139891513"/>
    <w:bookmarkStart w:id="198" w:name="_Hlk139891537"/>
    <w:bookmarkStart w:id="199" w:name="_Hlk139891538"/>
    <w:r w:rsidRPr="00796620">
      <w:rPr>
        <w:rFonts w:asciiTheme="minorHAnsi" w:hAnsiTheme="minorHAnsi" w:cstheme="minorHAnsi"/>
        <w:color w:val="auto"/>
      </w:rPr>
      <w:t>Therapeutic Goods Administration</w:t>
    </w:r>
    <w:bookmarkEnd w:id="192"/>
    <w:bookmarkEnd w:id="193"/>
    <w:bookmarkEnd w:id="194"/>
    <w:bookmarkEnd w:id="195"/>
    <w:bookmarkEnd w:id="196"/>
    <w:bookmarkEnd w:id="197"/>
    <w:bookmarkEnd w:id="198"/>
    <w:bookmarkEnd w:id="199"/>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0CB5" w14:textId="77777777" w:rsidR="00AC5E26" w:rsidRPr="00FE501F" w:rsidRDefault="00AC5E26" w:rsidP="00AC5E26">
    <w:pPr>
      <w:pStyle w:val="Headerno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F74"/>
    <w:multiLevelType w:val="hybridMultilevel"/>
    <w:tmpl w:val="5776D846"/>
    <w:lvl w:ilvl="0" w:tplc="7A3CCC44">
      <w:start w:val="1"/>
      <w:numFmt w:val="bullet"/>
      <w:lvlText w:val=""/>
      <w:lvlJc w:val="left"/>
      <w:pPr>
        <w:ind w:left="1440" w:hanging="360"/>
      </w:pPr>
      <w:rPr>
        <w:rFonts w:ascii="Symbol" w:hAnsi="Symbol" w:hint="default"/>
        <w:sz w:val="16"/>
        <w:szCs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26F1E67"/>
    <w:multiLevelType w:val="multilevel"/>
    <w:tmpl w:val="21CE23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914922"/>
    <w:multiLevelType w:val="hybridMultilevel"/>
    <w:tmpl w:val="F1F28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751011"/>
    <w:multiLevelType w:val="hybridMultilevel"/>
    <w:tmpl w:val="4A12EA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53F11"/>
    <w:multiLevelType w:val="multilevel"/>
    <w:tmpl w:val="E58A81F0"/>
    <w:styleLink w:val="NumberBullet"/>
    <w:lvl w:ilvl="0">
      <w:start w:val="1"/>
      <w:numFmt w:val="decimal"/>
      <w:pStyle w:val="Numberbullet0"/>
      <w:lvlText w:val="%1."/>
      <w:lvlJc w:val="left"/>
      <w:pPr>
        <w:ind w:left="360" w:hanging="360"/>
      </w:pPr>
      <w:rPr>
        <w:rFonts w:ascii="Arial" w:hAnsi="Arial" w:hint="default"/>
      </w:rPr>
    </w:lvl>
    <w:lvl w:ilvl="1">
      <w:start w:val="1"/>
      <w:numFmt w:val="lowerLetter"/>
      <w:pStyle w:val="Numberbullet2"/>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5" w15:restartNumberingAfterBreak="0">
    <w:nsid w:val="114B303B"/>
    <w:multiLevelType w:val="hybridMultilevel"/>
    <w:tmpl w:val="B27E16A8"/>
    <w:lvl w:ilvl="0" w:tplc="FFFFFFFF">
      <w:start w:val="1"/>
      <w:numFmt w:val="lowerLetter"/>
      <w:lvlText w:val="%1)"/>
      <w:lvlJc w:val="left"/>
      <w:pPr>
        <w:ind w:left="1506" w:hanging="360"/>
      </w:pPr>
    </w:lvl>
    <w:lvl w:ilvl="1" w:tplc="87B82D26">
      <w:start w:val="1"/>
      <w:numFmt w:val="upperLetter"/>
      <w:lvlText w:val="(%2)"/>
      <w:lvlJc w:val="left"/>
      <w:pPr>
        <w:ind w:left="2061" w:hanging="360"/>
      </w:pPr>
      <w:rPr>
        <w:rFonts w:hint="default"/>
      </w:rPr>
    </w:lvl>
    <w:lvl w:ilvl="2" w:tplc="FFFFFFFF">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6" w15:restartNumberingAfterBreak="0">
    <w:nsid w:val="119D631B"/>
    <w:multiLevelType w:val="hybridMultilevel"/>
    <w:tmpl w:val="981C12E2"/>
    <w:lvl w:ilvl="0" w:tplc="EB64F340">
      <w:start w:val="8"/>
      <w:numFmt w:val="decimal"/>
      <w:lvlText w:val="%1."/>
      <w:lvlJc w:val="left"/>
      <w:pPr>
        <w:ind w:left="1080" w:hanging="360"/>
      </w:pPr>
      <w:rPr>
        <w:rFonts w:asciiTheme="minorHAnsi" w:eastAsia="Times New Roman"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2B1DBA"/>
    <w:multiLevelType w:val="hybridMultilevel"/>
    <w:tmpl w:val="273A5B0C"/>
    <w:lvl w:ilvl="0" w:tplc="467EA93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63F187C"/>
    <w:multiLevelType w:val="hybridMultilevel"/>
    <w:tmpl w:val="20409048"/>
    <w:lvl w:ilvl="0" w:tplc="669A989C">
      <w:start w:val="4"/>
      <w:numFmt w:val="bullet"/>
      <w:pStyle w:val="ListBullet3"/>
      <w:lvlText w:val="▪"/>
      <w:lvlJc w:val="left"/>
      <w:pPr>
        <w:ind w:left="1571" w:hanging="360"/>
      </w:pPr>
      <w:rPr>
        <w:rFonts w:ascii="Arial" w:eastAsia="Cambria"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15:restartNumberingAfterBreak="0">
    <w:nsid w:val="168F13E9"/>
    <w:multiLevelType w:val="multilevel"/>
    <w:tmpl w:val="059CA5E6"/>
    <w:styleLink w:val="ListBullets"/>
    <w:lvl w:ilvl="0">
      <w:start w:val="4"/>
      <w:numFmt w:val="bullet"/>
      <w:pStyle w:val="ListBullet"/>
      <w:lvlText w:val="•"/>
      <w:lvlJc w:val="left"/>
      <w:pPr>
        <w:ind w:left="360" w:hanging="360"/>
      </w:pPr>
      <w:rPr>
        <w:rFonts w:ascii="Cambria" w:eastAsia="Cambria" w:hAnsi="Cambria" w:hint="default"/>
      </w:rPr>
    </w:lvl>
    <w:lvl w:ilvl="1">
      <w:start w:val="1"/>
      <w:numFmt w:val="bullet"/>
      <w:pStyle w:val="ListBullet2"/>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187C12D1"/>
    <w:multiLevelType w:val="hybridMultilevel"/>
    <w:tmpl w:val="3446DF42"/>
    <w:lvl w:ilvl="0" w:tplc="7A26A5C6">
      <w:start w:val="1"/>
      <w:numFmt w:val="decimal"/>
      <w:lvlText w:val="%1."/>
      <w:lvlJc w:val="left"/>
      <w:pPr>
        <w:ind w:left="1080" w:hanging="360"/>
      </w:pPr>
      <w:rPr>
        <w:rFonts w:asciiTheme="minorHAnsi" w:eastAsia="Times New Roman" w:hAnsiTheme="minorHAnsi" w:cstheme="minorHAns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91C732B"/>
    <w:multiLevelType w:val="hybridMultilevel"/>
    <w:tmpl w:val="2A9CF8C6"/>
    <w:lvl w:ilvl="0" w:tplc="87B82D26">
      <w:start w:val="1"/>
      <w:numFmt w:val="upperLetter"/>
      <w:lvlText w:val="(%1)"/>
      <w:lvlJc w:val="left"/>
      <w:pPr>
        <w:ind w:left="2228" w:hanging="360"/>
      </w:pPr>
      <w:rPr>
        <w:rFonts w:hint="default"/>
      </w:rPr>
    </w:lvl>
    <w:lvl w:ilvl="1" w:tplc="0C090019">
      <w:start w:val="1"/>
      <w:numFmt w:val="lowerLetter"/>
      <w:lvlText w:val="%2."/>
      <w:lvlJc w:val="left"/>
      <w:pPr>
        <w:ind w:left="2948" w:hanging="360"/>
      </w:pPr>
    </w:lvl>
    <w:lvl w:ilvl="2" w:tplc="0C09001B" w:tentative="1">
      <w:start w:val="1"/>
      <w:numFmt w:val="lowerRoman"/>
      <w:lvlText w:val="%3."/>
      <w:lvlJc w:val="right"/>
      <w:pPr>
        <w:ind w:left="3668" w:hanging="180"/>
      </w:pPr>
    </w:lvl>
    <w:lvl w:ilvl="3" w:tplc="0C09000F" w:tentative="1">
      <w:start w:val="1"/>
      <w:numFmt w:val="decimal"/>
      <w:lvlText w:val="%4."/>
      <w:lvlJc w:val="left"/>
      <w:pPr>
        <w:ind w:left="4388" w:hanging="360"/>
      </w:pPr>
    </w:lvl>
    <w:lvl w:ilvl="4" w:tplc="0C090019" w:tentative="1">
      <w:start w:val="1"/>
      <w:numFmt w:val="lowerLetter"/>
      <w:lvlText w:val="%5."/>
      <w:lvlJc w:val="left"/>
      <w:pPr>
        <w:ind w:left="5108" w:hanging="360"/>
      </w:pPr>
    </w:lvl>
    <w:lvl w:ilvl="5" w:tplc="0C09001B" w:tentative="1">
      <w:start w:val="1"/>
      <w:numFmt w:val="lowerRoman"/>
      <w:lvlText w:val="%6."/>
      <w:lvlJc w:val="right"/>
      <w:pPr>
        <w:ind w:left="5828" w:hanging="180"/>
      </w:pPr>
    </w:lvl>
    <w:lvl w:ilvl="6" w:tplc="0C09000F" w:tentative="1">
      <w:start w:val="1"/>
      <w:numFmt w:val="decimal"/>
      <w:lvlText w:val="%7."/>
      <w:lvlJc w:val="left"/>
      <w:pPr>
        <w:ind w:left="6548" w:hanging="360"/>
      </w:pPr>
    </w:lvl>
    <w:lvl w:ilvl="7" w:tplc="0C090019" w:tentative="1">
      <w:start w:val="1"/>
      <w:numFmt w:val="lowerLetter"/>
      <w:lvlText w:val="%8."/>
      <w:lvlJc w:val="left"/>
      <w:pPr>
        <w:ind w:left="7268" w:hanging="360"/>
      </w:pPr>
    </w:lvl>
    <w:lvl w:ilvl="8" w:tplc="0C09001B" w:tentative="1">
      <w:start w:val="1"/>
      <w:numFmt w:val="lowerRoman"/>
      <w:lvlText w:val="%9."/>
      <w:lvlJc w:val="right"/>
      <w:pPr>
        <w:ind w:left="7988" w:hanging="180"/>
      </w:pPr>
    </w:lvl>
  </w:abstractNum>
  <w:abstractNum w:abstractNumId="12" w15:restartNumberingAfterBreak="0">
    <w:nsid w:val="1ABD74D0"/>
    <w:multiLevelType w:val="hybridMultilevel"/>
    <w:tmpl w:val="BAA85400"/>
    <w:lvl w:ilvl="0" w:tplc="1E7E3E92">
      <w:start w:val="1"/>
      <w:numFmt w:val="lowerRoman"/>
      <w:pStyle w:val="ListBulleti"/>
      <w:lvlText w:val="%1)"/>
      <w:lvlJc w:val="left"/>
      <w:pPr>
        <w:ind w:left="1506" w:hanging="360"/>
      </w:pPr>
      <w:rPr>
        <w:rFonts w:hint="default"/>
        <w:color w:val="auto"/>
        <w:u w:val="none"/>
      </w:rPr>
    </w:lvl>
    <w:lvl w:ilvl="1" w:tplc="0C090019">
      <w:start w:val="1"/>
      <w:numFmt w:val="lowerLetter"/>
      <w:lvlText w:val="%2."/>
      <w:lvlJc w:val="left"/>
      <w:pPr>
        <w:ind w:left="1931" w:hanging="360"/>
      </w:pPr>
    </w:lvl>
    <w:lvl w:ilvl="2" w:tplc="0C09001B" w:tentative="1">
      <w:start w:val="1"/>
      <w:numFmt w:val="lowerRoman"/>
      <w:lvlText w:val="%3."/>
      <w:lvlJc w:val="right"/>
      <w:pPr>
        <w:ind w:left="3252" w:hanging="180"/>
      </w:pPr>
    </w:lvl>
    <w:lvl w:ilvl="3" w:tplc="0C09000F" w:tentative="1">
      <w:start w:val="1"/>
      <w:numFmt w:val="decimal"/>
      <w:lvlText w:val="%4."/>
      <w:lvlJc w:val="left"/>
      <w:pPr>
        <w:ind w:left="3972" w:hanging="360"/>
      </w:pPr>
    </w:lvl>
    <w:lvl w:ilvl="4" w:tplc="0C090019" w:tentative="1">
      <w:start w:val="1"/>
      <w:numFmt w:val="lowerLetter"/>
      <w:lvlText w:val="%5."/>
      <w:lvlJc w:val="left"/>
      <w:pPr>
        <w:ind w:left="4692" w:hanging="360"/>
      </w:pPr>
    </w:lvl>
    <w:lvl w:ilvl="5" w:tplc="0C09001B" w:tentative="1">
      <w:start w:val="1"/>
      <w:numFmt w:val="lowerRoman"/>
      <w:lvlText w:val="%6."/>
      <w:lvlJc w:val="right"/>
      <w:pPr>
        <w:ind w:left="5412" w:hanging="180"/>
      </w:pPr>
    </w:lvl>
    <w:lvl w:ilvl="6" w:tplc="0C09000F" w:tentative="1">
      <w:start w:val="1"/>
      <w:numFmt w:val="decimal"/>
      <w:lvlText w:val="%7."/>
      <w:lvlJc w:val="left"/>
      <w:pPr>
        <w:ind w:left="6132" w:hanging="360"/>
      </w:pPr>
    </w:lvl>
    <w:lvl w:ilvl="7" w:tplc="0C090019" w:tentative="1">
      <w:start w:val="1"/>
      <w:numFmt w:val="lowerLetter"/>
      <w:lvlText w:val="%8."/>
      <w:lvlJc w:val="left"/>
      <w:pPr>
        <w:ind w:left="6852" w:hanging="360"/>
      </w:pPr>
    </w:lvl>
    <w:lvl w:ilvl="8" w:tplc="0C09001B" w:tentative="1">
      <w:start w:val="1"/>
      <w:numFmt w:val="lowerRoman"/>
      <w:lvlText w:val="%9."/>
      <w:lvlJc w:val="right"/>
      <w:pPr>
        <w:ind w:left="7572" w:hanging="180"/>
      </w:pPr>
    </w:lvl>
  </w:abstractNum>
  <w:abstractNum w:abstractNumId="13" w15:restartNumberingAfterBreak="0">
    <w:nsid w:val="20297CB5"/>
    <w:multiLevelType w:val="hybridMultilevel"/>
    <w:tmpl w:val="5CD6EDE4"/>
    <w:lvl w:ilvl="0" w:tplc="05005110">
      <w:start w:val="1"/>
      <w:numFmt w:val="bullet"/>
      <w:lvlText w:val=""/>
      <w:lvlJc w:val="left"/>
      <w:pPr>
        <w:ind w:left="360" w:hanging="360"/>
      </w:pPr>
      <w:rPr>
        <w:rFonts w:ascii="Symbol" w:hAnsi="Symbol" w:hint="default"/>
        <w:color w:val="auto"/>
        <w:sz w:val="16"/>
        <w:szCs w:val="16"/>
      </w:rPr>
    </w:lvl>
    <w:lvl w:ilvl="1" w:tplc="BA3E729A">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0EB1BE1"/>
    <w:multiLevelType w:val="hybridMultilevel"/>
    <w:tmpl w:val="8DFA1B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FB1C56"/>
    <w:multiLevelType w:val="multilevel"/>
    <w:tmpl w:val="339EBC96"/>
    <w:lvl w:ilvl="0">
      <w:start w:val="1"/>
      <w:numFmt w:val="bullet"/>
      <w:pStyle w:val="ListBullet-dotick"/>
      <w:lvlText w:val=""/>
      <w:lvlJc w:val="left"/>
      <w:pPr>
        <w:ind w:left="360" w:hanging="360"/>
      </w:pPr>
      <w:rPr>
        <w:rFonts w:ascii="Wingdings" w:hAnsi="Wingdings" w:hint="default"/>
        <w:b/>
        <w:i w:val="0"/>
        <w:color w:val="00B050"/>
        <w:sz w:val="24"/>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6" w15:restartNumberingAfterBreak="0">
    <w:nsid w:val="27384745"/>
    <w:multiLevelType w:val="hybridMultilevel"/>
    <w:tmpl w:val="17822B58"/>
    <w:lvl w:ilvl="0" w:tplc="2278B20E">
      <w:start w:val="1"/>
      <w:numFmt w:val="lowerLetter"/>
      <w:lvlText w:val="%1)"/>
      <w:lvlJc w:val="left"/>
      <w:pPr>
        <w:ind w:left="78" w:hanging="360"/>
      </w:pPr>
      <w:rPr>
        <w:rFonts w:hint="default"/>
        <w:b w:val="0"/>
        <w:color w:val="00B050"/>
        <w:u w:val="single"/>
      </w:rPr>
    </w:lvl>
    <w:lvl w:ilvl="1" w:tplc="0C090019" w:tentative="1">
      <w:start w:val="1"/>
      <w:numFmt w:val="lowerLetter"/>
      <w:lvlText w:val="%2."/>
      <w:lvlJc w:val="left"/>
      <w:pPr>
        <w:ind w:left="798" w:hanging="360"/>
      </w:pPr>
    </w:lvl>
    <w:lvl w:ilvl="2" w:tplc="0C09001B" w:tentative="1">
      <w:start w:val="1"/>
      <w:numFmt w:val="lowerRoman"/>
      <w:lvlText w:val="%3."/>
      <w:lvlJc w:val="right"/>
      <w:pPr>
        <w:ind w:left="1518" w:hanging="180"/>
      </w:pPr>
    </w:lvl>
    <w:lvl w:ilvl="3" w:tplc="0C09000F" w:tentative="1">
      <w:start w:val="1"/>
      <w:numFmt w:val="decimal"/>
      <w:lvlText w:val="%4."/>
      <w:lvlJc w:val="left"/>
      <w:pPr>
        <w:ind w:left="2238" w:hanging="360"/>
      </w:pPr>
    </w:lvl>
    <w:lvl w:ilvl="4" w:tplc="0C090019" w:tentative="1">
      <w:start w:val="1"/>
      <w:numFmt w:val="lowerLetter"/>
      <w:lvlText w:val="%5."/>
      <w:lvlJc w:val="left"/>
      <w:pPr>
        <w:ind w:left="2958" w:hanging="360"/>
      </w:pPr>
    </w:lvl>
    <w:lvl w:ilvl="5" w:tplc="0C09001B" w:tentative="1">
      <w:start w:val="1"/>
      <w:numFmt w:val="lowerRoman"/>
      <w:lvlText w:val="%6."/>
      <w:lvlJc w:val="right"/>
      <w:pPr>
        <w:ind w:left="3678" w:hanging="180"/>
      </w:pPr>
    </w:lvl>
    <w:lvl w:ilvl="6" w:tplc="0C09000F" w:tentative="1">
      <w:start w:val="1"/>
      <w:numFmt w:val="decimal"/>
      <w:lvlText w:val="%7."/>
      <w:lvlJc w:val="left"/>
      <w:pPr>
        <w:ind w:left="4398" w:hanging="360"/>
      </w:pPr>
    </w:lvl>
    <w:lvl w:ilvl="7" w:tplc="0C090019" w:tentative="1">
      <w:start w:val="1"/>
      <w:numFmt w:val="lowerLetter"/>
      <w:lvlText w:val="%8."/>
      <w:lvlJc w:val="left"/>
      <w:pPr>
        <w:ind w:left="5118" w:hanging="360"/>
      </w:pPr>
    </w:lvl>
    <w:lvl w:ilvl="8" w:tplc="0C09001B" w:tentative="1">
      <w:start w:val="1"/>
      <w:numFmt w:val="lowerRoman"/>
      <w:lvlText w:val="%9."/>
      <w:lvlJc w:val="right"/>
      <w:pPr>
        <w:ind w:left="5838" w:hanging="180"/>
      </w:pPr>
    </w:lvl>
  </w:abstractNum>
  <w:abstractNum w:abstractNumId="17" w15:restartNumberingAfterBreak="0">
    <w:nsid w:val="2CB2737E"/>
    <w:multiLevelType w:val="hybridMultilevel"/>
    <w:tmpl w:val="5FEA2ABC"/>
    <w:lvl w:ilvl="0" w:tplc="B1B88C96">
      <w:start w:val="1"/>
      <w:numFmt w:val="lowerLetter"/>
      <w:lvlText w:val="(%1)"/>
      <w:lvlJc w:val="left"/>
      <w:pPr>
        <w:ind w:left="1069" w:hanging="360"/>
      </w:pPr>
      <w:rPr>
        <w:rFonts w:hint="default"/>
        <w:color w:val="00B050"/>
        <w:u w:val="single"/>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8" w15:restartNumberingAfterBreak="0">
    <w:nsid w:val="2E924211"/>
    <w:multiLevelType w:val="hybridMultilevel"/>
    <w:tmpl w:val="2BEC5FDE"/>
    <w:lvl w:ilvl="0" w:tplc="5E685644">
      <w:start w:val="1"/>
      <w:numFmt w:val="lowerLetter"/>
      <w:pStyle w:val="ListBulleta"/>
      <w:lvlText w:val="%1)"/>
      <w:lvlJc w:val="left"/>
      <w:pPr>
        <w:ind w:left="1506" w:hanging="360"/>
      </w:pPr>
    </w:lvl>
    <w:lvl w:ilvl="1" w:tplc="87B82D26">
      <w:start w:val="1"/>
      <w:numFmt w:val="upperLetter"/>
      <w:lvlText w:val="(%2)"/>
      <w:lvlJc w:val="left"/>
      <w:pPr>
        <w:ind w:left="6738" w:hanging="360"/>
      </w:pPr>
      <w:rPr>
        <w:rFonts w:hint="default"/>
      </w:rPr>
    </w:lvl>
    <w:lvl w:ilvl="2" w:tplc="0C09001B">
      <w:start w:val="1"/>
      <w:numFmt w:val="lowerRoman"/>
      <w:lvlText w:val="%3."/>
      <w:lvlJc w:val="right"/>
      <w:pPr>
        <w:ind w:left="2946" w:hanging="180"/>
      </w:pPr>
    </w:lvl>
    <w:lvl w:ilvl="3" w:tplc="26E46C54">
      <w:start w:val="1"/>
      <w:numFmt w:val="upperLetter"/>
      <w:lvlText w:val="%4)"/>
      <w:lvlJc w:val="left"/>
      <w:pPr>
        <w:ind w:left="3666" w:hanging="360"/>
      </w:pPr>
      <w:rPr>
        <w:rFonts w:hint="default"/>
      </w:r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9" w15:restartNumberingAfterBreak="0">
    <w:nsid w:val="2FF21AD6"/>
    <w:multiLevelType w:val="multilevel"/>
    <w:tmpl w:val="5B6825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076694E"/>
    <w:multiLevelType w:val="hybridMultilevel"/>
    <w:tmpl w:val="C092310A"/>
    <w:lvl w:ilvl="0" w:tplc="FFFFFFFF">
      <w:start w:val="3"/>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1704523"/>
    <w:multiLevelType w:val="hybridMultilevel"/>
    <w:tmpl w:val="2E909A4C"/>
    <w:lvl w:ilvl="0" w:tplc="B1B88C96">
      <w:start w:val="1"/>
      <w:numFmt w:val="lowerLetter"/>
      <w:lvlText w:val="(%1)"/>
      <w:lvlJc w:val="left"/>
      <w:pPr>
        <w:ind w:left="1713" w:hanging="360"/>
      </w:pPr>
      <w:rPr>
        <w:rFonts w:hint="default"/>
        <w:color w:val="00B050"/>
        <w:u w:val="single"/>
      </w:rPr>
    </w:lvl>
    <w:lvl w:ilvl="1" w:tplc="0C090019">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2" w15:restartNumberingAfterBreak="0">
    <w:nsid w:val="32B514DC"/>
    <w:multiLevelType w:val="hybridMultilevel"/>
    <w:tmpl w:val="8DDCA6FA"/>
    <w:lvl w:ilvl="0" w:tplc="FFFFFFFF">
      <w:start w:val="1"/>
      <w:numFmt w:val="lowerLetter"/>
      <w:lvlText w:val="(%1)"/>
      <w:lvlJc w:val="left"/>
      <w:pPr>
        <w:ind w:left="1713" w:hanging="360"/>
      </w:pPr>
      <w:rPr>
        <w:rFonts w:hint="default"/>
        <w:color w:val="00B050"/>
        <w:u w:val="single"/>
      </w:rPr>
    </w:lvl>
    <w:lvl w:ilvl="1" w:tplc="B1B88C96">
      <w:start w:val="1"/>
      <w:numFmt w:val="lowerLetter"/>
      <w:lvlText w:val="(%2)"/>
      <w:lvlJc w:val="left"/>
      <w:pPr>
        <w:ind w:left="720" w:hanging="360"/>
      </w:pPr>
      <w:rPr>
        <w:rFonts w:hint="default"/>
        <w:color w:val="00B050"/>
        <w:u w:val="single"/>
      </w:r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23" w15:restartNumberingAfterBreak="0">
    <w:nsid w:val="33032547"/>
    <w:multiLevelType w:val="hybridMultilevel"/>
    <w:tmpl w:val="C092310A"/>
    <w:lvl w:ilvl="0" w:tplc="0B3A31EC">
      <w:start w:val="3"/>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C5A7E66"/>
    <w:multiLevelType w:val="multilevel"/>
    <w:tmpl w:val="B4EAF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D4C3B40"/>
    <w:multiLevelType w:val="hybridMultilevel"/>
    <w:tmpl w:val="90628228"/>
    <w:lvl w:ilvl="0" w:tplc="87B82D26">
      <w:start w:val="1"/>
      <w:numFmt w:val="upperLetter"/>
      <w:lvlText w:val="(%1)"/>
      <w:lvlJc w:val="left"/>
      <w:pPr>
        <w:ind w:left="2228" w:hanging="360"/>
      </w:pPr>
      <w:rPr>
        <w:rFonts w:hint="default"/>
      </w:rPr>
    </w:lvl>
    <w:lvl w:ilvl="1" w:tplc="0C090019">
      <w:start w:val="1"/>
      <w:numFmt w:val="lowerLetter"/>
      <w:lvlText w:val="%2."/>
      <w:lvlJc w:val="left"/>
      <w:pPr>
        <w:ind w:left="2948" w:hanging="360"/>
      </w:pPr>
    </w:lvl>
    <w:lvl w:ilvl="2" w:tplc="0C09001B" w:tentative="1">
      <w:start w:val="1"/>
      <w:numFmt w:val="lowerRoman"/>
      <w:lvlText w:val="%3."/>
      <w:lvlJc w:val="right"/>
      <w:pPr>
        <w:ind w:left="3668" w:hanging="180"/>
      </w:pPr>
    </w:lvl>
    <w:lvl w:ilvl="3" w:tplc="0C09000F" w:tentative="1">
      <w:start w:val="1"/>
      <w:numFmt w:val="decimal"/>
      <w:lvlText w:val="%4."/>
      <w:lvlJc w:val="left"/>
      <w:pPr>
        <w:ind w:left="4388" w:hanging="360"/>
      </w:pPr>
    </w:lvl>
    <w:lvl w:ilvl="4" w:tplc="0C090019" w:tentative="1">
      <w:start w:val="1"/>
      <w:numFmt w:val="lowerLetter"/>
      <w:lvlText w:val="%5."/>
      <w:lvlJc w:val="left"/>
      <w:pPr>
        <w:ind w:left="5108" w:hanging="360"/>
      </w:pPr>
    </w:lvl>
    <w:lvl w:ilvl="5" w:tplc="0C09001B" w:tentative="1">
      <w:start w:val="1"/>
      <w:numFmt w:val="lowerRoman"/>
      <w:lvlText w:val="%6."/>
      <w:lvlJc w:val="right"/>
      <w:pPr>
        <w:ind w:left="5828" w:hanging="180"/>
      </w:pPr>
    </w:lvl>
    <w:lvl w:ilvl="6" w:tplc="0C09000F" w:tentative="1">
      <w:start w:val="1"/>
      <w:numFmt w:val="decimal"/>
      <w:lvlText w:val="%7."/>
      <w:lvlJc w:val="left"/>
      <w:pPr>
        <w:ind w:left="6548" w:hanging="360"/>
      </w:pPr>
    </w:lvl>
    <w:lvl w:ilvl="7" w:tplc="0C090019" w:tentative="1">
      <w:start w:val="1"/>
      <w:numFmt w:val="lowerLetter"/>
      <w:lvlText w:val="%8."/>
      <w:lvlJc w:val="left"/>
      <w:pPr>
        <w:ind w:left="7268" w:hanging="360"/>
      </w:pPr>
    </w:lvl>
    <w:lvl w:ilvl="8" w:tplc="0C09001B" w:tentative="1">
      <w:start w:val="1"/>
      <w:numFmt w:val="lowerRoman"/>
      <w:lvlText w:val="%9."/>
      <w:lvlJc w:val="right"/>
      <w:pPr>
        <w:ind w:left="7988" w:hanging="180"/>
      </w:pPr>
    </w:lvl>
  </w:abstractNum>
  <w:abstractNum w:abstractNumId="26" w15:restartNumberingAfterBreak="0">
    <w:nsid w:val="3E7E168F"/>
    <w:multiLevelType w:val="hybridMultilevel"/>
    <w:tmpl w:val="27EAB216"/>
    <w:lvl w:ilvl="0" w:tplc="FFFFFFFF">
      <w:start w:val="1"/>
      <w:numFmt w:val="bullet"/>
      <w:lvlText w:val=""/>
      <w:lvlJc w:val="left"/>
      <w:pPr>
        <w:ind w:left="360" w:hanging="360"/>
      </w:pPr>
      <w:rPr>
        <w:rFonts w:ascii="Symbol" w:hAnsi="Symbol" w:hint="default"/>
        <w:sz w:val="16"/>
        <w:szCs w:val="16"/>
      </w:rPr>
    </w:lvl>
    <w:lvl w:ilvl="1" w:tplc="BA3E729A">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44890F80"/>
    <w:multiLevelType w:val="hybridMultilevel"/>
    <w:tmpl w:val="0404632A"/>
    <w:lvl w:ilvl="0" w:tplc="CED8E0BA">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4AE0ED5"/>
    <w:multiLevelType w:val="hybridMultilevel"/>
    <w:tmpl w:val="69880C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6432E37"/>
    <w:multiLevelType w:val="multilevel"/>
    <w:tmpl w:val="6FB611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7FD014D"/>
    <w:multiLevelType w:val="hybridMultilevel"/>
    <w:tmpl w:val="2C7AC98C"/>
    <w:lvl w:ilvl="0" w:tplc="BA3E72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06280C"/>
    <w:multiLevelType w:val="hybridMultilevel"/>
    <w:tmpl w:val="166ED15E"/>
    <w:lvl w:ilvl="0" w:tplc="BB9CF9C8">
      <w:start w:val="1"/>
      <w:numFmt w:val="bullet"/>
      <w:lvlText w:val=""/>
      <w:lvlJc w:val="left"/>
      <w:pPr>
        <w:ind w:left="360" w:hanging="360"/>
      </w:pPr>
      <w:rPr>
        <w:rFonts w:ascii="Symbol" w:hAnsi="Symbol" w:hint="default"/>
        <w:sz w:val="16"/>
        <w:szCs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D132270"/>
    <w:multiLevelType w:val="multilevel"/>
    <w:tmpl w:val="D26A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CB1466"/>
    <w:multiLevelType w:val="hybridMultilevel"/>
    <w:tmpl w:val="FB4896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F7912C9"/>
    <w:multiLevelType w:val="multilevel"/>
    <w:tmpl w:val="D6F4F1DE"/>
    <w:lvl w:ilvl="0">
      <w:start w:val="1"/>
      <w:numFmt w:val="bullet"/>
      <w:pStyle w:val="ListBullet-donotcross"/>
      <w:lvlText w:val=""/>
      <w:lvlJc w:val="left"/>
      <w:pPr>
        <w:ind w:left="785" w:hanging="360"/>
      </w:pPr>
      <w:rPr>
        <w:rFonts w:ascii="Wingdings" w:hAnsi="Wingdings" w:hint="default"/>
        <w:b/>
        <w:i w:val="0"/>
        <w:color w:val="800000"/>
        <w:sz w:val="26"/>
        <w:szCs w:val="22"/>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35" w15:restartNumberingAfterBreak="0">
    <w:nsid w:val="50336B0D"/>
    <w:multiLevelType w:val="hybridMultilevel"/>
    <w:tmpl w:val="5D54CD1A"/>
    <w:lvl w:ilvl="0" w:tplc="4EDE096A">
      <w:start w:val="1"/>
      <w:numFmt w:val="lowerRoman"/>
      <w:pStyle w:val="Numberbullet3"/>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04E1150"/>
    <w:multiLevelType w:val="multilevel"/>
    <w:tmpl w:val="9BBAD156"/>
    <w:lvl w:ilvl="0">
      <w:start w:val="4"/>
      <w:numFmt w:val="bullet"/>
      <w:lvlText w:val="•"/>
      <w:lvlJc w:val="left"/>
      <w:pPr>
        <w:ind w:left="360" w:hanging="360"/>
      </w:pPr>
      <w:rPr>
        <w:rFonts w:ascii="Cambria" w:eastAsia="Cambria" w:hAnsi="Cambria"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7" w15:restartNumberingAfterBreak="0">
    <w:nsid w:val="513E7618"/>
    <w:multiLevelType w:val="hybridMultilevel"/>
    <w:tmpl w:val="710EB926"/>
    <w:lvl w:ilvl="0" w:tplc="734C8AFE">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21D78B2"/>
    <w:multiLevelType w:val="hybridMultilevel"/>
    <w:tmpl w:val="006680C0"/>
    <w:lvl w:ilvl="0" w:tplc="BA3E729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2CE776F"/>
    <w:multiLevelType w:val="hybridMultilevel"/>
    <w:tmpl w:val="B942B4EC"/>
    <w:lvl w:ilvl="0" w:tplc="3C90BC24">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6F215B"/>
    <w:multiLevelType w:val="hybridMultilevel"/>
    <w:tmpl w:val="5FE435B4"/>
    <w:lvl w:ilvl="0" w:tplc="BA3E729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5A85527"/>
    <w:multiLevelType w:val="hybridMultilevel"/>
    <w:tmpl w:val="FF5AAB3C"/>
    <w:lvl w:ilvl="0" w:tplc="FFFFFFFF">
      <w:start w:val="1"/>
      <w:numFmt w:val="lowerRoman"/>
      <w:lvlText w:val="%1)"/>
      <w:lvlJc w:val="left"/>
      <w:pPr>
        <w:ind w:left="1800" w:hanging="360"/>
      </w:pPr>
      <w:rPr>
        <w:rFonts w:hint="default"/>
      </w:rPr>
    </w:lvl>
    <w:lvl w:ilvl="1" w:tplc="87B82D26">
      <w:start w:val="1"/>
      <w:numFmt w:val="upperLetter"/>
      <w:lvlText w:val="(%2)"/>
      <w:lvlJc w:val="left"/>
      <w:pPr>
        <w:ind w:left="1866"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2" w15:restartNumberingAfterBreak="0">
    <w:nsid w:val="55C77F98"/>
    <w:multiLevelType w:val="hybridMultilevel"/>
    <w:tmpl w:val="68F88AE4"/>
    <w:lvl w:ilvl="0" w:tplc="D6D8B654">
      <w:numFmt w:val="bullet"/>
      <w:lvlText w:val="-"/>
      <w:lvlJc w:val="left"/>
      <w:pPr>
        <w:ind w:left="1800" w:hanging="360"/>
      </w:pPr>
      <w:rPr>
        <w:rFonts w:ascii="Cambria" w:eastAsia="Cambria" w:hAnsi="Cambria" w:cstheme="minorHAns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3" w15:restartNumberingAfterBreak="0">
    <w:nsid w:val="579B24A8"/>
    <w:multiLevelType w:val="hybridMultilevel"/>
    <w:tmpl w:val="9A3C8206"/>
    <w:lvl w:ilvl="0" w:tplc="7E1EE6C6">
      <w:start w:val="1"/>
      <w:numFmt w:val="bullet"/>
      <w:lvlText w:val=""/>
      <w:lvlJc w:val="left"/>
      <w:pPr>
        <w:ind w:left="720" w:hanging="360"/>
      </w:pPr>
      <w:rPr>
        <w:rFonts w:ascii="Symbol" w:hAnsi="Symbol" w:hint="default"/>
        <w:sz w:val="16"/>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7C15954"/>
    <w:multiLevelType w:val="multilevel"/>
    <w:tmpl w:val="6884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F075D7B"/>
    <w:multiLevelType w:val="hybridMultilevel"/>
    <w:tmpl w:val="43127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0125856"/>
    <w:multiLevelType w:val="hybridMultilevel"/>
    <w:tmpl w:val="2566217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606D72D1"/>
    <w:multiLevelType w:val="hybridMultilevel"/>
    <w:tmpl w:val="002CDDA8"/>
    <w:lvl w:ilvl="0" w:tplc="137AA8E2">
      <w:start w:val="1"/>
      <w:numFmt w:val="lowerLetter"/>
      <w:lvlText w:val="%1)"/>
      <w:lvlJc w:val="left"/>
      <w:pPr>
        <w:ind w:left="720" w:hanging="360"/>
      </w:pPr>
      <w:rPr>
        <w:rFonts w:hint="default"/>
        <w:color w:val="00B050"/>
        <w:u w:val="single"/>
      </w:r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0F5619F"/>
    <w:multiLevelType w:val="hybridMultilevel"/>
    <w:tmpl w:val="B18861B4"/>
    <w:lvl w:ilvl="0" w:tplc="053ADE1E">
      <w:start w:val="1"/>
      <w:numFmt w:val="upperLetter"/>
      <w:lvlText w:val="(%1)"/>
      <w:lvlJc w:val="left"/>
      <w:pPr>
        <w:ind w:left="1866" w:hanging="360"/>
      </w:pPr>
      <w:rPr>
        <w:rFonts w:hint="default"/>
      </w:rPr>
    </w:lvl>
    <w:lvl w:ilvl="1" w:tplc="0C090019" w:tentative="1">
      <w:start w:val="1"/>
      <w:numFmt w:val="lowerLetter"/>
      <w:lvlText w:val="%2."/>
      <w:lvlJc w:val="left"/>
      <w:pPr>
        <w:ind w:left="2586" w:hanging="360"/>
      </w:pPr>
    </w:lvl>
    <w:lvl w:ilvl="2" w:tplc="0C09001B" w:tentative="1">
      <w:start w:val="1"/>
      <w:numFmt w:val="lowerRoman"/>
      <w:lvlText w:val="%3."/>
      <w:lvlJc w:val="right"/>
      <w:pPr>
        <w:ind w:left="3306" w:hanging="180"/>
      </w:pPr>
    </w:lvl>
    <w:lvl w:ilvl="3" w:tplc="0C09000F" w:tentative="1">
      <w:start w:val="1"/>
      <w:numFmt w:val="decimal"/>
      <w:lvlText w:val="%4."/>
      <w:lvlJc w:val="left"/>
      <w:pPr>
        <w:ind w:left="4026" w:hanging="360"/>
      </w:pPr>
    </w:lvl>
    <w:lvl w:ilvl="4" w:tplc="0C090019" w:tentative="1">
      <w:start w:val="1"/>
      <w:numFmt w:val="lowerLetter"/>
      <w:lvlText w:val="%5."/>
      <w:lvlJc w:val="left"/>
      <w:pPr>
        <w:ind w:left="4746" w:hanging="360"/>
      </w:pPr>
    </w:lvl>
    <w:lvl w:ilvl="5" w:tplc="0C09001B" w:tentative="1">
      <w:start w:val="1"/>
      <w:numFmt w:val="lowerRoman"/>
      <w:lvlText w:val="%6."/>
      <w:lvlJc w:val="right"/>
      <w:pPr>
        <w:ind w:left="5466" w:hanging="180"/>
      </w:pPr>
    </w:lvl>
    <w:lvl w:ilvl="6" w:tplc="0C09000F" w:tentative="1">
      <w:start w:val="1"/>
      <w:numFmt w:val="decimal"/>
      <w:lvlText w:val="%7."/>
      <w:lvlJc w:val="left"/>
      <w:pPr>
        <w:ind w:left="6186" w:hanging="360"/>
      </w:pPr>
    </w:lvl>
    <w:lvl w:ilvl="7" w:tplc="0C090019" w:tentative="1">
      <w:start w:val="1"/>
      <w:numFmt w:val="lowerLetter"/>
      <w:lvlText w:val="%8."/>
      <w:lvlJc w:val="left"/>
      <w:pPr>
        <w:ind w:left="6906" w:hanging="360"/>
      </w:pPr>
    </w:lvl>
    <w:lvl w:ilvl="8" w:tplc="0C09001B" w:tentative="1">
      <w:start w:val="1"/>
      <w:numFmt w:val="lowerRoman"/>
      <w:lvlText w:val="%9."/>
      <w:lvlJc w:val="right"/>
      <w:pPr>
        <w:ind w:left="7626" w:hanging="180"/>
      </w:pPr>
    </w:lvl>
  </w:abstractNum>
  <w:abstractNum w:abstractNumId="49" w15:restartNumberingAfterBreak="0">
    <w:nsid w:val="622B447F"/>
    <w:multiLevelType w:val="hybridMultilevel"/>
    <w:tmpl w:val="C87E1252"/>
    <w:lvl w:ilvl="0" w:tplc="FC12D926">
      <w:start w:val="1"/>
      <w:numFmt w:val="upperLetter"/>
      <w:lvlText w:val="(%1)"/>
      <w:lvlJc w:val="left"/>
      <w:pPr>
        <w:ind w:left="1854" w:hanging="360"/>
      </w:pPr>
      <w:rPr>
        <w:rFonts w:hint="default"/>
      </w:rPr>
    </w:lvl>
    <w:lvl w:ilvl="1" w:tplc="343EA654">
      <w:start w:val="1"/>
      <w:numFmt w:val="lowerLetter"/>
      <w:lvlText w:val="%2)"/>
      <w:lvlJc w:val="left"/>
      <w:pPr>
        <w:ind w:left="2574" w:hanging="360"/>
      </w:pPr>
      <w:rPr>
        <w:rFonts w:hint="default"/>
        <w:color w:val="00B050"/>
        <w:u w:val="single"/>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0" w15:restartNumberingAfterBreak="0">
    <w:nsid w:val="64351C63"/>
    <w:multiLevelType w:val="hybridMultilevel"/>
    <w:tmpl w:val="D35291AA"/>
    <w:lvl w:ilvl="0" w:tplc="99FE496E">
      <w:start w:val="1"/>
      <w:numFmt w:val="bullet"/>
      <w:lvlText w:val=""/>
      <w:lvlJc w:val="left"/>
      <w:pPr>
        <w:ind w:left="720" w:hanging="360"/>
      </w:pPr>
      <w:rPr>
        <w:rFonts w:ascii="Symbol" w:hAnsi="Symbol" w:hint="default"/>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7115025"/>
    <w:multiLevelType w:val="hybridMultilevel"/>
    <w:tmpl w:val="A0C66FCA"/>
    <w:lvl w:ilvl="0" w:tplc="3392ADEA">
      <w:start w:val="1"/>
      <w:numFmt w:val="bullet"/>
      <w:lvlText w:val=""/>
      <w:lvlJc w:val="left"/>
      <w:pPr>
        <w:ind w:left="720" w:hanging="360"/>
      </w:pPr>
      <w:rPr>
        <w:rFonts w:ascii="Symbol" w:hAnsi="Symbol" w:hint="default"/>
        <w:sz w:val="16"/>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8722BB4"/>
    <w:multiLevelType w:val="multilevel"/>
    <w:tmpl w:val="1DA6B62C"/>
    <w:lvl w:ilvl="0">
      <w:start w:val="4"/>
      <w:numFmt w:val="bullet"/>
      <w:lvlText w:val="•"/>
      <w:lvlJc w:val="left"/>
      <w:pPr>
        <w:ind w:left="360" w:hanging="360"/>
      </w:pPr>
      <w:rPr>
        <w:rFonts w:ascii="Cambria" w:eastAsia="Cambria" w:hAnsi="Cambria"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3" w15:restartNumberingAfterBreak="0">
    <w:nsid w:val="68CA6D3C"/>
    <w:multiLevelType w:val="hybridMultilevel"/>
    <w:tmpl w:val="265E3E00"/>
    <w:lvl w:ilvl="0" w:tplc="E834D63A">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9652609"/>
    <w:multiLevelType w:val="hybridMultilevel"/>
    <w:tmpl w:val="9A1A78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A0A419F"/>
    <w:multiLevelType w:val="hybridMultilevel"/>
    <w:tmpl w:val="940E7BB6"/>
    <w:lvl w:ilvl="0" w:tplc="0C090001">
      <w:start w:val="1"/>
      <w:numFmt w:val="bullet"/>
      <w:lvlText w:val=""/>
      <w:lvlJc w:val="left"/>
      <w:pPr>
        <w:ind w:left="720" w:hanging="360"/>
      </w:pPr>
      <w:rPr>
        <w:rFonts w:ascii="Symbol" w:hAnsi="Symbo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A3C48D6"/>
    <w:multiLevelType w:val="hybridMultilevel"/>
    <w:tmpl w:val="CC94CE00"/>
    <w:lvl w:ilvl="0" w:tplc="888AACD8">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6A5914AD"/>
    <w:multiLevelType w:val="hybridMultilevel"/>
    <w:tmpl w:val="2638B14C"/>
    <w:lvl w:ilvl="0" w:tplc="E5C6771C">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D5527DE"/>
    <w:multiLevelType w:val="hybridMultilevel"/>
    <w:tmpl w:val="5E9C05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ED93DB5"/>
    <w:multiLevelType w:val="hybridMultilevel"/>
    <w:tmpl w:val="2F6C8D2A"/>
    <w:lvl w:ilvl="0" w:tplc="B1B88C96">
      <w:start w:val="1"/>
      <w:numFmt w:val="lowerLetter"/>
      <w:lvlText w:val="(%1)"/>
      <w:lvlJc w:val="left"/>
      <w:pPr>
        <w:ind w:left="720" w:hanging="360"/>
      </w:pPr>
      <w:rPr>
        <w:rFonts w:hint="default"/>
        <w:strike w:val="0"/>
        <w:color w:val="00B050"/>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F850B2E"/>
    <w:multiLevelType w:val="hybridMultilevel"/>
    <w:tmpl w:val="F8EAF516"/>
    <w:lvl w:ilvl="0" w:tplc="1B783F90">
      <w:start w:val="1"/>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1116984"/>
    <w:multiLevelType w:val="hybridMultilevel"/>
    <w:tmpl w:val="121E462E"/>
    <w:lvl w:ilvl="0" w:tplc="FFFFFFFF">
      <w:start w:val="1"/>
      <w:numFmt w:val="bullet"/>
      <w:lvlText w:val=""/>
      <w:lvlJc w:val="left"/>
      <w:pPr>
        <w:ind w:left="360" w:hanging="360"/>
      </w:pPr>
      <w:rPr>
        <w:rFonts w:ascii="Symbol" w:hAnsi="Symbol" w:hint="default"/>
      </w:rPr>
    </w:lvl>
    <w:lvl w:ilvl="1" w:tplc="BA3E729A">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15:restartNumberingAfterBreak="0">
    <w:nsid w:val="71CA240B"/>
    <w:multiLevelType w:val="hybridMultilevel"/>
    <w:tmpl w:val="D69A5B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61F540D"/>
    <w:multiLevelType w:val="hybridMultilevel"/>
    <w:tmpl w:val="E1DA1706"/>
    <w:lvl w:ilvl="0" w:tplc="FFFFFFFF">
      <w:start w:val="1"/>
      <w:numFmt w:val="bullet"/>
      <w:lvlText w:val=""/>
      <w:lvlJc w:val="left"/>
      <w:pPr>
        <w:ind w:left="720" w:hanging="360"/>
      </w:pPr>
      <w:rPr>
        <w:rFonts w:ascii="Symbol" w:hAnsi="Symbol" w:hint="default"/>
      </w:rPr>
    </w:lvl>
    <w:lvl w:ilvl="1" w:tplc="BA3E729A">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76335C94"/>
    <w:multiLevelType w:val="hybridMultilevel"/>
    <w:tmpl w:val="E55EDB64"/>
    <w:lvl w:ilvl="0" w:tplc="AC62D684">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8FF30EA"/>
    <w:multiLevelType w:val="hybridMultilevel"/>
    <w:tmpl w:val="5FD607E4"/>
    <w:lvl w:ilvl="0" w:tplc="87B82D26">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6" w15:restartNumberingAfterBreak="0">
    <w:nsid w:val="798D5626"/>
    <w:multiLevelType w:val="multilevel"/>
    <w:tmpl w:val="7C66BA66"/>
    <w:lvl w:ilvl="0">
      <w:start w:val="4"/>
      <w:numFmt w:val="bullet"/>
      <w:lvlText w:val="•"/>
      <w:lvlJc w:val="left"/>
      <w:pPr>
        <w:ind w:left="360" w:hanging="360"/>
      </w:pPr>
      <w:rPr>
        <w:rFonts w:ascii="Cambria" w:eastAsia="Cambria" w:hAnsi="Cambria"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7" w15:restartNumberingAfterBreak="0">
    <w:nsid w:val="7D131E2D"/>
    <w:multiLevelType w:val="multilevel"/>
    <w:tmpl w:val="984619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8" w15:restartNumberingAfterBreak="0">
    <w:nsid w:val="7E50063A"/>
    <w:multiLevelType w:val="hybridMultilevel"/>
    <w:tmpl w:val="30823564"/>
    <w:lvl w:ilvl="0" w:tplc="BA3E72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E9D1893"/>
    <w:multiLevelType w:val="hybridMultilevel"/>
    <w:tmpl w:val="2B78248E"/>
    <w:lvl w:ilvl="0" w:tplc="BA3E72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1757976">
    <w:abstractNumId w:val="9"/>
    <w:lvlOverride w:ilvl="0">
      <w:lvl w:ilvl="0">
        <w:start w:val="4"/>
        <w:numFmt w:val="bullet"/>
        <w:pStyle w:val="ListBullet"/>
        <w:lvlText w:val="•"/>
        <w:lvlJc w:val="left"/>
        <w:pPr>
          <w:ind w:left="360" w:hanging="360"/>
        </w:pPr>
        <w:rPr>
          <w:rFonts w:asciiTheme="minorHAnsi" w:eastAsia="Cambria" w:hAnsiTheme="minorHAnsi" w:cstheme="minorHAnsi" w:hint="default"/>
          <w:color w:val="auto"/>
          <w:sz w:val="16"/>
          <w:szCs w:val="16"/>
        </w:rPr>
      </w:lvl>
    </w:lvlOverride>
  </w:num>
  <w:num w:numId="2" w16cid:durableId="1310939776">
    <w:abstractNumId w:val="4"/>
  </w:num>
  <w:num w:numId="3" w16cid:durableId="1856310740">
    <w:abstractNumId w:val="8"/>
  </w:num>
  <w:num w:numId="4" w16cid:durableId="1469590265">
    <w:abstractNumId w:val="35"/>
  </w:num>
  <w:num w:numId="5" w16cid:durableId="1308169253">
    <w:abstractNumId w:val="15"/>
  </w:num>
  <w:num w:numId="6" w16cid:durableId="1443065198">
    <w:abstractNumId w:val="34"/>
  </w:num>
  <w:num w:numId="7" w16cid:durableId="652485307">
    <w:abstractNumId w:val="42"/>
  </w:num>
  <w:num w:numId="8" w16cid:durableId="1349332527">
    <w:abstractNumId w:val="54"/>
  </w:num>
  <w:num w:numId="9" w16cid:durableId="2045861648">
    <w:abstractNumId w:val="46"/>
  </w:num>
  <w:num w:numId="10" w16cid:durableId="1890068056">
    <w:abstractNumId w:val="14"/>
  </w:num>
  <w:num w:numId="11" w16cid:durableId="296646691">
    <w:abstractNumId w:val="33"/>
  </w:num>
  <w:num w:numId="12" w16cid:durableId="148333441">
    <w:abstractNumId w:val="58"/>
  </w:num>
  <w:num w:numId="13" w16cid:durableId="1447583353">
    <w:abstractNumId w:val="28"/>
  </w:num>
  <w:num w:numId="14" w16cid:durableId="325210299">
    <w:abstractNumId w:val="18"/>
  </w:num>
  <w:num w:numId="15" w16cid:durableId="185098735">
    <w:abstractNumId w:val="12"/>
  </w:num>
  <w:num w:numId="16" w16cid:durableId="1091588219">
    <w:abstractNumId w:val="9"/>
  </w:num>
  <w:num w:numId="17" w16cid:durableId="1619677173">
    <w:abstractNumId w:val="39"/>
  </w:num>
  <w:num w:numId="18" w16cid:durableId="244533294">
    <w:abstractNumId w:val="16"/>
  </w:num>
  <w:num w:numId="19" w16cid:durableId="1582175725">
    <w:abstractNumId w:val="60"/>
  </w:num>
  <w:num w:numId="20" w16cid:durableId="653990621">
    <w:abstractNumId w:val="37"/>
  </w:num>
  <w:num w:numId="21" w16cid:durableId="1637106080">
    <w:abstractNumId w:val="69"/>
  </w:num>
  <w:num w:numId="22" w16cid:durableId="1251625771">
    <w:abstractNumId w:val="43"/>
  </w:num>
  <w:num w:numId="23" w16cid:durableId="1942178688">
    <w:abstractNumId w:val="50"/>
  </w:num>
  <w:num w:numId="24" w16cid:durableId="472141705">
    <w:abstractNumId w:val="18"/>
    <w:lvlOverride w:ilvl="0">
      <w:startOverride w:val="1"/>
    </w:lvlOverride>
  </w:num>
  <w:num w:numId="25" w16cid:durableId="622922063">
    <w:abstractNumId w:val="18"/>
    <w:lvlOverride w:ilvl="0">
      <w:startOverride w:val="1"/>
    </w:lvlOverride>
  </w:num>
  <w:num w:numId="26" w16cid:durableId="709887503">
    <w:abstractNumId w:val="18"/>
    <w:lvlOverride w:ilvl="0">
      <w:startOverride w:val="1"/>
    </w:lvlOverride>
  </w:num>
  <w:num w:numId="27" w16cid:durableId="1502354818">
    <w:abstractNumId w:val="18"/>
    <w:lvlOverride w:ilvl="0">
      <w:startOverride w:val="1"/>
    </w:lvlOverride>
  </w:num>
  <w:num w:numId="28" w16cid:durableId="1687438700">
    <w:abstractNumId w:val="18"/>
    <w:lvlOverride w:ilvl="0">
      <w:startOverride w:val="1"/>
    </w:lvlOverride>
  </w:num>
  <w:num w:numId="29" w16cid:durableId="518083349">
    <w:abstractNumId w:val="12"/>
    <w:lvlOverride w:ilvl="0">
      <w:startOverride w:val="1"/>
    </w:lvlOverride>
  </w:num>
  <w:num w:numId="30" w16cid:durableId="1159080848">
    <w:abstractNumId w:val="9"/>
    <w:lvlOverride w:ilvl="0">
      <w:startOverride w:val="4"/>
      <w:lvl w:ilvl="0">
        <w:start w:val="4"/>
        <w:numFmt w:val="decimal"/>
        <w:pStyle w:val="ListBullet"/>
        <w:lvlText w:val="•"/>
        <w:lvlJc w:val="left"/>
        <w:pPr>
          <w:ind w:left="360" w:hanging="360"/>
        </w:pPr>
        <w:rPr>
          <w:rFonts w:ascii="Arial" w:eastAsia="Cambria" w:hAnsi="Arial" w:cs="Times New Roman" w:hint="default"/>
          <w:b w:val="0"/>
          <w:bCs w:val="0"/>
          <w:i w:val="0"/>
          <w:iCs w:val="0"/>
          <w:caps w:val="0"/>
          <w:smallCaps w:val="0"/>
          <w:strike w:val="0"/>
          <w:dstrike w:val="0"/>
          <w:outline w:val="0"/>
          <w:shadow w:val="0"/>
          <w:emboss w:val="0"/>
          <w:imprint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numFmt w:val="decimal"/>
        <w:pStyle w:val="ListBullet2"/>
        <w:lvlText w:val=""/>
        <w:lvlJc w:val="left"/>
      </w:lvl>
    </w:lvlOverride>
    <w:lvlOverride w:ilvl="2">
      <w:lvl w:ilvl="2">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16cid:durableId="452358955">
    <w:abstractNumId w:val="9"/>
    <w:lvlOverride w:ilvl="0">
      <w:lvl w:ilvl="0">
        <w:start w:val="4"/>
        <w:numFmt w:val="decimal"/>
        <w:pStyle w:val="ListBullet"/>
        <w:lvlText w:val="•"/>
        <w:lvlJc w:val="left"/>
        <w:pPr>
          <w:ind w:left="360" w:hanging="360"/>
        </w:pPr>
        <w:rPr>
          <w:rFonts w:ascii="Arial" w:eastAsia="Cambria" w:hAnsi="Arial" w:cs="Times New Roman" w:hint="default"/>
          <w:color w:val="auto"/>
        </w:rPr>
      </w:lvl>
    </w:lvlOverride>
    <w:lvlOverride w:ilvl="1">
      <w:lvl w:ilvl="1">
        <w:start w:val="1"/>
        <w:numFmt w:val="decimal"/>
        <w:pStyle w:val="ListBullet2"/>
        <w:lvlText w:val=""/>
        <w:lvlJc w:val="left"/>
        <w:pPr>
          <w:ind w:left="0" w:firstLine="0"/>
        </w:pPr>
        <w:rPr>
          <w:rFonts w:ascii="Arial" w:hAnsi="Arial" w:cs="Times New Roman" w:hint="default"/>
        </w:rPr>
      </w:lvl>
    </w:lvlOverride>
    <w:lvlOverride w:ilvl="2">
      <w:lvl w:ilvl="2">
        <w:start w:val="1"/>
        <w:numFmt w:val="decimal"/>
        <w:lvlText w:val=""/>
        <w:lvlJc w:val="left"/>
        <w:pPr>
          <w:ind w:left="0" w:firstLine="0"/>
        </w:pPr>
        <w:rPr>
          <w:rFonts w:ascii="Wingdings" w:hAnsi="Wingdings" w:hint="default"/>
        </w:r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32" w16cid:durableId="160506921">
    <w:abstractNumId w:val="0"/>
  </w:num>
  <w:num w:numId="33" w16cid:durableId="222721557">
    <w:abstractNumId w:val="31"/>
  </w:num>
  <w:num w:numId="34" w16cid:durableId="481124695">
    <w:abstractNumId w:val="7"/>
  </w:num>
  <w:num w:numId="35" w16cid:durableId="953900303">
    <w:abstractNumId w:val="18"/>
    <w:lvlOverride w:ilvl="0">
      <w:startOverride w:val="1"/>
    </w:lvlOverride>
  </w:num>
  <w:num w:numId="36" w16cid:durableId="1318727254">
    <w:abstractNumId w:val="47"/>
  </w:num>
  <w:num w:numId="37" w16cid:durableId="1432438063">
    <w:abstractNumId w:val="59"/>
  </w:num>
  <w:num w:numId="38" w16cid:durableId="576598501">
    <w:abstractNumId w:val="56"/>
  </w:num>
  <w:num w:numId="39" w16cid:durableId="482043520">
    <w:abstractNumId w:val="9"/>
    <w:lvlOverride w:ilvl="0">
      <w:lvl w:ilvl="0">
        <w:start w:val="4"/>
        <w:numFmt w:val="bullet"/>
        <w:pStyle w:val="ListBullet"/>
        <w:lvlText w:val="•"/>
        <w:lvlJc w:val="left"/>
        <w:pPr>
          <w:ind w:left="360" w:hanging="360"/>
        </w:pPr>
        <w:rPr>
          <w:rFonts w:ascii="Cambria" w:eastAsia="Cambria" w:hAnsi="Cambria" w:hint="default"/>
          <w:color w:val="auto"/>
          <w:sz w:val="16"/>
          <w:szCs w:val="16"/>
        </w:rPr>
      </w:lvl>
    </w:lvlOverride>
  </w:num>
  <w:num w:numId="40" w16cid:durableId="374237639">
    <w:abstractNumId w:val="24"/>
  </w:num>
  <w:num w:numId="41" w16cid:durableId="1335644510">
    <w:abstractNumId w:val="29"/>
  </w:num>
  <w:num w:numId="42" w16cid:durableId="1258640170">
    <w:abstractNumId w:val="1"/>
  </w:num>
  <w:num w:numId="43" w16cid:durableId="1085418060">
    <w:abstractNumId w:val="19"/>
  </w:num>
  <w:num w:numId="44" w16cid:durableId="270285069">
    <w:abstractNumId w:val="51"/>
  </w:num>
  <w:num w:numId="45" w16cid:durableId="106583636">
    <w:abstractNumId w:val="67"/>
  </w:num>
  <w:num w:numId="46" w16cid:durableId="649208820">
    <w:abstractNumId w:val="44"/>
  </w:num>
  <w:num w:numId="47" w16cid:durableId="325745434">
    <w:abstractNumId w:val="32"/>
  </w:num>
  <w:num w:numId="48" w16cid:durableId="502400262">
    <w:abstractNumId w:val="53"/>
  </w:num>
  <w:num w:numId="49" w16cid:durableId="1399324903">
    <w:abstractNumId w:val="27"/>
  </w:num>
  <w:num w:numId="50" w16cid:durableId="323708214">
    <w:abstractNumId w:val="3"/>
  </w:num>
  <w:num w:numId="51" w16cid:durableId="488399633">
    <w:abstractNumId w:val="30"/>
  </w:num>
  <w:num w:numId="52" w16cid:durableId="974915757">
    <w:abstractNumId w:val="61"/>
  </w:num>
  <w:num w:numId="53" w16cid:durableId="1430152506">
    <w:abstractNumId w:val="40"/>
  </w:num>
  <w:num w:numId="54" w16cid:durableId="1531914636">
    <w:abstractNumId w:val="52"/>
  </w:num>
  <w:num w:numId="55" w16cid:durableId="902910175">
    <w:abstractNumId w:val="66"/>
  </w:num>
  <w:num w:numId="56" w16cid:durableId="995843094">
    <w:abstractNumId w:val="63"/>
  </w:num>
  <w:num w:numId="57" w16cid:durableId="582642464">
    <w:abstractNumId w:val="38"/>
  </w:num>
  <w:num w:numId="58" w16cid:durableId="2051109915">
    <w:abstractNumId w:val="62"/>
  </w:num>
  <w:num w:numId="59" w16cid:durableId="1039092336">
    <w:abstractNumId w:val="57"/>
  </w:num>
  <w:num w:numId="60" w16cid:durableId="524246298">
    <w:abstractNumId w:val="64"/>
  </w:num>
  <w:num w:numId="61" w16cid:durableId="1068770430">
    <w:abstractNumId w:val="23"/>
  </w:num>
  <w:num w:numId="62" w16cid:durableId="690037350">
    <w:abstractNumId w:val="20"/>
  </w:num>
  <w:num w:numId="63" w16cid:durableId="1556770865">
    <w:abstractNumId w:val="36"/>
  </w:num>
  <w:num w:numId="64" w16cid:durableId="361706344">
    <w:abstractNumId w:val="17"/>
  </w:num>
  <w:num w:numId="65" w16cid:durableId="736903822">
    <w:abstractNumId w:val="9"/>
    <w:lvlOverride w:ilvl="0">
      <w:lvl w:ilvl="0">
        <w:start w:val="4"/>
        <w:numFmt w:val="bullet"/>
        <w:pStyle w:val="ListBullet"/>
        <w:lvlText w:val="•"/>
        <w:lvlJc w:val="left"/>
        <w:pPr>
          <w:ind w:left="360" w:hanging="360"/>
        </w:pPr>
        <w:rPr>
          <w:rFonts w:ascii="Cambria" w:eastAsia="Cambria" w:hAnsi="Cambria" w:hint="default"/>
          <w:color w:val="auto"/>
        </w:rPr>
      </w:lvl>
    </w:lvlOverride>
  </w:num>
  <w:num w:numId="66" w16cid:durableId="957567667">
    <w:abstractNumId w:val="55"/>
  </w:num>
  <w:num w:numId="67" w16cid:durableId="1435244174">
    <w:abstractNumId w:val="10"/>
  </w:num>
  <w:num w:numId="68" w16cid:durableId="217397950">
    <w:abstractNumId w:val="6"/>
  </w:num>
  <w:num w:numId="69" w16cid:durableId="1590843581">
    <w:abstractNumId w:val="68"/>
  </w:num>
  <w:num w:numId="70" w16cid:durableId="231083712">
    <w:abstractNumId w:val="45"/>
  </w:num>
  <w:num w:numId="71" w16cid:durableId="1531608042">
    <w:abstractNumId w:val="2"/>
  </w:num>
  <w:num w:numId="72" w16cid:durableId="2027320864">
    <w:abstractNumId w:val="41"/>
  </w:num>
  <w:num w:numId="73" w16cid:durableId="2048797245">
    <w:abstractNumId w:val="11"/>
  </w:num>
  <w:num w:numId="74" w16cid:durableId="82578041">
    <w:abstractNumId w:val="5"/>
  </w:num>
  <w:num w:numId="75" w16cid:durableId="482770166">
    <w:abstractNumId w:val="25"/>
  </w:num>
  <w:num w:numId="76" w16cid:durableId="989019392">
    <w:abstractNumId w:val="65"/>
  </w:num>
  <w:num w:numId="77" w16cid:durableId="1459251973">
    <w:abstractNumId w:val="12"/>
    <w:lvlOverride w:ilvl="0">
      <w:startOverride w:val="1"/>
    </w:lvlOverride>
  </w:num>
  <w:num w:numId="78" w16cid:durableId="1772314506">
    <w:abstractNumId w:val="49"/>
  </w:num>
  <w:num w:numId="79" w16cid:durableId="890729288">
    <w:abstractNumId w:val="18"/>
  </w:num>
  <w:num w:numId="80" w16cid:durableId="1017586567">
    <w:abstractNumId w:val="12"/>
    <w:lvlOverride w:ilvl="0">
      <w:startOverride w:val="1"/>
    </w:lvlOverride>
  </w:num>
  <w:num w:numId="81" w16cid:durableId="1597247471">
    <w:abstractNumId w:val="48"/>
  </w:num>
  <w:num w:numId="82" w16cid:durableId="659237002">
    <w:abstractNumId w:val="12"/>
    <w:lvlOverride w:ilvl="0">
      <w:startOverride w:val="1"/>
    </w:lvlOverride>
  </w:num>
  <w:num w:numId="83" w16cid:durableId="1478495106">
    <w:abstractNumId w:val="13"/>
  </w:num>
  <w:num w:numId="84" w16cid:durableId="844129793">
    <w:abstractNumId w:val="26"/>
  </w:num>
  <w:num w:numId="85" w16cid:durableId="956642298">
    <w:abstractNumId w:val="21"/>
  </w:num>
  <w:num w:numId="86" w16cid:durableId="1795752928">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E72"/>
    <w:rsid w:val="00001C67"/>
    <w:rsid w:val="000041D8"/>
    <w:rsid w:val="000047C4"/>
    <w:rsid w:val="00004E21"/>
    <w:rsid w:val="000074BA"/>
    <w:rsid w:val="00013F20"/>
    <w:rsid w:val="000416C1"/>
    <w:rsid w:val="00051BF4"/>
    <w:rsid w:val="0005721D"/>
    <w:rsid w:val="00060D75"/>
    <w:rsid w:val="000643D1"/>
    <w:rsid w:val="0007259E"/>
    <w:rsid w:val="00072F82"/>
    <w:rsid w:val="0007591A"/>
    <w:rsid w:val="00077C0B"/>
    <w:rsid w:val="00087545"/>
    <w:rsid w:val="00092AB5"/>
    <w:rsid w:val="00094B81"/>
    <w:rsid w:val="00094EF3"/>
    <w:rsid w:val="000A5B39"/>
    <w:rsid w:val="000A63B2"/>
    <w:rsid w:val="000A7851"/>
    <w:rsid w:val="000B01FC"/>
    <w:rsid w:val="000B7C23"/>
    <w:rsid w:val="000C30C1"/>
    <w:rsid w:val="000C3EA6"/>
    <w:rsid w:val="000E7528"/>
    <w:rsid w:val="000F3020"/>
    <w:rsid w:val="000F6508"/>
    <w:rsid w:val="00103B79"/>
    <w:rsid w:val="00117E07"/>
    <w:rsid w:val="0012473C"/>
    <w:rsid w:val="00130019"/>
    <w:rsid w:val="00154AA1"/>
    <w:rsid w:val="00157963"/>
    <w:rsid w:val="00161EE5"/>
    <w:rsid w:val="0016311C"/>
    <w:rsid w:val="001635AE"/>
    <w:rsid w:val="00163F51"/>
    <w:rsid w:val="001654D5"/>
    <w:rsid w:val="00170F56"/>
    <w:rsid w:val="00172771"/>
    <w:rsid w:val="00173237"/>
    <w:rsid w:val="00175CD8"/>
    <w:rsid w:val="0019160B"/>
    <w:rsid w:val="001B12C9"/>
    <w:rsid w:val="001B3E4F"/>
    <w:rsid w:val="001D24D7"/>
    <w:rsid w:val="001D3DC0"/>
    <w:rsid w:val="001D5CC5"/>
    <w:rsid w:val="001E277E"/>
    <w:rsid w:val="001F3814"/>
    <w:rsid w:val="00201827"/>
    <w:rsid w:val="00207D1F"/>
    <w:rsid w:val="00223430"/>
    <w:rsid w:val="002234D4"/>
    <w:rsid w:val="00224C68"/>
    <w:rsid w:val="00224E3B"/>
    <w:rsid w:val="002327B4"/>
    <w:rsid w:val="00236BE1"/>
    <w:rsid w:val="00245F2E"/>
    <w:rsid w:val="00263FFD"/>
    <w:rsid w:val="00277240"/>
    <w:rsid w:val="00280C98"/>
    <w:rsid w:val="00294281"/>
    <w:rsid w:val="00294592"/>
    <w:rsid w:val="002B4733"/>
    <w:rsid w:val="002C6128"/>
    <w:rsid w:val="002C746C"/>
    <w:rsid w:val="002D0386"/>
    <w:rsid w:val="002F1910"/>
    <w:rsid w:val="002F224C"/>
    <w:rsid w:val="003008D8"/>
    <w:rsid w:val="00304F34"/>
    <w:rsid w:val="00304FD2"/>
    <w:rsid w:val="00320FBA"/>
    <w:rsid w:val="00343CFA"/>
    <w:rsid w:val="00346982"/>
    <w:rsid w:val="00352BEA"/>
    <w:rsid w:val="0035444D"/>
    <w:rsid w:val="00357751"/>
    <w:rsid w:val="003610AE"/>
    <w:rsid w:val="003628F4"/>
    <w:rsid w:val="00364278"/>
    <w:rsid w:val="003642D8"/>
    <w:rsid w:val="00370305"/>
    <w:rsid w:val="003710EE"/>
    <w:rsid w:val="00372025"/>
    <w:rsid w:val="0037341B"/>
    <w:rsid w:val="0038013C"/>
    <w:rsid w:val="003833E2"/>
    <w:rsid w:val="00394D09"/>
    <w:rsid w:val="003960A3"/>
    <w:rsid w:val="00397354"/>
    <w:rsid w:val="003A1869"/>
    <w:rsid w:val="003B06CB"/>
    <w:rsid w:val="003B28D7"/>
    <w:rsid w:val="003B5878"/>
    <w:rsid w:val="003C2B8B"/>
    <w:rsid w:val="003C6F67"/>
    <w:rsid w:val="003D1B7B"/>
    <w:rsid w:val="003D6060"/>
    <w:rsid w:val="003F3DD2"/>
    <w:rsid w:val="00406BA8"/>
    <w:rsid w:val="00411BAB"/>
    <w:rsid w:val="00415152"/>
    <w:rsid w:val="00422FE2"/>
    <w:rsid w:val="00423F5F"/>
    <w:rsid w:val="004246B8"/>
    <w:rsid w:val="004246BD"/>
    <w:rsid w:val="0043169E"/>
    <w:rsid w:val="00431F73"/>
    <w:rsid w:val="00440DCE"/>
    <w:rsid w:val="004438B0"/>
    <w:rsid w:val="004455AB"/>
    <w:rsid w:val="004465D7"/>
    <w:rsid w:val="00451FEF"/>
    <w:rsid w:val="00462D73"/>
    <w:rsid w:val="00470294"/>
    <w:rsid w:val="00471508"/>
    <w:rsid w:val="00472E5B"/>
    <w:rsid w:val="00481ED2"/>
    <w:rsid w:val="004919C0"/>
    <w:rsid w:val="00494C70"/>
    <w:rsid w:val="00496370"/>
    <w:rsid w:val="00497432"/>
    <w:rsid w:val="004A3ADB"/>
    <w:rsid w:val="004A5739"/>
    <w:rsid w:val="004A7F95"/>
    <w:rsid w:val="004B5116"/>
    <w:rsid w:val="004B7DD7"/>
    <w:rsid w:val="004C7298"/>
    <w:rsid w:val="004C751C"/>
    <w:rsid w:val="004D0875"/>
    <w:rsid w:val="004D54CB"/>
    <w:rsid w:val="00501BBE"/>
    <w:rsid w:val="00501F49"/>
    <w:rsid w:val="005049D2"/>
    <w:rsid w:val="005078BC"/>
    <w:rsid w:val="005106C4"/>
    <w:rsid w:val="00513509"/>
    <w:rsid w:val="005151F4"/>
    <w:rsid w:val="00516F6C"/>
    <w:rsid w:val="00526491"/>
    <w:rsid w:val="0053650B"/>
    <w:rsid w:val="00536E73"/>
    <w:rsid w:val="00540802"/>
    <w:rsid w:val="00541A27"/>
    <w:rsid w:val="00550F3A"/>
    <w:rsid w:val="00561BD9"/>
    <w:rsid w:val="00570D70"/>
    <w:rsid w:val="00571A6E"/>
    <w:rsid w:val="005773EB"/>
    <w:rsid w:val="0058575E"/>
    <w:rsid w:val="00586A6E"/>
    <w:rsid w:val="00592FEE"/>
    <w:rsid w:val="00593624"/>
    <w:rsid w:val="0059548A"/>
    <w:rsid w:val="005A2DDB"/>
    <w:rsid w:val="005C1F31"/>
    <w:rsid w:val="005C746C"/>
    <w:rsid w:val="005E4412"/>
    <w:rsid w:val="005F3195"/>
    <w:rsid w:val="005F34D2"/>
    <w:rsid w:val="005F3750"/>
    <w:rsid w:val="00603580"/>
    <w:rsid w:val="00611EE2"/>
    <w:rsid w:val="006234EF"/>
    <w:rsid w:val="006249CF"/>
    <w:rsid w:val="006269E4"/>
    <w:rsid w:val="006347A1"/>
    <w:rsid w:val="00646C33"/>
    <w:rsid w:val="006478D3"/>
    <w:rsid w:val="00655AA6"/>
    <w:rsid w:val="00657EF9"/>
    <w:rsid w:val="00664349"/>
    <w:rsid w:val="00665DA7"/>
    <w:rsid w:val="00676454"/>
    <w:rsid w:val="00683A90"/>
    <w:rsid w:val="00685E72"/>
    <w:rsid w:val="00686370"/>
    <w:rsid w:val="00687F35"/>
    <w:rsid w:val="00690650"/>
    <w:rsid w:val="00691A9C"/>
    <w:rsid w:val="006A1F0B"/>
    <w:rsid w:val="006B159D"/>
    <w:rsid w:val="006B2623"/>
    <w:rsid w:val="006B5DC8"/>
    <w:rsid w:val="006B6406"/>
    <w:rsid w:val="006B656B"/>
    <w:rsid w:val="006D47E7"/>
    <w:rsid w:val="006D7D84"/>
    <w:rsid w:val="006E4B99"/>
    <w:rsid w:val="006F018E"/>
    <w:rsid w:val="007004B5"/>
    <w:rsid w:val="007040B0"/>
    <w:rsid w:val="00705046"/>
    <w:rsid w:val="00710D2F"/>
    <w:rsid w:val="00710E22"/>
    <w:rsid w:val="007144AC"/>
    <w:rsid w:val="00717F6A"/>
    <w:rsid w:val="0072362E"/>
    <w:rsid w:val="00736132"/>
    <w:rsid w:val="007405F1"/>
    <w:rsid w:val="00740B9B"/>
    <w:rsid w:val="00741833"/>
    <w:rsid w:val="00746990"/>
    <w:rsid w:val="00747422"/>
    <w:rsid w:val="0075101C"/>
    <w:rsid w:val="00760A80"/>
    <w:rsid w:val="00761C77"/>
    <w:rsid w:val="0076461D"/>
    <w:rsid w:val="00772A25"/>
    <w:rsid w:val="007745CE"/>
    <w:rsid w:val="007841FF"/>
    <w:rsid w:val="00796620"/>
    <w:rsid w:val="007A3B6C"/>
    <w:rsid w:val="007C0C83"/>
    <w:rsid w:val="007C7483"/>
    <w:rsid w:val="007D561C"/>
    <w:rsid w:val="007E0F88"/>
    <w:rsid w:val="007E5B66"/>
    <w:rsid w:val="007E6B9E"/>
    <w:rsid w:val="007F04C6"/>
    <w:rsid w:val="007F0A77"/>
    <w:rsid w:val="007F0D81"/>
    <w:rsid w:val="00800740"/>
    <w:rsid w:val="008007EB"/>
    <w:rsid w:val="00811E6C"/>
    <w:rsid w:val="00817840"/>
    <w:rsid w:val="008329DB"/>
    <w:rsid w:val="008343F6"/>
    <w:rsid w:val="00834FD3"/>
    <w:rsid w:val="00835201"/>
    <w:rsid w:val="008414DE"/>
    <w:rsid w:val="00861E03"/>
    <w:rsid w:val="00863257"/>
    <w:rsid w:val="00864CB0"/>
    <w:rsid w:val="0086555A"/>
    <w:rsid w:val="00877804"/>
    <w:rsid w:val="0088292E"/>
    <w:rsid w:val="00883C24"/>
    <w:rsid w:val="00892C42"/>
    <w:rsid w:val="008B0FEB"/>
    <w:rsid w:val="008B4FA7"/>
    <w:rsid w:val="008C43B7"/>
    <w:rsid w:val="008C5788"/>
    <w:rsid w:val="008D0FBD"/>
    <w:rsid w:val="008D4FF7"/>
    <w:rsid w:val="008E7DB8"/>
    <w:rsid w:val="008F2D16"/>
    <w:rsid w:val="008F6897"/>
    <w:rsid w:val="009058AB"/>
    <w:rsid w:val="0091057E"/>
    <w:rsid w:val="00914807"/>
    <w:rsid w:val="00916E3F"/>
    <w:rsid w:val="00917689"/>
    <w:rsid w:val="00921856"/>
    <w:rsid w:val="00923A0D"/>
    <w:rsid w:val="00930D58"/>
    <w:rsid w:val="009356E8"/>
    <w:rsid w:val="0093722C"/>
    <w:rsid w:val="009377DC"/>
    <w:rsid w:val="009414DA"/>
    <w:rsid w:val="00943F93"/>
    <w:rsid w:val="009441F8"/>
    <w:rsid w:val="00945641"/>
    <w:rsid w:val="00946F2C"/>
    <w:rsid w:val="009531B4"/>
    <w:rsid w:val="00963E9B"/>
    <w:rsid w:val="00964E1E"/>
    <w:rsid w:val="00971F88"/>
    <w:rsid w:val="00980379"/>
    <w:rsid w:val="00991BC7"/>
    <w:rsid w:val="009B0232"/>
    <w:rsid w:val="009B313A"/>
    <w:rsid w:val="009C26DB"/>
    <w:rsid w:val="009C55B5"/>
    <w:rsid w:val="009C634A"/>
    <w:rsid w:val="009C7818"/>
    <w:rsid w:val="009F285A"/>
    <w:rsid w:val="009F7231"/>
    <w:rsid w:val="00A16339"/>
    <w:rsid w:val="00A2365B"/>
    <w:rsid w:val="00A24B5A"/>
    <w:rsid w:val="00A34DB6"/>
    <w:rsid w:val="00A34F10"/>
    <w:rsid w:val="00A35340"/>
    <w:rsid w:val="00A3550F"/>
    <w:rsid w:val="00A50294"/>
    <w:rsid w:val="00A51FE1"/>
    <w:rsid w:val="00A626C4"/>
    <w:rsid w:val="00A73AC6"/>
    <w:rsid w:val="00A8397C"/>
    <w:rsid w:val="00A83DFC"/>
    <w:rsid w:val="00A83E4F"/>
    <w:rsid w:val="00A95B6F"/>
    <w:rsid w:val="00AB253E"/>
    <w:rsid w:val="00AB2A5D"/>
    <w:rsid w:val="00AB4D39"/>
    <w:rsid w:val="00AB7CBF"/>
    <w:rsid w:val="00AC5E26"/>
    <w:rsid w:val="00AC69AB"/>
    <w:rsid w:val="00AC6F78"/>
    <w:rsid w:val="00AC7938"/>
    <w:rsid w:val="00AD23CD"/>
    <w:rsid w:val="00AD4F61"/>
    <w:rsid w:val="00AE5D07"/>
    <w:rsid w:val="00AE7276"/>
    <w:rsid w:val="00AF299A"/>
    <w:rsid w:val="00AF4FD3"/>
    <w:rsid w:val="00B05BCF"/>
    <w:rsid w:val="00B12BF7"/>
    <w:rsid w:val="00B13323"/>
    <w:rsid w:val="00B206FD"/>
    <w:rsid w:val="00B216B2"/>
    <w:rsid w:val="00B21C87"/>
    <w:rsid w:val="00B26063"/>
    <w:rsid w:val="00B26D8B"/>
    <w:rsid w:val="00B2729D"/>
    <w:rsid w:val="00B27DC8"/>
    <w:rsid w:val="00B27F70"/>
    <w:rsid w:val="00B3076B"/>
    <w:rsid w:val="00B35724"/>
    <w:rsid w:val="00B46BC0"/>
    <w:rsid w:val="00B575EE"/>
    <w:rsid w:val="00B57EB5"/>
    <w:rsid w:val="00B638C9"/>
    <w:rsid w:val="00B641B5"/>
    <w:rsid w:val="00B8496C"/>
    <w:rsid w:val="00B85375"/>
    <w:rsid w:val="00B935E1"/>
    <w:rsid w:val="00B94718"/>
    <w:rsid w:val="00BA2399"/>
    <w:rsid w:val="00BA4CDF"/>
    <w:rsid w:val="00BA6CB6"/>
    <w:rsid w:val="00BA7703"/>
    <w:rsid w:val="00BC03E0"/>
    <w:rsid w:val="00BC60BD"/>
    <w:rsid w:val="00BD4DFE"/>
    <w:rsid w:val="00C0546B"/>
    <w:rsid w:val="00C12EE3"/>
    <w:rsid w:val="00C34837"/>
    <w:rsid w:val="00C34CF0"/>
    <w:rsid w:val="00C41085"/>
    <w:rsid w:val="00C41FAD"/>
    <w:rsid w:val="00C449ED"/>
    <w:rsid w:val="00C6047E"/>
    <w:rsid w:val="00C63338"/>
    <w:rsid w:val="00C66551"/>
    <w:rsid w:val="00C67045"/>
    <w:rsid w:val="00C743D5"/>
    <w:rsid w:val="00C82500"/>
    <w:rsid w:val="00C85610"/>
    <w:rsid w:val="00C87241"/>
    <w:rsid w:val="00CB0550"/>
    <w:rsid w:val="00CC0B19"/>
    <w:rsid w:val="00CD0782"/>
    <w:rsid w:val="00D078BE"/>
    <w:rsid w:val="00D10FD9"/>
    <w:rsid w:val="00D12920"/>
    <w:rsid w:val="00D137F8"/>
    <w:rsid w:val="00D13F8A"/>
    <w:rsid w:val="00D24795"/>
    <w:rsid w:val="00D31660"/>
    <w:rsid w:val="00D3329A"/>
    <w:rsid w:val="00D4218F"/>
    <w:rsid w:val="00D4264A"/>
    <w:rsid w:val="00D44CC1"/>
    <w:rsid w:val="00D55A76"/>
    <w:rsid w:val="00D60DC1"/>
    <w:rsid w:val="00D6337C"/>
    <w:rsid w:val="00D63639"/>
    <w:rsid w:val="00D709ED"/>
    <w:rsid w:val="00D72441"/>
    <w:rsid w:val="00D72536"/>
    <w:rsid w:val="00D74E12"/>
    <w:rsid w:val="00D82C05"/>
    <w:rsid w:val="00D85AA6"/>
    <w:rsid w:val="00D918D5"/>
    <w:rsid w:val="00D932DF"/>
    <w:rsid w:val="00D94172"/>
    <w:rsid w:val="00D97403"/>
    <w:rsid w:val="00DB0881"/>
    <w:rsid w:val="00DB1CB0"/>
    <w:rsid w:val="00DC1C7F"/>
    <w:rsid w:val="00DC6D55"/>
    <w:rsid w:val="00DD3AFB"/>
    <w:rsid w:val="00DE0214"/>
    <w:rsid w:val="00DE078A"/>
    <w:rsid w:val="00DE093C"/>
    <w:rsid w:val="00DE62D5"/>
    <w:rsid w:val="00DF0A9C"/>
    <w:rsid w:val="00DF2343"/>
    <w:rsid w:val="00DF28C7"/>
    <w:rsid w:val="00E06610"/>
    <w:rsid w:val="00E125D7"/>
    <w:rsid w:val="00E13CFF"/>
    <w:rsid w:val="00E14342"/>
    <w:rsid w:val="00E22509"/>
    <w:rsid w:val="00E32F16"/>
    <w:rsid w:val="00E332F8"/>
    <w:rsid w:val="00E33CE4"/>
    <w:rsid w:val="00E41640"/>
    <w:rsid w:val="00E4433A"/>
    <w:rsid w:val="00E521E0"/>
    <w:rsid w:val="00E53562"/>
    <w:rsid w:val="00E53D3F"/>
    <w:rsid w:val="00E5512A"/>
    <w:rsid w:val="00E63FCC"/>
    <w:rsid w:val="00E72C66"/>
    <w:rsid w:val="00E73FB7"/>
    <w:rsid w:val="00E76828"/>
    <w:rsid w:val="00E80E3F"/>
    <w:rsid w:val="00EA07D8"/>
    <w:rsid w:val="00EA19A0"/>
    <w:rsid w:val="00EA3F74"/>
    <w:rsid w:val="00EA438E"/>
    <w:rsid w:val="00EA644F"/>
    <w:rsid w:val="00EA720F"/>
    <w:rsid w:val="00EB1099"/>
    <w:rsid w:val="00EB5194"/>
    <w:rsid w:val="00EB7EBF"/>
    <w:rsid w:val="00EC14ED"/>
    <w:rsid w:val="00ED4FE9"/>
    <w:rsid w:val="00ED776D"/>
    <w:rsid w:val="00EE4793"/>
    <w:rsid w:val="00EF335F"/>
    <w:rsid w:val="00EF37AB"/>
    <w:rsid w:val="00EF5091"/>
    <w:rsid w:val="00EF7AAA"/>
    <w:rsid w:val="00F01A56"/>
    <w:rsid w:val="00F02AEC"/>
    <w:rsid w:val="00F0481F"/>
    <w:rsid w:val="00F2313E"/>
    <w:rsid w:val="00F302FC"/>
    <w:rsid w:val="00F318D9"/>
    <w:rsid w:val="00F41CF5"/>
    <w:rsid w:val="00F564F9"/>
    <w:rsid w:val="00F70417"/>
    <w:rsid w:val="00F729C6"/>
    <w:rsid w:val="00F736E0"/>
    <w:rsid w:val="00F906C0"/>
    <w:rsid w:val="00F9259D"/>
    <w:rsid w:val="00FA49C3"/>
    <w:rsid w:val="00FB27EC"/>
    <w:rsid w:val="00FC0CF6"/>
    <w:rsid w:val="00FC34B2"/>
    <w:rsid w:val="00FC39DC"/>
    <w:rsid w:val="00FC7CDD"/>
    <w:rsid w:val="00FD6A98"/>
    <w:rsid w:val="00FD789C"/>
    <w:rsid w:val="00FE5EF0"/>
    <w:rsid w:val="00FE5F20"/>
    <w:rsid w:val="00FF77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0F104"/>
  <w15:chartTrackingRefBased/>
  <w15:docId w15:val="{537A3165-6759-478F-BDBF-09C661EB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580"/>
    <w:rPr>
      <w:sz w:val="22"/>
    </w:rPr>
  </w:style>
  <w:style w:type="paragraph" w:styleId="Heading1">
    <w:name w:val="heading 1"/>
    <w:basedOn w:val="Normal"/>
    <w:next w:val="Normal"/>
    <w:link w:val="Heading1Char"/>
    <w:rsid w:val="00685E72"/>
    <w:pPr>
      <w:keepNext/>
      <w:keepLines/>
      <w:spacing w:before="360" w:after="240" w:line="240" w:lineRule="atLeast"/>
      <w:outlineLvl w:val="0"/>
    </w:pPr>
    <w:rPr>
      <w:rFonts w:ascii="Arial" w:eastAsia="Times New Roman" w:hAnsi="Arial" w:cs="Times New Roman"/>
      <w:b/>
      <w:bCs/>
      <w:sz w:val="48"/>
      <w:szCs w:val="48"/>
    </w:rPr>
  </w:style>
  <w:style w:type="paragraph" w:styleId="Heading2">
    <w:name w:val="heading 2"/>
    <w:basedOn w:val="Normal"/>
    <w:next w:val="Normal"/>
    <w:link w:val="Heading2Char"/>
    <w:qFormat/>
    <w:rsid w:val="00F02AEC"/>
    <w:pPr>
      <w:keepNext/>
      <w:keepLines/>
      <w:spacing w:before="480" w:line="240" w:lineRule="atLeast"/>
      <w:outlineLvl w:val="1"/>
    </w:pPr>
    <w:rPr>
      <w:rFonts w:ascii="Arial" w:eastAsia="Times New Roman" w:hAnsi="Arial" w:cs="Times New Roman"/>
      <w:b/>
      <w:bCs/>
      <w:color w:val="001871"/>
      <w:sz w:val="38"/>
      <w:szCs w:val="38"/>
    </w:rPr>
  </w:style>
  <w:style w:type="paragraph" w:styleId="Heading3">
    <w:name w:val="heading 3"/>
    <w:basedOn w:val="Normal"/>
    <w:next w:val="Normal"/>
    <w:link w:val="Heading3Char"/>
    <w:qFormat/>
    <w:rsid w:val="00F02AEC"/>
    <w:pPr>
      <w:keepNext/>
      <w:keepLines/>
      <w:spacing w:before="480" w:line="240" w:lineRule="atLeast"/>
      <w:outlineLvl w:val="2"/>
    </w:pPr>
    <w:rPr>
      <w:rFonts w:ascii="Arial" w:eastAsia="Times New Roman" w:hAnsi="Arial" w:cs="Times New Roman"/>
      <w:b/>
      <w:bCs/>
      <w:color w:val="001871"/>
      <w:sz w:val="32"/>
      <w:szCs w:val="32"/>
    </w:rPr>
  </w:style>
  <w:style w:type="paragraph" w:styleId="Heading4">
    <w:name w:val="heading 4"/>
    <w:basedOn w:val="Normal"/>
    <w:next w:val="Normal"/>
    <w:link w:val="Heading4Char"/>
    <w:qFormat/>
    <w:rsid w:val="00F02AEC"/>
    <w:pPr>
      <w:keepNext/>
      <w:keepLines/>
      <w:spacing w:before="360" w:line="240" w:lineRule="atLeast"/>
      <w:outlineLvl w:val="3"/>
    </w:pPr>
    <w:rPr>
      <w:rFonts w:ascii="Arial" w:eastAsia="Cambria" w:hAnsi="Arial" w:cs="Times New Roman"/>
      <w:b/>
      <w:bCs/>
      <w:color w:val="001871"/>
      <w:sz w:val="28"/>
      <w:szCs w:val="26"/>
    </w:rPr>
  </w:style>
  <w:style w:type="paragraph" w:styleId="Heading5">
    <w:name w:val="heading 5"/>
    <w:basedOn w:val="Normal"/>
    <w:next w:val="Normal"/>
    <w:link w:val="Heading5Char"/>
    <w:uiPriority w:val="9"/>
    <w:rsid w:val="00F02AEC"/>
    <w:pPr>
      <w:keepNext/>
      <w:keepLines/>
      <w:spacing w:before="240" w:line="240" w:lineRule="atLeast"/>
      <w:outlineLvl w:val="4"/>
    </w:pPr>
    <w:rPr>
      <w:rFonts w:ascii="Arial" w:eastAsia="Times New Roman" w:hAnsi="Arial" w:cs="Times New Roman"/>
      <w:b/>
      <w:bCs/>
      <w:i/>
      <w:color w:val="001871"/>
      <w:sz w:val="26"/>
      <w:szCs w:val="26"/>
    </w:rPr>
  </w:style>
  <w:style w:type="paragraph" w:styleId="Heading6">
    <w:name w:val="heading 6"/>
    <w:basedOn w:val="Normal"/>
    <w:next w:val="Normal"/>
    <w:link w:val="Heading6Char"/>
    <w:uiPriority w:val="9"/>
    <w:rsid w:val="00F02AEC"/>
    <w:pPr>
      <w:keepNext/>
      <w:keepLines/>
      <w:spacing w:before="240" w:line="240" w:lineRule="atLeast"/>
      <w:outlineLvl w:val="5"/>
    </w:pPr>
    <w:rPr>
      <w:rFonts w:ascii="Arial" w:eastAsia="Times New Roman" w:hAnsi="Arial" w:cs="Times New Roman"/>
      <w:b/>
      <w:bCs/>
      <w:i/>
      <w:color w:val="001871"/>
      <w:sz w:val="24"/>
      <w:szCs w:val="21"/>
    </w:rPr>
  </w:style>
  <w:style w:type="paragraph" w:styleId="Heading7">
    <w:name w:val="heading 7"/>
    <w:basedOn w:val="Normal"/>
    <w:next w:val="Normal"/>
    <w:link w:val="Heading7Char"/>
    <w:uiPriority w:val="9"/>
    <w:rsid w:val="00685E72"/>
    <w:pPr>
      <w:keepNext/>
      <w:keepLines/>
      <w:spacing w:before="240" w:after="60" w:line="180" w:lineRule="atLeast"/>
      <w:ind w:left="1296" w:hanging="1296"/>
      <w:outlineLvl w:val="6"/>
    </w:pPr>
    <w:rPr>
      <w:rFonts w:ascii="Cambria" w:eastAsia="Times New Roman" w:hAnsi="Cambria" w:cs="Times New Roman"/>
      <w:bCs/>
      <w:i/>
      <w:szCs w:val="22"/>
    </w:rPr>
  </w:style>
  <w:style w:type="paragraph" w:styleId="Heading8">
    <w:name w:val="heading 8"/>
    <w:basedOn w:val="Normal"/>
    <w:next w:val="Normal"/>
    <w:link w:val="Heading8Char"/>
    <w:uiPriority w:val="9"/>
    <w:semiHidden/>
    <w:unhideWhenUsed/>
    <w:qFormat/>
    <w:rsid w:val="00685E72"/>
    <w:pPr>
      <w:keepNext/>
      <w:keepLines/>
      <w:spacing w:before="200" w:after="0" w:line="240" w:lineRule="atLeast"/>
      <w:ind w:left="1440" w:hanging="144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85E72"/>
    <w:pPr>
      <w:keepNext/>
      <w:keepLines/>
      <w:spacing w:before="200" w:after="0" w:line="240" w:lineRule="atLeast"/>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TGAblue2023">
    <w:name w:val="Table TGA blue 2023"/>
    <w:basedOn w:val="TableNormal"/>
    <w:uiPriority w:val="99"/>
    <w:qFormat/>
    <w:rsid w:val="008329DB"/>
    <w:pPr>
      <w:spacing w:before="80" w:after="40" w:line="264" w:lineRule="auto"/>
      <w:ind w:left="113"/>
    </w:pPr>
    <w:rPr>
      <w:rFonts w:ascii="Arial" w:eastAsia="Cambria" w:hAnsi="Arial" w:cs="Times New Roman"/>
      <w:color w:val="000000"/>
      <w:sz w:val="18"/>
      <w:szCs w:val="21"/>
      <w:lang w:eastAsia="en-AU"/>
    </w:rPr>
    <w:tblPr>
      <w:tblBorders>
        <w:top w:val="single" w:sz="4" w:space="0" w:color="263287"/>
        <w:left w:val="single" w:sz="4" w:space="0" w:color="263287"/>
        <w:bottom w:val="single" w:sz="4" w:space="0" w:color="263287"/>
        <w:right w:val="single" w:sz="4" w:space="0" w:color="263287"/>
        <w:insideH w:val="single" w:sz="4" w:space="0" w:color="263287"/>
        <w:insideV w:val="single" w:sz="4" w:space="0" w:color="263287"/>
      </w:tblBorders>
    </w:tblPr>
    <w:trPr>
      <w:cantSplit/>
    </w:trPr>
    <w:tcPr>
      <w:shd w:val="clear" w:color="auto" w:fill="FFFFFF" w:themeFill="background1"/>
    </w:tcPr>
    <w:tblStylePr w:type="firstRow">
      <w:pPr>
        <w:keepNext/>
        <w:wordWrap/>
      </w:pPr>
      <w:rPr>
        <w:rFonts w:ascii="Arial" w:hAnsi="Arial"/>
        <w:b/>
        <w:color w:val="263287"/>
        <w:sz w:val="22"/>
      </w:rPr>
      <w:tblPr/>
      <w:trPr>
        <w:tblHeader/>
      </w:trPr>
      <w:tcPr>
        <w:shd w:val="clear" w:color="auto" w:fill="DEEAF6" w:themeFill="accent5" w:themeFillTint="33"/>
      </w:tcPr>
    </w:tblStylePr>
    <w:tblStylePr w:type="firstCol">
      <w:pPr>
        <w:keepNext w:val="0"/>
        <w:wordWrap/>
      </w:pPr>
    </w:tblStylePr>
  </w:style>
  <w:style w:type="character" w:customStyle="1" w:styleId="Heading2Char">
    <w:name w:val="Heading 2 Char"/>
    <w:basedOn w:val="DefaultParagraphFont"/>
    <w:link w:val="Heading2"/>
    <w:rsid w:val="00F02AEC"/>
    <w:rPr>
      <w:rFonts w:ascii="Arial" w:eastAsia="Times New Roman" w:hAnsi="Arial" w:cs="Times New Roman"/>
      <w:b/>
      <w:bCs/>
      <w:color w:val="001871"/>
      <w:sz w:val="38"/>
      <w:szCs w:val="38"/>
    </w:rPr>
  </w:style>
  <w:style w:type="character" w:customStyle="1" w:styleId="Heading3Char">
    <w:name w:val="Heading 3 Char"/>
    <w:basedOn w:val="DefaultParagraphFont"/>
    <w:link w:val="Heading3"/>
    <w:rsid w:val="00F02AEC"/>
    <w:rPr>
      <w:rFonts w:ascii="Arial" w:eastAsia="Times New Roman" w:hAnsi="Arial" w:cs="Times New Roman"/>
      <w:b/>
      <w:bCs/>
      <w:color w:val="001871"/>
      <w:sz w:val="32"/>
      <w:szCs w:val="32"/>
    </w:rPr>
  </w:style>
  <w:style w:type="character" w:customStyle="1" w:styleId="Heading4Char">
    <w:name w:val="Heading 4 Char"/>
    <w:basedOn w:val="DefaultParagraphFont"/>
    <w:link w:val="Heading4"/>
    <w:rsid w:val="00F02AEC"/>
    <w:rPr>
      <w:rFonts w:ascii="Arial" w:eastAsia="Cambria" w:hAnsi="Arial" w:cs="Times New Roman"/>
      <w:b/>
      <w:bCs/>
      <w:color w:val="001871"/>
      <w:sz w:val="28"/>
      <w:szCs w:val="26"/>
    </w:rPr>
  </w:style>
  <w:style w:type="character" w:customStyle="1" w:styleId="Heading5Char">
    <w:name w:val="Heading 5 Char"/>
    <w:basedOn w:val="DefaultParagraphFont"/>
    <w:link w:val="Heading5"/>
    <w:uiPriority w:val="9"/>
    <w:rsid w:val="00F02AEC"/>
    <w:rPr>
      <w:rFonts w:ascii="Arial" w:eastAsia="Times New Roman" w:hAnsi="Arial" w:cs="Times New Roman"/>
      <w:b/>
      <w:bCs/>
      <w:i/>
      <w:color w:val="001871"/>
      <w:sz w:val="26"/>
      <w:szCs w:val="26"/>
    </w:rPr>
  </w:style>
  <w:style w:type="character" w:customStyle="1" w:styleId="Heading6Char">
    <w:name w:val="Heading 6 Char"/>
    <w:basedOn w:val="DefaultParagraphFont"/>
    <w:link w:val="Heading6"/>
    <w:uiPriority w:val="9"/>
    <w:rsid w:val="00F02AEC"/>
    <w:rPr>
      <w:rFonts w:ascii="Arial" w:eastAsia="Times New Roman" w:hAnsi="Arial" w:cs="Times New Roman"/>
      <w:b/>
      <w:bCs/>
      <w:i/>
      <w:color w:val="001871"/>
      <w:sz w:val="24"/>
      <w:szCs w:val="21"/>
    </w:rPr>
  </w:style>
  <w:style w:type="paragraph" w:styleId="Date">
    <w:name w:val="Date"/>
    <w:basedOn w:val="Normal"/>
    <w:next w:val="Normal"/>
    <w:link w:val="DateChar"/>
    <w:uiPriority w:val="99"/>
    <w:rsid w:val="00F02AEC"/>
    <w:pPr>
      <w:spacing w:before="120" w:after="0" w:line="240" w:lineRule="atLeast"/>
    </w:pPr>
    <w:rPr>
      <w:rFonts w:ascii="Arial" w:eastAsia="Cambria" w:hAnsi="Arial" w:cs="Times New Roman"/>
      <w:color w:val="333F4A"/>
      <w:sz w:val="28"/>
    </w:rPr>
  </w:style>
  <w:style w:type="character" w:customStyle="1" w:styleId="DateChar">
    <w:name w:val="Date Char"/>
    <w:basedOn w:val="DefaultParagraphFont"/>
    <w:link w:val="Date"/>
    <w:uiPriority w:val="99"/>
    <w:rsid w:val="00F02AEC"/>
    <w:rPr>
      <w:rFonts w:ascii="Arial" w:eastAsia="Cambria" w:hAnsi="Arial" w:cs="Times New Roman"/>
      <w:color w:val="333F4A"/>
      <w:sz w:val="28"/>
      <w:szCs w:val="20"/>
    </w:rPr>
  </w:style>
  <w:style w:type="paragraph" w:styleId="Footer">
    <w:name w:val="footer"/>
    <w:basedOn w:val="Normal"/>
    <w:link w:val="FooterChar"/>
    <w:uiPriority w:val="99"/>
    <w:rsid w:val="00F02AEC"/>
    <w:pPr>
      <w:tabs>
        <w:tab w:val="center" w:pos="4513"/>
        <w:tab w:val="right" w:pos="9026"/>
      </w:tabs>
      <w:spacing w:after="0" w:line="240" w:lineRule="auto"/>
    </w:pPr>
    <w:rPr>
      <w:rFonts w:ascii="Arial" w:eastAsia="Cambria" w:hAnsi="Arial" w:cs="Times New Roman"/>
      <w:color w:val="333F4A"/>
      <w:sz w:val="17"/>
    </w:rPr>
  </w:style>
  <w:style w:type="character" w:customStyle="1" w:styleId="FooterChar">
    <w:name w:val="Footer Char"/>
    <w:basedOn w:val="DefaultParagraphFont"/>
    <w:link w:val="Footer"/>
    <w:uiPriority w:val="99"/>
    <w:rsid w:val="00F02AEC"/>
    <w:rPr>
      <w:rFonts w:ascii="Arial" w:eastAsia="Cambria" w:hAnsi="Arial" w:cs="Times New Roman"/>
      <w:color w:val="333F4A"/>
      <w:sz w:val="17"/>
      <w:szCs w:val="20"/>
    </w:rPr>
  </w:style>
  <w:style w:type="paragraph" w:styleId="Header">
    <w:name w:val="header"/>
    <w:basedOn w:val="Normal"/>
    <w:link w:val="HeaderChar"/>
    <w:uiPriority w:val="99"/>
    <w:rsid w:val="00F02AEC"/>
    <w:pPr>
      <w:pBdr>
        <w:bottom w:val="single" w:sz="4" w:space="3" w:color="auto"/>
      </w:pBdr>
      <w:tabs>
        <w:tab w:val="center" w:pos="4513"/>
        <w:tab w:val="right" w:pos="9026"/>
      </w:tabs>
      <w:spacing w:after="0" w:line="240" w:lineRule="auto"/>
      <w:jc w:val="right"/>
    </w:pPr>
    <w:rPr>
      <w:rFonts w:ascii="Arial" w:eastAsia="Cambria" w:hAnsi="Arial" w:cs="Times New Roman"/>
      <w:color w:val="333F4A"/>
      <w:sz w:val="17"/>
    </w:rPr>
  </w:style>
  <w:style w:type="character" w:customStyle="1" w:styleId="HeaderChar">
    <w:name w:val="Header Char"/>
    <w:basedOn w:val="DefaultParagraphFont"/>
    <w:link w:val="Header"/>
    <w:uiPriority w:val="99"/>
    <w:rsid w:val="00F02AEC"/>
    <w:rPr>
      <w:rFonts w:ascii="Arial" w:eastAsia="Cambria" w:hAnsi="Arial" w:cs="Times New Roman"/>
      <w:color w:val="333F4A"/>
      <w:sz w:val="17"/>
      <w:szCs w:val="20"/>
    </w:rPr>
  </w:style>
  <w:style w:type="character" w:styleId="Hyperlink">
    <w:name w:val="Hyperlink"/>
    <w:aliases w:val="OECD Hyperlink"/>
    <w:basedOn w:val="DefaultParagraphFont"/>
    <w:uiPriority w:val="99"/>
    <w:unhideWhenUsed/>
    <w:rsid w:val="00F02AEC"/>
    <w:rPr>
      <w:rFonts w:ascii="Arial" w:hAnsi="Arial"/>
      <w:color w:val="0000FF"/>
      <w:u w:val="single"/>
    </w:rPr>
  </w:style>
  <w:style w:type="paragraph" w:customStyle="1" w:styleId="LegalCopy">
    <w:name w:val="Legal Copy"/>
    <w:basedOn w:val="Footer"/>
    <w:rsid w:val="00F02AEC"/>
  </w:style>
  <w:style w:type="paragraph" w:customStyle="1" w:styleId="LegalSubheading">
    <w:name w:val="Legal Subheading"/>
    <w:basedOn w:val="Footer"/>
    <w:rsid w:val="00F02AEC"/>
    <w:pPr>
      <w:outlineLvl w:val="1"/>
    </w:pPr>
    <w:rPr>
      <w:b/>
    </w:rPr>
  </w:style>
  <w:style w:type="paragraph" w:styleId="ListBullet">
    <w:name w:val="List Bullet"/>
    <w:basedOn w:val="Normal"/>
    <w:uiPriority w:val="2"/>
    <w:qFormat/>
    <w:rsid w:val="00603580"/>
    <w:pPr>
      <w:numPr>
        <w:numId w:val="1"/>
      </w:numPr>
      <w:spacing w:before="120" w:after="180" w:line="240" w:lineRule="atLeast"/>
    </w:pPr>
    <w:rPr>
      <w:rFonts w:eastAsia="Cambria" w:cstheme="minorHAnsi"/>
    </w:rPr>
  </w:style>
  <w:style w:type="paragraph" w:styleId="ListBullet2">
    <w:name w:val="List Bullet 2"/>
    <w:basedOn w:val="Normal"/>
    <w:uiPriority w:val="2"/>
    <w:qFormat/>
    <w:rsid w:val="00611EE2"/>
    <w:pPr>
      <w:numPr>
        <w:ilvl w:val="1"/>
        <w:numId w:val="1"/>
      </w:numPr>
      <w:spacing w:before="120" w:after="180" w:line="240" w:lineRule="atLeast"/>
      <w:ind w:left="850" w:hanging="425"/>
    </w:pPr>
    <w:rPr>
      <w:rFonts w:eastAsia="Cambria" w:cs="Times New Roman"/>
      <w:color w:val="333F48"/>
    </w:rPr>
  </w:style>
  <w:style w:type="paragraph" w:styleId="ListBullet3">
    <w:name w:val="List Bullet 3"/>
    <w:basedOn w:val="Normal"/>
    <w:uiPriority w:val="2"/>
    <w:qFormat/>
    <w:rsid w:val="00F02AEC"/>
    <w:pPr>
      <w:numPr>
        <w:numId w:val="3"/>
      </w:numPr>
      <w:spacing w:before="120" w:after="180" w:line="240" w:lineRule="atLeast"/>
      <w:ind w:left="1276" w:hanging="425"/>
    </w:pPr>
    <w:rPr>
      <w:rFonts w:ascii="Arial" w:eastAsia="Cambria" w:hAnsi="Arial" w:cs="Times New Roman"/>
      <w:color w:val="333F48"/>
    </w:rPr>
  </w:style>
  <w:style w:type="numbering" w:customStyle="1" w:styleId="ListBullets">
    <w:name w:val="ListBullets"/>
    <w:uiPriority w:val="99"/>
    <w:locked/>
    <w:rsid w:val="00F02AEC"/>
    <w:pPr>
      <w:numPr>
        <w:numId w:val="16"/>
      </w:numPr>
    </w:pPr>
  </w:style>
  <w:style w:type="paragraph" w:customStyle="1" w:styleId="Numberbullet0">
    <w:name w:val="Number bullet"/>
    <w:basedOn w:val="ListBullet"/>
    <w:qFormat/>
    <w:rsid w:val="00B46BC0"/>
    <w:pPr>
      <w:numPr>
        <w:numId w:val="2"/>
      </w:numPr>
    </w:pPr>
  </w:style>
  <w:style w:type="paragraph" w:customStyle="1" w:styleId="Numberbullet2">
    <w:name w:val="Number bullet 2"/>
    <w:basedOn w:val="ListBullet2"/>
    <w:qFormat/>
    <w:rsid w:val="00F02AEC"/>
    <w:pPr>
      <w:numPr>
        <w:numId w:val="2"/>
      </w:numPr>
      <w:ind w:left="850" w:hanging="425"/>
    </w:pPr>
  </w:style>
  <w:style w:type="paragraph" w:customStyle="1" w:styleId="Numberbullet3">
    <w:name w:val="Number bullet 3"/>
    <w:basedOn w:val="Normal"/>
    <w:qFormat/>
    <w:rsid w:val="00F02AEC"/>
    <w:pPr>
      <w:numPr>
        <w:numId w:val="4"/>
      </w:numPr>
      <w:spacing w:before="120" w:after="180" w:line="240" w:lineRule="atLeast"/>
      <w:ind w:left="1361" w:hanging="397"/>
    </w:pPr>
    <w:rPr>
      <w:rFonts w:ascii="Arial" w:eastAsia="Cambria" w:hAnsi="Arial" w:cs="Times New Roman"/>
      <w:color w:val="333F48"/>
    </w:rPr>
  </w:style>
  <w:style w:type="numbering" w:customStyle="1" w:styleId="NumberBullet">
    <w:name w:val="NumberBullet"/>
    <w:uiPriority w:val="99"/>
    <w:locked/>
    <w:rsid w:val="00F02AEC"/>
    <w:pPr>
      <w:numPr>
        <w:numId w:val="2"/>
      </w:numPr>
    </w:pPr>
  </w:style>
  <w:style w:type="paragraph" w:styleId="Subtitle">
    <w:name w:val="Subtitle"/>
    <w:basedOn w:val="Normal"/>
    <w:link w:val="SubtitleChar"/>
    <w:uiPriority w:val="11"/>
    <w:rsid w:val="00F02AEC"/>
    <w:pPr>
      <w:numPr>
        <w:ilvl w:val="1"/>
      </w:numPr>
      <w:spacing w:after="0" w:line="240" w:lineRule="atLeast"/>
      <w:ind w:left="170"/>
    </w:pPr>
    <w:rPr>
      <w:rFonts w:ascii="Arial" w:eastAsia="Times New Roman" w:hAnsi="Arial" w:cs="Times New Roman"/>
      <w:bCs/>
      <w:iCs/>
      <w:color w:val="006BA6"/>
      <w:sz w:val="40"/>
      <w:szCs w:val="24"/>
    </w:rPr>
  </w:style>
  <w:style w:type="character" w:customStyle="1" w:styleId="SubtitleChar">
    <w:name w:val="Subtitle Char"/>
    <w:basedOn w:val="DefaultParagraphFont"/>
    <w:link w:val="Subtitle"/>
    <w:uiPriority w:val="11"/>
    <w:rsid w:val="00F02AEC"/>
    <w:rPr>
      <w:rFonts w:ascii="Arial" w:eastAsia="Times New Roman" w:hAnsi="Arial" w:cs="Times New Roman"/>
      <w:bCs/>
      <w:iCs/>
      <w:color w:val="006BA6"/>
      <w:sz w:val="40"/>
      <w:szCs w:val="24"/>
    </w:rPr>
  </w:style>
  <w:style w:type="table" w:styleId="TableGrid">
    <w:name w:val="Table Grid"/>
    <w:basedOn w:val="TableNormal"/>
    <w:uiPriority w:val="39"/>
    <w:rsid w:val="00F02AEC"/>
    <w:pPr>
      <w:spacing w:after="0" w:line="240" w:lineRule="auto"/>
    </w:pPr>
    <w:rPr>
      <w:rFonts w:ascii="Cambria" w:eastAsia="Cambria" w:hAnsi="Cambria" w:cs="Times New Roman"/>
      <w:sz w:val="21"/>
      <w:szCs w:val="21"/>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ASignoff">
    <w:name w:val="TGA Signoff"/>
    <w:basedOn w:val="Normal"/>
    <w:rsid w:val="00F02AEC"/>
    <w:pPr>
      <w:spacing w:before="120" w:after="360" w:line="240" w:lineRule="atLeast"/>
      <w:jc w:val="center"/>
    </w:pPr>
    <w:rPr>
      <w:rFonts w:ascii="Arial" w:eastAsia="Cambria" w:hAnsi="Arial" w:cs="Times New Roman"/>
      <w:b/>
      <w:color w:val="333F48"/>
      <w:sz w:val="28"/>
    </w:rPr>
  </w:style>
  <w:style w:type="paragraph" w:styleId="Title">
    <w:name w:val="Title"/>
    <w:link w:val="TitleChar"/>
    <w:uiPriority w:val="10"/>
    <w:rsid w:val="00F02AEC"/>
    <w:pPr>
      <w:spacing w:line="240" w:lineRule="auto"/>
      <w:contextualSpacing/>
      <w:outlineLvl w:val="0"/>
    </w:pPr>
    <w:rPr>
      <w:rFonts w:ascii="Arial" w:eastAsia="Times New Roman" w:hAnsi="Arial" w:cs="Times New Roman"/>
      <w:color w:val="001871"/>
      <w:spacing w:val="5"/>
      <w:kern w:val="28"/>
      <w:sz w:val="52"/>
      <w:szCs w:val="52"/>
    </w:rPr>
  </w:style>
  <w:style w:type="character" w:customStyle="1" w:styleId="TitleChar">
    <w:name w:val="Title Char"/>
    <w:basedOn w:val="DefaultParagraphFont"/>
    <w:link w:val="Title"/>
    <w:uiPriority w:val="10"/>
    <w:rsid w:val="00F02AEC"/>
    <w:rPr>
      <w:rFonts w:ascii="Arial" w:eastAsia="Times New Roman" w:hAnsi="Arial" w:cs="Times New Roman"/>
      <w:color w:val="001871"/>
      <w:spacing w:val="5"/>
      <w:kern w:val="28"/>
      <w:sz w:val="52"/>
      <w:szCs w:val="52"/>
    </w:rPr>
  </w:style>
  <w:style w:type="paragraph" w:styleId="TOC1">
    <w:name w:val="toc 1"/>
    <w:basedOn w:val="Normal"/>
    <w:next w:val="Normal"/>
    <w:uiPriority w:val="39"/>
    <w:unhideWhenUsed/>
    <w:rsid w:val="00F02AEC"/>
    <w:pPr>
      <w:keepNext/>
      <w:keepLines/>
      <w:tabs>
        <w:tab w:val="right" w:leader="underscore" w:pos="8505"/>
      </w:tabs>
      <w:spacing w:before="120" w:after="200" w:line="240" w:lineRule="atLeast"/>
    </w:pPr>
    <w:rPr>
      <w:rFonts w:ascii="Arial" w:eastAsia="Cambria" w:hAnsi="Arial" w:cs="Times New Roman"/>
      <w:b/>
      <w:color w:val="333F48"/>
      <w:sz w:val="32"/>
    </w:rPr>
  </w:style>
  <w:style w:type="paragraph" w:styleId="TOC2">
    <w:name w:val="toc 2"/>
    <w:basedOn w:val="Normal"/>
    <w:next w:val="Normal"/>
    <w:uiPriority w:val="39"/>
    <w:unhideWhenUsed/>
    <w:rsid w:val="00F02AEC"/>
    <w:pPr>
      <w:keepNext/>
      <w:keepLines/>
      <w:tabs>
        <w:tab w:val="right" w:leader="underscore" w:pos="8505"/>
      </w:tabs>
      <w:spacing w:before="120" w:after="100" w:line="240" w:lineRule="atLeast"/>
      <w:ind w:left="425"/>
    </w:pPr>
    <w:rPr>
      <w:rFonts w:ascii="Arial" w:eastAsia="Cambria" w:hAnsi="Arial" w:cs="Times New Roman"/>
      <w:b/>
      <w:color w:val="333F48"/>
      <w:sz w:val="25"/>
    </w:rPr>
  </w:style>
  <w:style w:type="paragraph" w:styleId="TOC3">
    <w:name w:val="toc 3"/>
    <w:basedOn w:val="Normal"/>
    <w:next w:val="Normal"/>
    <w:uiPriority w:val="39"/>
    <w:unhideWhenUsed/>
    <w:rsid w:val="00F02AEC"/>
    <w:pPr>
      <w:keepNext/>
      <w:keepLines/>
      <w:tabs>
        <w:tab w:val="right" w:leader="hyphen" w:pos="8505"/>
      </w:tabs>
      <w:spacing w:before="120" w:after="100" w:line="240" w:lineRule="atLeast"/>
      <w:ind w:left="851"/>
    </w:pPr>
    <w:rPr>
      <w:rFonts w:ascii="Arial" w:eastAsia="Cambria" w:hAnsi="Arial" w:cs="Times New Roman"/>
      <w:b/>
      <w:color w:val="333F48"/>
    </w:rPr>
  </w:style>
  <w:style w:type="paragraph" w:styleId="FootnoteText">
    <w:name w:val="footnote text"/>
    <w:aliases w:val="Tabellenanmerkung,FT"/>
    <w:basedOn w:val="Normal"/>
    <w:link w:val="FootnoteTextChar"/>
    <w:qFormat/>
    <w:rsid w:val="00F02AEC"/>
    <w:pPr>
      <w:keepLines/>
      <w:spacing w:after="0" w:line="240" w:lineRule="atLeast"/>
    </w:pPr>
    <w:rPr>
      <w:rFonts w:ascii="Arial" w:eastAsia="Cambria" w:hAnsi="Arial" w:cs="Times New Roman"/>
      <w:color w:val="333F48"/>
    </w:rPr>
  </w:style>
  <w:style w:type="character" w:customStyle="1" w:styleId="FootnoteTextChar">
    <w:name w:val="Footnote Text Char"/>
    <w:aliases w:val="Tabellenanmerkung Char,FT Char"/>
    <w:basedOn w:val="DefaultParagraphFont"/>
    <w:link w:val="FootnoteText"/>
    <w:rsid w:val="00F02AEC"/>
    <w:rPr>
      <w:rFonts w:ascii="Arial" w:eastAsia="Cambria" w:hAnsi="Arial" w:cs="Times New Roman"/>
      <w:color w:val="333F48"/>
      <w:sz w:val="20"/>
      <w:szCs w:val="20"/>
    </w:rPr>
  </w:style>
  <w:style w:type="character" w:styleId="FootnoteReference">
    <w:name w:val="footnote reference"/>
    <w:basedOn w:val="DefaultParagraphFont"/>
    <w:uiPriority w:val="99"/>
    <w:unhideWhenUsed/>
    <w:rsid w:val="00F02AEC"/>
    <w:rPr>
      <w:vertAlign w:val="superscript"/>
    </w:rPr>
  </w:style>
  <w:style w:type="paragraph" w:customStyle="1" w:styleId="NonTOCheading2">
    <w:name w:val="Non TOC heading 2"/>
    <w:basedOn w:val="Normal"/>
    <w:next w:val="Normal"/>
    <w:rsid w:val="00F02AEC"/>
    <w:pPr>
      <w:keepNext/>
      <w:keepLines/>
      <w:pageBreakBefore/>
      <w:spacing w:after="180" w:line="240" w:lineRule="atLeast"/>
      <w:outlineLvl w:val="1"/>
    </w:pPr>
    <w:rPr>
      <w:rFonts w:ascii="Arial" w:eastAsia="Cambria" w:hAnsi="Arial" w:cs="Times New Roman"/>
      <w:b/>
      <w:color w:val="001871"/>
      <w:sz w:val="38"/>
    </w:rPr>
  </w:style>
  <w:style w:type="paragraph" w:customStyle="1" w:styleId="Headernoline">
    <w:name w:val="Header no line"/>
    <w:basedOn w:val="Header"/>
    <w:rsid w:val="00F02AEC"/>
    <w:pPr>
      <w:pBdr>
        <w:bottom w:val="none" w:sz="0" w:space="0" w:color="auto"/>
      </w:pBdr>
      <w:spacing w:line="240" w:lineRule="atLeast"/>
    </w:pPr>
  </w:style>
  <w:style w:type="paragraph" w:customStyle="1" w:styleId="Tabledescription">
    <w:name w:val="Table description"/>
    <w:basedOn w:val="Normal"/>
    <w:next w:val="Normal"/>
    <w:rsid w:val="00F02AEC"/>
    <w:pPr>
      <w:spacing w:before="120" w:after="240" w:line="180" w:lineRule="atLeast"/>
    </w:pPr>
    <w:rPr>
      <w:rFonts w:ascii="Arial" w:eastAsia="Cambria" w:hAnsi="Arial" w:cs="Times New Roman"/>
      <w:color w:val="333F48"/>
      <w:sz w:val="18"/>
    </w:rPr>
  </w:style>
  <w:style w:type="paragraph" w:customStyle="1" w:styleId="Tabletitle">
    <w:name w:val="Table title"/>
    <w:basedOn w:val="Normal"/>
    <w:next w:val="Normal"/>
    <w:rsid w:val="00F02AEC"/>
    <w:pPr>
      <w:keepNext/>
      <w:spacing w:before="120" w:after="180" w:line="240" w:lineRule="atLeast"/>
    </w:pPr>
    <w:rPr>
      <w:rFonts w:ascii="Arial" w:eastAsia="Cambria" w:hAnsi="Arial" w:cs="Times New Roman"/>
      <w:b/>
      <w:color w:val="333F48"/>
    </w:rPr>
  </w:style>
  <w:style w:type="paragraph" w:customStyle="1" w:styleId="Address">
    <w:name w:val="Address"/>
    <w:basedOn w:val="Normal"/>
    <w:rsid w:val="00F02AEC"/>
    <w:pPr>
      <w:spacing w:after="0" w:line="240" w:lineRule="auto"/>
    </w:pPr>
    <w:rPr>
      <w:rFonts w:ascii="Arial" w:eastAsia="Cambria" w:hAnsi="Arial" w:cs="Times New Roman"/>
      <w:color w:val="333F48"/>
      <w:sz w:val="21"/>
    </w:rPr>
  </w:style>
  <w:style w:type="paragraph" w:customStyle="1" w:styleId="ListBullet-dotick">
    <w:name w:val="List Bullet - do (tick)"/>
    <w:basedOn w:val="ListBullet"/>
    <w:autoRedefine/>
    <w:uiPriority w:val="1"/>
    <w:qFormat/>
    <w:rsid w:val="00F02AEC"/>
    <w:pPr>
      <w:numPr>
        <w:numId w:val="5"/>
      </w:numPr>
      <w:tabs>
        <w:tab w:val="left" w:pos="425"/>
      </w:tabs>
    </w:pPr>
  </w:style>
  <w:style w:type="paragraph" w:customStyle="1" w:styleId="ListBullet-donotcross">
    <w:name w:val="List Bullet - do not (cross)"/>
    <w:basedOn w:val="ListBullet"/>
    <w:autoRedefine/>
    <w:uiPriority w:val="1"/>
    <w:qFormat/>
    <w:rsid w:val="00F02AEC"/>
    <w:pPr>
      <w:numPr>
        <w:numId w:val="6"/>
      </w:numPr>
      <w:ind w:left="357" w:hanging="357"/>
    </w:pPr>
    <w:rPr>
      <w:rFonts w:eastAsiaTheme="minorHAnsi" w:cstheme="minorBidi"/>
      <w:szCs w:val="22"/>
    </w:rPr>
  </w:style>
  <w:style w:type="table" w:customStyle="1" w:styleId="TGABlack2023">
    <w:name w:val="TGA Black 2023"/>
    <w:basedOn w:val="TableTGAblue2023"/>
    <w:uiPriority w:val="99"/>
    <w:rsid w:val="00FA49C3"/>
    <w:pPr>
      <w:spacing w:line="240" w:lineRule="auto"/>
    </w:pPr>
    <w:tblPr>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Pr>
    <w:tcPr>
      <w:shd w:val="clear" w:color="auto" w:fill="FFFFFF" w:themeFill="background1"/>
    </w:tcPr>
    <w:tblStylePr w:type="firstRow">
      <w:pPr>
        <w:keepNext/>
        <w:wordWrap/>
      </w:pPr>
      <w:rPr>
        <w:rFonts w:ascii="Arial" w:hAnsi="Arial"/>
        <w:b/>
        <w:color w:val="FFFFFF" w:themeColor="background1"/>
        <w:sz w:val="22"/>
      </w:rPr>
      <w:tblPr/>
      <w:trPr>
        <w:tblHeader/>
      </w:trPr>
      <w:tcPr>
        <w:shd w:val="clear" w:color="auto" w:fill="171717" w:themeFill="background2" w:themeFillShade="1A"/>
      </w:tcPr>
    </w:tblStylePr>
    <w:tblStylePr w:type="firstCol">
      <w:pPr>
        <w:keepNext w:val="0"/>
        <w:wordWrap/>
      </w:pPr>
    </w:tblStylePr>
  </w:style>
  <w:style w:type="character" w:customStyle="1" w:styleId="Heading1Char">
    <w:name w:val="Heading 1 Char"/>
    <w:basedOn w:val="DefaultParagraphFont"/>
    <w:link w:val="Heading1"/>
    <w:rsid w:val="00685E72"/>
    <w:rPr>
      <w:rFonts w:ascii="Arial" w:eastAsia="Times New Roman" w:hAnsi="Arial" w:cs="Times New Roman"/>
      <w:b/>
      <w:bCs/>
      <w:sz w:val="48"/>
      <w:szCs w:val="48"/>
    </w:rPr>
  </w:style>
  <w:style w:type="character" w:customStyle="1" w:styleId="Heading7Char">
    <w:name w:val="Heading 7 Char"/>
    <w:basedOn w:val="DefaultParagraphFont"/>
    <w:link w:val="Heading7"/>
    <w:uiPriority w:val="9"/>
    <w:rsid w:val="00685E72"/>
    <w:rPr>
      <w:rFonts w:ascii="Cambria" w:eastAsia="Times New Roman" w:hAnsi="Cambria" w:cs="Times New Roman"/>
      <w:bCs/>
      <w:i/>
      <w:sz w:val="22"/>
      <w:szCs w:val="22"/>
    </w:rPr>
  </w:style>
  <w:style w:type="character" w:customStyle="1" w:styleId="Heading8Char">
    <w:name w:val="Heading 8 Char"/>
    <w:basedOn w:val="DefaultParagraphFont"/>
    <w:link w:val="Heading8"/>
    <w:uiPriority w:val="9"/>
    <w:semiHidden/>
    <w:rsid w:val="00685E7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85E72"/>
    <w:rPr>
      <w:rFonts w:asciiTheme="majorHAnsi" w:eastAsiaTheme="majorEastAsia" w:hAnsiTheme="majorHAnsi" w:cstheme="majorBidi"/>
      <w:i/>
      <w:iCs/>
      <w:color w:val="404040" w:themeColor="text1" w:themeTint="BF"/>
    </w:rPr>
  </w:style>
  <w:style w:type="paragraph" w:styleId="DocumentMap">
    <w:name w:val="Document Map"/>
    <w:basedOn w:val="Normal"/>
    <w:link w:val="DocumentMapChar"/>
    <w:uiPriority w:val="99"/>
    <w:semiHidden/>
    <w:unhideWhenUsed/>
    <w:rsid w:val="00685E72"/>
    <w:pPr>
      <w:spacing w:after="0" w:line="240" w:lineRule="auto"/>
    </w:pPr>
    <w:rPr>
      <w:rFonts w:ascii="Tahoma" w:eastAsia="Cambria" w:hAnsi="Tahoma" w:cs="Tahoma"/>
      <w:sz w:val="16"/>
      <w:szCs w:val="16"/>
    </w:rPr>
  </w:style>
  <w:style w:type="character" w:customStyle="1" w:styleId="DocumentMapChar">
    <w:name w:val="Document Map Char"/>
    <w:basedOn w:val="DefaultParagraphFont"/>
    <w:link w:val="DocumentMap"/>
    <w:uiPriority w:val="99"/>
    <w:semiHidden/>
    <w:rsid w:val="00685E72"/>
    <w:rPr>
      <w:rFonts w:ascii="Tahoma" w:eastAsia="Cambria" w:hAnsi="Tahoma" w:cs="Tahoma"/>
      <w:sz w:val="16"/>
      <w:szCs w:val="16"/>
    </w:rPr>
  </w:style>
  <w:style w:type="paragraph" w:styleId="BalloonText">
    <w:name w:val="Balloon Text"/>
    <w:basedOn w:val="Normal"/>
    <w:link w:val="BalloonTextChar"/>
    <w:uiPriority w:val="99"/>
    <w:semiHidden/>
    <w:unhideWhenUsed/>
    <w:rsid w:val="00685E72"/>
    <w:pPr>
      <w:spacing w:before="120" w:after="0" w:line="240" w:lineRule="atLeast"/>
    </w:pPr>
    <w:rPr>
      <w:rFonts w:ascii="Tahoma" w:eastAsia="Cambria" w:hAnsi="Tahoma" w:cs="Tahoma"/>
      <w:sz w:val="16"/>
      <w:szCs w:val="16"/>
    </w:rPr>
  </w:style>
  <w:style w:type="character" w:customStyle="1" w:styleId="BalloonTextChar">
    <w:name w:val="Balloon Text Char"/>
    <w:basedOn w:val="DefaultParagraphFont"/>
    <w:link w:val="BalloonText"/>
    <w:uiPriority w:val="99"/>
    <w:semiHidden/>
    <w:rsid w:val="00685E72"/>
    <w:rPr>
      <w:rFonts w:ascii="Tahoma" w:eastAsia="Cambria" w:hAnsi="Tahoma" w:cs="Tahoma"/>
      <w:sz w:val="16"/>
      <w:szCs w:val="16"/>
    </w:rPr>
  </w:style>
  <w:style w:type="paragraph" w:styleId="TOC4">
    <w:name w:val="toc 4"/>
    <w:basedOn w:val="Normal"/>
    <w:next w:val="Normal"/>
    <w:autoRedefine/>
    <w:uiPriority w:val="39"/>
    <w:unhideWhenUsed/>
    <w:rsid w:val="00685E72"/>
    <w:pPr>
      <w:tabs>
        <w:tab w:val="right" w:leader="hyphen" w:pos="8505"/>
      </w:tabs>
      <w:spacing w:before="120" w:after="100" w:line="240" w:lineRule="atLeast"/>
      <w:ind w:left="1276"/>
    </w:pPr>
    <w:rPr>
      <w:rFonts w:ascii="Cambria" w:eastAsia="Cambria" w:hAnsi="Cambria" w:cs="Times New Roman"/>
    </w:rPr>
  </w:style>
  <w:style w:type="paragraph" w:styleId="TOC5">
    <w:name w:val="toc 5"/>
    <w:basedOn w:val="Normal"/>
    <w:next w:val="Normal"/>
    <w:autoRedefine/>
    <w:uiPriority w:val="39"/>
    <w:unhideWhenUsed/>
    <w:rsid w:val="00685E72"/>
    <w:pPr>
      <w:tabs>
        <w:tab w:val="right" w:leader="dot" w:pos="8505"/>
      </w:tabs>
      <w:spacing w:before="120" w:after="100" w:line="240" w:lineRule="atLeast"/>
      <w:ind w:left="1701"/>
    </w:pPr>
    <w:rPr>
      <w:rFonts w:ascii="Cambria" w:eastAsia="Cambria" w:hAnsi="Cambria" w:cs="Times New Roman"/>
      <w:noProof/>
    </w:rPr>
  </w:style>
  <w:style w:type="paragraph" w:styleId="TOC6">
    <w:name w:val="toc 6"/>
    <w:basedOn w:val="Normal"/>
    <w:next w:val="Normal"/>
    <w:autoRedefine/>
    <w:uiPriority w:val="39"/>
    <w:unhideWhenUsed/>
    <w:rsid w:val="00685E72"/>
    <w:pPr>
      <w:tabs>
        <w:tab w:val="right" w:pos="8505"/>
      </w:tabs>
      <w:spacing w:before="120" w:after="100" w:line="240" w:lineRule="atLeast"/>
      <w:ind w:left="2126"/>
    </w:pPr>
    <w:rPr>
      <w:rFonts w:ascii="Cambria" w:eastAsia="Cambria" w:hAnsi="Cambria" w:cs="Times New Roman"/>
    </w:rPr>
  </w:style>
  <w:style w:type="paragraph" w:styleId="TOC7">
    <w:name w:val="toc 7"/>
    <w:basedOn w:val="Normal"/>
    <w:next w:val="Normal"/>
    <w:autoRedefine/>
    <w:uiPriority w:val="39"/>
    <w:unhideWhenUsed/>
    <w:rsid w:val="00685E72"/>
    <w:pPr>
      <w:spacing w:before="120" w:after="100" w:line="240" w:lineRule="atLeast"/>
      <w:ind w:left="2211"/>
    </w:pPr>
    <w:rPr>
      <w:rFonts w:ascii="Cambria" w:eastAsia="Cambria" w:hAnsi="Cambria" w:cs="Times New Roman"/>
    </w:rPr>
  </w:style>
  <w:style w:type="character" w:styleId="FollowedHyperlink">
    <w:name w:val="FollowedHyperlink"/>
    <w:basedOn w:val="DefaultParagraphFont"/>
    <w:semiHidden/>
    <w:unhideWhenUsed/>
    <w:rsid w:val="00685E72"/>
    <w:rPr>
      <w:color w:val="800080"/>
      <w:u w:val="single"/>
    </w:rPr>
  </w:style>
  <w:style w:type="paragraph" w:customStyle="1" w:styleId="HeaderNoLine0">
    <w:name w:val="Header No Line"/>
    <w:basedOn w:val="Header"/>
    <w:rsid w:val="00685E72"/>
    <w:pPr>
      <w:pBdr>
        <w:bottom w:val="none" w:sz="0" w:space="0" w:color="auto"/>
      </w:pBdr>
    </w:pPr>
    <w:rPr>
      <w:rFonts w:ascii="Cambria" w:hAnsi="Cambria"/>
      <w:color w:val="auto"/>
    </w:rPr>
  </w:style>
  <w:style w:type="table" w:styleId="LightShading-Accent2">
    <w:name w:val="Light Shading Accent 2"/>
    <w:basedOn w:val="TableNormal"/>
    <w:uiPriority w:val="60"/>
    <w:rsid w:val="00685E72"/>
    <w:pPr>
      <w:spacing w:after="0" w:line="240" w:lineRule="auto"/>
    </w:pPr>
    <w:rPr>
      <w:rFonts w:ascii="Cambria" w:eastAsia="Calibri" w:hAnsi="Cambria" w:cs="Times New Roman"/>
      <w:color w:val="943634"/>
      <w:sz w:val="21"/>
      <w:szCs w:val="21"/>
      <w:lang w:eastAsia="en-A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2-Accent5">
    <w:name w:val="Medium Grid 2 Accent 5"/>
    <w:basedOn w:val="TableNormal"/>
    <w:uiPriority w:val="68"/>
    <w:rsid w:val="00685E72"/>
    <w:pPr>
      <w:spacing w:after="0" w:line="240" w:lineRule="auto"/>
    </w:pPr>
    <w:rPr>
      <w:rFonts w:ascii="Cambria" w:eastAsia="Times New Roman" w:hAnsi="Cambria" w:cs="Times New Roman"/>
      <w:color w:val="000000"/>
      <w:sz w:val="21"/>
      <w:szCs w:val="21"/>
      <w:lang w:eastAsia="en-A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styleId="PlaceholderText">
    <w:name w:val="Placeholder Text"/>
    <w:basedOn w:val="DefaultParagraphFont"/>
    <w:uiPriority w:val="99"/>
    <w:semiHidden/>
    <w:rsid w:val="00685E72"/>
    <w:rPr>
      <w:color w:val="808080"/>
    </w:rPr>
  </w:style>
  <w:style w:type="paragraph" w:customStyle="1" w:styleId="Reference">
    <w:name w:val="Reference"/>
    <w:basedOn w:val="Normal"/>
    <w:rsid w:val="00685E72"/>
    <w:pPr>
      <w:spacing w:before="40" w:after="0" w:line="240" w:lineRule="atLeast"/>
      <w:ind w:left="170" w:hanging="170"/>
    </w:pPr>
    <w:rPr>
      <w:rFonts w:ascii="Cambria" w:eastAsia="Cambria" w:hAnsi="Cambria" w:cs="Times New Roman"/>
      <w:sz w:val="19"/>
    </w:rPr>
  </w:style>
  <w:style w:type="paragraph" w:styleId="EndnoteText">
    <w:name w:val="endnote text"/>
    <w:basedOn w:val="FootnoteText"/>
    <w:link w:val="EndnoteTextChar"/>
    <w:semiHidden/>
    <w:unhideWhenUsed/>
    <w:rsid w:val="00685E72"/>
    <w:rPr>
      <w:rFonts w:asciiTheme="minorHAnsi" w:hAnsiTheme="minorHAnsi" w:cstheme="minorBidi"/>
      <w:color w:val="auto"/>
      <w:szCs w:val="22"/>
    </w:rPr>
  </w:style>
  <w:style w:type="character" w:customStyle="1" w:styleId="EndnoteTextChar">
    <w:name w:val="Endnote Text Char"/>
    <w:basedOn w:val="DefaultParagraphFont"/>
    <w:link w:val="EndnoteText"/>
    <w:semiHidden/>
    <w:rsid w:val="00685E72"/>
    <w:rPr>
      <w:rFonts w:eastAsia="Cambria"/>
      <w:szCs w:val="22"/>
    </w:rPr>
  </w:style>
  <w:style w:type="table" w:customStyle="1" w:styleId="TableTGAblue">
    <w:name w:val="Table TGA blue"/>
    <w:basedOn w:val="TableNormal"/>
    <w:uiPriority w:val="99"/>
    <w:qFormat/>
    <w:rsid w:val="00685E72"/>
    <w:pPr>
      <w:spacing w:after="0" w:line="240" w:lineRule="auto"/>
    </w:pPr>
    <w:rPr>
      <w:rFonts w:ascii="Cambria" w:eastAsia="Cambria" w:hAnsi="Cambria" w:cs="Times New Roman"/>
      <w:color w:val="000000"/>
      <w:sz w:val="22"/>
      <w:szCs w:val="21"/>
      <w:lang w:eastAsia="en-AU"/>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Cambria" w:hAnsi="Cambria"/>
        <w:b/>
        <w:color w:val="FFFFFF"/>
        <w:sz w:val="22"/>
      </w:rPr>
      <w:tbl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table" w:customStyle="1" w:styleId="TableTGAblack">
    <w:name w:val="Table TGA black"/>
    <w:basedOn w:val="TableNormal"/>
    <w:uiPriority w:val="99"/>
    <w:rsid w:val="00685E72"/>
    <w:pPr>
      <w:spacing w:before="60" w:after="0" w:line="240" w:lineRule="auto"/>
    </w:pPr>
    <w:rPr>
      <w:rFonts w:ascii="Cambria" w:eastAsia="Cambria" w:hAnsi="Cambria" w:cs="Times New Roman"/>
      <w:color w:val="000000"/>
      <w:sz w:val="22"/>
      <w:szCs w:val="21"/>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keepNext/>
        <w:wordWrap/>
      </w:pPr>
      <w:rPr>
        <w:rFonts w:ascii="Cambria" w:hAnsi="Cambria"/>
        <w:b/>
        <w:color w:val="FFFFFF"/>
        <w:sz w:val="22"/>
      </w:rPr>
      <w:tblPr/>
      <w:tcPr>
        <w:shd w:val="clear" w:color="auto" w:fill="000000"/>
      </w:tcPr>
    </w:tblStylePr>
    <w:tblStylePr w:type="lastRow">
      <w:rPr>
        <w:b w:val="0"/>
      </w:rPr>
    </w:tblStylePr>
    <w:tblStylePr w:type="firstCol">
      <w:pPr>
        <w:keepNext w:val="0"/>
        <w:wordWrap/>
      </w:pPr>
    </w:tblStylePr>
    <w:tblStylePr w:type="neCell">
      <w:rPr>
        <w:b w:val="0"/>
        <w:i w:val="0"/>
      </w:rPr>
    </w:tblStylePr>
    <w:tblStylePr w:type="nwCell">
      <w:rPr>
        <w:rFonts w:ascii="Cambria" w:hAnsi="Cambria"/>
        <w:b/>
        <w:i w:val="0"/>
        <w:color w:val="FFFFFF"/>
        <w:sz w:val="22"/>
      </w:rPr>
    </w:tblStylePr>
  </w:style>
  <w:style w:type="paragraph" w:styleId="TOCHeading">
    <w:name w:val="TOC Heading"/>
    <w:basedOn w:val="Heading1"/>
    <w:next w:val="Normal"/>
    <w:uiPriority w:val="39"/>
    <w:unhideWhenUsed/>
    <w:qFormat/>
    <w:rsid w:val="00685E72"/>
    <w:pPr>
      <w:spacing w:before="480" w:after="0" w:line="276" w:lineRule="auto"/>
      <w:outlineLvl w:val="9"/>
    </w:pPr>
    <w:rPr>
      <w:color w:val="002035"/>
      <w:sz w:val="28"/>
      <w:lang w:val="en-US"/>
    </w:rPr>
  </w:style>
  <w:style w:type="paragraph" w:styleId="NoSpacing">
    <w:name w:val="No Spacing"/>
    <w:uiPriority w:val="1"/>
    <w:qFormat/>
    <w:rsid w:val="002C746C"/>
    <w:pPr>
      <w:spacing w:after="0" w:line="240" w:lineRule="auto"/>
      <w:jc w:val="both"/>
    </w:pPr>
    <w:rPr>
      <w:rFonts w:eastAsiaTheme="minorEastAsia"/>
      <w:sz w:val="22"/>
      <w:szCs w:val="22"/>
      <w:lang w:eastAsia="en-AU"/>
    </w:rPr>
  </w:style>
  <w:style w:type="character" w:styleId="EndnoteReference">
    <w:name w:val="endnote reference"/>
    <w:basedOn w:val="DefaultParagraphFont"/>
    <w:uiPriority w:val="99"/>
    <w:semiHidden/>
    <w:unhideWhenUsed/>
    <w:rsid w:val="00685E72"/>
    <w:rPr>
      <w:vertAlign w:val="superscript"/>
    </w:rPr>
  </w:style>
  <w:style w:type="table" w:customStyle="1" w:styleId="LightShading1">
    <w:name w:val="Light Shading1"/>
    <w:basedOn w:val="TableNormal"/>
    <w:uiPriority w:val="60"/>
    <w:rsid w:val="00685E72"/>
    <w:pPr>
      <w:spacing w:after="0" w:line="240" w:lineRule="auto"/>
    </w:pPr>
    <w:rPr>
      <w:rFonts w:ascii="Cambria" w:eastAsia="Cambria" w:hAnsi="Cambria" w:cs="Times New Roman"/>
      <w:color w:val="000000" w:themeColor="text1" w:themeShade="BF"/>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guredescription">
    <w:name w:val="Figure description"/>
    <w:basedOn w:val="Normal"/>
    <w:next w:val="Normal"/>
    <w:rsid w:val="00685E72"/>
    <w:pPr>
      <w:spacing w:before="120" w:after="240" w:line="180" w:lineRule="atLeast"/>
    </w:pPr>
    <w:rPr>
      <w:rFonts w:ascii="Cambria" w:eastAsia="Cambria" w:hAnsi="Cambria" w:cs="Times New Roman"/>
      <w:sz w:val="18"/>
    </w:rPr>
  </w:style>
  <w:style w:type="paragraph" w:customStyle="1" w:styleId="Figuretitle">
    <w:name w:val="Figure title"/>
    <w:basedOn w:val="Normal"/>
    <w:next w:val="Normal"/>
    <w:rsid w:val="00685E72"/>
    <w:pPr>
      <w:keepNext/>
      <w:keepLines/>
      <w:spacing w:before="120" w:after="180" w:line="240" w:lineRule="atLeast"/>
    </w:pPr>
    <w:rPr>
      <w:rFonts w:ascii="Cambria" w:eastAsia="Cambria" w:hAnsi="Cambria" w:cs="Times New Roman"/>
      <w:b/>
    </w:rPr>
  </w:style>
  <w:style w:type="paragraph" w:customStyle="1" w:styleId="Quotation">
    <w:name w:val="Quotation"/>
    <w:basedOn w:val="Normal"/>
    <w:next w:val="Normal"/>
    <w:uiPriority w:val="4"/>
    <w:qFormat/>
    <w:rsid w:val="00685E72"/>
    <w:pPr>
      <w:spacing w:before="120" w:after="180" w:line="240" w:lineRule="atLeast"/>
      <w:ind w:left="425"/>
    </w:pPr>
    <w:rPr>
      <w:rFonts w:ascii="Cambria" w:eastAsia="Cambria" w:hAnsi="Cambria" w:cs="Times New Roman"/>
    </w:rPr>
  </w:style>
  <w:style w:type="character" w:styleId="CommentReference">
    <w:name w:val="annotation reference"/>
    <w:basedOn w:val="DefaultParagraphFont"/>
    <w:uiPriority w:val="99"/>
    <w:semiHidden/>
    <w:unhideWhenUsed/>
    <w:rsid w:val="00685E72"/>
    <w:rPr>
      <w:sz w:val="16"/>
      <w:szCs w:val="16"/>
    </w:rPr>
  </w:style>
  <w:style w:type="paragraph" w:styleId="CommentText">
    <w:name w:val="annotation text"/>
    <w:basedOn w:val="Normal"/>
    <w:link w:val="CommentTextChar"/>
    <w:uiPriority w:val="99"/>
    <w:unhideWhenUsed/>
    <w:rsid w:val="00685E72"/>
    <w:pPr>
      <w:spacing w:before="120" w:after="180" w:line="240" w:lineRule="auto"/>
    </w:pPr>
    <w:rPr>
      <w:rFonts w:ascii="Cambria" w:eastAsia="Cambria" w:hAnsi="Cambria" w:cs="Times New Roman"/>
    </w:rPr>
  </w:style>
  <w:style w:type="character" w:customStyle="1" w:styleId="CommentTextChar">
    <w:name w:val="Comment Text Char"/>
    <w:basedOn w:val="DefaultParagraphFont"/>
    <w:link w:val="CommentText"/>
    <w:uiPriority w:val="99"/>
    <w:rsid w:val="00685E72"/>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685E72"/>
    <w:rPr>
      <w:b/>
      <w:bCs/>
    </w:rPr>
  </w:style>
  <w:style w:type="character" w:customStyle="1" w:styleId="CommentSubjectChar">
    <w:name w:val="Comment Subject Char"/>
    <w:basedOn w:val="CommentTextChar"/>
    <w:link w:val="CommentSubject"/>
    <w:uiPriority w:val="99"/>
    <w:semiHidden/>
    <w:rsid w:val="00685E72"/>
    <w:rPr>
      <w:rFonts w:ascii="Cambria" w:eastAsia="Cambria" w:hAnsi="Cambria" w:cs="Times New Roman"/>
      <w:b/>
      <w:bCs/>
    </w:rPr>
  </w:style>
  <w:style w:type="paragraph" w:styleId="ListParagraph">
    <w:name w:val="List Paragraph"/>
    <w:basedOn w:val="Normal"/>
    <w:uiPriority w:val="34"/>
    <w:qFormat/>
    <w:rsid w:val="00685E72"/>
    <w:pPr>
      <w:spacing w:before="120" w:after="180" w:line="240" w:lineRule="atLeast"/>
      <w:ind w:left="720"/>
      <w:contextualSpacing/>
    </w:pPr>
    <w:rPr>
      <w:rFonts w:ascii="Cambria" w:eastAsia="Cambria" w:hAnsi="Cambria" w:cs="Times New Roman"/>
    </w:rPr>
  </w:style>
  <w:style w:type="table" w:styleId="LightList-Accent1">
    <w:name w:val="Light List Accent 1"/>
    <w:basedOn w:val="TableNormal"/>
    <w:uiPriority w:val="61"/>
    <w:rsid w:val="00685E72"/>
    <w:pPr>
      <w:spacing w:after="0" w:line="240" w:lineRule="auto"/>
    </w:pPr>
    <w:rPr>
      <w:rFonts w:eastAsiaTheme="minorEastAsia"/>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TOC9">
    <w:name w:val="toc 9"/>
    <w:basedOn w:val="Normal"/>
    <w:next w:val="Normal"/>
    <w:autoRedefine/>
    <w:uiPriority w:val="39"/>
    <w:unhideWhenUsed/>
    <w:rsid w:val="00685E72"/>
    <w:pPr>
      <w:spacing w:before="120" w:after="100" w:line="240" w:lineRule="atLeast"/>
      <w:ind w:left="1760"/>
    </w:pPr>
    <w:rPr>
      <w:rFonts w:ascii="Cambria" w:eastAsia="Cambria" w:hAnsi="Cambria" w:cs="Times New Roman"/>
    </w:rPr>
  </w:style>
  <w:style w:type="paragraph" w:customStyle="1" w:styleId="TableTitle0">
    <w:name w:val="Table Title"/>
    <w:basedOn w:val="Normal"/>
    <w:next w:val="Normal"/>
    <w:qFormat/>
    <w:rsid w:val="00685E72"/>
    <w:pPr>
      <w:spacing w:before="180" w:after="180" w:line="240" w:lineRule="atLeast"/>
    </w:pPr>
    <w:rPr>
      <w:rFonts w:ascii="Cambria" w:eastAsia="Cambria" w:hAnsi="Cambria" w:cs="Times New Roman"/>
      <w:b/>
    </w:rPr>
  </w:style>
  <w:style w:type="character" w:styleId="Strong">
    <w:name w:val="Strong"/>
    <w:basedOn w:val="DefaultParagraphFont"/>
    <w:uiPriority w:val="22"/>
    <w:qFormat/>
    <w:rsid w:val="00685E72"/>
    <w:rPr>
      <w:b/>
      <w:bCs/>
    </w:rPr>
  </w:style>
  <w:style w:type="paragraph" w:customStyle="1" w:styleId="Default">
    <w:name w:val="Default"/>
    <w:rsid w:val="00685E72"/>
    <w:pPr>
      <w:autoSpaceDE w:val="0"/>
      <w:autoSpaceDN w:val="0"/>
      <w:adjustRightInd w:val="0"/>
      <w:spacing w:after="0" w:line="240" w:lineRule="auto"/>
    </w:pPr>
    <w:rPr>
      <w:rFonts w:ascii="Times New Roman" w:eastAsia="Cambria" w:hAnsi="Times New Roman" w:cs="Times New Roman"/>
      <w:color w:val="000000"/>
      <w:sz w:val="24"/>
      <w:szCs w:val="24"/>
      <w:lang w:eastAsia="en-AU"/>
    </w:rPr>
  </w:style>
  <w:style w:type="character" w:customStyle="1" w:styleId="fontstyle01">
    <w:name w:val="fontstyle01"/>
    <w:basedOn w:val="DefaultParagraphFont"/>
    <w:rsid w:val="00685E72"/>
    <w:rPr>
      <w:rFonts w:ascii="Cambria" w:hAnsi="Cambria" w:hint="default"/>
      <w:b w:val="0"/>
      <w:bCs w:val="0"/>
      <w:i w:val="0"/>
      <w:iCs w:val="0"/>
      <w:color w:val="000000"/>
      <w:sz w:val="22"/>
      <w:szCs w:val="22"/>
    </w:rPr>
  </w:style>
  <w:style w:type="character" w:customStyle="1" w:styleId="fontstyle21">
    <w:name w:val="fontstyle21"/>
    <w:basedOn w:val="DefaultParagraphFont"/>
    <w:rsid w:val="00685E72"/>
    <w:rPr>
      <w:rFonts w:ascii="Cambria-Bold" w:hAnsi="Cambria-Bold" w:hint="default"/>
      <w:b/>
      <w:bCs/>
      <w:i w:val="0"/>
      <w:iCs w:val="0"/>
      <w:color w:val="000000"/>
      <w:sz w:val="22"/>
      <w:szCs w:val="22"/>
    </w:rPr>
  </w:style>
  <w:style w:type="paragraph" w:styleId="Revision">
    <w:name w:val="Revision"/>
    <w:hidden/>
    <w:uiPriority w:val="99"/>
    <w:semiHidden/>
    <w:rsid w:val="00685E72"/>
    <w:pPr>
      <w:spacing w:after="0" w:line="240" w:lineRule="auto"/>
    </w:pPr>
    <w:rPr>
      <w:rFonts w:ascii="Cambria" w:eastAsia="Cambria" w:hAnsi="Cambria" w:cs="Times New Roman"/>
      <w:sz w:val="22"/>
    </w:rPr>
  </w:style>
  <w:style w:type="paragraph" w:customStyle="1" w:styleId="ListBulleta">
    <w:name w:val="List Bullet a)"/>
    <w:basedOn w:val="ListBullet"/>
    <w:uiPriority w:val="1"/>
    <w:qFormat/>
    <w:rsid w:val="00C67045"/>
    <w:pPr>
      <w:numPr>
        <w:numId w:val="14"/>
      </w:numPr>
    </w:pPr>
  </w:style>
  <w:style w:type="paragraph" w:customStyle="1" w:styleId="ListBulleti">
    <w:name w:val="List Bullet i)"/>
    <w:basedOn w:val="ListBullet"/>
    <w:uiPriority w:val="1"/>
    <w:qFormat/>
    <w:rsid w:val="00C67045"/>
    <w:pPr>
      <w:numPr>
        <w:numId w:val="15"/>
      </w:numPr>
    </w:pPr>
  </w:style>
  <w:style w:type="character" w:customStyle="1" w:styleId="Style1">
    <w:name w:val="Style1"/>
    <w:basedOn w:val="DefaultParagraphFont"/>
    <w:uiPriority w:val="1"/>
    <w:rsid w:val="00685E72"/>
    <w:rPr>
      <w:rFonts w:ascii="Cambria" w:hAnsi="Cambria"/>
      <w:sz w:val="22"/>
    </w:rPr>
  </w:style>
  <w:style w:type="paragraph" w:styleId="NormalWeb">
    <w:name w:val="Normal (Web)"/>
    <w:basedOn w:val="Normal"/>
    <w:uiPriority w:val="99"/>
    <w:semiHidden/>
    <w:unhideWhenUsed/>
    <w:rsid w:val="00685E7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685E72"/>
    <w:rPr>
      <w:color w:val="605E5C"/>
      <w:shd w:val="clear" w:color="auto" w:fill="E1DFDD"/>
    </w:rPr>
  </w:style>
  <w:style w:type="paragraph" w:styleId="TOC8">
    <w:name w:val="toc 8"/>
    <w:basedOn w:val="Normal"/>
    <w:next w:val="Normal"/>
    <w:autoRedefine/>
    <w:uiPriority w:val="39"/>
    <w:unhideWhenUsed/>
    <w:rsid w:val="00DF2343"/>
    <w:pPr>
      <w:spacing w:after="100"/>
      <w:ind w:left="1540"/>
    </w:pPr>
    <w:rPr>
      <w:rFonts w:eastAsiaTheme="minorEastAsia"/>
      <w:szCs w:val="22"/>
      <w:lang w:eastAsia="en-AU"/>
    </w:rPr>
  </w:style>
  <w:style w:type="paragraph" w:customStyle="1" w:styleId="paragraph">
    <w:name w:val="paragraph"/>
    <w:basedOn w:val="Normal"/>
    <w:rsid w:val="00E416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41640"/>
  </w:style>
  <w:style w:type="character" w:customStyle="1" w:styleId="eop">
    <w:name w:val="eop"/>
    <w:basedOn w:val="DefaultParagraphFont"/>
    <w:rsid w:val="00E41640"/>
  </w:style>
  <w:style w:type="character" w:customStyle="1" w:styleId="superscript">
    <w:name w:val="superscript"/>
    <w:basedOn w:val="DefaultParagraphFont"/>
    <w:rsid w:val="00E41640"/>
  </w:style>
  <w:style w:type="character" w:customStyle="1" w:styleId="scxw25105384">
    <w:name w:val="scxw25105384"/>
    <w:basedOn w:val="DefaultParagraphFont"/>
    <w:rsid w:val="00EF37AB"/>
  </w:style>
  <w:style w:type="character" w:customStyle="1" w:styleId="scxw38869994">
    <w:name w:val="scxw38869994"/>
    <w:basedOn w:val="DefaultParagraphFont"/>
    <w:rsid w:val="00B2729D"/>
  </w:style>
  <w:style w:type="table" w:styleId="GridTable1Light">
    <w:name w:val="Grid Table 1 Light"/>
    <w:basedOn w:val="TableNormal"/>
    <w:uiPriority w:val="46"/>
    <w:rsid w:val="009C63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7474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3974">
      <w:bodyDiv w:val="1"/>
      <w:marLeft w:val="0"/>
      <w:marRight w:val="0"/>
      <w:marTop w:val="0"/>
      <w:marBottom w:val="0"/>
      <w:divBdr>
        <w:top w:val="none" w:sz="0" w:space="0" w:color="auto"/>
        <w:left w:val="none" w:sz="0" w:space="0" w:color="auto"/>
        <w:bottom w:val="none" w:sz="0" w:space="0" w:color="auto"/>
        <w:right w:val="none" w:sz="0" w:space="0" w:color="auto"/>
      </w:divBdr>
      <w:divsChild>
        <w:div w:id="288518463">
          <w:marLeft w:val="0"/>
          <w:marRight w:val="0"/>
          <w:marTop w:val="0"/>
          <w:marBottom w:val="0"/>
          <w:divBdr>
            <w:top w:val="none" w:sz="0" w:space="0" w:color="auto"/>
            <w:left w:val="none" w:sz="0" w:space="0" w:color="auto"/>
            <w:bottom w:val="none" w:sz="0" w:space="0" w:color="auto"/>
            <w:right w:val="none" w:sz="0" w:space="0" w:color="auto"/>
          </w:divBdr>
        </w:div>
        <w:div w:id="565146710">
          <w:marLeft w:val="0"/>
          <w:marRight w:val="0"/>
          <w:marTop w:val="0"/>
          <w:marBottom w:val="0"/>
          <w:divBdr>
            <w:top w:val="none" w:sz="0" w:space="0" w:color="auto"/>
            <w:left w:val="none" w:sz="0" w:space="0" w:color="auto"/>
            <w:bottom w:val="none" w:sz="0" w:space="0" w:color="auto"/>
            <w:right w:val="none" w:sz="0" w:space="0" w:color="auto"/>
          </w:divBdr>
        </w:div>
        <w:div w:id="800073597">
          <w:marLeft w:val="0"/>
          <w:marRight w:val="0"/>
          <w:marTop w:val="0"/>
          <w:marBottom w:val="0"/>
          <w:divBdr>
            <w:top w:val="none" w:sz="0" w:space="0" w:color="auto"/>
            <w:left w:val="none" w:sz="0" w:space="0" w:color="auto"/>
            <w:bottom w:val="none" w:sz="0" w:space="0" w:color="auto"/>
            <w:right w:val="none" w:sz="0" w:space="0" w:color="auto"/>
          </w:divBdr>
        </w:div>
        <w:div w:id="847328345">
          <w:marLeft w:val="0"/>
          <w:marRight w:val="0"/>
          <w:marTop w:val="0"/>
          <w:marBottom w:val="0"/>
          <w:divBdr>
            <w:top w:val="none" w:sz="0" w:space="0" w:color="auto"/>
            <w:left w:val="none" w:sz="0" w:space="0" w:color="auto"/>
            <w:bottom w:val="none" w:sz="0" w:space="0" w:color="auto"/>
            <w:right w:val="none" w:sz="0" w:space="0" w:color="auto"/>
          </w:divBdr>
        </w:div>
        <w:div w:id="1193419352">
          <w:marLeft w:val="0"/>
          <w:marRight w:val="0"/>
          <w:marTop w:val="0"/>
          <w:marBottom w:val="0"/>
          <w:divBdr>
            <w:top w:val="none" w:sz="0" w:space="0" w:color="auto"/>
            <w:left w:val="none" w:sz="0" w:space="0" w:color="auto"/>
            <w:bottom w:val="none" w:sz="0" w:space="0" w:color="auto"/>
            <w:right w:val="none" w:sz="0" w:space="0" w:color="auto"/>
          </w:divBdr>
        </w:div>
        <w:div w:id="1539586847">
          <w:marLeft w:val="0"/>
          <w:marRight w:val="0"/>
          <w:marTop w:val="0"/>
          <w:marBottom w:val="0"/>
          <w:divBdr>
            <w:top w:val="none" w:sz="0" w:space="0" w:color="auto"/>
            <w:left w:val="none" w:sz="0" w:space="0" w:color="auto"/>
            <w:bottom w:val="none" w:sz="0" w:space="0" w:color="auto"/>
            <w:right w:val="none" w:sz="0" w:space="0" w:color="auto"/>
          </w:divBdr>
        </w:div>
        <w:div w:id="1540969904">
          <w:marLeft w:val="0"/>
          <w:marRight w:val="0"/>
          <w:marTop w:val="0"/>
          <w:marBottom w:val="0"/>
          <w:divBdr>
            <w:top w:val="none" w:sz="0" w:space="0" w:color="auto"/>
            <w:left w:val="none" w:sz="0" w:space="0" w:color="auto"/>
            <w:bottom w:val="none" w:sz="0" w:space="0" w:color="auto"/>
            <w:right w:val="none" w:sz="0" w:space="0" w:color="auto"/>
          </w:divBdr>
        </w:div>
        <w:div w:id="1638414071">
          <w:marLeft w:val="0"/>
          <w:marRight w:val="0"/>
          <w:marTop w:val="0"/>
          <w:marBottom w:val="0"/>
          <w:divBdr>
            <w:top w:val="none" w:sz="0" w:space="0" w:color="auto"/>
            <w:left w:val="none" w:sz="0" w:space="0" w:color="auto"/>
            <w:bottom w:val="none" w:sz="0" w:space="0" w:color="auto"/>
            <w:right w:val="none" w:sz="0" w:space="0" w:color="auto"/>
          </w:divBdr>
        </w:div>
        <w:div w:id="1845583447">
          <w:marLeft w:val="0"/>
          <w:marRight w:val="0"/>
          <w:marTop w:val="0"/>
          <w:marBottom w:val="0"/>
          <w:divBdr>
            <w:top w:val="none" w:sz="0" w:space="0" w:color="auto"/>
            <w:left w:val="none" w:sz="0" w:space="0" w:color="auto"/>
            <w:bottom w:val="none" w:sz="0" w:space="0" w:color="auto"/>
            <w:right w:val="none" w:sz="0" w:space="0" w:color="auto"/>
          </w:divBdr>
        </w:div>
      </w:divsChild>
    </w:div>
    <w:div w:id="194393217">
      <w:bodyDiv w:val="1"/>
      <w:marLeft w:val="0"/>
      <w:marRight w:val="0"/>
      <w:marTop w:val="0"/>
      <w:marBottom w:val="0"/>
      <w:divBdr>
        <w:top w:val="none" w:sz="0" w:space="0" w:color="auto"/>
        <w:left w:val="none" w:sz="0" w:space="0" w:color="auto"/>
        <w:bottom w:val="none" w:sz="0" w:space="0" w:color="auto"/>
        <w:right w:val="none" w:sz="0" w:space="0" w:color="auto"/>
      </w:divBdr>
      <w:divsChild>
        <w:div w:id="419066583">
          <w:marLeft w:val="0"/>
          <w:marRight w:val="0"/>
          <w:marTop w:val="0"/>
          <w:marBottom w:val="0"/>
          <w:divBdr>
            <w:top w:val="none" w:sz="0" w:space="0" w:color="auto"/>
            <w:left w:val="none" w:sz="0" w:space="0" w:color="auto"/>
            <w:bottom w:val="none" w:sz="0" w:space="0" w:color="auto"/>
            <w:right w:val="none" w:sz="0" w:space="0" w:color="auto"/>
          </w:divBdr>
        </w:div>
        <w:div w:id="637030052">
          <w:marLeft w:val="0"/>
          <w:marRight w:val="0"/>
          <w:marTop w:val="0"/>
          <w:marBottom w:val="0"/>
          <w:divBdr>
            <w:top w:val="none" w:sz="0" w:space="0" w:color="auto"/>
            <w:left w:val="none" w:sz="0" w:space="0" w:color="auto"/>
            <w:bottom w:val="none" w:sz="0" w:space="0" w:color="auto"/>
            <w:right w:val="none" w:sz="0" w:space="0" w:color="auto"/>
          </w:divBdr>
        </w:div>
      </w:divsChild>
    </w:div>
    <w:div w:id="270356557">
      <w:bodyDiv w:val="1"/>
      <w:marLeft w:val="0"/>
      <w:marRight w:val="0"/>
      <w:marTop w:val="0"/>
      <w:marBottom w:val="0"/>
      <w:divBdr>
        <w:top w:val="none" w:sz="0" w:space="0" w:color="auto"/>
        <w:left w:val="none" w:sz="0" w:space="0" w:color="auto"/>
        <w:bottom w:val="none" w:sz="0" w:space="0" w:color="auto"/>
        <w:right w:val="none" w:sz="0" w:space="0" w:color="auto"/>
      </w:divBdr>
      <w:divsChild>
        <w:div w:id="42291985">
          <w:marLeft w:val="0"/>
          <w:marRight w:val="0"/>
          <w:marTop w:val="0"/>
          <w:marBottom w:val="0"/>
          <w:divBdr>
            <w:top w:val="none" w:sz="0" w:space="0" w:color="auto"/>
            <w:left w:val="none" w:sz="0" w:space="0" w:color="auto"/>
            <w:bottom w:val="none" w:sz="0" w:space="0" w:color="auto"/>
            <w:right w:val="none" w:sz="0" w:space="0" w:color="auto"/>
          </w:divBdr>
        </w:div>
        <w:div w:id="110326780">
          <w:marLeft w:val="0"/>
          <w:marRight w:val="0"/>
          <w:marTop w:val="0"/>
          <w:marBottom w:val="0"/>
          <w:divBdr>
            <w:top w:val="none" w:sz="0" w:space="0" w:color="auto"/>
            <w:left w:val="none" w:sz="0" w:space="0" w:color="auto"/>
            <w:bottom w:val="none" w:sz="0" w:space="0" w:color="auto"/>
            <w:right w:val="none" w:sz="0" w:space="0" w:color="auto"/>
          </w:divBdr>
        </w:div>
        <w:div w:id="349139310">
          <w:marLeft w:val="0"/>
          <w:marRight w:val="0"/>
          <w:marTop w:val="0"/>
          <w:marBottom w:val="0"/>
          <w:divBdr>
            <w:top w:val="none" w:sz="0" w:space="0" w:color="auto"/>
            <w:left w:val="none" w:sz="0" w:space="0" w:color="auto"/>
            <w:bottom w:val="none" w:sz="0" w:space="0" w:color="auto"/>
            <w:right w:val="none" w:sz="0" w:space="0" w:color="auto"/>
          </w:divBdr>
        </w:div>
        <w:div w:id="436486791">
          <w:marLeft w:val="0"/>
          <w:marRight w:val="0"/>
          <w:marTop w:val="0"/>
          <w:marBottom w:val="0"/>
          <w:divBdr>
            <w:top w:val="none" w:sz="0" w:space="0" w:color="auto"/>
            <w:left w:val="none" w:sz="0" w:space="0" w:color="auto"/>
            <w:bottom w:val="none" w:sz="0" w:space="0" w:color="auto"/>
            <w:right w:val="none" w:sz="0" w:space="0" w:color="auto"/>
          </w:divBdr>
        </w:div>
        <w:div w:id="466511928">
          <w:marLeft w:val="0"/>
          <w:marRight w:val="0"/>
          <w:marTop w:val="0"/>
          <w:marBottom w:val="0"/>
          <w:divBdr>
            <w:top w:val="none" w:sz="0" w:space="0" w:color="auto"/>
            <w:left w:val="none" w:sz="0" w:space="0" w:color="auto"/>
            <w:bottom w:val="none" w:sz="0" w:space="0" w:color="auto"/>
            <w:right w:val="none" w:sz="0" w:space="0" w:color="auto"/>
          </w:divBdr>
        </w:div>
        <w:div w:id="498616297">
          <w:marLeft w:val="0"/>
          <w:marRight w:val="0"/>
          <w:marTop w:val="0"/>
          <w:marBottom w:val="0"/>
          <w:divBdr>
            <w:top w:val="none" w:sz="0" w:space="0" w:color="auto"/>
            <w:left w:val="none" w:sz="0" w:space="0" w:color="auto"/>
            <w:bottom w:val="none" w:sz="0" w:space="0" w:color="auto"/>
            <w:right w:val="none" w:sz="0" w:space="0" w:color="auto"/>
          </w:divBdr>
        </w:div>
        <w:div w:id="802380560">
          <w:marLeft w:val="0"/>
          <w:marRight w:val="0"/>
          <w:marTop w:val="0"/>
          <w:marBottom w:val="0"/>
          <w:divBdr>
            <w:top w:val="none" w:sz="0" w:space="0" w:color="auto"/>
            <w:left w:val="none" w:sz="0" w:space="0" w:color="auto"/>
            <w:bottom w:val="none" w:sz="0" w:space="0" w:color="auto"/>
            <w:right w:val="none" w:sz="0" w:space="0" w:color="auto"/>
          </w:divBdr>
        </w:div>
        <w:div w:id="913900619">
          <w:marLeft w:val="0"/>
          <w:marRight w:val="0"/>
          <w:marTop w:val="0"/>
          <w:marBottom w:val="0"/>
          <w:divBdr>
            <w:top w:val="none" w:sz="0" w:space="0" w:color="auto"/>
            <w:left w:val="none" w:sz="0" w:space="0" w:color="auto"/>
            <w:bottom w:val="none" w:sz="0" w:space="0" w:color="auto"/>
            <w:right w:val="none" w:sz="0" w:space="0" w:color="auto"/>
          </w:divBdr>
        </w:div>
        <w:div w:id="938877369">
          <w:marLeft w:val="0"/>
          <w:marRight w:val="0"/>
          <w:marTop w:val="0"/>
          <w:marBottom w:val="0"/>
          <w:divBdr>
            <w:top w:val="none" w:sz="0" w:space="0" w:color="auto"/>
            <w:left w:val="none" w:sz="0" w:space="0" w:color="auto"/>
            <w:bottom w:val="none" w:sz="0" w:space="0" w:color="auto"/>
            <w:right w:val="none" w:sz="0" w:space="0" w:color="auto"/>
          </w:divBdr>
        </w:div>
        <w:div w:id="1039626081">
          <w:marLeft w:val="0"/>
          <w:marRight w:val="0"/>
          <w:marTop w:val="0"/>
          <w:marBottom w:val="0"/>
          <w:divBdr>
            <w:top w:val="none" w:sz="0" w:space="0" w:color="auto"/>
            <w:left w:val="none" w:sz="0" w:space="0" w:color="auto"/>
            <w:bottom w:val="none" w:sz="0" w:space="0" w:color="auto"/>
            <w:right w:val="none" w:sz="0" w:space="0" w:color="auto"/>
          </w:divBdr>
        </w:div>
        <w:div w:id="1051997318">
          <w:marLeft w:val="0"/>
          <w:marRight w:val="0"/>
          <w:marTop w:val="0"/>
          <w:marBottom w:val="0"/>
          <w:divBdr>
            <w:top w:val="none" w:sz="0" w:space="0" w:color="auto"/>
            <w:left w:val="none" w:sz="0" w:space="0" w:color="auto"/>
            <w:bottom w:val="none" w:sz="0" w:space="0" w:color="auto"/>
            <w:right w:val="none" w:sz="0" w:space="0" w:color="auto"/>
          </w:divBdr>
        </w:div>
        <w:div w:id="1100831020">
          <w:marLeft w:val="0"/>
          <w:marRight w:val="0"/>
          <w:marTop w:val="0"/>
          <w:marBottom w:val="0"/>
          <w:divBdr>
            <w:top w:val="none" w:sz="0" w:space="0" w:color="auto"/>
            <w:left w:val="none" w:sz="0" w:space="0" w:color="auto"/>
            <w:bottom w:val="none" w:sz="0" w:space="0" w:color="auto"/>
            <w:right w:val="none" w:sz="0" w:space="0" w:color="auto"/>
          </w:divBdr>
        </w:div>
        <w:div w:id="1148665161">
          <w:marLeft w:val="0"/>
          <w:marRight w:val="0"/>
          <w:marTop w:val="0"/>
          <w:marBottom w:val="0"/>
          <w:divBdr>
            <w:top w:val="none" w:sz="0" w:space="0" w:color="auto"/>
            <w:left w:val="none" w:sz="0" w:space="0" w:color="auto"/>
            <w:bottom w:val="none" w:sz="0" w:space="0" w:color="auto"/>
            <w:right w:val="none" w:sz="0" w:space="0" w:color="auto"/>
          </w:divBdr>
        </w:div>
        <w:div w:id="1172406145">
          <w:marLeft w:val="0"/>
          <w:marRight w:val="0"/>
          <w:marTop w:val="0"/>
          <w:marBottom w:val="0"/>
          <w:divBdr>
            <w:top w:val="none" w:sz="0" w:space="0" w:color="auto"/>
            <w:left w:val="none" w:sz="0" w:space="0" w:color="auto"/>
            <w:bottom w:val="none" w:sz="0" w:space="0" w:color="auto"/>
            <w:right w:val="none" w:sz="0" w:space="0" w:color="auto"/>
          </w:divBdr>
        </w:div>
        <w:div w:id="1568027487">
          <w:marLeft w:val="0"/>
          <w:marRight w:val="0"/>
          <w:marTop w:val="0"/>
          <w:marBottom w:val="0"/>
          <w:divBdr>
            <w:top w:val="none" w:sz="0" w:space="0" w:color="auto"/>
            <w:left w:val="none" w:sz="0" w:space="0" w:color="auto"/>
            <w:bottom w:val="none" w:sz="0" w:space="0" w:color="auto"/>
            <w:right w:val="none" w:sz="0" w:space="0" w:color="auto"/>
          </w:divBdr>
        </w:div>
        <w:div w:id="1605571258">
          <w:marLeft w:val="0"/>
          <w:marRight w:val="0"/>
          <w:marTop w:val="0"/>
          <w:marBottom w:val="0"/>
          <w:divBdr>
            <w:top w:val="none" w:sz="0" w:space="0" w:color="auto"/>
            <w:left w:val="none" w:sz="0" w:space="0" w:color="auto"/>
            <w:bottom w:val="none" w:sz="0" w:space="0" w:color="auto"/>
            <w:right w:val="none" w:sz="0" w:space="0" w:color="auto"/>
          </w:divBdr>
        </w:div>
        <w:div w:id="1616592450">
          <w:marLeft w:val="0"/>
          <w:marRight w:val="0"/>
          <w:marTop w:val="0"/>
          <w:marBottom w:val="0"/>
          <w:divBdr>
            <w:top w:val="none" w:sz="0" w:space="0" w:color="auto"/>
            <w:left w:val="none" w:sz="0" w:space="0" w:color="auto"/>
            <w:bottom w:val="none" w:sz="0" w:space="0" w:color="auto"/>
            <w:right w:val="none" w:sz="0" w:space="0" w:color="auto"/>
          </w:divBdr>
        </w:div>
        <w:div w:id="2099401307">
          <w:marLeft w:val="0"/>
          <w:marRight w:val="0"/>
          <w:marTop w:val="0"/>
          <w:marBottom w:val="0"/>
          <w:divBdr>
            <w:top w:val="none" w:sz="0" w:space="0" w:color="auto"/>
            <w:left w:val="none" w:sz="0" w:space="0" w:color="auto"/>
            <w:bottom w:val="none" w:sz="0" w:space="0" w:color="auto"/>
            <w:right w:val="none" w:sz="0" w:space="0" w:color="auto"/>
          </w:divBdr>
        </w:div>
      </w:divsChild>
    </w:div>
    <w:div w:id="537858730">
      <w:bodyDiv w:val="1"/>
      <w:marLeft w:val="0"/>
      <w:marRight w:val="0"/>
      <w:marTop w:val="0"/>
      <w:marBottom w:val="0"/>
      <w:divBdr>
        <w:top w:val="none" w:sz="0" w:space="0" w:color="auto"/>
        <w:left w:val="none" w:sz="0" w:space="0" w:color="auto"/>
        <w:bottom w:val="none" w:sz="0" w:space="0" w:color="auto"/>
        <w:right w:val="none" w:sz="0" w:space="0" w:color="auto"/>
      </w:divBdr>
      <w:divsChild>
        <w:div w:id="547643520">
          <w:marLeft w:val="0"/>
          <w:marRight w:val="0"/>
          <w:marTop w:val="0"/>
          <w:marBottom w:val="0"/>
          <w:divBdr>
            <w:top w:val="none" w:sz="0" w:space="0" w:color="auto"/>
            <w:left w:val="none" w:sz="0" w:space="0" w:color="auto"/>
            <w:bottom w:val="none" w:sz="0" w:space="0" w:color="auto"/>
            <w:right w:val="none" w:sz="0" w:space="0" w:color="auto"/>
          </w:divBdr>
        </w:div>
        <w:div w:id="635840756">
          <w:marLeft w:val="0"/>
          <w:marRight w:val="0"/>
          <w:marTop w:val="0"/>
          <w:marBottom w:val="0"/>
          <w:divBdr>
            <w:top w:val="none" w:sz="0" w:space="0" w:color="auto"/>
            <w:left w:val="none" w:sz="0" w:space="0" w:color="auto"/>
            <w:bottom w:val="none" w:sz="0" w:space="0" w:color="auto"/>
            <w:right w:val="none" w:sz="0" w:space="0" w:color="auto"/>
          </w:divBdr>
        </w:div>
      </w:divsChild>
    </w:div>
    <w:div w:id="670184265">
      <w:bodyDiv w:val="1"/>
      <w:marLeft w:val="0"/>
      <w:marRight w:val="0"/>
      <w:marTop w:val="0"/>
      <w:marBottom w:val="0"/>
      <w:divBdr>
        <w:top w:val="none" w:sz="0" w:space="0" w:color="auto"/>
        <w:left w:val="none" w:sz="0" w:space="0" w:color="auto"/>
        <w:bottom w:val="none" w:sz="0" w:space="0" w:color="auto"/>
        <w:right w:val="none" w:sz="0" w:space="0" w:color="auto"/>
      </w:divBdr>
    </w:div>
    <w:div w:id="863513976">
      <w:bodyDiv w:val="1"/>
      <w:marLeft w:val="0"/>
      <w:marRight w:val="0"/>
      <w:marTop w:val="0"/>
      <w:marBottom w:val="0"/>
      <w:divBdr>
        <w:top w:val="none" w:sz="0" w:space="0" w:color="auto"/>
        <w:left w:val="none" w:sz="0" w:space="0" w:color="auto"/>
        <w:bottom w:val="none" w:sz="0" w:space="0" w:color="auto"/>
        <w:right w:val="none" w:sz="0" w:space="0" w:color="auto"/>
      </w:divBdr>
    </w:div>
    <w:div w:id="865753930">
      <w:bodyDiv w:val="1"/>
      <w:marLeft w:val="0"/>
      <w:marRight w:val="0"/>
      <w:marTop w:val="0"/>
      <w:marBottom w:val="0"/>
      <w:divBdr>
        <w:top w:val="none" w:sz="0" w:space="0" w:color="auto"/>
        <w:left w:val="none" w:sz="0" w:space="0" w:color="auto"/>
        <w:bottom w:val="none" w:sz="0" w:space="0" w:color="auto"/>
        <w:right w:val="none" w:sz="0" w:space="0" w:color="auto"/>
      </w:divBdr>
      <w:divsChild>
        <w:div w:id="264046711">
          <w:marLeft w:val="0"/>
          <w:marRight w:val="0"/>
          <w:marTop w:val="0"/>
          <w:marBottom w:val="0"/>
          <w:divBdr>
            <w:top w:val="none" w:sz="0" w:space="0" w:color="auto"/>
            <w:left w:val="none" w:sz="0" w:space="0" w:color="auto"/>
            <w:bottom w:val="none" w:sz="0" w:space="0" w:color="auto"/>
            <w:right w:val="none" w:sz="0" w:space="0" w:color="auto"/>
          </w:divBdr>
        </w:div>
        <w:div w:id="315425080">
          <w:marLeft w:val="0"/>
          <w:marRight w:val="0"/>
          <w:marTop w:val="0"/>
          <w:marBottom w:val="0"/>
          <w:divBdr>
            <w:top w:val="none" w:sz="0" w:space="0" w:color="auto"/>
            <w:left w:val="none" w:sz="0" w:space="0" w:color="auto"/>
            <w:bottom w:val="none" w:sz="0" w:space="0" w:color="auto"/>
            <w:right w:val="none" w:sz="0" w:space="0" w:color="auto"/>
          </w:divBdr>
        </w:div>
        <w:div w:id="355892780">
          <w:marLeft w:val="0"/>
          <w:marRight w:val="0"/>
          <w:marTop w:val="0"/>
          <w:marBottom w:val="0"/>
          <w:divBdr>
            <w:top w:val="none" w:sz="0" w:space="0" w:color="auto"/>
            <w:left w:val="none" w:sz="0" w:space="0" w:color="auto"/>
            <w:bottom w:val="none" w:sz="0" w:space="0" w:color="auto"/>
            <w:right w:val="none" w:sz="0" w:space="0" w:color="auto"/>
          </w:divBdr>
        </w:div>
        <w:div w:id="751972603">
          <w:marLeft w:val="0"/>
          <w:marRight w:val="0"/>
          <w:marTop w:val="0"/>
          <w:marBottom w:val="0"/>
          <w:divBdr>
            <w:top w:val="none" w:sz="0" w:space="0" w:color="auto"/>
            <w:left w:val="none" w:sz="0" w:space="0" w:color="auto"/>
            <w:bottom w:val="none" w:sz="0" w:space="0" w:color="auto"/>
            <w:right w:val="none" w:sz="0" w:space="0" w:color="auto"/>
          </w:divBdr>
        </w:div>
        <w:div w:id="1095248631">
          <w:marLeft w:val="0"/>
          <w:marRight w:val="0"/>
          <w:marTop w:val="0"/>
          <w:marBottom w:val="0"/>
          <w:divBdr>
            <w:top w:val="none" w:sz="0" w:space="0" w:color="auto"/>
            <w:left w:val="none" w:sz="0" w:space="0" w:color="auto"/>
            <w:bottom w:val="none" w:sz="0" w:space="0" w:color="auto"/>
            <w:right w:val="none" w:sz="0" w:space="0" w:color="auto"/>
          </w:divBdr>
        </w:div>
        <w:div w:id="1245720960">
          <w:marLeft w:val="0"/>
          <w:marRight w:val="0"/>
          <w:marTop w:val="0"/>
          <w:marBottom w:val="0"/>
          <w:divBdr>
            <w:top w:val="none" w:sz="0" w:space="0" w:color="auto"/>
            <w:left w:val="none" w:sz="0" w:space="0" w:color="auto"/>
            <w:bottom w:val="none" w:sz="0" w:space="0" w:color="auto"/>
            <w:right w:val="none" w:sz="0" w:space="0" w:color="auto"/>
          </w:divBdr>
        </w:div>
        <w:div w:id="1308049527">
          <w:marLeft w:val="0"/>
          <w:marRight w:val="0"/>
          <w:marTop w:val="0"/>
          <w:marBottom w:val="0"/>
          <w:divBdr>
            <w:top w:val="none" w:sz="0" w:space="0" w:color="auto"/>
            <w:left w:val="none" w:sz="0" w:space="0" w:color="auto"/>
            <w:bottom w:val="none" w:sz="0" w:space="0" w:color="auto"/>
            <w:right w:val="none" w:sz="0" w:space="0" w:color="auto"/>
          </w:divBdr>
        </w:div>
        <w:div w:id="1354647205">
          <w:marLeft w:val="0"/>
          <w:marRight w:val="0"/>
          <w:marTop w:val="0"/>
          <w:marBottom w:val="0"/>
          <w:divBdr>
            <w:top w:val="none" w:sz="0" w:space="0" w:color="auto"/>
            <w:left w:val="none" w:sz="0" w:space="0" w:color="auto"/>
            <w:bottom w:val="none" w:sz="0" w:space="0" w:color="auto"/>
            <w:right w:val="none" w:sz="0" w:space="0" w:color="auto"/>
          </w:divBdr>
        </w:div>
        <w:div w:id="1458639405">
          <w:marLeft w:val="0"/>
          <w:marRight w:val="0"/>
          <w:marTop w:val="0"/>
          <w:marBottom w:val="0"/>
          <w:divBdr>
            <w:top w:val="none" w:sz="0" w:space="0" w:color="auto"/>
            <w:left w:val="none" w:sz="0" w:space="0" w:color="auto"/>
            <w:bottom w:val="none" w:sz="0" w:space="0" w:color="auto"/>
            <w:right w:val="none" w:sz="0" w:space="0" w:color="auto"/>
          </w:divBdr>
        </w:div>
      </w:divsChild>
    </w:div>
    <w:div w:id="932781161">
      <w:bodyDiv w:val="1"/>
      <w:marLeft w:val="0"/>
      <w:marRight w:val="0"/>
      <w:marTop w:val="0"/>
      <w:marBottom w:val="0"/>
      <w:divBdr>
        <w:top w:val="none" w:sz="0" w:space="0" w:color="auto"/>
        <w:left w:val="none" w:sz="0" w:space="0" w:color="auto"/>
        <w:bottom w:val="none" w:sz="0" w:space="0" w:color="auto"/>
        <w:right w:val="none" w:sz="0" w:space="0" w:color="auto"/>
      </w:divBdr>
      <w:divsChild>
        <w:div w:id="122503164">
          <w:marLeft w:val="0"/>
          <w:marRight w:val="0"/>
          <w:marTop w:val="0"/>
          <w:marBottom w:val="0"/>
          <w:divBdr>
            <w:top w:val="none" w:sz="0" w:space="0" w:color="auto"/>
            <w:left w:val="none" w:sz="0" w:space="0" w:color="auto"/>
            <w:bottom w:val="none" w:sz="0" w:space="0" w:color="auto"/>
            <w:right w:val="none" w:sz="0" w:space="0" w:color="auto"/>
          </w:divBdr>
        </w:div>
        <w:div w:id="242840879">
          <w:marLeft w:val="0"/>
          <w:marRight w:val="0"/>
          <w:marTop w:val="0"/>
          <w:marBottom w:val="0"/>
          <w:divBdr>
            <w:top w:val="none" w:sz="0" w:space="0" w:color="auto"/>
            <w:left w:val="none" w:sz="0" w:space="0" w:color="auto"/>
            <w:bottom w:val="none" w:sz="0" w:space="0" w:color="auto"/>
            <w:right w:val="none" w:sz="0" w:space="0" w:color="auto"/>
          </w:divBdr>
        </w:div>
        <w:div w:id="444693828">
          <w:marLeft w:val="0"/>
          <w:marRight w:val="0"/>
          <w:marTop w:val="0"/>
          <w:marBottom w:val="0"/>
          <w:divBdr>
            <w:top w:val="none" w:sz="0" w:space="0" w:color="auto"/>
            <w:left w:val="none" w:sz="0" w:space="0" w:color="auto"/>
            <w:bottom w:val="none" w:sz="0" w:space="0" w:color="auto"/>
            <w:right w:val="none" w:sz="0" w:space="0" w:color="auto"/>
          </w:divBdr>
          <w:divsChild>
            <w:div w:id="1356541342">
              <w:marLeft w:val="0"/>
              <w:marRight w:val="0"/>
              <w:marTop w:val="0"/>
              <w:marBottom w:val="0"/>
              <w:divBdr>
                <w:top w:val="none" w:sz="0" w:space="0" w:color="auto"/>
                <w:left w:val="none" w:sz="0" w:space="0" w:color="auto"/>
                <w:bottom w:val="none" w:sz="0" w:space="0" w:color="auto"/>
                <w:right w:val="none" w:sz="0" w:space="0" w:color="auto"/>
              </w:divBdr>
            </w:div>
            <w:div w:id="1394230382">
              <w:marLeft w:val="0"/>
              <w:marRight w:val="0"/>
              <w:marTop w:val="0"/>
              <w:marBottom w:val="0"/>
              <w:divBdr>
                <w:top w:val="none" w:sz="0" w:space="0" w:color="auto"/>
                <w:left w:val="none" w:sz="0" w:space="0" w:color="auto"/>
                <w:bottom w:val="none" w:sz="0" w:space="0" w:color="auto"/>
                <w:right w:val="none" w:sz="0" w:space="0" w:color="auto"/>
              </w:divBdr>
            </w:div>
            <w:div w:id="1402025076">
              <w:marLeft w:val="0"/>
              <w:marRight w:val="0"/>
              <w:marTop w:val="0"/>
              <w:marBottom w:val="0"/>
              <w:divBdr>
                <w:top w:val="none" w:sz="0" w:space="0" w:color="auto"/>
                <w:left w:val="none" w:sz="0" w:space="0" w:color="auto"/>
                <w:bottom w:val="none" w:sz="0" w:space="0" w:color="auto"/>
                <w:right w:val="none" w:sz="0" w:space="0" w:color="auto"/>
              </w:divBdr>
            </w:div>
            <w:div w:id="1572151680">
              <w:marLeft w:val="0"/>
              <w:marRight w:val="0"/>
              <w:marTop w:val="0"/>
              <w:marBottom w:val="0"/>
              <w:divBdr>
                <w:top w:val="none" w:sz="0" w:space="0" w:color="auto"/>
                <w:left w:val="none" w:sz="0" w:space="0" w:color="auto"/>
                <w:bottom w:val="none" w:sz="0" w:space="0" w:color="auto"/>
                <w:right w:val="none" w:sz="0" w:space="0" w:color="auto"/>
              </w:divBdr>
            </w:div>
            <w:div w:id="2124567650">
              <w:marLeft w:val="0"/>
              <w:marRight w:val="0"/>
              <w:marTop w:val="0"/>
              <w:marBottom w:val="0"/>
              <w:divBdr>
                <w:top w:val="none" w:sz="0" w:space="0" w:color="auto"/>
                <w:left w:val="none" w:sz="0" w:space="0" w:color="auto"/>
                <w:bottom w:val="none" w:sz="0" w:space="0" w:color="auto"/>
                <w:right w:val="none" w:sz="0" w:space="0" w:color="auto"/>
              </w:divBdr>
            </w:div>
          </w:divsChild>
        </w:div>
        <w:div w:id="1030104697">
          <w:marLeft w:val="0"/>
          <w:marRight w:val="0"/>
          <w:marTop w:val="0"/>
          <w:marBottom w:val="0"/>
          <w:divBdr>
            <w:top w:val="none" w:sz="0" w:space="0" w:color="auto"/>
            <w:left w:val="none" w:sz="0" w:space="0" w:color="auto"/>
            <w:bottom w:val="none" w:sz="0" w:space="0" w:color="auto"/>
            <w:right w:val="none" w:sz="0" w:space="0" w:color="auto"/>
          </w:divBdr>
        </w:div>
        <w:div w:id="1164855860">
          <w:marLeft w:val="0"/>
          <w:marRight w:val="0"/>
          <w:marTop w:val="0"/>
          <w:marBottom w:val="0"/>
          <w:divBdr>
            <w:top w:val="none" w:sz="0" w:space="0" w:color="auto"/>
            <w:left w:val="none" w:sz="0" w:space="0" w:color="auto"/>
            <w:bottom w:val="none" w:sz="0" w:space="0" w:color="auto"/>
            <w:right w:val="none" w:sz="0" w:space="0" w:color="auto"/>
          </w:divBdr>
        </w:div>
        <w:div w:id="1175848572">
          <w:marLeft w:val="0"/>
          <w:marRight w:val="0"/>
          <w:marTop w:val="0"/>
          <w:marBottom w:val="0"/>
          <w:divBdr>
            <w:top w:val="none" w:sz="0" w:space="0" w:color="auto"/>
            <w:left w:val="none" w:sz="0" w:space="0" w:color="auto"/>
            <w:bottom w:val="none" w:sz="0" w:space="0" w:color="auto"/>
            <w:right w:val="none" w:sz="0" w:space="0" w:color="auto"/>
          </w:divBdr>
        </w:div>
        <w:div w:id="1298024293">
          <w:marLeft w:val="0"/>
          <w:marRight w:val="0"/>
          <w:marTop w:val="0"/>
          <w:marBottom w:val="0"/>
          <w:divBdr>
            <w:top w:val="none" w:sz="0" w:space="0" w:color="auto"/>
            <w:left w:val="none" w:sz="0" w:space="0" w:color="auto"/>
            <w:bottom w:val="none" w:sz="0" w:space="0" w:color="auto"/>
            <w:right w:val="none" w:sz="0" w:space="0" w:color="auto"/>
          </w:divBdr>
        </w:div>
      </w:divsChild>
    </w:div>
    <w:div w:id="1061173013">
      <w:bodyDiv w:val="1"/>
      <w:marLeft w:val="0"/>
      <w:marRight w:val="0"/>
      <w:marTop w:val="0"/>
      <w:marBottom w:val="0"/>
      <w:divBdr>
        <w:top w:val="none" w:sz="0" w:space="0" w:color="auto"/>
        <w:left w:val="none" w:sz="0" w:space="0" w:color="auto"/>
        <w:bottom w:val="none" w:sz="0" w:space="0" w:color="auto"/>
        <w:right w:val="none" w:sz="0" w:space="0" w:color="auto"/>
      </w:divBdr>
      <w:divsChild>
        <w:div w:id="200090657">
          <w:marLeft w:val="0"/>
          <w:marRight w:val="0"/>
          <w:marTop w:val="0"/>
          <w:marBottom w:val="0"/>
          <w:divBdr>
            <w:top w:val="none" w:sz="0" w:space="0" w:color="auto"/>
            <w:left w:val="none" w:sz="0" w:space="0" w:color="auto"/>
            <w:bottom w:val="none" w:sz="0" w:space="0" w:color="auto"/>
            <w:right w:val="none" w:sz="0" w:space="0" w:color="auto"/>
          </w:divBdr>
        </w:div>
        <w:div w:id="1562668775">
          <w:marLeft w:val="0"/>
          <w:marRight w:val="0"/>
          <w:marTop w:val="0"/>
          <w:marBottom w:val="0"/>
          <w:divBdr>
            <w:top w:val="none" w:sz="0" w:space="0" w:color="auto"/>
            <w:left w:val="none" w:sz="0" w:space="0" w:color="auto"/>
            <w:bottom w:val="none" w:sz="0" w:space="0" w:color="auto"/>
            <w:right w:val="none" w:sz="0" w:space="0" w:color="auto"/>
          </w:divBdr>
        </w:div>
      </w:divsChild>
    </w:div>
    <w:div w:id="1207181011">
      <w:bodyDiv w:val="1"/>
      <w:marLeft w:val="0"/>
      <w:marRight w:val="0"/>
      <w:marTop w:val="0"/>
      <w:marBottom w:val="0"/>
      <w:divBdr>
        <w:top w:val="none" w:sz="0" w:space="0" w:color="auto"/>
        <w:left w:val="none" w:sz="0" w:space="0" w:color="auto"/>
        <w:bottom w:val="none" w:sz="0" w:space="0" w:color="auto"/>
        <w:right w:val="none" w:sz="0" w:space="0" w:color="auto"/>
      </w:divBdr>
    </w:div>
    <w:div w:id="1254166713">
      <w:bodyDiv w:val="1"/>
      <w:marLeft w:val="0"/>
      <w:marRight w:val="0"/>
      <w:marTop w:val="0"/>
      <w:marBottom w:val="0"/>
      <w:divBdr>
        <w:top w:val="none" w:sz="0" w:space="0" w:color="auto"/>
        <w:left w:val="none" w:sz="0" w:space="0" w:color="auto"/>
        <w:bottom w:val="none" w:sz="0" w:space="0" w:color="auto"/>
        <w:right w:val="none" w:sz="0" w:space="0" w:color="auto"/>
      </w:divBdr>
      <w:divsChild>
        <w:div w:id="655842749">
          <w:marLeft w:val="0"/>
          <w:marRight w:val="0"/>
          <w:marTop w:val="0"/>
          <w:marBottom w:val="0"/>
          <w:divBdr>
            <w:top w:val="none" w:sz="0" w:space="0" w:color="auto"/>
            <w:left w:val="none" w:sz="0" w:space="0" w:color="auto"/>
            <w:bottom w:val="none" w:sz="0" w:space="0" w:color="auto"/>
            <w:right w:val="none" w:sz="0" w:space="0" w:color="auto"/>
          </w:divBdr>
        </w:div>
        <w:div w:id="1098450800">
          <w:marLeft w:val="0"/>
          <w:marRight w:val="0"/>
          <w:marTop w:val="0"/>
          <w:marBottom w:val="0"/>
          <w:divBdr>
            <w:top w:val="none" w:sz="0" w:space="0" w:color="auto"/>
            <w:left w:val="none" w:sz="0" w:space="0" w:color="auto"/>
            <w:bottom w:val="none" w:sz="0" w:space="0" w:color="auto"/>
            <w:right w:val="none" w:sz="0" w:space="0" w:color="auto"/>
          </w:divBdr>
        </w:div>
      </w:divsChild>
    </w:div>
    <w:div w:id="1383215273">
      <w:bodyDiv w:val="1"/>
      <w:marLeft w:val="0"/>
      <w:marRight w:val="0"/>
      <w:marTop w:val="0"/>
      <w:marBottom w:val="0"/>
      <w:divBdr>
        <w:top w:val="none" w:sz="0" w:space="0" w:color="auto"/>
        <w:left w:val="none" w:sz="0" w:space="0" w:color="auto"/>
        <w:bottom w:val="none" w:sz="0" w:space="0" w:color="auto"/>
        <w:right w:val="none" w:sz="0" w:space="0" w:color="auto"/>
      </w:divBdr>
    </w:div>
    <w:div w:id="1408503361">
      <w:bodyDiv w:val="1"/>
      <w:marLeft w:val="0"/>
      <w:marRight w:val="0"/>
      <w:marTop w:val="0"/>
      <w:marBottom w:val="0"/>
      <w:divBdr>
        <w:top w:val="none" w:sz="0" w:space="0" w:color="auto"/>
        <w:left w:val="none" w:sz="0" w:space="0" w:color="auto"/>
        <w:bottom w:val="none" w:sz="0" w:space="0" w:color="auto"/>
        <w:right w:val="none" w:sz="0" w:space="0" w:color="auto"/>
      </w:divBdr>
    </w:div>
    <w:div w:id="1483615258">
      <w:bodyDiv w:val="1"/>
      <w:marLeft w:val="0"/>
      <w:marRight w:val="0"/>
      <w:marTop w:val="0"/>
      <w:marBottom w:val="0"/>
      <w:divBdr>
        <w:top w:val="none" w:sz="0" w:space="0" w:color="auto"/>
        <w:left w:val="none" w:sz="0" w:space="0" w:color="auto"/>
        <w:bottom w:val="none" w:sz="0" w:space="0" w:color="auto"/>
        <w:right w:val="none" w:sz="0" w:space="0" w:color="auto"/>
      </w:divBdr>
    </w:div>
    <w:div w:id="1500580365">
      <w:bodyDiv w:val="1"/>
      <w:marLeft w:val="0"/>
      <w:marRight w:val="0"/>
      <w:marTop w:val="0"/>
      <w:marBottom w:val="0"/>
      <w:divBdr>
        <w:top w:val="none" w:sz="0" w:space="0" w:color="auto"/>
        <w:left w:val="none" w:sz="0" w:space="0" w:color="auto"/>
        <w:bottom w:val="none" w:sz="0" w:space="0" w:color="auto"/>
        <w:right w:val="none" w:sz="0" w:space="0" w:color="auto"/>
      </w:divBdr>
      <w:divsChild>
        <w:div w:id="496844596">
          <w:marLeft w:val="0"/>
          <w:marRight w:val="0"/>
          <w:marTop w:val="0"/>
          <w:marBottom w:val="0"/>
          <w:divBdr>
            <w:top w:val="none" w:sz="0" w:space="0" w:color="auto"/>
            <w:left w:val="none" w:sz="0" w:space="0" w:color="auto"/>
            <w:bottom w:val="none" w:sz="0" w:space="0" w:color="auto"/>
            <w:right w:val="none" w:sz="0" w:space="0" w:color="auto"/>
          </w:divBdr>
        </w:div>
        <w:div w:id="603921922">
          <w:marLeft w:val="0"/>
          <w:marRight w:val="0"/>
          <w:marTop w:val="0"/>
          <w:marBottom w:val="0"/>
          <w:divBdr>
            <w:top w:val="none" w:sz="0" w:space="0" w:color="auto"/>
            <w:left w:val="none" w:sz="0" w:space="0" w:color="auto"/>
            <w:bottom w:val="none" w:sz="0" w:space="0" w:color="auto"/>
            <w:right w:val="none" w:sz="0" w:space="0" w:color="auto"/>
          </w:divBdr>
        </w:div>
        <w:div w:id="877821031">
          <w:marLeft w:val="0"/>
          <w:marRight w:val="0"/>
          <w:marTop w:val="0"/>
          <w:marBottom w:val="0"/>
          <w:divBdr>
            <w:top w:val="none" w:sz="0" w:space="0" w:color="auto"/>
            <w:left w:val="none" w:sz="0" w:space="0" w:color="auto"/>
            <w:bottom w:val="none" w:sz="0" w:space="0" w:color="auto"/>
            <w:right w:val="none" w:sz="0" w:space="0" w:color="auto"/>
          </w:divBdr>
        </w:div>
        <w:div w:id="967051967">
          <w:marLeft w:val="0"/>
          <w:marRight w:val="0"/>
          <w:marTop w:val="0"/>
          <w:marBottom w:val="0"/>
          <w:divBdr>
            <w:top w:val="none" w:sz="0" w:space="0" w:color="auto"/>
            <w:left w:val="none" w:sz="0" w:space="0" w:color="auto"/>
            <w:bottom w:val="none" w:sz="0" w:space="0" w:color="auto"/>
            <w:right w:val="none" w:sz="0" w:space="0" w:color="auto"/>
          </w:divBdr>
        </w:div>
        <w:div w:id="991786142">
          <w:marLeft w:val="0"/>
          <w:marRight w:val="0"/>
          <w:marTop w:val="0"/>
          <w:marBottom w:val="0"/>
          <w:divBdr>
            <w:top w:val="none" w:sz="0" w:space="0" w:color="auto"/>
            <w:left w:val="none" w:sz="0" w:space="0" w:color="auto"/>
            <w:bottom w:val="none" w:sz="0" w:space="0" w:color="auto"/>
            <w:right w:val="none" w:sz="0" w:space="0" w:color="auto"/>
          </w:divBdr>
        </w:div>
        <w:div w:id="1045910140">
          <w:marLeft w:val="-75"/>
          <w:marRight w:val="0"/>
          <w:marTop w:val="30"/>
          <w:marBottom w:val="30"/>
          <w:divBdr>
            <w:top w:val="none" w:sz="0" w:space="0" w:color="auto"/>
            <w:left w:val="none" w:sz="0" w:space="0" w:color="auto"/>
            <w:bottom w:val="none" w:sz="0" w:space="0" w:color="auto"/>
            <w:right w:val="none" w:sz="0" w:space="0" w:color="auto"/>
          </w:divBdr>
          <w:divsChild>
            <w:div w:id="305546631">
              <w:marLeft w:val="0"/>
              <w:marRight w:val="0"/>
              <w:marTop w:val="0"/>
              <w:marBottom w:val="0"/>
              <w:divBdr>
                <w:top w:val="none" w:sz="0" w:space="0" w:color="auto"/>
                <w:left w:val="none" w:sz="0" w:space="0" w:color="auto"/>
                <w:bottom w:val="none" w:sz="0" w:space="0" w:color="auto"/>
                <w:right w:val="none" w:sz="0" w:space="0" w:color="auto"/>
              </w:divBdr>
              <w:divsChild>
                <w:div w:id="1066538259">
                  <w:marLeft w:val="0"/>
                  <w:marRight w:val="0"/>
                  <w:marTop w:val="0"/>
                  <w:marBottom w:val="0"/>
                  <w:divBdr>
                    <w:top w:val="none" w:sz="0" w:space="0" w:color="auto"/>
                    <w:left w:val="none" w:sz="0" w:space="0" w:color="auto"/>
                    <w:bottom w:val="none" w:sz="0" w:space="0" w:color="auto"/>
                    <w:right w:val="none" w:sz="0" w:space="0" w:color="auto"/>
                  </w:divBdr>
                </w:div>
              </w:divsChild>
            </w:div>
            <w:div w:id="551234177">
              <w:marLeft w:val="0"/>
              <w:marRight w:val="0"/>
              <w:marTop w:val="0"/>
              <w:marBottom w:val="0"/>
              <w:divBdr>
                <w:top w:val="none" w:sz="0" w:space="0" w:color="auto"/>
                <w:left w:val="none" w:sz="0" w:space="0" w:color="auto"/>
                <w:bottom w:val="none" w:sz="0" w:space="0" w:color="auto"/>
                <w:right w:val="none" w:sz="0" w:space="0" w:color="auto"/>
              </w:divBdr>
              <w:divsChild>
                <w:div w:id="1882741584">
                  <w:marLeft w:val="0"/>
                  <w:marRight w:val="0"/>
                  <w:marTop w:val="0"/>
                  <w:marBottom w:val="0"/>
                  <w:divBdr>
                    <w:top w:val="none" w:sz="0" w:space="0" w:color="auto"/>
                    <w:left w:val="none" w:sz="0" w:space="0" w:color="auto"/>
                    <w:bottom w:val="none" w:sz="0" w:space="0" w:color="auto"/>
                    <w:right w:val="none" w:sz="0" w:space="0" w:color="auto"/>
                  </w:divBdr>
                </w:div>
              </w:divsChild>
            </w:div>
            <w:div w:id="646858437">
              <w:marLeft w:val="0"/>
              <w:marRight w:val="0"/>
              <w:marTop w:val="0"/>
              <w:marBottom w:val="0"/>
              <w:divBdr>
                <w:top w:val="none" w:sz="0" w:space="0" w:color="auto"/>
                <w:left w:val="none" w:sz="0" w:space="0" w:color="auto"/>
                <w:bottom w:val="none" w:sz="0" w:space="0" w:color="auto"/>
                <w:right w:val="none" w:sz="0" w:space="0" w:color="auto"/>
              </w:divBdr>
              <w:divsChild>
                <w:div w:id="1088229665">
                  <w:marLeft w:val="0"/>
                  <w:marRight w:val="0"/>
                  <w:marTop w:val="0"/>
                  <w:marBottom w:val="0"/>
                  <w:divBdr>
                    <w:top w:val="none" w:sz="0" w:space="0" w:color="auto"/>
                    <w:left w:val="none" w:sz="0" w:space="0" w:color="auto"/>
                    <w:bottom w:val="none" w:sz="0" w:space="0" w:color="auto"/>
                    <w:right w:val="none" w:sz="0" w:space="0" w:color="auto"/>
                  </w:divBdr>
                </w:div>
              </w:divsChild>
            </w:div>
            <w:div w:id="881794576">
              <w:marLeft w:val="0"/>
              <w:marRight w:val="0"/>
              <w:marTop w:val="0"/>
              <w:marBottom w:val="0"/>
              <w:divBdr>
                <w:top w:val="none" w:sz="0" w:space="0" w:color="auto"/>
                <w:left w:val="none" w:sz="0" w:space="0" w:color="auto"/>
                <w:bottom w:val="none" w:sz="0" w:space="0" w:color="auto"/>
                <w:right w:val="none" w:sz="0" w:space="0" w:color="auto"/>
              </w:divBdr>
              <w:divsChild>
                <w:div w:id="1295016331">
                  <w:marLeft w:val="0"/>
                  <w:marRight w:val="0"/>
                  <w:marTop w:val="0"/>
                  <w:marBottom w:val="0"/>
                  <w:divBdr>
                    <w:top w:val="none" w:sz="0" w:space="0" w:color="auto"/>
                    <w:left w:val="none" w:sz="0" w:space="0" w:color="auto"/>
                    <w:bottom w:val="none" w:sz="0" w:space="0" w:color="auto"/>
                    <w:right w:val="none" w:sz="0" w:space="0" w:color="auto"/>
                  </w:divBdr>
                </w:div>
              </w:divsChild>
            </w:div>
            <w:div w:id="1102527414">
              <w:marLeft w:val="0"/>
              <w:marRight w:val="0"/>
              <w:marTop w:val="0"/>
              <w:marBottom w:val="0"/>
              <w:divBdr>
                <w:top w:val="none" w:sz="0" w:space="0" w:color="auto"/>
                <w:left w:val="none" w:sz="0" w:space="0" w:color="auto"/>
                <w:bottom w:val="none" w:sz="0" w:space="0" w:color="auto"/>
                <w:right w:val="none" w:sz="0" w:space="0" w:color="auto"/>
              </w:divBdr>
              <w:divsChild>
                <w:div w:id="760106111">
                  <w:marLeft w:val="0"/>
                  <w:marRight w:val="0"/>
                  <w:marTop w:val="0"/>
                  <w:marBottom w:val="0"/>
                  <w:divBdr>
                    <w:top w:val="none" w:sz="0" w:space="0" w:color="auto"/>
                    <w:left w:val="none" w:sz="0" w:space="0" w:color="auto"/>
                    <w:bottom w:val="none" w:sz="0" w:space="0" w:color="auto"/>
                    <w:right w:val="none" w:sz="0" w:space="0" w:color="auto"/>
                  </w:divBdr>
                </w:div>
              </w:divsChild>
            </w:div>
            <w:div w:id="1111165472">
              <w:marLeft w:val="0"/>
              <w:marRight w:val="0"/>
              <w:marTop w:val="0"/>
              <w:marBottom w:val="0"/>
              <w:divBdr>
                <w:top w:val="none" w:sz="0" w:space="0" w:color="auto"/>
                <w:left w:val="none" w:sz="0" w:space="0" w:color="auto"/>
                <w:bottom w:val="none" w:sz="0" w:space="0" w:color="auto"/>
                <w:right w:val="none" w:sz="0" w:space="0" w:color="auto"/>
              </w:divBdr>
              <w:divsChild>
                <w:div w:id="493760460">
                  <w:marLeft w:val="0"/>
                  <w:marRight w:val="0"/>
                  <w:marTop w:val="0"/>
                  <w:marBottom w:val="0"/>
                  <w:divBdr>
                    <w:top w:val="none" w:sz="0" w:space="0" w:color="auto"/>
                    <w:left w:val="none" w:sz="0" w:space="0" w:color="auto"/>
                    <w:bottom w:val="none" w:sz="0" w:space="0" w:color="auto"/>
                    <w:right w:val="none" w:sz="0" w:space="0" w:color="auto"/>
                  </w:divBdr>
                </w:div>
              </w:divsChild>
            </w:div>
            <w:div w:id="1111629067">
              <w:marLeft w:val="0"/>
              <w:marRight w:val="0"/>
              <w:marTop w:val="0"/>
              <w:marBottom w:val="0"/>
              <w:divBdr>
                <w:top w:val="none" w:sz="0" w:space="0" w:color="auto"/>
                <w:left w:val="none" w:sz="0" w:space="0" w:color="auto"/>
                <w:bottom w:val="none" w:sz="0" w:space="0" w:color="auto"/>
                <w:right w:val="none" w:sz="0" w:space="0" w:color="auto"/>
              </w:divBdr>
              <w:divsChild>
                <w:div w:id="1404058690">
                  <w:marLeft w:val="0"/>
                  <w:marRight w:val="0"/>
                  <w:marTop w:val="0"/>
                  <w:marBottom w:val="0"/>
                  <w:divBdr>
                    <w:top w:val="none" w:sz="0" w:space="0" w:color="auto"/>
                    <w:left w:val="none" w:sz="0" w:space="0" w:color="auto"/>
                    <w:bottom w:val="none" w:sz="0" w:space="0" w:color="auto"/>
                    <w:right w:val="none" w:sz="0" w:space="0" w:color="auto"/>
                  </w:divBdr>
                </w:div>
              </w:divsChild>
            </w:div>
            <w:div w:id="1504393012">
              <w:marLeft w:val="0"/>
              <w:marRight w:val="0"/>
              <w:marTop w:val="0"/>
              <w:marBottom w:val="0"/>
              <w:divBdr>
                <w:top w:val="none" w:sz="0" w:space="0" w:color="auto"/>
                <w:left w:val="none" w:sz="0" w:space="0" w:color="auto"/>
                <w:bottom w:val="none" w:sz="0" w:space="0" w:color="auto"/>
                <w:right w:val="none" w:sz="0" w:space="0" w:color="auto"/>
              </w:divBdr>
              <w:divsChild>
                <w:div w:id="329990081">
                  <w:marLeft w:val="0"/>
                  <w:marRight w:val="0"/>
                  <w:marTop w:val="0"/>
                  <w:marBottom w:val="0"/>
                  <w:divBdr>
                    <w:top w:val="none" w:sz="0" w:space="0" w:color="auto"/>
                    <w:left w:val="none" w:sz="0" w:space="0" w:color="auto"/>
                    <w:bottom w:val="none" w:sz="0" w:space="0" w:color="auto"/>
                    <w:right w:val="none" w:sz="0" w:space="0" w:color="auto"/>
                  </w:divBdr>
                </w:div>
              </w:divsChild>
            </w:div>
            <w:div w:id="1669747709">
              <w:marLeft w:val="0"/>
              <w:marRight w:val="0"/>
              <w:marTop w:val="0"/>
              <w:marBottom w:val="0"/>
              <w:divBdr>
                <w:top w:val="none" w:sz="0" w:space="0" w:color="auto"/>
                <w:left w:val="none" w:sz="0" w:space="0" w:color="auto"/>
                <w:bottom w:val="none" w:sz="0" w:space="0" w:color="auto"/>
                <w:right w:val="none" w:sz="0" w:space="0" w:color="auto"/>
              </w:divBdr>
              <w:divsChild>
                <w:div w:id="877547401">
                  <w:marLeft w:val="0"/>
                  <w:marRight w:val="0"/>
                  <w:marTop w:val="0"/>
                  <w:marBottom w:val="0"/>
                  <w:divBdr>
                    <w:top w:val="none" w:sz="0" w:space="0" w:color="auto"/>
                    <w:left w:val="none" w:sz="0" w:space="0" w:color="auto"/>
                    <w:bottom w:val="none" w:sz="0" w:space="0" w:color="auto"/>
                    <w:right w:val="none" w:sz="0" w:space="0" w:color="auto"/>
                  </w:divBdr>
                </w:div>
              </w:divsChild>
            </w:div>
            <w:div w:id="2006395729">
              <w:marLeft w:val="0"/>
              <w:marRight w:val="0"/>
              <w:marTop w:val="0"/>
              <w:marBottom w:val="0"/>
              <w:divBdr>
                <w:top w:val="none" w:sz="0" w:space="0" w:color="auto"/>
                <w:left w:val="none" w:sz="0" w:space="0" w:color="auto"/>
                <w:bottom w:val="none" w:sz="0" w:space="0" w:color="auto"/>
                <w:right w:val="none" w:sz="0" w:space="0" w:color="auto"/>
              </w:divBdr>
              <w:divsChild>
                <w:div w:id="1493452607">
                  <w:marLeft w:val="0"/>
                  <w:marRight w:val="0"/>
                  <w:marTop w:val="0"/>
                  <w:marBottom w:val="0"/>
                  <w:divBdr>
                    <w:top w:val="none" w:sz="0" w:space="0" w:color="auto"/>
                    <w:left w:val="none" w:sz="0" w:space="0" w:color="auto"/>
                    <w:bottom w:val="none" w:sz="0" w:space="0" w:color="auto"/>
                    <w:right w:val="none" w:sz="0" w:space="0" w:color="auto"/>
                  </w:divBdr>
                </w:div>
                <w:div w:id="1772819083">
                  <w:marLeft w:val="0"/>
                  <w:marRight w:val="0"/>
                  <w:marTop w:val="0"/>
                  <w:marBottom w:val="0"/>
                  <w:divBdr>
                    <w:top w:val="none" w:sz="0" w:space="0" w:color="auto"/>
                    <w:left w:val="none" w:sz="0" w:space="0" w:color="auto"/>
                    <w:bottom w:val="none" w:sz="0" w:space="0" w:color="auto"/>
                    <w:right w:val="none" w:sz="0" w:space="0" w:color="auto"/>
                  </w:divBdr>
                </w:div>
              </w:divsChild>
            </w:div>
            <w:div w:id="2142336684">
              <w:marLeft w:val="0"/>
              <w:marRight w:val="0"/>
              <w:marTop w:val="0"/>
              <w:marBottom w:val="0"/>
              <w:divBdr>
                <w:top w:val="none" w:sz="0" w:space="0" w:color="auto"/>
                <w:left w:val="none" w:sz="0" w:space="0" w:color="auto"/>
                <w:bottom w:val="none" w:sz="0" w:space="0" w:color="auto"/>
                <w:right w:val="none" w:sz="0" w:space="0" w:color="auto"/>
              </w:divBdr>
              <w:divsChild>
                <w:div w:id="17310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780">
          <w:marLeft w:val="0"/>
          <w:marRight w:val="0"/>
          <w:marTop w:val="0"/>
          <w:marBottom w:val="0"/>
          <w:divBdr>
            <w:top w:val="none" w:sz="0" w:space="0" w:color="auto"/>
            <w:left w:val="none" w:sz="0" w:space="0" w:color="auto"/>
            <w:bottom w:val="none" w:sz="0" w:space="0" w:color="auto"/>
            <w:right w:val="none" w:sz="0" w:space="0" w:color="auto"/>
          </w:divBdr>
        </w:div>
      </w:divsChild>
    </w:div>
    <w:div w:id="1529025871">
      <w:bodyDiv w:val="1"/>
      <w:marLeft w:val="0"/>
      <w:marRight w:val="0"/>
      <w:marTop w:val="0"/>
      <w:marBottom w:val="0"/>
      <w:divBdr>
        <w:top w:val="none" w:sz="0" w:space="0" w:color="auto"/>
        <w:left w:val="none" w:sz="0" w:space="0" w:color="auto"/>
        <w:bottom w:val="none" w:sz="0" w:space="0" w:color="auto"/>
        <w:right w:val="none" w:sz="0" w:space="0" w:color="auto"/>
      </w:divBdr>
      <w:divsChild>
        <w:div w:id="242683976">
          <w:marLeft w:val="0"/>
          <w:marRight w:val="0"/>
          <w:marTop w:val="0"/>
          <w:marBottom w:val="0"/>
          <w:divBdr>
            <w:top w:val="none" w:sz="0" w:space="0" w:color="auto"/>
            <w:left w:val="none" w:sz="0" w:space="0" w:color="auto"/>
            <w:bottom w:val="none" w:sz="0" w:space="0" w:color="auto"/>
            <w:right w:val="none" w:sz="0" w:space="0" w:color="auto"/>
          </w:divBdr>
        </w:div>
        <w:div w:id="403839375">
          <w:marLeft w:val="0"/>
          <w:marRight w:val="0"/>
          <w:marTop w:val="0"/>
          <w:marBottom w:val="0"/>
          <w:divBdr>
            <w:top w:val="none" w:sz="0" w:space="0" w:color="auto"/>
            <w:left w:val="none" w:sz="0" w:space="0" w:color="auto"/>
            <w:bottom w:val="none" w:sz="0" w:space="0" w:color="auto"/>
            <w:right w:val="none" w:sz="0" w:space="0" w:color="auto"/>
          </w:divBdr>
        </w:div>
        <w:div w:id="544878004">
          <w:marLeft w:val="0"/>
          <w:marRight w:val="0"/>
          <w:marTop w:val="0"/>
          <w:marBottom w:val="0"/>
          <w:divBdr>
            <w:top w:val="none" w:sz="0" w:space="0" w:color="auto"/>
            <w:left w:val="none" w:sz="0" w:space="0" w:color="auto"/>
            <w:bottom w:val="none" w:sz="0" w:space="0" w:color="auto"/>
            <w:right w:val="none" w:sz="0" w:space="0" w:color="auto"/>
          </w:divBdr>
        </w:div>
        <w:div w:id="577860220">
          <w:marLeft w:val="0"/>
          <w:marRight w:val="0"/>
          <w:marTop w:val="0"/>
          <w:marBottom w:val="0"/>
          <w:divBdr>
            <w:top w:val="none" w:sz="0" w:space="0" w:color="auto"/>
            <w:left w:val="none" w:sz="0" w:space="0" w:color="auto"/>
            <w:bottom w:val="none" w:sz="0" w:space="0" w:color="auto"/>
            <w:right w:val="none" w:sz="0" w:space="0" w:color="auto"/>
          </w:divBdr>
        </w:div>
        <w:div w:id="684984349">
          <w:marLeft w:val="0"/>
          <w:marRight w:val="0"/>
          <w:marTop w:val="0"/>
          <w:marBottom w:val="0"/>
          <w:divBdr>
            <w:top w:val="none" w:sz="0" w:space="0" w:color="auto"/>
            <w:left w:val="none" w:sz="0" w:space="0" w:color="auto"/>
            <w:bottom w:val="none" w:sz="0" w:space="0" w:color="auto"/>
            <w:right w:val="none" w:sz="0" w:space="0" w:color="auto"/>
          </w:divBdr>
        </w:div>
        <w:div w:id="793452121">
          <w:marLeft w:val="0"/>
          <w:marRight w:val="0"/>
          <w:marTop w:val="0"/>
          <w:marBottom w:val="0"/>
          <w:divBdr>
            <w:top w:val="none" w:sz="0" w:space="0" w:color="auto"/>
            <w:left w:val="none" w:sz="0" w:space="0" w:color="auto"/>
            <w:bottom w:val="none" w:sz="0" w:space="0" w:color="auto"/>
            <w:right w:val="none" w:sz="0" w:space="0" w:color="auto"/>
          </w:divBdr>
        </w:div>
        <w:div w:id="936981508">
          <w:marLeft w:val="0"/>
          <w:marRight w:val="0"/>
          <w:marTop w:val="0"/>
          <w:marBottom w:val="0"/>
          <w:divBdr>
            <w:top w:val="none" w:sz="0" w:space="0" w:color="auto"/>
            <w:left w:val="none" w:sz="0" w:space="0" w:color="auto"/>
            <w:bottom w:val="none" w:sz="0" w:space="0" w:color="auto"/>
            <w:right w:val="none" w:sz="0" w:space="0" w:color="auto"/>
          </w:divBdr>
        </w:div>
        <w:div w:id="1629121941">
          <w:marLeft w:val="0"/>
          <w:marRight w:val="0"/>
          <w:marTop w:val="0"/>
          <w:marBottom w:val="0"/>
          <w:divBdr>
            <w:top w:val="none" w:sz="0" w:space="0" w:color="auto"/>
            <w:left w:val="none" w:sz="0" w:space="0" w:color="auto"/>
            <w:bottom w:val="none" w:sz="0" w:space="0" w:color="auto"/>
            <w:right w:val="none" w:sz="0" w:space="0" w:color="auto"/>
          </w:divBdr>
        </w:div>
        <w:div w:id="1858422728">
          <w:marLeft w:val="0"/>
          <w:marRight w:val="0"/>
          <w:marTop w:val="0"/>
          <w:marBottom w:val="0"/>
          <w:divBdr>
            <w:top w:val="none" w:sz="0" w:space="0" w:color="auto"/>
            <w:left w:val="none" w:sz="0" w:space="0" w:color="auto"/>
            <w:bottom w:val="none" w:sz="0" w:space="0" w:color="auto"/>
            <w:right w:val="none" w:sz="0" w:space="0" w:color="auto"/>
          </w:divBdr>
        </w:div>
      </w:divsChild>
    </w:div>
    <w:div w:id="1593659200">
      <w:bodyDiv w:val="1"/>
      <w:marLeft w:val="0"/>
      <w:marRight w:val="0"/>
      <w:marTop w:val="0"/>
      <w:marBottom w:val="0"/>
      <w:divBdr>
        <w:top w:val="none" w:sz="0" w:space="0" w:color="auto"/>
        <w:left w:val="none" w:sz="0" w:space="0" w:color="auto"/>
        <w:bottom w:val="none" w:sz="0" w:space="0" w:color="auto"/>
        <w:right w:val="none" w:sz="0" w:space="0" w:color="auto"/>
      </w:divBdr>
      <w:divsChild>
        <w:div w:id="650796261">
          <w:marLeft w:val="0"/>
          <w:marRight w:val="0"/>
          <w:marTop w:val="0"/>
          <w:marBottom w:val="0"/>
          <w:divBdr>
            <w:top w:val="none" w:sz="0" w:space="0" w:color="auto"/>
            <w:left w:val="none" w:sz="0" w:space="0" w:color="auto"/>
            <w:bottom w:val="none" w:sz="0" w:space="0" w:color="auto"/>
            <w:right w:val="none" w:sz="0" w:space="0" w:color="auto"/>
          </w:divBdr>
        </w:div>
        <w:div w:id="880898469">
          <w:marLeft w:val="0"/>
          <w:marRight w:val="0"/>
          <w:marTop w:val="0"/>
          <w:marBottom w:val="0"/>
          <w:divBdr>
            <w:top w:val="none" w:sz="0" w:space="0" w:color="auto"/>
            <w:left w:val="none" w:sz="0" w:space="0" w:color="auto"/>
            <w:bottom w:val="none" w:sz="0" w:space="0" w:color="auto"/>
            <w:right w:val="none" w:sz="0" w:space="0" w:color="auto"/>
          </w:divBdr>
        </w:div>
        <w:div w:id="1526946060">
          <w:marLeft w:val="0"/>
          <w:marRight w:val="0"/>
          <w:marTop w:val="0"/>
          <w:marBottom w:val="0"/>
          <w:divBdr>
            <w:top w:val="none" w:sz="0" w:space="0" w:color="auto"/>
            <w:left w:val="none" w:sz="0" w:space="0" w:color="auto"/>
            <w:bottom w:val="none" w:sz="0" w:space="0" w:color="auto"/>
            <w:right w:val="none" w:sz="0" w:space="0" w:color="auto"/>
          </w:divBdr>
        </w:div>
        <w:div w:id="1705132623">
          <w:marLeft w:val="0"/>
          <w:marRight w:val="0"/>
          <w:marTop w:val="0"/>
          <w:marBottom w:val="0"/>
          <w:divBdr>
            <w:top w:val="none" w:sz="0" w:space="0" w:color="auto"/>
            <w:left w:val="none" w:sz="0" w:space="0" w:color="auto"/>
            <w:bottom w:val="none" w:sz="0" w:space="0" w:color="auto"/>
            <w:right w:val="none" w:sz="0" w:space="0" w:color="auto"/>
          </w:divBdr>
        </w:div>
        <w:div w:id="1887796683">
          <w:marLeft w:val="0"/>
          <w:marRight w:val="0"/>
          <w:marTop w:val="0"/>
          <w:marBottom w:val="0"/>
          <w:divBdr>
            <w:top w:val="none" w:sz="0" w:space="0" w:color="auto"/>
            <w:left w:val="none" w:sz="0" w:space="0" w:color="auto"/>
            <w:bottom w:val="none" w:sz="0" w:space="0" w:color="auto"/>
            <w:right w:val="none" w:sz="0" w:space="0" w:color="auto"/>
          </w:divBdr>
        </w:div>
      </w:divsChild>
    </w:div>
    <w:div w:id="1615749424">
      <w:bodyDiv w:val="1"/>
      <w:marLeft w:val="0"/>
      <w:marRight w:val="0"/>
      <w:marTop w:val="0"/>
      <w:marBottom w:val="0"/>
      <w:divBdr>
        <w:top w:val="none" w:sz="0" w:space="0" w:color="auto"/>
        <w:left w:val="none" w:sz="0" w:space="0" w:color="auto"/>
        <w:bottom w:val="none" w:sz="0" w:space="0" w:color="auto"/>
        <w:right w:val="none" w:sz="0" w:space="0" w:color="auto"/>
      </w:divBdr>
      <w:divsChild>
        <w:div w:id="674037809">
          <w:marLeft w:val="0"/>
          <w:marRight w:val="0"/>
          <w:marTop w:val="0"/>
          <w:marBottom w:val="0"/>
          <w:divBdr>
            <w:top w:val="none" w:sz="0" w:space="0" w:color="auto"/>
            <w:left w:val="none" w:sz="0" w:space="0" w:color="auto"/>
            <w:bottom w:val="none" w:sz="0" w:space="0" w:color="auto"/>
            <w:right w:val="none" w:sz="0" w:space="0" w:color="auto"/>
          </w:divBdr>
        </w:div>
        <w:div w:id="924339117">
          <w:marLeft w:val="0"/>
          <w:marRight w:val="0"/>
          <w:marTop w:val="0"/>
          <w:marBottom w:val="0"/>
          <w:divBdr>
            <w:top w:val="none" w:sz="0" w:space="0" w:color="auto"/>
            <w:left w:val="none" w:sz="0" w:space="0" w:color="auto"/>
            <w:bottom w:val="none" w:sz="0" w:space="0" w:color="auto"/>
            <w:right w:val="none" w:sz="0" w:space="0" w:color="auto"/>
          </w:divBdr>
        </w:div>
        <w:div w:id="934557684">
          <w:marLeft w:val="0"/>
          <w:marRight w:val="0"/>
          <w:marTop w:val="0"/>
          <w:marBottom w:val="0"/>
          <w:divBdr>
            <w:top w:val="none" w:sz="0" w:space="0" w:color="auto"/>
            <w:left w:val="none" w:sz="0" w:space="0" w:color="auto"/>
            <w:bottom w:val="none" w:sz="0" w:space="0" w:color="auto"/>
            <w:right w:val="none" w:sz="0" w:space="0" w:color="auto"/>
          </w:divBdr>
        </w:div>
        <w:div w:id="1009798235">
          <w:marLeft w:val="0"/>
          <w:marRight w:val="0"/>
          <w:marTop w:val="0"/>
          <w:marBottom w:val="0"/>
          <w:divBdr>
            <w:top w:val="none" w:sz="0" w:space="0" w:color="auto"/>
            <w:left w:val="none" w:sz="0" w:space="0" w:color="auto"/>
            <w:bottom w:val="none" w:sz="0" w:space="0" w:color="auto"/>
            <w:right w:val="none" w:sz="0" w:space="0" w:color="auto"/>
          </w:divBdr>
        </w:div>
        <w:div w:id="1312320931">
          <w:marLeft w:val="0"/>
          <w:marRight w:val="0"/>
          <w:marTop w:val="0"/>
          <w:marBottom w:val="0"/>
          <w:divBdr>
            <w:top w:val="none" w:sz="0" w:space="0" w:color="auto"/>
            <w:left w:val="none" w:sz="0" w:space="0" w:color="auto"/>
            <w:bottom w:val="none" w:sz="0" w:space="0" w:color="auto"/>
            <w:right w:val="none" w:sz="0" w:space="0" w:color="auto"/>
          </w:divBdr>
        </w:div>
        <w:div w:id="1352104824">
          <w:marLeft w:val="0"/>
          <w:marRight w:val="0"/>
          <w:marTop w:val="0"/>
          <w:marBottom w:val="0"/>
          <w:divBdr>
            <w:top w:val="none" w:sz="0" w:space="0" w:color="auto"/>
            <w:left w:val="none" w:sz="0" w:space="0" w:color="auto"/>
            <w:bottom w:val="none" w:sz="0" w:space="0" w:color="auto"/>
            <w:right w:val="none" w:sz="0" w:space="0" w:color="auto"/>
          </w:divBdr>
        </w:div>
        <w:div w:id="1428034820">
          <w:marLeft w:val="0"/>
          <w:marRight w:val="0"/>
          <w:marTop w:val="0"/>
          <w:marBottom w:val="0"/>
          <w:divBdr>
            <w:top w:val="none" w:sz="0" w:space="0" w:color="auto"/>
            <w:left w:val="none" w:sz="0" w:space="0" w:color="auto"/>
            <w:bottom w:val="none" w:sz="0" w:space="0" w:color="auto"/>
            <w:right w:val="none" w:sz="0" w:space="0" w:color="auto"/>
          </w:divBdr>
        </w:div>
        <w:div w:id="1530797246">
          <w:marLeft w:val="0"/>
          <w:marRight w:val="0"/>
          <w:marTop w:val="0"/>
          <w:marBottom w:val="0"/>
          <w:divBdr>
            <w:top w:val="none" w:sz="0" w:space="0" w:color="auto"/>
            <w:left w:val="none" w:sz="0" w:space="0" w:color="auto"/>
            <w:bottom w:val="none" w:sz="0" w:space="0" w:color="auto"/>
            <w:right w:val="none" w:sz="0" w:space="0" w:color="auto"/>
          </w:divBdr>
        </w:div>
        <w:div w:id="1992100884">
          <w:marLeft w:val="0"/>
          <w:marRight w:val="0"/>
          <w:marTop w:val="0"/>
          <w:marBottom w:val="0"/>
          <w:divBdr>
            <w:top w:val="none" w:sz="0" w:space="0" w:color="auto"/>
            <w:left w:val="none" w:sz="0" w:space="0" w:color="auto"/>
            <w:bottom w:val="none" w:sz="0" w:space="0" w:color="auto"/>
            <w:right w:val="none" w:sz="0" w:space="0" w:color="auto"/>
          </w:divBdr>
        </w:div>
      </w:divsChild>
    </w:div>
    <w:div w:id="1692487353">
      <w:bodyDiv w:val="1"/>
      <w:marLeft w:val="0"/>
      <w:marRight w:val="0"/>
      <w:marTop w:val="0"/>
      <w:marBottom w:val="0"/>
      <w:divBdr>
        <w:top w:val="none" w:sz="0" w:space="0" w:color="auto"/>
        <w:left w:val="none" w:sz="0" w:space="0" w:color="auto"/>
        <w:bottom w:val="none" w:sz="0" w:space="0" w:color="auto"/>
        <w:right w:val="none" w:sz="0" w:space="0" w:color="auto"/>
      </w:divBdr>
      <w:divsChild>
        <w:div w:id="136071357">
          <w:marLeft w:val="0"/>
          <w:marRight w:val="0"/>
          <w:marTop w:val="0"/>
          <w:marBottom w:val="0"/>
          <w:divBdr>
            <w:top w:val="none" w:sz="0" w:space="0" w:color="auto"/>
            <w:left w:val="none" w:sz="0" w:space="0" w:color="auto"/>
            <w:bottom w:val="none" w:sz="0" w:space="0" w:color="auto"/>
            <w:right w:val="none" w:sz="0" w:space="0" w:color="auto"/>
          </w:divBdr>
        </w:div>
        <w:div w:id="192961935">
          <w:marLeft w:val="0"/>
          <w:marRight w:val="0"/>
          <w:marTop w:val="0"/>
          <w:marBottom w:val="0"/>
          <w:divBdr>
            <w:top w:val="none" w:sz="0" w:space="0" w:color="auto"/>
            <w:left w:val="none" w:sz="0" w:space="0" w:color="auto"/>
            <w:bottom w:val="none" w:sz="0" w:space="0" w:color="auto"/>
            <w:right w:val="none" w:sz="0" w:space="0" w:color="auto"/>
          </w:divBdr>
        </w:div>
        <w:div w:id="642731982">
          <w:marLeft w:val="0"/>
          <w:marRight w:val="0"/>
          <w:marTop w:val="0"/>
          <w:marBottom w:val="0"/>
          <w:divBdr>
            <w:top w:val="none" w:sz="0" w:space="0" w:color="auto"/>
            <w:left w:val="none" w:sz="0" w:space="0" w:color="auto"/>
            <w:bottom w:val="none" w:sz="0" w:space="0" w:color="auto"/>
            <w:right w:val="none" w:sz="0" w:space="0" w:color="auto"/>
          </w:divBdr>
        </w:div>
        <w:div w:id="680006046">
          <w:marLeft w:val="0"/>
          <w:marRight w:val="0"/>
          <w:marTop w:val="0"/>
          <w:marBottom w:val="0"/>
          <w:divBdr>
            <w:top w:val="none" w:sz="0" w:space="0" w:color="auto"/>
            <w:left w:val="none" w:sz="0" w:space="0" w:color="auto"/>
            <w:bottom w:val="none" w:sz="0" w:space="0" w:color="auto"/>
            <w:right w:val="none" w:sz="0" w:space="0" w:color="auto"/>
          </w:divBdr>
        </w:div>
        <w:div w:id="1462336577">
          <w:marLeft w:val="0"/>
          <w:marRight w:val="0"/>
          <w:marTop w:val="0"/>
          <w:marBottom w:val="0"/>
          <w:divBdr>
            <w:top w:val="none" w:sz="0" w:space="0" w:color="auto"/>
            <w:left w:val="none" w:sz="0" w:space="0" w:color="auto"/>
            <w:bottom w:val="none" w:sz="0" w:space="0" w:color="auto"/>
            <w:right w:val="none" w:sz="0" w:space="0" w:color="auto"/>
          </w:divBdr>
        </w:div>
        <w:div w:id="1482849798">
          <w:marLeft w:val="0"/>
          <w:marRight w:val="0"/>
          <w:marTop w:val="0"/>
          <w:marBottom w:val="0"/>
          <w:divBdr>
            <w:top w:val="none" w:sz="0" w:space="0" w:color="auto"/>
            <w:left w:val="none" w:sz="0" w:space="0" w:color="auto"/>
            <w:bottom w:val="none" w:sz="0" w:space="0" w:color="auto"/>
            <w:right w:val="none" w:sz="0" w:space="0" w:color="auto"/>
          </w:divBdr>
        </w:div>
        <w:div w:id="1973948431">
          <w:marLeft w:val="0"/>
          <w:marRight w:val="0"/>
          <w:marTop w:val="0"/>
          <w:marBottom w:val="0"/>
          <w:divBdr>
            <w:top w:val="none" w:sz="0" w:space="0" w:color="auto"/>
            <w:left w:val="none" w:sz="0" w:space="0" w:color="auto"/>
            <w:bottom w:val="none" w:sz="0" w:space="0" w:color="auto"/>
            <w:right w:val="none" w:sz="0" w:space="0" w:color="auto"/>
          </w:divBdr>
        </w:div>
      </w:divsChild>
    </w:div>
    <w:div w:id="1776974485">
      <w:bodyDiv w:val="1"/>
      <w:marLeft w:val="0"/>
      <w:marRight w:val="0"/>
      <w:marTop w:val="0"/>
      <w:marBottom w:val="0"/>
      <w:divBdr>
        <w:top w:val="none" w:sz="0" w:space="0" w:color="auto"/>
        <w:left w:val="none" w:sz="0" w:space="0" w:color="auto"/>
        <w:bottom w:val="none" w:sz="0" w:space="0" w:color="auto"/>
        <w:right w:val="none" w:sz="0" w:space="0" w:color="auto"/>
      </w:divBdr>
    </w:div>
    <w:div w:id="1832019301">
      <w:bodyDiv w:val="1"/>
      <w:marLeft w:val="0"/>
      <w:marRight w:val="0"/>
      <w:marTop w:val="0"/>
      <w:marBottom w:val="0"/>
      <w:divBdr>
        <w:top w:val="none" w:sz="0" w:space="0" w:color="auto"/>
        <w:left w:val="none" w:sz="0" w:space="0" w:color="auto"/>
        <w:bottom w:val="none" w:sz="0" w:space="0" w:color="auto"/>
        <w:right w:val="none" w:sz="0" w:space="0" w:color="auto"/>
      </w:divBdr>
    </w:div>
    <w:div w:id="1870754358">
      <w:bodyDiv w:val="1"/>
      <w:marLeft w:val="0"/>
      <w:marRight w:val="0"/>
      <w:marTop w:val="0"/>
      <w:marBottom w:val="0"/>
      <w:divBdr>
        <w:top w:val="none" w:sz="0" w:space="0" w:color="auto"/>
        <w:left w:val="none" w:sz="0" w:space="0" w:color="auto"/>
        <w:bottom w:val="none" w:sz="0" w:space="0" w:color="auto"/>
        <w:right w:val="none" w:sz="0" w:space="0" w:color="auto"/>
      </w:divBdr>
      <w:divsChild>
        <w:div w:id="77479949">
          <w:marLeft w:val="0"/>
          <w:marRight w:val="0"/>
          <w:marTop w:val="0"/>
          <w:marBottom w:val="0"/>
          <w:divBdr>
            <w:top w:val="none" w:sz="0" w:space="0" w:color="auto"/>
            <w:left w:val="none" w:sz="0" w:space="0" w:color="auto"/>
            <w:bottom w:val="none" w:sz="0" w:space="0" w:color="auto"/>
            <w:right w:val="none" w:sz="0" w:space="0" w:color="auto"/>
          </w:divBdr>
          <w:divsChild>
            <w:div w:id="1918708062">
              <w:marLeft w:val="0"/>
              <w:marRight w:val="0"/>
              <w:marTop w:val="0"/>
              <w:marBottom w:val="0"/>
              <w:divBdr>
                <w:top w:val="none" w:sz="0" w:space="0" w:color="auto"/>
                <w:left w:val="none" w:sz="0" w:space="0" w:color="auto"/>
                <w:bottom w:val="none" w:sz="0" w:space="0" w:color="auto"/>
                <w:right w:val="none" w:sz="0" w:space="0" w:color="auto"/>
              </w:divBdr>
            </w:div>
          </w:divsChild>
        </w:div>
        <w:div w:id="162203894">
          <w:marLeft w:val="0"/>
          <w:marRight w:val="0"/>
          <w:marTop w:val="0"/>
          <w:marBottom w:val="0"/>
          <w:divBdr>
            <w:top w:val="none" w:sz="0" w:space="0" w:color="auto"/>
            <w:left w:val="none" w:sz="0" w:space="0" w:color="auto"/>
            <w:bottom w:val="none" w:sz="0" w:space="0" w:color="auto"/>
            <w:right w:val="none" w:sz="0" w:space="0" w:color="auto"/>
          </w:divBdr>
          <w:divsChild>
            <w:div w:id="1868834702">
              <w:marLeft w:val="0"/>
              <w:marRight w:val="0"/>
              <w:marTop w:val="0"/>
              <w:marBottom w:val="0"/>
              <w:divBdr>
                <w:top w:val="none" w:sz="0" w:space="0" w:color="auto"/>
                <w:left w:val="none" w:sz="0" w:space="0" w:color="auto"/>
                <w:bottom w:val="none" w:sz="0" w:space="0" w:color="auto"/>
                <w:right w:val="none" w:sz="0" w:space="0" w:color="auto"/>
              </w:divBdr>
            </w:div>
          </w:divsChild>
        </w:div>
        <w:div w:id="260643885">
          <w:marLeft w:val="0"/>
          <w:marRight w:val="0"/>
          <w:marTop w:val="0"/>
          <w:marBottom w:val="0"/>
          <w:divBdr>
            <w:top w:val="none" w:sz="0" w:space="0" w:color="auto"/>
            <w:left w:val="none" w:sz="0" w:space="0" w:color="auto"/>
            <w:bottom w:val="none" w:sz="0" w:space="0" w:color="auto"/>
            <w:right w:val="none" w:sz="0" w:space="0" w:color="auto"/>
          </w:divBdr>
          <w:divsChild>
            <w:div w:id="1907062389">
              <w:marLeft w:val="0"/>
              <w:marRight w:val="0"/>
              <w:marTop w:val="0"/>
              <w:marBottom w:val="0"/>
              <w:divBdr>
                <w:top w:val="none" w:sz="0" w:space="0" w:color="auto"/>
                <w:left w:val="none" w:sz="0" w:space="0" w:color="auto"/>
                <w:bottom w:val="none" w:sz="0" w:space="0" w:color="auto"/>
                <w:right w:val="none" w:sz="0" w:space="0" w:color="auto"/>
              </w:divBdr>
            </w:div>
          </w:divsChild>
        </w:div>
        <w:div w:id="322902044">
          <w:marLeft w:val="0"/>
          <w:marRight w:val="0"/>
          <w:marTop w:val="0"/>
          <w:marBottom w:val="0"/>
          <w:divBdr>
            <w:top w:val="none" w:sz="0" w:space="0" w:color="auto"/>
            <w:left w:val="none" w:sz="0" w:space="0" w:color="auto"/>
            <w:bottom w:val="none" w:sz="0" w:space="0" w:color="auto"/>
            <w:right w:val="none" w:sz="0" w:space="0" w:color="auto"/>
          </w:divBdr>
          <w:divsChild>
            <w:div w:id="1218736907">
              <w:marLeft w:val="0"/>
              <w:marRight w:val="0"/>
              <w:marTop w:val="0"/>
              <w:marBottom w:val="0"/>
              <w:divBdr>
                <w:top w:val="none" w:sz="0" w:space="0" w:color="auto"/>
                <w:left w:val="none" w:sz="0" w:space="0" w:color="auto"/>
                <w:bottom w:val="none" w:sz="0" w:space="0" w:color="auto"/>
                <w:right w:val="none" w:sz="0" w:space="0" w:color="auto"/>
              </w:divBdr>
            </w:div>
          </w:divsChild>
        </w:div>
        <w:div w:id="596865347">
          <w:marLeft w:val="0"/>
          <w:marRight w:val="0"/>
          <w:marTop w:val="0"/>
          <w:marBottom w:val="0"/>
          <w:divBdr>
            <w:top w:val="none" w:sz="0" w:space="0" w:color="auto"/>
            <w:left w:val="none" w:sz="0" w:space="0" w:color="auto"/>
            <w:bottom w:val="none" w:sz="0" w:space="0" w:color="auto"/>
            <w:right w:val="none" w:sz="0" w:space="0" w:color="auto"/>
          </w:divBdr>
          <w:divsChild>
            <w:div w:id="343553576">
              <w:marLeft w:val="0"/>
              <w:marRight w:val="0"/>
              <w:marTop w:val="0"/>
              <w:marBottom w:val="0"/>
              <w:divBdr>
                <w:top w:val="none" w:sz="0" w:space="0" w:color="auto"/>
                <w:left w:val="none" w:sz="0" w:space="0" w:color="auto"/>
                <w:bottom w:val="none" w:sz="0" w:space="0" w:color="auto"/>
                <w:right w:val="none" w:sz="0" w:space="0" w:color="auto"/>
              </w:divBdr>
            </w:div>
          </w:divsChild>
        </w:div>
        <w:div w:id="676814012">
          <w:marLeft w:val="0"/>
          <w:marRight w:val="0"/>
          <w:marTop w:val="0"/>
          <w:marBottom w:val="0"/>
          <w:divBdr>
            <w:top w:val="none" w:sz="0" w:space="0" w:color="auto"/>
            <w:left w:val="none" w:sz="0" w:space="0" w:color="auto"/>
            <w:bottom w:val="none" w:sz="0" w:space="0" w:color="auto"/>
            <w:right w:val="none" w:sz="0" w:space="0" w:color="auto"/>
          </w:divBdr>
          <w:divsChild>
            <w:div w:id="1833058456">
              <w:marLeft w:val="0"/>
              <w:marRight w:val="0"/>
              <w:marTop w:val="0"/>
              <w:marBottom w:val="0"/>
              <w:divBdr>
                <w:top w:val="none" w:sz="0" w:space="0" w:color="auto"/>
                <w:left w:val="none" w:sz="0" w:space="0" w:color="auto"/>
                <w:bottom w:val="none" w:sz="0" w:space="0" w:color="auto"/>
                <w:right w:val="none" w:sz="0" w:space="0" w:color="auto"/>
              </w:divBdr>
            </w:div>
          </w:divsChild>
        </w:div>
        <w:div w:id="686910619">
          <w:marLeft w:val="0"/>
          <w:marRight w:val="0"/>
          <w:marTop w:val="0"/>
          <w:marBottom w:val="0"/>
          <w:divBdr>
            <w:top w:val="none" w:sz="0" w:space="0" w:color="auto"/>
            <w:left w:val="none" w:sz="0" w:space="0" w:color="auto"/>
            <w:bottom w:val="none" w:sz="0" w:space="0" w:color="auto"/>
            <w:right w:val="none" w:sz="0" w:space="0" w:color="auto"/>
          </w:divBdr>
          <w:divsChild>
            <w:div w:id="1615988444">
              <w:marLeft w:val="0"/>
              <w:marRight w:val="0"/>
              <w:marTop w:val="0"/>
              <w:marBottom w:val="0"/>
              <w:divBdr>
                <w:top w:val="none" w:sz="0" w:space="0" w:color="auto"/>
                <w:left w:val="none" w:sz="0" w:space="0" w:color="auto"/>
                <w:bottom w:val="none" w:sz="0" w:space="0" w:color="auto"/>
                <w:right w:val="none" w:sz="0" w:space="0" w:color="auto"/>
              </w:divBdr>
            </w:div>
          </w:divsChild>
        </w:div>
        <w:div w:id="710421403">
          <w:marLeft w:val="0"/>
          <w:marRight w:val="0"/>
          <w:marTop w:val="0"/>
          <w:marBottom w:val="0"/>
          <w:divBdr>
            <w:top w:val="none" w:sz="0" w:space="0" w:color="auto"/>
            <w:left w:val="none" w:sz="0" w:space="0" w:color="auto"/>
            <w:bottom w:val="none" w:sz="0" w:space="0" w:color="auto"/>
            <w:right w:val="none" w:sz="0" w:space="0" w:color="auto"/>
          </w:divBdr>
          <w:divsChild>
            <w:div w:id="1130131815">
              <w:marLeft w:val="0"/>
              <w:marRight w:val="0"/>
              <w:marTop w:val="0"/>
              <w:marBottom w:val="0"/>
              <w:divBdr>
                <w:top w:val="none" w:sz="0" w:space="0" w:color="auto"/>
                <w:left w:val="none" w:sz="0" w:space="0" w:color="auto"/>
                <w:bottom w:val="none" w:sz="0" w:space="0" w:color="auto"/>
                <w:right w:val="none" w:sz="0" w:space="0" w:color="auto"/>
              </w:divBdr>
            </w:div>
          </w:divsChild>
        </w:div>
        <w:div w:id="768623760">
          <w:marLeft w:val="0"/>
          <w:marRight w:val="0"/>
          <w:marTop w:val="0"/>
          <w:marBottom w:val="0"/>
          <w:divBdr>
            <w:top w:val="none" w:sz="0" w:space="0" w:color="auto"/>
            <w:left w:val="none" w:sz="0" w:space="0" w:color="auto"/>
            <w:bottom w:val="none" w:sz="0" w:space="0" w:color="auto"/>
            <w:right w:val="none" w:sz="0" w:space="0" w:color="auto"/>
          </w:divBdr>
          <w:divsChild>
            <w:div w:id="218136059">
              <w:marLeft w:val="0"/>
              <w:marRight w:val="0"/>
              <w:marTop w:val="0"/>
              <w:marBottom w:val="0"/>
              <w:divBdr>
                <w:top w:val="none" w:sz="0" w:space="0" w:color="auto"/>
                <w:left w:val="none" w:sz="0" w:space="0" w:color="auto"/>
                <w:bottom w:val="none" w:sz="0" w:space="0" w:color="auto"/>
                <w:right w:val="none" w:sz="0" w:space="0" w:color="auto"/>
              </w:divBdr>
            </w:div>
          </w:divsChild>
        </w:div>
        <w:div w:id="823669209">
          <w:marLeft w:val="0"/>
          <w:marRight w:val="0"/>
          <w:marTop w:val="0"/>
          <w:marBottom w:val="0"/>
          <w:divBdr>
            <w:top w:val="none" w:sz="0" w:space="0" w:color="auto"/>
            <w:left w:val="none" w:sz="0" w:space="0" w:color="auto"/>
            <w:bottom w:val="none" w:sz="0" w:space="0" w:color="auto"/>
            <w:right w:val="none" w:sz="0" w:space="0" w:color="auto"/>
          </w:divBdr>
          <w:divsChild>
            <w:div w:id="512456994">
              <w:marLeft w:val="0"/>
              <w:marRight w:val="0"/>
              <w:marTop w:val="0"/>
              <w:marBottom w:val="0"/>
              <w:divBdr>
                <w:top w:val="none" w:sz="0" w:space="0" w:color="auto"/>
                <w:left w:val="none" w:sz="0" w:space="0" w:color="auto"/>
                <w:bottom w:val="none" w:sz="0" w:space="0" w:color="auto"/>
                <w:right w:val="none" w:sz="0" w:space="0" w:color="auto"/>
              </w:divBdr>
            </w:div>
          </w:divsChild>
        </w:div>
        <w:div w:id="831142780">
          <w:marLeft w:val="0"/>
          <w:marRight w:val="0"/>
          <w:marTop w:val="0"/>
          <w:marBottom w:val="0"/>
          <w:divBdr>
            <w:top w:val="none" w:sz="0" w:space="0" w:color="auto"/>
            <w:left w:val="none" w:sz="0" w:space="0" w:color="auto"/>
            <w:bottom w:val="none" w:sz="0" w:space="0" w:color="auto"/>
            <w:right w:val="none" w:sz="0" w:space="0" w:color="auto"/>
          </w:divBdr>
          <w:divsChild>
            <w:div w:id="84083466">
              <w:marLeft w:val="0"/>
              <w:marRight w:val="0"/>
              <w:marTop w:val="0"/>
              <w:marBottom w:val="0"/>
              <w:divBdr>
                <w:top w:val="none" w:sz="0" w:space="0" w:color="auto"/>
                <w:left w:val="none" w:sz="0" w:space="0" w:color="auto"/>
                <w:bottom w:val="none" w:sz="0" w:space="0" w:color="auto"/>
                <w:right w:val="none" w:sz="0" w:space="0" w:color="auto"/>
              </w:divBdr>
            </w:div>
          </w:divsChild>
        </w:div>
        <w:div w:id="858199044">
          <w:marLeft w:val="0"/>
          <w:marRight w:val="0"/>
          <w:marTop w:val="0"/>
          <w:marBottom w:val="0"/>
          <w:divBdr>
            <w:top w:val="none" w:sz="0" w:space="0" w:color="auto"/>
            <w:left w:val="none" w:sz="0" w:space="0" w:color="auto"/>
            <w:bottom w:val="none" w:sz="0" w:space="0" w:color="auto"/>
            <w:right w:val="none" w:sz="0" w:space="0" w:color="auto"/>
          </w:divBdr>
          <w:divsChild>
            <w:div w:id="538862844">
              <w:marLeft w:val="0"/>
              <w:marRight w:val="0"/>
              <w:marTop w:val="0"/>
              <w:marBottom w:val="0"/>
              <w:divBdr>
                <w:top w:val="none" w:sz="0" w:space="0" w:color="auto"/>
                <w:left w:val="none" w:sz="0" w:space="0" w:color="auto"/>
                <w:bottom w:val="none" w:sz="0" w:space="0" w:color="auto"/>
                <w:right w:val="none" w:sz="0" w:space="0" w:color="auto"/>
              </w:divBdr>
            </w:div>
          </w:divsChild>
        </w:div>
        <w:div w:id="861020428">
          <w:marLeft w:val="0"/>
          <w:marRight w:val="0"/>
          <w:marTop w:val="0"/>
          <w:marBottom w:val="0"/>
          <w:divBdr>
            <w:top w:val="none" w:sz="0" w:space="0" w:color="auto"/>
            <w:left w:val="none" w:sz="0" w:space="0" w:color="auto"/>
            <w:bottom w:val="none" w:sz="0" w:space="0" w:color="auto"/>
            <w:right w:val="none" w:sz="0" w:space="0" w:color="auto"/>
          </w:divBdr>
          <w:divsChild>
            <w:div w:id="310331799">
              <w:marLeft w:val="0"/>
              <w:marRight w:val="0"/>
              <w:marTop w:val="0"/>
              <w:marBottom w:val="0"/>
              <w:divBdr>
                <w:top w:val="none" w:sz="0" w:space="0" w:color="auto"/>
                <w:left w:val="none" w:sz="0" w:space="0" w:color="auto"/>
                <w:bottom w:val="none" w:sz="0" w:space="0" w:color="auto"/>
                <w:right w:val="none" w:sz="0" w:space="0" w:color="auto"/>
              </w:divBdr>
            </w:div>
          </w:divsChild>
        </w:div>
        <w:div w:id="870996814">
          <w:marLeft w:val="0"/>
          <w:marRight w:val="0"/>
          <w:marTop w:val="0"/>
          <w:marBottom w:val="0"/>
          <w:divBdr>
            <w:top w:val="none" w:sz="0" w:space="0" w:color="auto"/>
            <w:left w:val="none" w:sz="0" w:space="0" w:color="auto"/>
            <w:bottom w:val="none" w:sz="0" w:space="0" w:color="auto"/>
            <w:right w:val="none" w:sz="0" w:space="0" w:color="auto"/>
          </w:divBdr>
          <w:divsChild>
            <w:div w:id="702556408">
              <w:marLeft w:val="0"/>
              <w:marRight w:val="0"/>
              <w:marTop w:val="0"/>
              <w:marBottom w:val="0"/>
              <w:divBdr>
                <w:top w:val="none" w:sz="0" w:space="0" w:color="auto"/>
                <w:left w:val="none" w:sz="0" w:space="0" w:color="auto"/>
                <w:bottom w:val="none" w:sz="0" w:space="0" w:color="auto"/>
                <w:right w:val="none" w:sz="0" w:space="0" w:color="auto"/>
              </w:divBdr>
            </w:div>
          </w:divsChild>
        </w:div>
        <w:div w:id="892350891">
          <w:marLeft w:val="0"/>
          <w:marRight w:val="0"/>
          <w:marTop w:val="0"/>
          <w:marBottom w:val="0"/>
          <w:divBdr>
            <w:top w:val="none" w:sz="0" w:space="0" w:color="auto"/>
            <w:left w:val="none" w:sz="0" w:space="0" w:color="auto"/>
            <w:bottom w:val="none" w:sz="0" w:space="0" w:color="auto"/>
            <w:right w:val="none" w:sz="0" w:space="0" w:color="auto"/>
          </w:divBdr>
          <w:divsChild>
            <w:div w:id="1483351054">
              <w:marLeft w:val="0"/>
              <w:marRight w:val="0"/>
              <w:marTop w:val="0"/>
              <w:marBottom w:val="0"/>
              <w:divBdr>
                <w:top w:val="none" w:sz="0" w:space="0" w:color="auto"/>
                <w:left w:val="none" w:sz="0" w:space="0" w:color="auto"/>
                <w:bottom w:val="none" w:sz="0" w:space="0" w:color="auto"/>
                <w:right w:val="none" w:sz="0" w:space="0" w:color="auto"/>
              </w:divBdr>
            </w:div>
          </w:divsChild>
        </w:div>
        <w:div w:id="1144735426">
          <w:marLeft w:val="0"/>
          <w:marRight w:val="0"/>
          <w:marTop w:val="0"/>
          <w:marBottom w:val="0"/>
          <w:divBdr>
            <w:top w:val="none" w:sz="0" w:space="0" w:color="auto"/>
            <w:left w:val="none" w:sz="0" w:space="0" w:color="auto"/>
            <w:bottom w:val="none" w:sz="0" w:space="0" w:color="auto"/>
            <w:right w:val="none" w:sz="0" w:space="0" w:color="auto"/>
          </w:divBdr>
          <w:divsChild>
            <w:div w:id="1305311769">
              <w:marLeft w:val="0"/>
              <w:marRight w:val="0"/>
              <w:marTop w:val="0"/>
              <w:marBottom w:val="0"/>
              <w:divBdr>
                <w:top w:val="none" w:sz="0" w:space="0" w:color="auto"/>
                <w:left w:val="none" w:sz="0" w:space="0" w:color="auto"/>
                <w:bottom w:val="none" w:sz="0" w:space="0" w:color="auto"/>
                <w:right w:val="none" w:sz="0" w:space="0" w:color="auto"/>
              </w:divBdr>
            </w:div>
          </w:divsChild>
        </w:div>
        <w:div w:id="1200902032">
          <w:marLeft w:val="0"/>
          <w:marRight w:val="0"/>
          <w:marTop w:val="0"/>
          <w:marBottom w:val="0"/>
          <w:divBdr>
            <w:top w:val="none" w:sz="0" w:space="0" w:color="auto"/>
            <w:left w:val="none" w:sz="0" w:space="0" w:color="auto"/>
            <w:bottom w:val="none" w:sz="0" w:space="0" w:color="auto"/>
            <w:right w:val="none" w:sz="0" w:space="0" w:color="auto"/>
          </w:divBdr>
          <w:divsChild>
            <w:div w:id="1194273763">
              <w:marLeft w:val="0"/>
              <w:marRight w:val="0"/>
              <w:marTop w:val="0"/>
              <w:marBottom w:val="0"/>
              <w:divBdr>
                <w:top w:val="none" w:sz="0" w:space="0" w:color="auto"/>
                <w:left w:val="none" w:sz="0" w:space="0" w:color="auto"/>
                <w:bottom w:val="none" w:sz="0" w:space="0" w:color="auto"/>
                <w:right w:val="none" w:sz="0" w:space="0" w:color="auto"/>
              </w:divBdr>
            </w:div>
          </w:divsChild>
        </w:div>
        <w:div w:id="1204752699">
          <w:marLeft w:val="0"/>
          <w:marRight w:val="0"/>
          <w:marTop w:val="0"/>
          <w:marBottom w:val="0"/>
          <w:divBdr>
            <w:top w:val="none" w:sz="0" w:space="0" w:color="auto"/>
            <w:left w:val="none" w:sz="0" w:space="0" w:color="auto"/>
            <w:bottom w:val="none" w:sz="0" w:space="0" w:color="auto"/>
            <w:right w:val="none" w:sz="0" w:space="0" w:color="auto"/>
          </w:divBdr>
          <w:divsChild>
            <w:div w:id="1921791952">
              <w:marLeft w:val="0"/>
              <w:marRight w:val="0"/>
              <w:marTop w:val="0"/>
              <w:marBottom w:val="0"/>
              <w:divBdr>
                <w:top w:val="none" w:sz="0" w:space="0" w:color="auto"/>
                <w:left w:val="none" w:sz="0" w:space="0" w:color="auto"/>
                <w:bottom w:val="none" w:sz="0" w:space="0" w:color="auto"/>
                <w:right w:val="none" w:sz="0" w:space="0" w:color="auto"/>
              </w:divBdr>
            </w:div>
          </w:divsChild>
        </w:div>
        <w:div w:id="1244880294">
          <w:marLeft w:val="0"/>
          <w:marRight w:val="0"/>
          <w:marTop w:val="0"/>
          <w:marBottom w:val="0"/>
          <w:divBdr>
            <w:top w:val="none" w:sz="0" w:space="0" w:color="auto"/>
            <w:left w:val="none" w:sz="0" w:space="0" w:color="auto"/>
            <w:bottom w:val="none" w:sz="0" w:space="0" w:color="auto"/>
            <w:right w:val="none" w:sz="0" w:space="0" w:color="auto"/>
          </w:divBdr>
          <w:divsChild>
            <w:div w:id="1856188591">
              <w:marLeft w:val="0"/>
              <w:marRight w:val="0"/>
              <w:marTop w:val="0"/>
              <w:marBottom w:val="0"/>
              <w:divBdr>
                <w:top w:val="none" w:sz="0" w:space="0" w:color="auto"/>
                <w:left w:val="none" w:sz="0" w:space="0" w:color="auto"/>
                <w:bottom w:val="none" w:sz="0" w:space="0" w:color="auto"/>
                <w:right w:val="none" w:sz="0" w:space="0" w:color="auto"/>
              </w:divBdr>
            </w:div>
          </w:divsChild>
        </w:div>
        <w:div w:id="1418793410">
          <w:marLeft w:val="0"/>
          <w:marRight w:val="0"/>
          <w:marTop w:val="0"/>
          <w:marBottom w:val="0"/>
          <w:divBdr>
            <w:top w:val="none" w:sz="0" w:space="0" w:color="auto"/>
            <w:left w:val="none" w:sz="0" w:space="0" w:color="auto"/>
            <w:bottom w:val="none" w:sz="0" w:space="0" w:color="auto"/>
            <w:right w:val="none" w:sz="0" w:space="0" w:color="auto"/>
          </w:divBdr>
          <w:divsChild>
            <w:div w:id="1422801516">
              <w:marLeft w:val="0"/>
              <w:marRight w:val="0"/>
              <w:marTop w:val="0"/>
              <w:marBottom w:val="0"/>
              <w:divBdr>
                <w:top w:val="none" w:sz="0" w:space="0" w:color="auto"/>
                <w:left w:val="none" w:sz="0" w:space="0" w:color="auto"/>
                <w:bottom w:val="none" w:sz="0" w:space="0" w:color="auto"/>
                <w:right w:val="none" w:sz="0" w:space="0" w:color="auto"/>
              </w:divBdr>
            </w:div>
          </w:divsChild>
        </w:div>
        <w:div w:id="1500729666">
          <w:marLeft w:val="0"/>
          <w:marRight w:val="0"/>
          <w:marTop w:val="0"/>
          <w:marBottom w:val="0"/>
          <w:divBdr>
            <w:top w:val="none" w:sz="0" w:space="0" w:color="auto"/>
            <w:left w:val="none" w:sz="0" w:space="0" w:color="auto"/>
            <w:bottom w:val="none" w:sz="0" w:space="0" w:color="auto"/>
            <w:right w:val="none" w:sz="0" w:space="0" w:color="auto"/>
          </w:divBdr>
          <w:divsChild>
            <w:div w:id="1367945685">
              <w:marLeft w:val="0"/>
              <w:marRight w:val="0"/>
              <w:marTop w:val="0"/>
              <w:marBottom w:val="0"/>
              <w:divBdr>
                <w:top w:val="none" w:sz="0" w:space="0" w:color="auto"/>
                <w:left w:val="none" w:sz="0" w:space="0" w:color="auto"/>
                <w:bottom w:val="none" w:sz="0" w:space="0" w:color="auto"/>
                <w:right w:val="none" w:sz="0" w:space="0" w:color="auto"/>
              </w:divBdr>
            </w:div>
          </w:divsChild>
        </w:div>
        <w:div w:id="1544559066">
          <w:marLeft w:val="0"/>
          <w:marRight w:val="0"/>
          <w:marTop w:val="0"/>
          <w:marBottom w:val="0"/>
          <w:divBdr>
            <w:top w:val="none" w:sz="0" w:space="0" w:color="auto"/>
            <w:left w:val="none" w:sz="0" w:space="0" w:color="auto"/>
            <w:bottom w:val="none" w:sz="0" w:space="0" w:color="auto"/>
            <w:right w:val="none" w:sz="0" w:space="0" w:color="auto"/>
          </w:divBdr>
          <w:divsChild>
            <w:div w:id="1520197507">
              <w:marLeft w:val="0"/>
              <w:marRight w:val="0"/>
              <w:marTop w:val="0"/>
              <w:marBottom w:val="0"/>
              <w:divBdr>
                <w:top w:val="none" w:sz="0" w:space="0" w:color="auto"/>
                <w:left w:val="none" w:sz="0" w:space="0" w:color="auto"/>
                <w:bottom w:val="none" w:sz="0" w:space="0" w:color="auto"/>
                <w:right w:val="none" w:sz="0" w:space="0" w:color="auto"/>
              </w:divBdr>
            </w:div>
          </w:divsChild>
        </w:div>
        <w:div w:id="1624072599">
          <w:marLeft w:val="0"/>
          <w:marRight w:val="0"/>
          <w:marTop w:val="0"/>
          <w:marBottom w:val="0"/>
          <w:divBdr>
            <w:top w:val="none" w:sz="0" w:space="0" w:color="auto"/>
            <w:left w:val="none" w:sz="0" w:space="0" w:color="auto"/>
            <w:bottom w:val="none" w:sz="0" w:space="0" w:color="auto"/>
            <w:right w:val="none" w:sz="0" w:space="0" w:color="auto"/>
          </w:divBdr>
          <w:divsChild>
            <w:div w:id="836967115">
              <w:marLeft w:val="0"/>
              <w:marRight w:val="0"/>
              <w:marTop w:val="0"/>
              <w:marBottom w:val="0"/>
              <w:divBdr>
                <w:top w:val="none" w:sz="0" w:space="0" w:color="auto"/>
                <w:left w:val="none" w:sz="0" w:space="0" w:color="auto"/>
                <w:bottom w:val="none" w:sz="0" w:space="0" w:color="auto"/>
                <w:right w:val="none" w:sz="0" w:space="0" w:color="auto"/>
              </w:divBdr>
            </w:div>
          </w:divsChild>
        </w:div>
        <w:div w:id="1637301099">
          <w:marLeft w:val="0"/>
          <w:marRight w:val="0"/>
          <w:marTop w:val="0"/>
          <w:marBottom w:val="0"/>
          <w:divBdr>
            <w:top w:val="none" w:sz="0" w:space="0" w:color="auto"/>
            <w:left w:val="none" w:sz="0" w:space="0" w:color="auto"/>
            <w:bottom w:val="none" w:sz="0" w:space="0" w:color="auto"/>
            <w:right w:val="none" w:sz="0" w:space="0" w:color="auto"/>
          </w:divBdr>
          <w:divsChild>
            <w:div w:id="2068914271">
              <w:marLeft w:val="0"/>
              <w:marRight w:val="0"/>
              <w:marTop w:val="0"/>
              <w:marBottom w:val="0"/>
              <w:divBdr>
                <w:top w:val="none" w:sz="0" w:space="0" w:color="auto"/>
                <w:left w:val="none" w:sz="0" w:space="0" w:color="auto"/>
                <w:bottom w:val="none" w:sz="0" w:space="0" w:color="auto"/>
                <w:right w:val="none" w:sz="0" w:space="0" w:color="auto"/>
              </w:divBdr>
            </w:div>
          </w:divsChild>
        </w:div>
        <w:div w:id="1640454137">
          <w:marLeft w:val="0"/>
          <w:marRight w:val="0"/>
          <w:marTop w:val="0"/>
          <w:marBottom w:val="0"/>
          <w:divBdr>
            <w:top w:val="none" w:sz="0" w:space="0" w:color="auto"/>
            <w:left w:val="none" w:sz="0" w:space="0" w:color="auto"/>
            <w:bottom w:val="none" w:sz="0" w:space="0" w:color="auto"/>
            <w:right w:val="none" w:sz="0" w:space="0" w:color="auto"/>
          </w:divBdr>
          <w:divsChild>
            <w:div w:id="1413812137">
              <w:marLeft w:val="0"/>
              <w:marRight w:val="0"/>
              <w:marTop w:val="0"/>
              <w:marBottom w:val="0"/>
              <w:divBdr>
                <w:top w:val="none" w:sz="0" w:space="0" w:color="auto"/>
                <w:left w:val="none" w:sz="0" w:space="0" w:color="auto"/>
                <w:bottom w:val="none" w:sz="0" w:space="0" w:color="auto"/>
                <w:right w:val="none" w:sz="0" w:space="0" w:color="auto"/>
              </w:divBdr>
            </w:div>
          </w:divsChild>
        </w:div>
        <w:div w:id="1759138218">
          <w:marLeft w:val="0"/>
          <w:marRight w:val="0"/>
          <w:marTop w:val="0"/>
          <w:marBottom w:val="0"/>
          <w:divBdr>
            <w:top w:val="none" w:sz="0" w:space="0" w:color="auto"/>
            <w:left w:val="none" w:sz="0" w:space="0" w:color="auto"/>
            <w:bottom w:val="none" w:sz="0" w:space="0" w:color="auto"/>
            <w:right w:val="none" w:sz="0" w:space="0" w:color="auto"/>
          </w:divBdr>
          <w:divsChild>
            <w:div w:id="244655967">
              <w:marLeft w:val="0"/>
              <w:marRight w:val="0"/>
              <w:marTop w:val="0"/>
              <w:marBottom w:val="0"/>
              <w:divBdr>
                <w:top w:val="none" w:sz="0" w:space="0" w:color="auto"/>
                <w:left w:val="none" w:sz="0" w:space="0" w:color="auto"/>
                <w:bottom w:val="none" w:sz="0" w:space="0" w:color="auto"/>
                <w:right w:val="none" w:sz="0" w:space="0" w:color="auto"/>
              </w:divBdr>
            </w:div>
          </w:divsChild>
        </w:div>
        <w:div w:id="1766264303">
          <w:marLeft w:val="0"/>
          <w:marRight w:val="0"/>
          <w:marTop w:val="0"/>
          <w:marBottom w:val="0"/>
          <w:divBdr>
            <w:top w:val="none" w:sz="0" w:space="0" w:color="auto"/>
            <w:left w:val="none" w:sz="0" w:space="0" w:color="auto"/>
            <w:bottom w:val="none" w:sz="0" w:space="0" w:color="auto"/>
            <w:right w:val="none" w:sz="0" w:space="0" w:color="auto"/>
          </w:divBdr>
          <w:divsChild>
            <w:div w:id="1346443181">
              <w:marLeft w:val="0"/>
              <w:marRight w:val="0"/>
              <w:marTop w:val="0"/>
              <w:marBottom w:val="0"/>
              <w:divBdr>
                <w:top w:val="none" w:sz="0" w:space="0" w:color="auto"/>
                <w:left w:val="none" w:sz="0" w:space="0" w:color="auto"/>
                <w:bottom w:val="none" w:sz="0" w:space="0" w:color="auto"/>
                <w:right w:val="none" w:sz="0" w:space="0" w:color="auto"/>
              </w:divBdr>
            </w:div>
          </w:divsChild>
        </w:div>
        <w:div w:id="1907450037">
          <w:marLeft w:val="0"/>
          <w:marRight w:val="0"/>
          <w:marTop w:val="0"/>
          <w:marBottom w:val="0"/>
          <w:divBdr>
            <w:top w:val="none" w:sz="0" w:space="0" w:color="auto"/>
            <w:left w:val="none" w:sz="0" w:space="0" w:color="auto"/>
            <w:bottom w:val="none" w:sz="0" w:space="0" w:color="auto"/>
            <w:right w:val="none" w:sz="0" w:space="0" w:color="auto"/>
          </w:divBdr>
          <w:divsChild>
            <w:div w:id="12920364">
              <w:marLeft w:val="0"/>
              <w:marRight w:val="0"/>
              <w:marTop w:val="0"/>
              <w:marBottom w:val="0"/>
              <w:divBdr>
                <w:top w:val="none" w:sz="0" w:space="0" w:color="auto"/>
                <w:left w:val="none" w:sz="0" w:space="0" w:color="auto"/>
                <w:bottom w:val="none" w:sz="0" w:space="0" w:color="auto"/>
                <w:right w:val="none" w:sz="0" w:space="0" w:color="auto"/>
              </w:divBdr>
            </w:div>
          </w:divsChild>
        </w:div>
        <w:div w:id="2046909823">
          <w:marLeft w:val="0"/>
          <w:marRight w:val="0"/>
          <w:marTop w:val="0"/>
          <w:marBottom w:val="0"/>
          <w:divBdr>
            <w:top w:val="none" w:sz="0" w:space="0" w:color="auto"/>
            <w:left w:val="none" w:sz="0" w:space="0" w:color="auto"/>
            <w:bottom w:val="none" w:sz="0" w:space="0" w:color="auto"/>
            <w:right w:val="none" w:sz="0" w:space="0" w:color="auto"/>
          </w:divBdr>
          <w:divsChild>
            <w:div w:id="14816617">
              <w:marLeft w:val="0"/>
              <w:marRight w:val="0"/>
              <w:marTop w:val="0"/>
              <w:marBottom w:val="0"/>
              <w:divBdr>
                <w:top w:val="none" w:sz="0" w:space="0" w:color="auto"/>
                <w:left w:val="none" w:sz="0" w:space="0" w:color="auto"/>
                <w:bottom w:val="none" w:sz="0" w:space="0" w:color="auto"/>
                <w:right w:val="none" w:sz="0" w:space="0" w:color="auto"/>
              </w:divBdr>
            </w:div>
          </w:divsChild>
        </w:div>
        <w:div w:id="2050450764">
          <w:marLeft w:val="0"/>
          <w:marRight w:val="0"/>
          <w:marTop w:val="0"/>
          <w:marBottom w:val="0"/>
          <w:divBdr>
            <w:top w:val="none" w:sz="0" w:space="0" w:color="auto"/>
            <w:left w:val="none" w:sz="0" w:space="0" w:color="auto"/>
            <w:bottom w:val="none" w:sz="0" w:space="0" w:color="auto"/>
            <w:right w:val="none" w:sz="0" w:space="0" w:color="auto"/>
          </w:divBdr>
          <w:divsChild>
            <w:div w:id="19321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68954">
      <w:bodyDiv w:val="1"/>
      <w:marLeft w:val="0"/>
      <w:marRight w:val="0"/>
      <w:marTop w:val="0"/>
      <w:marBottom w:val="0"/>
      <w:divBdr>
        <w:top w:val="none" w:sz="0" w:space="0" w:color="auto"/>
        <w:left w:val="none" w:sz="0" w:space="0" w:color="auto"/>
        <w:bottom w:val="none" w:sz="0" w:space="0" w:color="auto"/>
        <w:right w:val="none" w:sz="0" w:space="0" w:color="auto"/>
      </w:divBdr>
      <w:divsChild>
        <w:div w:id="46533126">
          <w:marLeft w:val="0"/>
          <w:marRight w:val="0"/>
          <w:marTop w:val="0"/>
          <w:marBottom w:val="0"/>
          <w:divBdr>
            <w:top w:val="none" w:sz="0" w:space="0" w:color="auto"/>
            <w:left w:val="none" w:sz="0" w:space="0" w:color="auto"/>
            <w:bottom w:val="none" w:sz="0" w:space="0" w:color="auto"/>
            <w:right w:val="none" w:sz="0" w:space="0" w:color="auto"/>
          </w:divBdr>
        </w:div>
        <w:div w:id="61100238">
          <w:marLeft w:val="0"/>
          <w:marRight w:val="0"/>
          <w:marTop w:val="0"/>
          <w:marBottom w:val="0"/>
          <w:divBdr>
            <w:top w:val="none" w:sz="0" w:space="0" w:color="auto"/>
            <w:left w:val="none" w:sz="0" w:space="0" w:color="auto"/>
            <w:bottom w:val="none" w:sz="0" w:space="0" w:color="auto"/>
            <w:right w:val="none" w:sz="0" w:space="0" w:color="auto"/>
          </w:divBdr>
        </w:div>
        <w:div w:id="444690927">
          <w:marLeft w:val="0"/>
          <w:marRight w:val="0"/>
          <w:marTop w:val="0"/>
          <w:marBottom w:val="0"/>
          <w:divBdr>
            <w:top w:val="none" w:sz="0" w:space="0" w:color="auto"/>
            <w:left w:val="none" w:sz="0" w:space="0" w:color="auto"/>
            <w:bottom w:val="none" w:sz="0" w:space="0" w:color="auto"/>
            <w:right w:val="none" w:sz="0" w:space="0" w:color="auto"/>
          </w:divBdr>
        </w:div>
        <w:div w:id="613056189">
          <w:marLeft w:val="0"/>
          <w:marRight w:val="0"/>
          <w:marTop w:val="0"/>
          <w:marBottom w:val="0"/>
          <w:divBdr>
            <w:top w:val="none" w:sz="0" w:space="0" w:color="auto"/>
            <w:left w:val="none" w:sz="0" w:space="0" w:color="auto"/>
            <w:bottom w:val="none" w:sz="0" w:space="0" w:color="auto"/>
            <w:right w:val="none" w:sz="0" w:space="0" w:color="auto"/>
          </w:divBdr>
        </w:div>
        <w:div w:id="899169203">
          <w:marLeft w:val="0"/>
          <w:marRight w:val="0"/>
          <w:marTop w:val="0"/>
          <w:marBottom w:val="0"/>
          <w:divBdr>
            <w:top w:val="none" w:sz="0" w:space="0" w:color="auto"/>
            <w:left w:val="none" w:sz="0" w:space="0" w:color="auto"/>
            <w:bottom w:val="none" w:sz="0" w:space="0" w:color="auto"/>
            <w:right w:val="none" w:sz="0" w:space="0" w:color="auto"/>
          </w:divBdr>
        </w:div>
        <w:div w:id="1259830626">
          <w:marLeft w:val="0"/>
          <w:marRight w:val="0"/>
          <w:marTop w:val="0"/>
          <w:marBottom w:val="0"/>
          <w:divBdr>
            <w:top w:val="none" w:sz="0" w:space="0" w:color="auto"/>
            <w:left w:val="none" w:sz="0" w:space="0" w:color="auto"/>
            <w:bottom w:val="none" w:sz="0" w:space="0" w:color="auto"/>
            <w:right w:val="none" w:sz="0" w:space="0" w:color="auto"/>
          </w:divBdr>
        </w:div>
        <w:div w:id="1358853473">
          <w:marLeft w:val="0"/>
          <w:marRight w:val="0"/>
          <w:marTop w:val="0"/>
          <w:marBottom w:val="0"/>
          <w:divBdr>
            <w:top w:val="none" w:sz="0" w:space="0" w:color="auto"/>
            <w:left w:val="none" w:sz="0" w:space="0" w:color="auto"/>
            <w:bottom w:val="none" w:sz="0" w:space="0" w:color="auto"/>
            <w:right w:val="none" w:sz="0" w:space="0" w:color="auto"/>
          </w:divBdr>
        </w:div>
        <w:div w:id="1777022749">
          <w:marLeft w:val="0"/>
          <w:marRight w:val="0"/>
          <w:marTop w:val="0"/>
          <w:marBottom w:val="0"/>
          <w:divBdr>
            <w:top w:val="none" w:sz="0" w:space="0" w:color="auto"/>
            <w:left w:val="none" w:sz="0" w:space="0" w:color="auto"/>
            <w:bottom w:val="none" w:sz="0" w:space="0" w:color="auto"/>
            <w:right w:val="none" w:sz="0" w:space="0" w:color="auto"/>
          </w:divBdr>
        </w:div>
      </w:divsChild>
    </w:div>
    <w:div w:id="1974434891">
      <w:bodyDiv w:val="1"/>
      <w:marLeft w:val="0"/>
      <w:marRight w:val="0"/>
      <w:marTop w:val="0"/>
      <w:marBottom w:val="0"/>
      <w:divBdr>
        <w:top w:val="none" w:sz="0" w:space="0" w:color="auto"/>
        <w:left w:val="none" w:sz="0" w:space="0" w:color="auto"/>
        <w:bottom w:val="none" w:sz="0" w:space="0" w:color="auto"/>
        <w:right w:val="none" w:sz="0" w:space="0" w:color="auto"/>
      </w:divBdr>
      <w:divsChild>
        <w:div w:id="145824599">
          <w:marLeft w:val="0"/>
          <w:marRight w:val="0"/>
          <w:marTop w:val="0"/>
          <w:marBottom w:val="0"/>
          <w:divBdr>
            <w:top w:val="none" w:sz="0" w:space="0" w:color="auto"/>
            <w:left w:val="none" w:sz="0" w:space="0" w:color="auto"/>
            <w:bottom w:val="none" w:sz="0" w:space="0" w:color="auto"/>
            <w:right w:val="none" w:sz="0" w:space="0" w:color="auto"/>
          </w:divBdr>
        </w:div>
        <w:div w:id="1077360043">
          <w:marLeft w:val="0"/>
          <w:marRight w:val="0"/>
          <w:marTop w:val="0"/>
          <w:marBottom w:val="0"/>
          <w:divBdr>
            <w:top w:val="none" w:sz="0" w:space="0" w:color="auto"/>
            <w:left w:val="none" w:sz="0" w:space="0" w:color="auto"/>
            <w:bottom w:val="none" w:sz="0" w:space="0" w:color="auto"/>
            <w:right w:val="none" w:sz="0" w:space="0" w:color="auto"/>
          </w:divBdr>
        </w:div>
        <w:div w:id="1508865383">
          <w:marLeft w:val="0"/>
          <w:marRight w:val="0"/>
          <w:marTop w:val="0"/>
          <w:marBottom w:val="0"/>
          <w:divBdr>
            <w:top w:val="none" w:sz="0" w:space="0" w:color="auto"/>
            <w:left w:val="none" w:sz="0" w:space="0" w:color="auto"/>
            <w:bottom w:val="none" w:sz="0" w:space="0" w:color="auto"/>
            <w:right w:val="none" w:sz="0" w:space="0" w:color="auto"/>
          </w:divBdr>
        </w:div>
        <w:div w:id="1519657331">
          <w:marLeft w:val="0"/>
          <w:marRight w:val="0"/>
          <w:marTop w:val="0"/>
          <w:marBottom w:val="0"/>
          <w:divBdr>
            <w:top w:val="none" w:sz="0" w:space="0" w:color="auto"/>
            <w:left w:val="none" w:sz="0" w:space="0" w:color="auto"/>
            <w:bottom w:val="none" w:sz="0" w:space="0" w:color="auto"/>
            <w:right w:val="none" w:sz="0" w:space="0" w:color="auto"/>
          </w:divBdr>
        </w:div>
        <w:div w:id="1736857363">
          <w:marLeft w:val="0"/>
          <w:marRight w:val="0"/>
          <w:marTop w:val="0"/>
          <w:marBottom w:val="0"/>
          <w:divBdr>
            <w:top w:val="none" w:sz="0" w:space="0" w:color="auto"/>
            <w:left w:val="none" w:sz="0" w:space="0" w:color="auto"/>
            <w:bottom w:val="none" w:sz="0" w:space="0" w:color="auto"/>
            <w:right w:val="none" w:sz="0" w:space="0" w:color="auto"/>
          </w:divBdr>
          <w:divsChild>
            <w:div w:id="292714730">
              <w:marLeft w:val="0"/>
              <w:marRight w:val="0"/>
              <w:marTop w:val="0"/>
              <w:marBottom w:val="0"/>
              <w:divBdr>
                <w:top w:val="none" w:sz="0" w:space="0" w:color="auto"/>
                <w:left w:val="none" w:sz="0" w:space="0" w:color="auto"/>
                <w:bottom w:val="none" w:sz="0" w:space="0" w:color="auto"/>
                <w:right w:val="none" w:sz="0" w:space="0" w:color="auto"/>
              </w:divBdr>
            </w:div>
            <w:div w:id="384455176">
              <w:marLeft w:val="0"/>
              <w:marRight w:val="0"/>
              <w:marTop w:val="0"/>
              <w:marBottom w:val="0"/>
              <w:divBdr>
                <w:top w:val="none" w:sz="0" w:space="0" w:color="auto"/>
                <w:left w:val="none" w:sz="0" w:space="0" w:color="auto"/>
                <w:bottom w:val="none" w:sz="0" w:space="0" w:color="auto"/>
                <w:right w:val="none" w:sz="0" w:space="0" w:color="auto"/>
              </w:divBdr>
            </w:div>
            <w:div w:id="687217496">
              <w:marLeft w:val="0"/>
              <w:marRight w:val="0"/>
              <w:marTop w:val="0"/>
              <w:marBottom w:val="0"/>
              <w:divBdr>
                <w:top w:val="none" w:sz="0" w:space="0" w:color="auto"/>
                <w:left w:val="none" w:sz="0" w:space="0" w:color="auto"/>
                <w:bottom w:val="none" w:sz="0" w:space="0" w:color="auto"/>
                <w:right w:val="none" w:sz="0" w:space="0" w:color="auto"/>
              </w:divBdr>
            </w:div>
            <w:div w:id="1756432636">
              <w:marLeft w:val="0"/>
              <w:marRight w:val="0"/>
              <w:marTop w:val="0"/>
              <w:marBottom w:val="0"/>
              <w:divBdr>
                <w:top w:val="none" w:sz="0" w:space="0" w:color="auto"/>
                <w:left w:val="none" w:sz="0" w:space="0" w:color="auto"/>
                <w:bottom w:val="none" w:sz="0" w:space="0" w:color="auto"/>
                <w:right w:val="none" w:sz="0" w:space="0" w:color="auto"/>
              </w:divBdr>
            </w:div>
            <w:div w:id="1807089955">
              <w:marLeft w:val="0"/>
              <w:marRight w:val="0"/>
              <w:marTop w:val="0"/>
              <w:marBottom w:val="0"/>
              <w:divBdr>
                <w:top w:val="none" w:sz="0" w:space="0" w:color="auto"/>
                <w:left w:val="none" w:sz="0" w:space="0" w:color="auto"/>
                <w:bottom w:val="none" w:sz="0" w:space="0" w:color="auto"/>
                <w:right w:val="none" w:sz="0" w:space="0" w:color="auto"/>
              </w:divBdr>
            </w:div>
          </w:divsChild>
        </w:div>
        <w:div w:id="1907564838">
          <w:marLeft w:val="0"/>
          <w:marRight w:val="0"/>
          <w:marTop w:val="0"/>
          <w:marBottom w:val="0"/>
          <w:divBdr>
            <w:top w:val="none" w:sz="0" w:space="0" w:color="auto"/>
            <w:left w:val="none" w:sz="0" w:space="0" w:color="auto"/>
            <w:bottom w:val="none" w:sz="0" w:space="0" w:color="auto"/>
            <w:right w:val="none" w:sz="0" w:space="0" w:color="auto"/>
          </w:divBdr>
        </w:div>
        <w:div w:id="2033454216">
          <w:marLeft w:val="0"/>
          <w:marRight w:val="0"/>
          <w:marTop w:val="0"/>
          <w:marBottom w:val="0"/>
          <w:divBdr>
            <w:top w:val="none" w:sz="0" w:space="0" w:color="auto"/>
            <w:left w:val="none" w:sz="0" w:space="0" w:color="auto"/>
            <w:bottom w:val="none" w:sz="0" w:space="0" w:color="auto"/>
            <w:right w:val="none" w:sz="0" w:space="0" w:color="auto"/>
          </w:divBdr>
        </w:div>
      </w:divsChild>
    </w:div>
    <w:div w:id="1990399430">
      <w:bodyDiv w:val="1"/>
      <w:marLeft w:val="0"/>
      <w:marRight w:val="0"/>
      <w:marTop w:val="0"/>
      <w:marBottom w:val="0"/>
      <w:divBdr>
        <w:top w:val="none" w:sz="0" w:space="0" w:color="auto"/>
        <w:left w:val="none" w:sz="0" w:space="0" w:color="auto"/>
        <w:bottom w:val="none" w:sz="0" w:space="0" w:color="auto"/>
        <w:right w:val="none" w:sz="0" w:space="0" w:color="auto"/>
      </w:divBdr>
      <w:divsChild>
        <w:div w:id="509487226">
          <w:marLeft w:val="0"/>
          <w:marRight w:val="0"/>
          <w:marTop w:val="0"/>
          <w:marBottom w:val="0"/>
          <w:divBdr>
            <w:top w:val="none" w:sz="0" w:space="0" w:color="auto"/>
            <w:left w:val="none" w:sz="0" w:space="0" w:color="auto"/>
            <w:bottom w:val="none" w:sz="0" w:space="0" w:color="auto"/>
            <w:right w:val="none" w:sz="0" w:space="0" w:color="auto"/>
          </w:divBdr>
        </w:div>
        <w:div w:id="1592468085">
          <w:marLeft w:val="0"/>
          <w:marRight w:val="0"/>
          <w:marTop w:val="0"/>
          <w:marBottom w:val="0"/>
          <w:divBdr>
            <w:top w:val="none" w:sz="0" w:space="0" w:color="auto"/>
            <w:left w:val="none" w:sz="0" w:space="0" w:color="auto"/>
            <w:bottom w:val="none" w:sz="0" w:space="0" w:color="auto"/>
            <w:right w:val="none" w:sz="0" w:space="0" w:color="auto"/>
          </w:divBdr>
        </w:div>
      </w:divsChild>
    </w:div>
    <w:div w:id="2107575825">
      <w:bodyDiv w:val="1"/>
      <w:marLeft w:val="0"/>
      <w:marRight w:val="0"/>
      <w:marTop w:val="0"/>
      <w:marBottom w:val="0"/>
      <w:divBdr>
        <w:top w:val="none" w:sz="0" w:space="0" w:color="auto"/>
        <w:left w:val="none" w:sz="0" w:space="0" w:color="auto"/>
        <w:bottom w:val="none" w:sz="0" w:space="0" w:color="auto"/>
        <w:right w:val="none" w:sz="0" w:space="0" w:color="auto"/>
      </w:divBdr>
    </w:div>
    <w:div w:id="2140831520">
      <w:bodyDiv w:val="1"/>
      <w:marLeft w:val="0"/>
      <w:marRight w:val="0"/>
      <w:marTop w:val="0"/>
      <w:marBottom w:val="0"/>
      <w:divBdr>
        <w:top w:val="none" w:sz="0" w:space="0" w:color="auto"/>
        <w:left w:val="none" w:sz="0" w:space="0" w:color="auto"/>
        <w:bottom w:val="none" w:sz="0" w:space="0" w:color="auto"/>
        <w:right w:val="none" w:sz="0" w:space="0" w:color="auto"/>
      </w:divBdr>
      <w:divsChild>
        <w:div w:id="653224372">
          <w:marLeft w:val="0"/>
          <w:marRight w:val="0"/>
          <w:marTop w:val="0"/>
          <w:marBottom w:val="0"/>
          <w:divBdr>
            <w:top w:val="none" w:sz="0" w:space="0" w:color="auto"/>
            <w:left w:val="none" w:sz="0" w:space="0" w:color="auto"/>
            <w:bottom w:val="none" w:sz="0" w:space="0" w:color="auto"/>
            <w:right w:val="none" w:sz="0" w:space="0" w:color="auto"/>
          </w:divBdr>
        </w:div>
        <w:div w:id="745105149">
          <w:marLeft w:val="0"/>
          <w:marRight w:val="0"/>
          <w:marTop w:val="0"/>
          <w:marBottom w:val="0"/>
          <w:divBdr>
            <w:top w:val="none" w:sz="0" w:space="0" w:color="auto"/>
            <w:left w:val="none" w:sz="0" w:space="0" w:color="auto"/>
            <w:bottom w:val="none" w:sz="0" w:space="0" w:color="auto"/>
            <w:right w:val="none" w:sz="0" w:space="0" w:color="auto"/>
          </w:divBdr>
        </w:div>
        <w:div w:id="1325665795">
          <w:marLeft w:val="0"/>
          <w:marRight w:val="0"/>
          <w:marTop w:val="0"/>
          <w:marBottom w:val="0"/>
          <w:divBdr>
            <w:top w:val="none" w:sz="0" w:space="0" w:color="auto"/>
            <w:left w:val="none" w:sz="0" w:space="0" w:color="auto"/>
            <w:bottom w:val="none" w:sz="0" w:space="0" w:color="auto"/>
            <w:right w:val="none" w:sz="0" w:space="0" w:color="auto"/>
          </w:divBdr>
        </w:div>
        <w:div w:id="1462069972">
          <w:marLeft w:val="0"/>
          <w:marRight w:val="0"/>
          <w:marTop w:val="0"/>
          <w:marBottom w:val="0"/>
          <w:divBdr>
            <w:top w:val="none" w:sz="0" w:space="0" w:color="auto"/>
            <w:left w:val="none" w:sz="0" w:space="0" w:color="auto"/>
            <w:bottom w:val="none" w:sz="0" w:space="0" w:color="auto"/>
            <w:right w:val="none" w:sz="0" w:space="0" w:color="auto"/>
          </w:divBdr>
        </w:div>
      </w:divsChild>
    </w:div>
    <w:div w:id="214211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gov.au/Search/Therapeutic%20Goods%20$LB$Permissible%20Ingredients$RB$%20Determination" TargetMode="External"/><Relationship Id="rId21" Type="http://schemas.openxmlformats.org/officeDocument/2006/relationships/hyperlink" Target="https://consultations.tga.gov.au/tga/scheduling-pre-meeting-november-2023" TargetMode="External"/><Relationship Id="rId42" Type="http://schemas.openxmlformats.org/officeDocument/2006/relationships/hyperlink" Target="https://www.legislation.gov.au/Details/F2021L01888" TargetMode="External"/><Relationship Id="rId63" Type="http://schemas.openxmlformats.org/officeDocument/2006/relationships/hyperlink" Target="https://www.medsafe.govt.nz/Regulatory/DbSearch.asp" TargetMode="External"/><Relationship Id="rId84" Type="http://schemas.openxmlformats.org/officeDocument/2006/relationships/hyperlink" Target="https://www.hpra.ie/" TargetMode="External"/><Relationship Id="rId138" Type="http://schemas.openxmlformats.org/officeDocument/2006/relationships/hyperlink" Target="https://www.legislation.gov.au/Search/Therapeutic%20Goods%20$LB$Permissible%20Ingredients$RB$%20Determination" TargetMode="External"/><Relationship Id="rId159" Type="http://schemas.openxmlformats.org/officeDocument/2006/relationships/hyperlink" Target="https://apvma.gov.au/node/10946" TargetMode="External"/><Relationship Id="rId170" Type="http://schemas.openxmlformats.org/officeDocument/2006/relationships/hyperlink" Target="https://portal.apvma.gov.au/pubcris" TargetMode="External"/><Relationship Id="rId191" Type="http://schemas.openxmlformats.org/officeDocument/2006/relationships/hyperlink" Target="https://daen.tga.gov.au/medicines-terms-condition/" TargetMode="External"/><Relationship Id="rId205" Type="http://schemas.openxmlformats.org/officeDocument/2006/relationships/hyperlink" Target="https://www.tga.gov.au/resources/publication/scheduling-decisions-interim" TargetMode="External"/><Relationship Id="rId16" Type="http://schemas.openxmlformats.org/officeDocument/2006/relationships/hyperlink" Target="mailto:medicines.scheduling@health.gov.au" TargetMode="External"/><Relationship Id="rId107" Type="http://schemas.openxmlformats.org/officeDocument/2006/relationships/hyperlink" Target="https://portal.apvma.gov.au/pubcris" TargetMode="External"/><Relationship Id="rId11" Type="http://schemas.openxmlformats.org/officeDocument/2006/relationships/footer" Target="footer2.xml"/><Relationship Id="rId32" Type="http://schemas.openxmlformats.org/officeDocument/2006/relationships/hyperlink" Target="https://health-products.canada.ca/dpd-bdpp/" TargetMode="External"/><Relationship Id="rId37" Type="http://schemas.openxmlformats.org/officeDocument/2006/relationships/hyperlink" Target="https://www.hpra.ie/homepage/medicines/medicines-information/find-a-medicine/results?query=astodrimer+sodium&amp;field=" TargetMode="External"/><Relationship Id="rId53" Type="http://schemas.openxmlformats.org/officeDocument/2006/relationships/hyperlink" Target="https://www.ebs.tga.gov.au/" TargetMode="External"/><Relationship Id="rId58" Type="http://schemas.openxmlformats.org/officeDocument/2006/relationships/hyperlink" Target="https://apps.tga.gov.au/Prod/daen/daen-entry.aspx" TargetMode="External"/><Relationship Id="rId74" Type="http://schemas.openxmlformats.org/officeDocument/2006/relationships/hyperlink" Target="https://portal.apvma.gov.au/pubcris" TargetMode="External"/><Relationship Id="rId79" Type="http://schemas.openxmlformats.org/officeDocument/2006/relationships/hyperlink" Target="https://www.fimea.fi/web/en/databases_and_registers/fimeaweb" TargetMode="External"/><Relationship Id="rId102" Type="http://schemas.openxmlformats.org/officeDocument/2006/relationships/hyperlink" Target="https://www.tga.gov.au/artg" TargetMode="External"/><Relationship Id="rId123" Type="http://schemas.openxmlformats.org/officeDocument/2006/relationships/hyperlink" Target="https://www.ebs.tga.gov.au/" TargetMode="External"/><Relationship Id="rId128" Type="http://schemas.openxmlformats.org/officeDocument/2006/relationships/hyperlink" Target="https://daen.tga.gov.au/medicines-terms-condition/" TargetMode="External"/><Relationship Id="rId144" Type="http://schemas.openxmlformats.org/officeDocument/2006/relationships/hyperlink" Target="https://services.industrialchemicals.gov.au/search-inventory/" TargetMode="External"/><Relationship Id="rId149" Type="http://schemas.openxmlformats.org/officeDocument/2006/relationships/hyperlink" Target="https://health-products.canada.ca/dpd-bdpp/dispatch-repartition" TargetMode="External"/><Relationship Id="rId5" Type="http://schemas.openxmlformats.org/officeDocument/2006/relationships/webSettings" Target="webSettings.xml"/><Relationship Id="rId90" Type="http://schemas.openxmlformats.org/officeDocument/2006/relationships/hyperlink" Target="https://www.legislation.gov.au/Details/F2021L01888" TargetMode="External"/><Relationship Id="rId95" Type="http://schemas.openxmlformats.org/officeDocument/2006/relationships/hyperlink" Target="https://www.medsafe.govt.nz/profs/class/Minutes/2021-2025/mccMin25May2023.htm" TargetMode="External"/><Relationship Id="rId160" Type="http://schemas.openxmlformats.org/officeDocument/2006/relationships/hyperlink" Target="https://www.hpra.ie/homepage/medicines/medicines-information/find-a-medicine/results?query=meloxicam&amp;field=" TargetMode="External"/><Relationship Id="rId165" Type="http://schemas.openxmlformats.org/officeDocument/2006/relationships/hyperlink" Target="https://www.tga.gov.au/artg" TargetMode="External"/><Relationship Id="rId181" Type="http://schemas.openxmlformats.org/officeDocument/2006/relationships/hyperlink" Target="https://portal.apvma.gov.au/pubcris" TargetMode="External"/><Relationship Id="rId186" Type="http://schemas.openxmlformats.org/officeDocument/2006/relationships/hyperlink" Target="https://www.ebs.tga.gov.au/" TargetMode="External"/><Relationship Id="rId211" Type="http://schemas.openxmlformats.org/officeDocument/2006/relationships/footer" Target="footer4.xml"/><Relationship Id="rId22" Type="http://schemas.openxmlformats.org/officeDocument/2006/relationships/hyperlink" Target="https://www.tga.gov.au/committee/advisory-committee-medicines-scheduling-acms" TargetMode="External"/><Relationship Id="rId27" Type="http://schemas.openxmlformats.org/officeDocument/2006/relationships/hyperlink" Target="https://www.legislation.gov.au/Search/Therapeutic%20Goods%20$LB$Permissible%20Ingredients$RB$%20Determination" TargetMode="External"/><Relationship Id="rId43" Type="http://schemas.openxmlformats.org/officeDocument/2006/relationships/hyperlink" Target="https://apps.tga.gov.au/Prod/daen/daen-entry.aspx" TargetMode="External"/><Relationship Id="rId48" Type="http://schemas.openxmlformats.org/officeDocument/2006/relationships/hyperlink" Target="http://www.hpra.ie/homepage/medicines/medicines-information/find-a-medicine/results?query=Bilastine&amp;field=ACTIVESUBSTANCES" TargetMode="External"/><Relationship Id="rId64" Type="http://schemas.openxmlformats.org/officeDocument/2006/relationships/hyperlink" Target="https://www.canada.ca/en/health-canada/services/drugs-health-products/drug-products/drug-product-database.html" TargetMode="External"/><Relationship Id="rId69" Type="http://schemas.openxmlformats.org/officeDocument/2006/relationships/hyperlink" Target="https://www.tga.gov.au/artg" TargetMode="External"/><Relationship Id="rId113" Type="http://schemas.openxmlformats.org/officeDocument/2006/relationships/hyperlink" Target="https://health-products.canada.ca/dpd-bdpp/dispatch-repartition" TargetMode="External"/><Relationship Id="rId118" Type="http://schemas.openxmlformats.org/officeDocument/2006/relationships/hyperlink" Target="https://www.tga.gov.au/prescribing-medicines-pregnancy-database" TargetMode="External"/><Relationship Id="rId134" Type="http://schemas.openxmlformats.org/officeDocument/2006/relationships/hyperlink" Target="https://www.accessdata.fda.gov/scripts/cder/daf/index.cfm" TargetMode="External"/><Relationship Id="rId139" Type="http://schemas.openxmlformats.org/officeDocument/2006/relationships/hyperlink" Target="https://www.tga.gov.au/prescribing-medicines-pregnancy-database" TargetMode="External"/><Relationship Id="rId80" Type="http://schemas.openxmlformats.org/officeDocument/2006/relationships/hyperlink" Target="https://www.geneesmiddeleninformatiebank.nl/ords/f?p=111:1:0::NO:RP,1:P0_DOMAIN,P0_LANG:H,EN" TargetMode="External"/><Relationship Id="rId85" Type="http://schemas.openxmlformats.org/officeDocument/2006/relationships/hyperlink" Target="https://www.tga.gov.au/resources/resource/guidance/ahmac-scheduling-policy-framework-medicines-and-chemicals/scheduling-factors" TargetMode="External"/><Relationship Id="rId150" Type="http://schemas.openxmlformats.org/officeDocument/2006/relationships/hyperlink" Target="https://echa.europa.eu/substance-information/-/substanceinfo/100.000.562" TargetMode="External"/><Relationship Id="rId155" Type="http://schemas.openxmlformats.org/officeDocument/2006/relationships/hyperlink" Target="https://www.tga.gov.au/prescribing-medicines-pregnancy-database" TargetMode="External"/><Relationship Id="rId171" Type="http://schemas.openxmlformats.org/officeDocument/2006/relationships/hyperlink" Target="https://www.medsafe.govt.nz/profs/class/classintro.asp" TargetMode="External"/><Relationship Id="rId176" Type="http://schemas.openxmlformats.org/officeDocument/2006/relationships/hyperlink" Target="https://www.tga.gov.au/artg" TargetMode="External"/><Relationship Id="rId192" Type="http://schemas.openxmlformats.org/officeDocument/2006/relationships/hyperlink" Target="https://portal.apvma.gov.au/pubcris" TargetMode="External"/><Relationship Id="rId197" Type="http://schemas.openxmlformats.org/officeDocument/2006/relationships/hyperlink" Target="https://www.medsafe.govt.nz/profs/class/classintro.asp" TargetMode="External"/><Relationship Id="rId206" Type="http://schemas.openxmlformats.org/officeDocument/2006/relationships/header" Target="header3.xml"/><Relationship Id="rId201" Type="http://schemas.openxmlformats.org/officeDocument/2006/relationships/hyperlink" Target="https://www.tga.gov.au/about-tga/advisory-bodies-and-committees/advisory-committee-medicines-scheduling-acms" TargetMode="External"/><Relationship Id="rId12" Type="http://schemas.openxmlformats.org/officeDocument/2006/relationships/hyperlink" Target="mailto:tga.copyright@tga.gov.au" TargetMode="External"/><Relationship Id="rId33" Type="http://schemas.openxmlformats.org/officeDocument/2006/relationships/hyperlink" Target="https://www.accessdata.fda.gov/scripts/cder/daf/" TargetMode="External"/><Relationship Id="rId38" Type="http://schemas.openxmlformats.org/officeDocument/2006/relationships/hyperlink" Target="https://www.ebs.tga.gov.au/" TargetMode="External"/><Relationship Id="rId59" Type="http://schemas.openxmlformats.org/officeDocument/2006/relationships/hyperlink" Target="https://portal.apvma.gov.au/pubcris" TargetMode="External"/><Relationship Id="rId103" Type="http://schemas.openxmlformats.org/officeDocument/2006/relationships/hyperlink" Target="https://www.legislation.gov.au/Search/Therapeutic%20Goods%20$LB$Permissible%20Ingredients$RB$%20Determination" TargetMode="External"/><Relationship Id="rId108" Type="http://schemas.openxmlformats.org/officeDocument/2006/relationships/hyperlink" Target="https://www.accessdata.fda.gov/scripts/cder/daf/index.cfm" TargetMode="External"/><Relationship Id="rId124" Type="http://schemas.openxmlformats.org/officeDocument/2006/relationships/hyperlink" Target="https://www.tga.gov.au/artg" TargetMode="External"/><Relationship Id="rId129" Type="http://schemas.openxmlformats.org/officeDocument/2006/relationships/hyperlink" Target="https://portal.apvma.gov.au/pubcris" TargetMode="External"/><Relationship Id="rId54" Type="http://schemas.openxmlformats.org/officeDocument/2006/relationships/hyperlink" Target="https://www.tga.gov.au/artg" TargetMode="External"/><Relationship Id="rId70" Type="http://schemas.openxmlformats.org/officeDocument/2006/relationships/hyperlink" Target="https://www.legislation.gov.au/Search/Therapeutic%20Goods%20$LB$Permissible%20Ingredients$RB$%20Determination" TargetMode="External"/><Relationship Id="rId75" Type="http://schemas.openxmlformats.org/officeDocument/2006/relationships/hyperlink" Target="https://www.accessdata.fda.gov/scripts/cder/daf/" TargetMode="External"/><Relationship Id="rId91" Type="http://schemas.openxmlformats.org/officeDocument/2006/relationships/hyperlink" Target="https://daen.tga.gov.au/medicines-terms-condition/" TargetMode="External"/><Relationship Id="rId96" Type="http://schemas.openxmlformats.org/officeDocument/2006/relationships/hyperlink" Target="https://www.medicines.org.uk/emc/search?q=methenamine" TargetMode="External"/><Relationship Id="rId140" Type="http://schemas.openxmlformats.org/officeDocument/2006/relationships/hyperlink" Target="https://www.legislation.gov.au/Details/F2021L01888" TargetMode="External"/><Relationship Id="rId145" Type="http://schemas.openxmlformats.org/officeDocument/2006/relationships/hyperlink" Target="https://www.accessdata.fda.gov/scripts/cder/daf/index.cfm?event=BasicSearch.process" TargetMode="External"/><Relationship Id="rId161" Type="http://schemas.openxmlformats.org/officeDocument/2006/relationships/hyperlink" Target="https://health-products.canada.ca/dpd-bdpp/dispatch-repartition" TargetMode="External"/><Relationship Id="rId166" Type="http://schemas.openxmlformats.org/officeDocument/2006/relationships/hyperlink" Target="https://www.legislation.gov.au/Search/Therapeutic%20Goods%20$LB$Permissible%20Ingredients$RB$%20Determination" TargetMode="External"/><Relationship Id="rId182" Type="http://schemas.openxmlformats.org/officeDocument/2006/relationships/hyperlink" Target="https://www.gov.uk/government/organisations/veterinary-medicines-directorate" TargetMode="External"/><Relationship Id="rId187" Type="http://schemas.openxmlformats.org/officeDocument/2006/relationships/hyperlink" Target="https://www.tga.gov.au/artg"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ntTable" Target="fontTable.xml"/><Relationship Id="rId23" Type="http://schemas.openxmlformats.org/officeDocument/2006/relationships/hyperlink" Target="https://www.tga.gov.au/committee/advisory-committee-chemicals-scheduling-accs" TargetMode="External"/><Relationship Id="rId28" Type="http://schemas.openxmlformats.org/officeDocument/2006/relationships/hyperlink" Target="https://www.tga.gov.au/prescribing-medicines-pregnancy-database" TargetMode="External"/><Relationship Id="rId49" Type="http://schemas.openxmlformats.org/officeDocument/2006/relationships/hyperlink" Target="https://www.medsafe.govt.nz/profs/class/classintro.asp" TargetMode="External"/><Relationship Id="rId114" Type="http://schemas.openxmlformats.org/officeDocument/2006/relationships/hyperlink" Target="https://www.tga.gov.au/resources/publication/scheduling-decisions-final/notice-final-decision-amend-or-not-amend-current-poisons-standard-acms-40-accs-34-joint-acms-accs-32" TargetMode="External"/><Relationship Id="rId119" Type="http://schemas.openxmlformats.org/officeDocument/2006/relationships/hyperlink" Target="https://www.legislation.gov.au/Details/F2021L01888" TargetMode="External"/><Relationship Id="rId44" Type="http://schemas.openxmlformats.org/officeDocument/2006/relationships/hyperlink" Target="https://portal.apvma.gov.au/pubcris" TargetMode="External"/><Relationship Id="rId60" Type="http://schemas.openxmlformats.org/officeDocument/2006/relationships/hyperlink" Target="https://www.fda.gov/" TargetMode="External"/><Relationship Id="rId65" Type="http://schemas.openxmlformats.org/officeDocument/2006/relationships/hyperlink" Target="https://products.mhra.gov.uk/" TargetMode="External"/><Relationship Id="rId81" Type="http://schemas.openxmlformats.org/officeDocument/2006/relationships/hyperlink" Target="https://www.medsafe.govt.nz/profs/class/classintro.asp" TargetMode="External"/><Relationship Id="rId86" Type="http://schemas.openxmlformats.org/officeDocument/2006/relationships/hyperlink" Target="https://www.ebs.tga.gov.au/" TargetMode="External"/><Relationship Id="rId130" Type="http://schemas.openxmlformats.org/officeDocument/2006/relationships/hyperlink" Target="https://apvma.gov.au/node/10946" TargetMode="External"/><Relationship Id="rId135" Type="http://schemas.openxmlformats.org/officeDocument/2006/relationships/hyperlink" Target="https://www.chemsafetypro.com/Topics/GHS/GHS_cut_off_value_GHS_concentration_limit.html" TargetMode="External"/><Relationship Id="rId151" Type="http://schemas.openxmlformats.org/officeDocument/2006/relationships/hyperlink" Target="https://www.hpra.ie/homepage/medicines/medicines-information/find-a-medicine/results/item?pano=PA0206/024/001&amp;t=Whitfield%27s%20Antifungal%203%25%20w/w%20&amp;%206%25%20w/w%20Ointment" TargetMode="External"/><Relationship Id="rId156" Type="http://schemas.openxmlformats.org/officeDocument/2006/relationships/hyperlink" Target="https://www.legislation.gov.au/Details/F2021L01888" TargetMode="External"/><Relationship Id="rId177" Type="http://schemas.openxmlformats.org/officeDocument/2006/relationships/hyperlink" Target="https://www.legislation.gov.au/Search/Therapeutic%20Goods%20$LB$Permissible%20Ingredients$RB$%20Determination" TargetMode="External"/><Relationship Id="rId198" Type="http://schemas.openxmlformats.org/officeDocument/2006/relationships/hyperlink" Target="https://health-products.canada.ca/dpd-bdpp/index-eng.jsp" TargetMode="External"/><Relationship Id="rId172" Type="http://schemas.openxmlformats.org/officeDocument/2006/relationships/hyperlink" Target="https://www.hpra.ie/homepage/medicines/medicines-information/find-a-medicine/results?page=1&amp;field=&amp;query=adrenaline" TargetMode="External"/><Relationship Id="rId193" Type="http://schemas.openxmlformats.org/officeDocument/2006/relationships/hyperlink" Target="https://www.accessdata.fda.gov/scripts/cder/daf/index.cfm" TargetMode="External"/><Relationship Id="rId202" Type="http://schemas.openxmlformats.org/officeDocument/2006/relationships/hyperlink" Target="https://www.tga.gov.au/about-tga/advisory-bodies-and-committees/advisory-committee-chemicals-scheduling-accs" TargetMode="External"/><Relationship Id="rId207" Type="http://schemas.openxmlformats.org/officeDocument/2006/relationships/footer" Target="footer3.xml"/><Relationship Id="rId13" Type="http://schemas.openxmlformats.org/officeDocument/2006/relationships/hyperlink" Target="https://consultations.tga.gov.au/tga/scheduling-pre-meeting-november-2023" TargetMode="External"/><Relationship Id="rId39" Type="http://schemas.openxmlformats.org/officeDocument/2006/relationships/hyperlink" Target="https://www.tga.gov.au/artg" TargetMode="External"/><Relationship Id="rId109" Type="http://schemas.openxmlformats.org/officeDocument/2006/relationships/hyperlink" Target="https://www.medsafe.govt.nz/regulatory/dbsearch.asp" TargetMode="External"/><Relationship Id="rId34" Type="http://schemas.openxmlformats.org/officeDocument/2006/relationships/hyperlink" Target="https://www.epa.govt.nz/database-search/new-zealand-inventory-of-chemicals-nzioc/DatabaseSearchForm/?SiteDatabaseSearchFilters=36&amp;Keyword=acequinocyl&amp;DatabaseType=NZIOC" TargetMode="External"/><Relationship Id="rId50" Type="http://schemas.openxmlformats.org/officeDocument/2006/relationships/hyperlink" Target="https://www.medicines.org.uk/emc/search?q=bilastine" TargetMode="External"/><Relationship Id="rId55" Type="http://schemas.openxmlformats.org/officeDocument/2006/relationships/hyperlink" Target="https://www.legislation.gov.au/Search/Therapeutic%20Goods%20$LB$Permissible%20Ingredients$RB$%20Determination" TargetMode="External"/><Relationship Id="rId76" Type="http://schemas.openxmlformats.org/officeDocument/2006/relationships/hyperlink" Target="https://ec.europa.eu/health/documents/community-register/html/reg_index_inn.htm" TargetMode="External"/><Relationship Id="rId97" Type="http://schemas.openxmlformats.org/officeDocument/2006/relationships/hyperlink" Target="https://www.hpra.ie/" TargetMode="External"/><Relationship Id="rId104" Type="http://schemas.openxmlformats.org/officeDocument/2006/relationships/hyperlink" Target="https://www.tga.gov.au/prescribing-medicines-pregnancy-database" TargetMode="External"/><Relationship Id="rId120" Type="http://schemas.openxmlformats.org/officeDocument/2006/relationships/hyperlink" Target="https://daen.tga.gov.au/medicines-search/" TargetMode="External"/><Relationship Id="rId125" Type="http://schemas.openxmlformats.org/officeDocument/2006/relationships/hyperlink" Target="https://www.legislation.gov.au/Search/Therapeutic%20Goods%20$LB$Permissible%20Ingredients$RB$%20Determination" TargetMode="External"/><Relationship Id="rId141" Type="http://schemas.openxmlformats.org/officeDocument/2006/relationships/hyperlink" Target="https://daen.tga.gov.au/medicines-terms-condition/" TargetMode="External"/><Relationship Id="rId146" Type="http://schemas.openxmlformats.org/officeDocument/2006/relationships/hyperlink" Target="https://ec.europa.eu/growth/tools-databases/cosing/details/32134" TargetMode="External"/><Relationship Id="rId167" Type="http://schemas.openxmlformats.org/officeDocument/2006/relationships/hyperlink" Target="https://www.tga.gov.au/prescribing-medicines-pregnancy-database" TargetMode="External"/><Relationship Id="rId188" Type="http://schemas.openxmlformats.org/officeDocument/2006/relationships/hyperlink" Target="https://www.legislation.gov.au/Search/Therapeutic%20Goods%20$LB$Permissible%20Ingredients$RB$%20Determination" TargetMode="External"/><Relationship Id="rId7" Type="http://schemas.openxmlformats.org/officeDocument/2006/relationships/endnotes" Target="endnotes.xml"/><Relationship Id="rId71" Type="http://schemas.openxmlformats.org/officeDocument/2006/relationships/hyperlink" Target="https://www.tga.gov.au/prescribing-medicines-pregnancy-database" TargetMode="External"/><Relationship Id="rId92" Type="http://schemas.openxmlformats.org/officeDocument/2006/relationships/hyperlink" Target="https://portal.apvma.gov.au/pubcris" TargetMode="External"/><Relationship Id="rId162" Type="http://schemas.openxmlformats.org/officeDocument/2006/relationships/hyperlink" Target="https://www.medsafe.govt.nz/profs/class/classintro.asp" TargetMode="External"/><Relationship Id="rId183" Type="http://schemas.openxmlformats.org/officeDocument/2006/relationships/hyperlink" Target="https://www.gov.uk/government/organisations/department-for-environment-food-rural-affairs" TargetMode="External"/><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legislation.gov.au/Details/F2021L01888" TargetMode="External"/><Relationship Id="rId24" Type="http://schemas.openxmlformats.org/officeDocument/2006/relationships/hyperlink" Target="mailto:medicines.scheduling@health.gov.au" TargetMode="External"/><Relationship Id="rId40" Type="http://schemas.openxmlformats.org/officeDocument/2006/relationships/hyperlink" Target="https://www.legislation.gov.au/Search/Therapeutic%20Goods%20$LB$Permissible%20Ingredients$RB$%20Determination" TargetMode="External"/><Relationship Id="rId45" Type="http://schemas.openxmlformats.org/officeDocument/2006/relationships/hyperlink" Target="https://www.accessdata.fda.gov/scripts/cder/daf/index.cfm?event=BasicSearch.process" TargetMode="External"/><Relationship Id="rId66" Type="http://schemas.openxmlformats.org/officeDocument/2006/relationships/hyperlink" Target="https://healthgov-my.sharepoint.com/personal/melissa_ezzy_health_gov_au/Documents/Desktop/Legislation/July%202023%20Poisons%20Standard%20.docx?web=1" TargetMode="External"/><Relationship Id="rId87" Type="http://schemas.openxmlformats.org/officeDocument/2006/relationships/hyperlink" Target="https://www.tga.gov.au/artg" TargetMode="External"/><Relationship Id="rId110" Type="http://schemas.openxmlformats.org/officeDocument/2006/relationships/hyperlink" Target="https://www.hpra.ie/homepage/medicines/medicines-information/find-a-medicine/results/item?pano=PA0749/065/001&amp;t=Naraverg%202.5%20mg%20Film-coated%20Tablets" TargetMode="External"/><Relationship Id="rId115" Type="http://schemas.openxmlformats.org/officeDocument/2006/relationships/hyperlink" Target="https://www.ebs.tga.gov.au/" TargetMode="External"/><Relationship Id="rId131" Type="http://schemas.openxmlformats.org/officeDocument/2006/relationships/hyperlink" Target="https://www.medsafe.govt.nz/profs/class/classintro.asp" TargetMode="External"/><Relationship Id="rId136" Type="http://schemas.openxmlformats.org/officeDocument/2006/relationships/hyperlink" Target="https://www.ebs.tga.gov.au/" TargetMode="External"/><Relationship Id="rId157" Type="http://schemas.openxmlformats.org/officeDocument/2006/relationships/hyperlink" Target="https://daen.tga.gov.au/medicines-terms-condition/" TargetMode="External"/><Relationship Id="rId178" Type="http://schemas.openxmlformats.org/officeDocument/2006/relationships/hyperlink" Target="https://www.tga.gov.au/prescribing-medicines-pregnancy-database" TargetMode="External"/><Relationship Id="rId61" Type="http://schemas.openxmlformats.org/officeDocument/2006/relationships/hyperlink" Target="https://single-market-economy.ec.europa.eu/sectors/cosmetics/cosmetic-ingredient-database_en" TargetMode="External"/><Relationship Id="rId82" Type="http://schemas.openxmlformats.org/officeDocument/2006/relationships/hyperlink" Target="https://health-products.canada.ca/dpd-bdpp/" TargetMode="External"/><Relationship Id="rId152" Type="http://schemas.openxmlformats.org/officeDocument/2006/relationships/hyperlink" Target="https://www.ebs.tga.gov.au/" TargetMode="External"/><Relationship Id="rId173" Type="http://schemas.openxmlformats.org/officeDocument/2006/relationships/hyperlink" Target="https://health-products.canada.ca/dpd-bdpp/dispatch-repartition" TargetMode="External"/><Relationship Id="rId194" Type="http://schemas.openxmlformats.org/officeDocument/2006/relationships/hyperlink" Target="https://echa.europa.eu/search-for-chemicals" TargetMode="External"/><Relationship Id="rId199" Type="http://schemas.openxmlformats.org/officeDocument/2006/relationships/hyperlink" Target="https://www.medicines.ie/" TargetMode="External"/><Relationship Id="rId203" Type="http://schemas.openxmlformats.org/officeDocument/2006/relationships/hyperlink" Target="https://www.tga.gov.au/resources/publication/scheduling-submissions" TargetMode="External"/><Relationship Id="rId208" Type="http://schemas.openxmlformats.org/officeDocument/2006/relationships/hyperlink" Target="mailto:info@tga.gov.au" TargetMode="External"/><Relationship Id="rId14" Type="http://schemas.openxmlformats.org/officeDocument/2006/relationships/hyperlink" Target="https://www.tga.gov.au/committee/advisory-committee-medicines-scheduling-acms" TargetMode="External"/><Relationship Id="rId30" Type="http://schemas.openxmlformats.org/officeDocument/2006/relationships/hyperlink" Target="https://apps.tga.gov.au/Prod/daen/daen-entry.aspx" TargetMode="External"/><Relationship Id="rId35" Type="http://schemas.openxmlformats.org/officeDocument/2006/relationships/hyperlink" Target="https://www.medsafe.govt.nz/profs/class/classintro.asp" TargetMode="External"/><Relationship Id="rId56" Type="http://schemas.openxmlformats.org/officeDocument/2006/relationships/hyperlink" Target="https://www.tga.gov.au/prescribing-medicines-pregnancy-database" TargetMode="External"/><Relationship Id="rId77" Type="http://schemas.openxmlformats.org/officeDocument/2006/relationships/hyperlink" Target="https://aspregister.basg.gv.at/aspregister/faces/aspregister.jspx" TargetMode="External"/><Relationship Id="rId100" Type="http://schemas.openxmlformats.org/officeDocument/2006/relationships/hyperlink" Target="https://www.migraine.org.au/triptans" TargetMode="External"/><Relationship Id="rId105" Type="http://schemas.openxmlformats.org/officeDocument/2006/relationships/hyperlink" Target="https://www.legislation.gov.au/Details/F2021L01888" TargetMode="External"/><Relationship Id="rId126" Type="http://schemas.openxmlformats.org/officeDocument/2006/relationships/hyperlink" Target="https://www.tga.gov.au/prescribing-medicines-pregnancy-database" TargetMode="External"/><Relationship Id="rId147" Type="http://schemas.openxmlformats.org/officeDocument/2006/relationships/hyperlink" Target="https://www.medsafe.govt.nz/profs/class/classintro.asp" TargetMode="External"/><Relationship Id="rId168" Type="http://schemas.openxmlformats.org/officeDocument/2006/relationships/hyperlink" Target="https://www.legislation.gov.au/Details/F2021L01888" TargetMode="External"/><Relationship Id="rId8" Type="http://schemas.openxmlformats.org/officeDocument/2006/relationships/header" Target="header1.xml"/><Relationship Id="rId51" Type="http://schemas.openxmlformats.org/officeDocument/2006/relationships/hyperlink" Target="https://health-products.canada.ca/dpd-bdpp/dispatch-repartition" TargetMode="External"/><Relationship Id="rId72" Type="http://schemas.openxmlformats.org/officeDocument/2006/relationships/hyperlink" Target="https://www.legislation.gov.au/Details/F2021L01888" TargetMode="External"/><Relationship Id="rId93" Type="http://schemas.openxmlformats.org/officeDocument/2006/relationships/hyperlink" Target="https://www.accessdata.fda.gov/scripts/cder/daf/index.cfm?event=BasicSearch.process" TargetMode="External"/><Relationship Id="rId98" Type="http://schemas.openxmlformats.org/officeDocument/2006/relationships/hyperlink" Target="https://health-products.canada.ca/dpd-bdpp/" TargetMode="External"/><Relationship Id="rId121" Type="http://schemas.openxmlformats.org/officeDocument/2006/relationships/hyperlink" Target="https://www.ema.europa.eu/en/medicines/human/referrals/paracetamol-modified-release" TargetMode="External"/><Relationship Id="rId142" Type="http://schemas.openxmlformats.org/officeDocument/2006/relationships/hyperlink" Target="https://portal.apvma.gov.au/pubcris" TargetMode="External"/><Relationship Id="rId163" Type="http://schemas.openxmlformats.org/officeDocument/2006/relationships/hyperlink" Target="https://www.accessdata.fda.gov/scripts/cder/daf/index.cfm?event=BasicSearch.process" TargetMode="External"/><Relationship Id="rId184" Type="http://schemas.openxmlformats.org/officeDocument/2006/relationships/hyperlink" Target="https://www.gov.uk/guidance/apply-for-autogenous-vaccine-non-food-animal-blood-bank-equine-stem-cell-centre-authorisation" TargetMode="External"/><Relationship Id="rId189" Type="http://schemas.openxmlformats.org/officeDocument/2006/relationships/hyperlink" Target="https://www.tga.gov.au/prescribing-medicines-pregnancy-database" TargetMode="External"/><Relationship Id="rId3" Type="http://schemas.openxmlformats.org/officeDocument/2006/relationships/styles" Target="styles.xml"/><Relationship Id="rId25" Type="http://schemas.openxmlformats.org/officeDocument/2006/relationships/hyperlink" Target="https://www.ebs.tga.gov.au/" TargetMode="External"/><Relationship Id="rId46" Type="http://schemas.openxmlformats.org/officeDocument/2006/relationships/hyperlink" Target="https://precision.fda.gov/uniisearch/srs/unii/PA1123N395" TargetMode="External"/><Relationship Id="rId67" Type="http://schemas.openxmlformats.org/officeDocument/2006/relationships/hyperlink" Target="https://www.drugs.com/history/qbrexza.html" TargetMode="External"/><Relationship Id="rId116" Type="http://schemas.openxmlformats.org/officeDocument/2006/relationships/hyperlink" Target="https://compliance.health.gov.au/artg/" TargetMode="External"/><Relationship Id="rId137" Type="http://schemas.openxmlformats.org/officeDocument/2006/relationships/hyperlink" Target="https://www.tga.gov.au/artg" TargetMode="External"/><Relationship Id="rId158" Type="http://schemas.openxmlformats.org/officeDocument/2006/relationships/hyperlink" Target="https://portal.apvma.gov.au/pubcris" TargetMode="External"/><Relationship Id="rId41" Type="http://schemas.openxmlformats.org/officeDocument/2006/relationships/hyperlink" Target="https://www.tga.gov.au/prescribing-medicines-pregnancy-database" TargetMode="External"/><Relationship Id="rId62" Type="http://schemas.openxmlformats.org/officeDocument/2006/relationships/hyperlink" Target="https://ec.europa.eu/health/documents/community-register/html/index_en.htm" TargetMode="External"/><Relationship Id="rId83" Type="http://schemas.openxmlformats.org/officeDocument/2006/relationships/hyperlink" Target="https://www.medicines.org.uk/emc" TargetMode="External"/><Relationship Id="rId88" Type="http://schemas.openxmlformats.org/officeDocument/2006/relationships/hyperlink" Target="https://www.legislation.gov.au/Search/Therapeutic%20Goods%20$LB$Permissible%20Ingredients$RB$%20Determination" TargetMode="External"/><Relationship Id="rId111" Type="http://schemas.openxmlformats.org/officeDocument/2006/relationships/hyperlink" Target="https://www.medicines.org.uk/emc/product/949" TargetMode="External"/><Relationship Id="rId132" Type="http://schemas.openxmlformats.org/officeDocument/2006/relationships/hyperlink" Target="https://www.hpra.ie/homepage/medicines/medicines-information/find-a-medicine/results?page=1&amp;field=&amp;query=adrenaline" TargetMode="External"/><Relationship Id="rId153" Type="http://schemas.openxmlformats.org/officeDocument/2006/relationships/hyperlink" Target="https://www.tga.gov.au/artg" TargetMode="External"/><Relationship Id="rId174" Type="http://schemas.openxmlformats.org/officeDocument/2006/relationships/hyperlink" Target="https://www.accessdata.fda.gov/scripts/cder/daf/index.cfm" TargetMode="External"/><Relationship Id="rId179" Type="http://schemas.openxmlformats.org/officeDocument/2006/relationships/hyperlink" Target="https://www.legislation.gov.au/Details/F2021L01888" TargetMode="External"/><Relationship Id="rId195" Type="http://schemas.openxmlformats.org/officeDocument/2006/relationships/hyperlink" Target="https://ec.europa.eu/growth/tools-databases/cosing/" TargetMode="External"/><Relationship Id="rId209" Type="http://schemas.openxmlformats.org/officeDocument/2006/relationships/hyperlink" Target="https://www.tga.gov.au" TargetMode="External"/><Relationship Id="rId190" Type="http://schemas.openxmlformats.org/officeDocument/2006/relationships/hyperlink" Target="https://www.legislation.gov.au/Details/F2021L01888" TargetMode="External"/><Relationship Id="rId204" Type="http://schemas.openxmlformats.org/officeDocument/2006/relationships/hyperlink" Target="https://www.tga.gov.au/resources/resource/forms/scheduling-consultation-coversheets" TargetMode="External"/><Relationship Id="rId15" Type="http://schemas.openxmlformats.org/officeDocument/2006/relationships/hyperlink" Target="https://www.tga.gov.au/committee/advisory-committee-chemicals-scheduling-accs" TargetMode="External"/><Relationship Id="rId36" Type="http://schemas.openxmlformats.org/officeDocument/2006/relationships/hyperlink" Target="https://echa.europa.eu/search-for-chemicals" TargetMode="External"/><Relationship Id="rId57" Type="http://schemas.openxmlformats.org/officeDocument/2006/relationships/hyperlink" Target="https://www.legislation.gov.au/Details/F2021L01888" TargetMode="External"/><Relationship Id="rId106" Type="http://schemas.openxmlformats.org/officeDocument/2006/relationships/hyperlink" Target="https://daen.tga.gov.au/medicines-terms-condition/" TargetMode="External"/><Relationship Id="rId127" Type="http://schemas.openxmlformats.org/officeDocument/2006/relationships/hyperlink" Target="https://www.legislation.gov.au/Details/F2021L01888" TargetMode="External"/><Relationship Id="rId10" Type="http://schemas.openxmlformats.org/officeDocument/2006/relationships/header" Target="header2.xml"/><Relationship Id="rId31" Type="http://schemas.openxmlformats.org/officeDocument/2006/relationships/hyperlink" Target="https://portal.apvma.gov.au/pubcris" TargetMode="External"/><Relationship Id="rId52" Type="http://schemas.openxmlformats.org/officeDocument/2006/relationships/hyperlink" Target="https://www.wada-ama.org/en/prohibited-list" TargetMode="External"/><Relationship Id="rId73" Type="http://schemas.openxmlformats.org/officeDocument/2006/relationships/hyperlink" Target="https://daen.tga.gov.au/medicines-terms-condition/" TargetMode="External"/><Relationship Id="rId78" Type="http://schemas.openxmlformats.org/officeDocument/2006/relationships/hyperlink" Target="https://www.lakemedelsverket.se/en" TargetMode="External"/><Relationship Id="rId94" Type="http://schemas.openxmlformats.org/officeDocument/2006/relationships/hyperlink" Target="https://www.medsafe.govt.nz/regulatory/DbSearch.asp" TargetMode="External"/><Relationship Id="rId99" Type="http://schemas.openxmlformats.org/officeDocument/2006/relationships/hyperlink" Target="https://www.canada.ca/en/health-canada/services/drugs-health-products/drug-products/drug-product-database/terminology.html" TargetMode="External"/><Relationship Id="rId101" Type="http://schemas.openxmlformats.org/officeDocument/2006/relationships/hyperlink" Target="https://www.ebs.tga.gov.au/" TargetMode="External"/><Relationship Id="rId122" Type="http://schemas.openxmlformats.org/officeDocument/2006/relationships/hyperlink" Target="https://www.tga.gov.au/how-we-regulate/ingredients-and-scheduling-medicines-and-chemicals/poisons-standard-and-scheduling-medicines-and-chemicals/scheduling/independent-expert-report-risks-intentional-self-poisoning-paracetamol" TargetMode="External"/><Relationship Id="rId143" Type="http://schemas.openxmlformats.org/officeDocument/2006/relationships/hyperlink" Target="https://apvma.gov.au/node/10946" TargetMode="External"/><Relationship Id="rId148" Type="http://schemas.openxmlformats.org/officeDocument/2006/relationships/hyperlink" Target="https://www.epa.govt.nz/database-search/new-zealand-inventory-of-chemicals-nzioc/view/C006EFB7-DC5A-4202-BB80-13AB2289AC76" TargetMode="External"/><Relationship Id="rId164" Type="http://schemas.openxmlformats.org/officeDocument/2006/relationships/hyperlink" Target="https://www.ebs.tga.gov.au/" TargetMode="External"/><Relationship Id="rId169" Type="http://schemas.openxmlformats.org/officeDocument/2006/relationships/hyperlink" Target="https://daen.tga.gov.au/medicines-terms-condition/" TargetMode="External"/><Relationship Id="rId185" Type="http://schemas.openxmlformats.org/officeDocument/2006/relationships/hyperlink" Target="https://www.gov.uk/guidance/apply-for-autogenous-vaccine-non-food-animal-blood-bank-equine-stem-cell-centre-authorisation"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daen.tga.gov.au/medicines-terms-condition/" TargetMode="External"/><Relationship Id="rId210" Type="http://schemas.openxmlformats.org/officeDocument/2006/relationships/header" Target="header4.xml"/><Relationship Id="rId26" Type="http://schemas.openxmlformats.org/officeDocument/2006/relationships/hyperlink" Target="https://www.tga.gov.au/artg" TargetMode="External"/><Relationship Id="rId47" Type="http://schemas.openxmlformats.org/officeDocument/2006/relationships/hyperlink" Target="https://www.ema.europa.eu/en" TargetMode="External"/><Relationship Id="rId68" Type="http://schemas.openxmlformats.org/officeDocument/2006/relationships/hyperlink" Target="https://www.ebs.tga.gov.au/" TargetMode="External"/><Relationship Id="rId89" Type="http://schemas.openxmlformats.org/officeDocument/2006/relationships/hyperlink" Target="https://www.tga.gov.au/prescribing-medicines-pregnancy-database" TargetMode="External"/><Relationship Id="rId112" Type="http://schemas.openxmlformats.org/officeDocument/2006/relationships/hyperlink" Target="https://www.ema.europa.eu/en/documents/psusa/naratriptan-list-nationally-authorised-medicinal-products-psusa/00002126/202202_en.pdf" TargetMode="External"/><Relationship Id="rId133" Type="http://schemas.openxmlformats.org/officeDocument/2006/relationships/hyperlink" Target="https://health-products.canada.ca/dpd-bdpp/dispatch-repartition" TargetMode="External"/><Relationship Id="rId154" Type="http://schemas.openxmlformats.org/officeDocument/2006/relationships/hyperlink" Target="https://www.legislation.gov.au/Search/Therapeutic%20Goods%20$LB$Permissible%20Ingredients$RB$%20Determination" TargetMode="External"/><Relationship Id="rId175" Type="http://schemas.openxmlformats.org/officeDocument/2006/relationships/hyperlink" Target="https://www.ebs.tga.gov.au/" TargetMode="External"/><Relationship Id="rId196" Type="http://schemas.openxmlformats.org/officeDocument/2006/relationships/hyperlink" Target="https://www.epa.govt.nz/database-search/new-zealand-inventory-of-chemicals-nzioc/DatabaseSearchForm/?SiteDatabaseSearchFilters=36&amp;Keyword=acequinocyl&amp;DatabaseType=NZIOC" TargetMode="External"/><Relationship Id="rId200" Type="http://schemas.openxmlformats.org/officeDocument/2006/relationships/hyperlink" Target="https://consultations.tga.gov.au/tga/scheduling-pre-meeting-november-202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health/documents/community-register/html/reg_index_in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ntral.health\templates\templates\TGA\External%20pub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A8CBC-B2FD-424B-98E3-6D577660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publication.dotx</Template>
  <TotalTime>0</TotalTime>
  <Pages>3</Pages>
  <Words>17406</Words>
  <Characters>100608</Characters>
  <Application>Microsoft Office Word</Application>
  <DocSecurity>4</DocSecurity>
  <Lines>2339</Lines>
  <Paragraphs>1552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CHILLINGWORTH, Dion</dc:creator>
  <cp:keywords/>
  <dc:description/>
  <cp:lastModifiedBy>MARKS, Benjamin</cp:lastModifiedBy>
  <cp:revision>2</cp:revision>
  <dcterms:created xsi:type="dcterms:W3CDTF">2023-10-09T05:58:00Z</dcterms:created>
  <dcterms:modified xsi:type="dcterms:W3CDTF">2023-10-09T05:58:00Z</dcterms:modified>
</cp:coreProperties>
</file>