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77ED98E2" w14:textId="77777777" w:rsidTr="00AC5E26">
        <w:tc>
          <w:tcPr>
            <w:tcW w:w="8720" w:type="dxa"/>
          </w:tcPr>
          <w:p w14:paraId="1F256056" w14:textId="693D11FF" w:rsidR="00F02AEC" w:rsidRPr="00215D48" w:rsidRDefault="00685E72" w:rsidP="00AC5E26">
            <w:pPr>
              <w:pStyle w:val="Title"/>
            </w:pPr>
            <w:bookmarkStart w:id="0" w:name="_Hlk139891401"/>
            <w:r>
              <w:t xml:space="preserve">Consultation: Proposed amendments to the Poisons Standard – ACMS, ACCS and </w:t>
            </w:r>
            <w:r w:rsidR="00586A6E">
              <w:t>J</w:t>
            </w:r>
            <w:r>
              <w:t>oint ACMS-ACCS</w:t>
            </w:r>
            <w:r w:rsidR="002327B4">
              <w:t xml:space="preserve"> </w:t>
            </w:r>
            <w:r>
              <w:t xml:space="preserve">meetings, </w:t>
            </w:r>
            <w:r w:rsidR="00586A6E">
              <w:t>November 2023</w:t>
            </w:r>
          </w:p>
        </w:tc>
      </w:tr>
      <w:tr w:rsidR="00F02AEC" w:rsidRPr="00215D48" w14:paraId="68A139A2" w14:textId="77777777" w:rsidTr="00AC5E26">
        <w:trPr>
          <w:trHeight w:val="1916"/>
        </w:trPr>
        <w:tc>
          <w:tcPr>
            <w:tcW w:w="8720" w:type="dxa"/>
          </w:tcPr>
          <w:p w14:paraId="710F078A" w14:textId="79BF0437" w:rsidR="00F02AEC" w:rsidRPr="00215D48" w:rsidRDefault="00A83DFC" w:rsidP="00AC5E26">
            <w:pPr>
              <w:pStyle w:val="Subtitle"/>
              <w:ind w:left="0"/>
            </w:pPr>
            <w:r>
              <w:t>1 September 2023</w:t>
            </w:r>
          </w:p>
        </w:tc>
      </w:tr>
      <w:tr w:rsidR="00F02AEC" w:rsidRPr="00215D48" w14:paraId="320596D5" w14:textId="77777777" w:rsidTr="00AC5E26">
        <w:tc>
          <w:tcPr>
            <w:tcW w:w="8720" w:type="dxa"/>
          </w:tcPr>
          <w:p w14:paraId="0C2CE97A" w14:textId="5A673381" w:rsidR="00F02AEC" w:rsidRPr="00215D48" w:rsidRDefault="00F02AEC" w:rsidP="00AC5E26">
            <w:pPr>
              <w:pStyle w:val="Date"/>
            </w:pPr>
          </w:p>
        </w:tc>
      </w:tr>
      <w:bookmarkEnd w:id="0"/>
    </w:tbl>
    <w:p w14:paraId="1B7834FC" w14:textId="77777777" w:rsidR="00F02AEC" w:rsidRPr="00215D48" w:rsidRDefault="00F02AEC" w:rsidP="00EE4793">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6D956596" w14:textId="77777777" w:rsidR="00F02AEC" w:rsidRPr="00796620" w:rsidRDefault="00F02AEC" w:rsidP="0088292E">
      <w:pPr>
        <w:rPr>
          <w:rFonts w:cstheme="minorHAnsi"/>
          <w:b/>
          <w:bCs/>
          <w:sz w:val="17"/>
          <w:szCs w:val="17"/>
        </w:rPr>
      </w:pPr>
      <w:bookmarkStart w:id="1" w:name="_Hlk139891783"/>
      <w:r w:rsidRPr="00796620">
        <w:rPr>
          <w:rFonts w:cstheme="minorHAnsi"/>
          <w:b/>
          <w:bCs/>
          <w:sz w:val="17"/>
          <w:szCs w:val="17"/>
        </w:rPr>
        <w:lastRenderedPageBreak/>
        <w:t>Copyright</w:t>
      </w:r>
    </w:p>
    <w:p w14:paraId="1767149F" w14:textId="457C1A8E" w:rsidR="00930D58" w:rsidRPr="00087545" w:rsidRDefault="00F02AEC" w:rsidP="0088292E">
      <w:pPr>
        <w:rPr>
          <w:rFonts w:cstheme="minorHAnsi"/>
          <w:sz w:val="17"/>
          <w:szCs w:val="17"/>
        </w:rPr>
      </w:pPr>
      <w:r w:rsidRPr="00DF0A9C">
        <w:rPr>
          <w:rFonts w:cstheme="minorHAnsi"/>
          <w:sz w:val="17"/>
          <w:szCs w:val="17"/>
        </w:rPr>
        <w:t>© Commonwealth of Australia 202</w:t>
      </w:r>
      <w:r w:rsidR="00357751">
        <w:rPr>
          <w:rFonts w:cstheme="minorHAnsi"/>
          <w:sz w:val="17"/>
          <w:szCs w:val="17"/>
        </w:rPr>
        <w:t>3</w:t>
      </w:r>
      <w:r w:rsidRPr="00DF0A9C">
        <w:rPr>
          <w:rFonts w:cstheme="minorHAnsi"/>
          <w:sz w:val="17"/>
          <w:szCs w:val="17"/>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F0A9C">
        <w:rPr>
          <w:rFonts w:cstheme="minorHAnsi"/>
          <w:i/>
          <w:sz w:val="17"/>
          <w:szCs w:val="17"/>
        </w:rPr>
        <w:t>Copyright Act 1968</w:t>
      </w:r>
      <w:r w:rsidRPr="00DF0A9C">
        <w:rPr>
          <w:rFonts w:cstheme="minorHAnsi"/>
          <w:sz w:val="17"/>
          <w:szCs w:val="17"/>
        </w:rPr>
        <w:t xml:space="preserve"> or allowed by this copyright notice, all other rights are </w:t>
      </w:r>
      <w:proofErr w:type="gramStart"/>
      <w:r w:rsidRPr="00DF0A9C">
        <w:rPr>
          <w:rFonts w:cstheme="minorHAnsi"/>
          <w:sz w:val="17"/>
          <w:szCs w:val="17"/>
        </w:rPr>
        <w:t>reserved</w:t>
      </w:r>
      <w:proofErr w:type="gramEnd"/>
      <w:r w:rsidRPr="00DF0A9C">
        <w:rPr>
          <w:rFonts w:cstheme="minorHAnsi"/>
          <w:sz w:val="17"/>
          <w:szCs w:val="17"/>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72362E">
          <w:rPr>
            <w:rStyle w:val="Hyperlink"/>
            <w:rFonts w:asciiTheme="minorHAnsi" w:hAnsiTheme="minorHAnsi" w:cstheme="minorHAnsi"/>
            <w:sz w:val="17"/>
            <w:szCs w:val="17"/>
          </w:rPr>
          <w:t>tga.copyright@tga.gov.au</w:t>
        </w:r>
      </w:hyperlink>
      <w:r w:rsidRPr="00087545">
        <w:rPr>
          <w:rFonts w:cstheme="minorHAnsi"/>
          <w:sz w:val="17"/>
          <w:szCs w:val="17"/>
        </w:rPr>
        <w:t>&gt;.</w:t>
      </w:r>
    </w:p>
    <w:p w14:paraId="688EC53E" w14:textId="1FA81A84" w:rsidR="00175CD8" w:rsidRPr="00796620" w:rsidRDefault="00175CD8" w:rsidP="00175CD8">
      <w:pPr>
        <w:rPr>
          <w:rFonts w:cstheme="minorHAnsi"/>
        </w:rPr>
      </w:pPr>
    </w:p>
    <w:p w14:paraId="698AB6EA" w14:textId="77777777" w:rsidR="0088292E" w:rsidRPr="00796620" w:rsidRDefault="0088292E" w:rsidP="0088292E">
      <w:pPr>
        <w:rPr>
          <w:rFonts w:cstheme="minorHAnsi"/>
          <w:b/>
          <w:sz w:val="17"/>
          <w:szCs w:val="17"/>
        </w:rPr>
      </w:pPr>
      <w:bookmarkStart w:id="2" w:name="_Hlk139901247"/>
      <w:r w:rsidRPr="00796620">
        <w:rPr>
          <w:rFonts w:cstheme="minorHAnsi"/>
          <w:b/>
          <w:sz w:val="17"/>
          <w:szCs w:val="17"/>
        </w:rPr>
        <w:t>Confidentiality</w:t>
      </w:r>
    </w:p>
    <w:p w14:paraId="09981FEE" w14:textId="77777777" w:rsidR="0088292E" w:rsidRPr="00796620" w:rsidRDefault="0088292E" w:rsidP="0088292E">
      <w:pPr>
        <w:rPr>
          <w:rFonts w:cstheme="minorHAnsi"/>
          <w:sz w:val="17"/>
          <w:szCs w:val="17"/>
        </w:rPr>
      </w:pPr>
      <w:r w:rsidRPr="00796620">
        <w:rPr>
          <w:rFonts w:cstheme="minorHAnsi"/>
          <w:sz w:val="17"/>
          <w:szCs w:val="17"/>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bookmarkEnd w:id="2"/>
    <w:p w14:paraId="0F0DF0BB" w14:textId="5798723F" w:rsidR="0088292E" w:rsidRPr="00FA49C3" w:rsidRDefault="0088292E" w:rsidP="00175CD8"/>
    <w:bookmarkEnd w:id="1" w:displacedByCustomXml="next"/>
    <w:bookmarkStart w:id="3" w:name="_Hlk139892237" w:displacedByCustomXml="next"/>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Cs w:val="20"/>
        </w:rPr>
      </w:sdtEndPr>
      <w:sdtContent>
        <w:p w14:paraId="4831BF2E" w14:textId="77777777" w:rsidR="00F02AEC" w:rsidRPr="00215D48" w:rsidRDefault="00F02AEC" w:rsidP="00AC5E26">
          <w:pPr>
            <w:pStyle w:val="NonTOCheading2"/>
          </w:pPr>
          <w:r w:rsidRPr="00215D48">
            <w:t>Contents</w:t>
          </w:r>
        </w:p>
        <w:p w14:paraId="178C4E14" w14:textId="5420DE41" w:rsidR="004C7298" w:rsidRDefault="00F02AEC">
          <w:pPr>
            <w:pStyle w:val="TOC1"/>
            <w:rPr>
              <w:rFonts w:asciiTheme="minorHAnsi" w:eastAsiaTheme="minorEastAsia" w:hAnsiTheme="minorHAnsi" w:cstheme="minorBidi"/>
              <w:b w:val="0"/>
              <w:noProof/>
              <w:color w:val="auto"/>
              <w:sz w:val="22"/>
              <w:szCs w:val="22"/>
              <w:lang w:eastAsia="en-AU"/>
            </w:rPr>
          </w:pPr>
          <w:r w:rsidRPr="00710D2F">
            <w:rPr>
              <w:color w:val="auto"/>
            </w:rPr>
            <w:fldChar w:fldCharType="begin"/>
          </w:r>
          <w:r w:rsidRPr="00710D2F">
            <w:rPr>
              <w:color w:val="auto"/>
            </w:rPr>
            <w:instrText xml:space="preserve"> TOC \h \z \u \t "Heading 2,1,Heading 3,2,Heading 4,3" </w:instrText>
          </w:r>
          <w:r w:rsidRPr="00710D2F">
            <w:rPr>
              <w:color w:val="auto"/>
            </w:rPr>
            <w:fldChar w:fldCharType="separate"/>
          </w:r>
          <w:hyperlink w:anchor="_Toc144110828" w:history="1">
            <w:r w:rsidR="004C7298" w:rsidRPr="006D24F3">
              <w:rPr>
                <w:rStyle w:val="Hyperlink"/>
                <w:noProof/>
              </w:rPr>
              <w:t>About this consultation</w:t>
            </w:r>
            <w:r w:rsidR="004C7298">
              <w:rPr>
                <w:noProof/>
                <w:webHidden/>
              </w:rPr>
              <w:tab/>
            </w:r>
            <w:r w:rsidR="004C7298">
              <w:rPr>
                <w:noProof/>
                <w:webHidden/>
              </w:rPr>
              <w:fldChar w:fldCharType="begin"/>
            </w:r>
            <w:r w:rsidR="004C7298">
              <w:rPr>
                <w:noProof/>
                <w:webHidden/>
              </w:rPr>
              <w:instrText xml:space="preserve"> PAGEREF _Toc144110828 \h </w:instrText>
            </w:r>
            <w:r w:rsidR="004C7298">
              <w:rPr>
                <w:noProof/>
                <w:webHidden/>
              </w:rPr>
            </w:r>
            <w:r w:rsidR="004C7298">
              <w:rPr>
                <w:noProof/>
                <w:webHidden/>
              </w:rPr>
              <w:fldChar w:fldCharType="separate"/>
            </w:r>
            <w:r w:rsidR="004C7298">
              <w:rPr>
                <w:noProof/>
                <w:webHidden/>
              </w:rPr>
              <w:t>8</w:t>
            </w:r>
            <w:r w:rsidR="004C7298">
              <w:rPr>
                <w:noProof/>
                <w:webHidden/>
              </w:rPr>
              <w:fldChar w:fldCharType="end"/>
            </w:r>
          </w:hyperlink>
        </w:p>
        <w:p w14:paraId="7C9C0A89" w14:textId="49F785DD" w:rsidR="004C7298" w:rsidRDefault="00A13E49">
          <w:pPr>
            <w:pStyle w:val="TOC1"/>
            <w:tabs>
              <w:tab w:val="left" w:pos="425"/>
            </w:tabs>
            <w:rPr>
              <w:rFonts w:asciiTheme="minorHAnsi" w:eastAsiaTheme="minorEastAsia" w:hAnsiTheme="minorHAnsi" w:cstheme="minorBidi"/>
              <w:b w:val="0"/>
              <w:noProof/>
              <w:color w:val="auto"/>
              <w:sz w:val="22"/>
              <w:szCs w:val="22"/>
              <w:lang w:eastAsia="en-AU"/>
            </w:rPr>
          </w:pPr>
          <w:hyperlink w:anchor="_Toc144110829" w:history="1">
            <w:r w:rsidR="004C7298" w:rsidRPr="006D24F3">
              <w:rPr>
                <w:rStyle w:val="Hyperlink"/>
                <w:noProof/>
              </w:rPr>
              <w:t>1</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Proposed amendments referred for scheduling advice to ACMS meeting #43, November 2023</w:t>
            </w:r>
            <w:r w:rsidR="004C7298">
              <w:rPr>
                <w:noProof/>
                <w:webHidden/>
              </w:rPr>
              <w:tab/>
            </w:r>
            <w:r w:rsidR="004C7298">
              <w:rPr>
                <w:noProof/>
                <w:webHidden/>
              </w:rPr>
              <w:fldChar w:fldCharType="begin"/>
            </w:r>
            <w:r w:rsidR="004C7298">
              <w:rPr>
                <w:noProof/>
                <w:webHidden/>
              </w:rPr>
              <w:instrText xml:space="preserve"> PAGEREF _Toc144110829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094D2F98" w14:textId="360D1A7C"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830" w:history="1">
            <w:r w:rsidR="004C7298" w:rsidRPr="006D24F3">
              <w:rPr>
                <w:rStyle w:val="Hyperlink"/>
                <w:noProof/>
              </w:rPr>
              <w:t>1.1</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Astodrimer sodium</w:t>
            </w:r>
            <w:r w:rsidR="004C7298">
              <w:rPr>
                <w:noProof/>
                <w:webHidden/>
              </w:rPr>
              <w:tab/>
            </w:r>
            <w:r w:rsidR="004C7298">
              <w:rPr>
                <w:noProof/>
                <w:webHidden/>
              </w:rPr>
              <w:fldChar w:fldCharType="begin"/>
            </w:r>
            <w:r w:rsidR="004C7298">
              <w:rPr>
                <w:noProof/>
                <w:webHidden/>
              </w:rPr>
              <w:instrText xml:space="preserve"> PAGEREF _Toc144110830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71279D94" w14:textId="7E4E2A79" w:rsidR="004C7298" w:rsidRDefault="00A13E49">
          <w:pPr>
            <w:pStyle w:val="TOC3"/>
            <w:rPr>
              <w:rFonts w:asciiTheme="minorHAnsi" w:eastAsiaTheme="minorEastAsia" w:hAnsiTheme="minorHAnsi" w:cstheme="minorBidi"/>
              <w:b w:val="0"/>
              <w:noProof/>
              <w:color w:val="auto"/>
              <w:szCs w:val="22"/>
              <w:lang w:eastAsia="en-AU"/>
            </w:rPr>
          </w:pPr>
          <w:hyperlink w:anchor="_Toc144110831"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_Toc144110831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17D51BEC" w14:textId="2E9B66E7" w:rsidR="004C7298" w:rsidRDefault="00A13E49">
          <w:pPr>
            <w:pStyle w:val="TOC3"/>
            <w:rPr>
              <w:rFonts w:asciiTheme="minorHAnsi" w:eastAsiaTheme="minorEastAsia" w:hAnsiTheme="minorHAnsi" w:cstheme="minorBidi"/>
              <w:b w:val="0"/>
              <w:noProof/>
              <w:color w:val="auto"/>
              <w:szCs w:val="22"/>
              <w:lang w:eastAsia="en-AU"/>
            </w:rPr>
          </w:pPr>
          <w:hyperlink w:anchor="_Toc144110832"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_Toc144110832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659CE89A" w14:textId="079BD347" w:rsidR="004C7298" w:rsidRDefault="00A13E49">
          <w:pPr>
            <w:pStyle w:val="TOC3"/>
            <w:rPr>
              <w:rFonts w:asciiTheme="minorHAnsi" w:eastAsiaTheme="minorEastAsia" w:hAnsiTheme="minorHAnsi" w:cstheme="minorBidi"/>
              <w:b w:val="0"/>
              <w:noProof/>
              <w:color w:val="auto"/>
              <w:szCs w:val="22"/>
              <w:lang w:eastAsia="en-AU"/>
            </w:rPr>
          </w:pPr>
          <w:hyperlink w:anchor="_Toc144110833"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_Toc144110833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4F943ACE" w14:textId="5B0CB25C" w:rsidR="004C7298" w:rsidRDefault="00A13E49">
          <w:pPr>
            <w:pStyle w:val="TOC3"/>
            <w:rPr>
              <w:rFonts w:asciiTheme="minorHAnsi" w:eastAsiaTheme="minorEastAsia" w:hAnsiTheme="minorHAnsi" w:cstheme="minorBidi"/>
              <w:b w:val="0"/>
              <w:noProof/>
              <w:color w:val="auto"/>
              <w:szCs w:val="22"/>
              <w:lang w:eastAsia="en-AU"/>
            </w:rPr>
          </w:pPr>
          <w:hyperlink w:anchor="_Toc144110834"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_Toc144110834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04A0C908" w14:textId="1722AFC5" w:rsidR="004C7298" w:rsidRDefault="00A13E49">
          <w:pPr>
            <w:pStyle w:val="TOC3"/>
            <w:rPr>
              <w:rFonts w:asciiTheme="minorHAnsi" w:eastAsiaTheme="minorEastAsia" w:hAnsiTheme="minorHAnsi" w:cstheme="minorBidi"/>
              <w:b w:val="0"/>
              <w:noProof/>
              <w:color w:val="auto"/>
              <w:szCs w:val="22"/>
              <w:lang w:eastAsia="en-AU"/>
            </w:rPr>
          </w:pPr>
          <w:hyperlink w:anchor="_Toc144110835"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_Toc144110835 \h </w:instrText>
            </w:r>
            <w:r w:rsidR="004C7298">
              <w:rPr>
                <w:noProof/>
                <w:webHidden/>
              </w:rPr>
            </w:r>
            <w:r w:rsidR="004C7298">
              <w:rPr>
                <w:noProof/>
                <w:webHidden/>
              </w:rPr>
              <w:fldChar w:fldCharType="separate"/>
            </w:r>
            <w:r w:rsidR="004C7298">
              <w:rPr>
                <w:noProof/>
                <w:webHidden/>
              </w:rPr>
              <w:t>9</w:t>
            </w:r>
            <w:r w:rsidR="004C7298">
              <w:rPr>
                <w:noProof/>
                <w:webHidden/>
              </w:rPr>
              <w:fldChar w:fldCharType="end"/>
            </w:r>
          </w:hyperlink>
        </w:p>
        <w:p w14:paraId="274CE35E" w14:textId="7F0806DF" w:rsidR="004C7298" w:rsidRDefault="00A13E49">
          <w:pPr>
            <w:pStyle w:val="TOC3"/>
            <w:rPr>
              <w:rFonts w:asciiTheme="minorHAnsi" w:eastAsiaTheme="minorEastAsia" w:hAnsiTheme="minorHAnsi" w:cstheme="minorBidi"/>
              <w:b w:val="0"/>
              <w:noProof/>
              <w:color w:val="auto"/>
              <w:szCs w:val="22"/>
              <w:lang w:eastAsia="en-AU"/>
            </w:rPr>
          </w:pPr>
          <w:hyperlink w:anchor="_Toc144110836"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_Toc144110836 \h </w:instrText>
            </w:r>
            <w:r w:rsidR="004C7298">
              <w:rPr>
                <w:noProof/>
                <w:webHidden/>
              </w:rPr>
            </w:r>
            <w:r w:rsidR="004C7298">
              <w:rPr>
                <w:noProof/>
                <w:webHidden/>
              </w:rPr>
              <w:fldChar w:fldCharType="separate"/>
            </w:r>
            <w:r w:rsidR="004C7298">
              <w:rPr>
                <w:noProof/>
                <w:webHidden/>
              </w:rPr>
              <w:t>10</w:t>
            </w:r>
            <w:r w:rsidR="004C7298">
              <w:rPr>
                <w:noProof/>
                <w:webHidden/>
              </w:rPr>
              <w:fldChar w:fldCharType="end"/>
            </w:r>
          </w:hyperlink>
        </w:p>
        <w:p w14:paraId="4BBB4E1C" w14:textId="62862EC1" w:rsidR="004C7298" w:rsidRDefault="00A13E49">
          <w:pPr>
            <w:pStyle w:val="TOC3"/>
            <w:rPr>
              <w:rFonts w:asciiTheme="minorHAnsi" w:eastAsiaTheme="minorEastAsia" w:hAnsiTheme="minorHAnsi" w:cstheme="minorBidi"/>
              <w:b w:val="0"/>
              <w:noProof/>
              <w:color w:val="auto"/>
              <w:szCs w:val="22"/>
              <w:lang w:eastAsia="en-AU"/>
            </w:rPr>
          </w:pPr>
          <w:hyperlink w:anchor="_Toc144110837"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_Toc144110837 \h </w:instrText>
            </w:r>
            <w:r w:rsidR="004C7298">
              <w:rPr>
                <w:noProof/>
                <w:webHidden/>
              </w:rPr>
            </w:r>
            <w:r w:rsidR="004C7298">
              <w:rPr>
                <w:noProof/>
                <w:webHidden/>
              </w:rPr>
              <w:fldChar w:fldCharType="separate"/>
            </w:r>
            <w:r w:rsidR="004C7298">
              <w:rPr>
                <w:noProof/>
                <w:webHidden/>
              </w:rPr>
              <w:t>11</w:t>
            </w:r>
            <w:r w:rsidR="004C7298">
              <w:rPr>
                <w:noProof/>
                <w:webHidden/>
              </w:rPr>
              <w:fldChar w:fldCharType="end"/>
            </w:r>
          </w:hyperlink>
        </w:p>
        <w:p w14:paraId="6BB07484" w14:textId="1FA85C4E" w:rsidR="004C7298" w:rsidRDefault="00A13E49">
          <w:pPr>
            <w:pStyle w:val="TOC3"/>
            <w:rPr>
              <w:rFonts w:asciiTheme="minorHAnsi" w:eastAsiaTheme="minorEastAsia" w:hAnsiTheme="minorHAnsi" w:cstheme="minorBidi"/>
              <w:b w:val="0"/>
              <w:noProof/>
              <w:color w:val="auto"/>
              <w:szCs w:val="22"/>
              <w:lang w:eastAsia="en-AU"/>
            </w:rPr>
          </w:pPr>
          <w:hyperlink w:anchor="_Toc144110838"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_Toc144110838 \h </w:instrText>
            </w:r>
            <w:r w:rsidR="004C7298">
              <w:rPr>
                <w:noProof/>
                <w:webHidden/>
              </w:rPr>
            </w:r>
            <w:r w:rsidR="004C7298">
              <w:rPr>
                <w:noProof/>
                <w:webHidden/>
              </w:rPr>
              <w:fldChar w:fldCharType="separate"/>
            </w:r>
            <w:r w:rsidR="004C7298">
              <w:rPr>
                <w:noProof/>
                <w:webHidden/>
              </w:rPr>
              <w:t>11</w:t>
            </w:r>
            <w:r w:rsidR="004C7298">
              <w:rPr>
                <w:noProof/>
                <w:webHidden/>
              </w:rPr>
              <w:fldChar w:fldCharType="end"/>
            </w:r>
          </w:hyperlink>
        </w:p>
        <w:p w14:paraId="6B72DED1" w14:textId="6504BB8F" w:rsidR="004C7298" w:rsidRDefault="00A13E49">
          <w:pPr>
            <w:pStyle w:val="TOC3"/>
            <w:rPr>
              <w:rFonts w:asciiTheme="minorHAnsi" w:eastAsiaTheme="minorEastAsia" w:hAnsiTheme="minorHAnsi" w:cstheme="minorBidi"/>
              <w:b w:val="0"/>
              <w:noProof/>
              <w:color w:val="auto"/>
              <w:szCs w:val="22"/>
              <w:lang w:eastAsia="en-AU"/>
            </w:rPr>
          </w:pPr>
          <w:hyperlink w:anchor="_Toc144110839"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_Toc144110839 \h </w:instrText>
            </w:r>
            <w:r w:rsidR="004C7298">
              <w:rPr>
                <w:noProof/>
                <w:webHidden/>
              </w:rPr>
            </w:r>
            <w:r w:rsidR="004C7298">
              <w:rPr>
                <w:noProof/>
                <w:webHidden/>
              </w:rPr>
              <w:fldChar w:fldCharType="separate"/>
            </w:r>
            <w:r w:rsidR="004C7298">
              <w:rPr>
                <w:noProof/>
                <w:webHidden/>
              </w:rPr>
              <w:t>11</w:t>
            </w:r>
            <w:r w:rsidR="004C7298">
              <w:rPr>
                <w:noProof/>
                <w:webHidden/>
              </w:rPr>
              <w:fldChar w:fldCharType="end"/>
            </w:r>
          </w:hyperlink>
        </w:p>
        <w:p w14:paraId="30DAE34D" w14:textId="61D3A44F" w:rsidR="004C7298" w:rsidRDefault="00A13E49">
          <w:pPr>
            <w:pStyle w:val="TOC3"/>
            <w:rPr>
              <w:rFonts w:asciiTheme="minorHAnsi" w:eastAsiaTheme="minorEastAsia" w:hAnsiTheme="minorHAnsi" w:cstheme="minorBidi"/>
              <w:b w:val="0"/>
              <w:noProof/>
              <w:color w:val="auto"/>
              <w:szCs w:val="22"/>
              <w:lang w:eastAsia="en-AU"/>
            </w:rPr>
          </w:pPr>
          <w:hyperlink w:anchor="_Toc144110840"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_Toc144110840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584EBFB0" w14:textId="694F5798"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841" w:history="1">
            <w:r w:rsidR="004C7298" w:rsidRPr="006D24F3">
              <w:rPr>
                <w:rStyle w:val="Hyperlink"/>
                <w:noProof/>
              </w:rPr>
              <w:t>1.2</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Bilastine</w:t>
            </w:r>
            <w:r w:rsidR="004C7298">
              <w:rPr>
                <w:noProof/>
                <w:webHidden/>
              </w:rPr>
              <w:tab/>
            </w:r>
            <w:r w:rsidR="004C7298">
              <w:rPr>
                <w:noProof/>
                <w:webHidden/>
              </w:rPr>
              <w:fldChar w:fldCharType="begin"/>
            </w:r>
            <w:r w:rsidR="004C7298">
              <w:rPr>
                <w:noProof/>
                <w:webHidden/>
              </w:rPr>
              <w:instrText xml:space="preserve"> PAGEREF _Toc144110841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601C9E0C" w14:textId="77D49468" w:rsidR="004C7298" w:rsidRDefault="00A13E49">
          <w:pPr>
            <w:pStyle w:val="TOC3"/>
            <w:rPr>
              <w:rFonts w:asciiTheme="minorHAnsi" w:eastAsiaTheme="minorEastAsia" w:hAnsiTheme="minorHAnsi" w:cstheme="minorBidi"/>
              <w:b w:val="0"/>
              <w:noProof/>
              <w:color w:val="auto"/>
              <w:szCs w:val="22"/>
              <w:lang w:eastAsia="en-AU"/>
            </w:rPr>
          </w:pPr>
          <w:hyperlink w:anchor="_Toc144110842"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_Toc144110842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44E82DC4" w14:textId="15D7DC30" w:rsidR="004C7298" w:rsidRDefault="00A13E49">
          <w:pPr>
            <w:pStyle w:val="TOC3"/>
            <w:rPr>
              <w:rFonts w:asciiTheme="minorHAnsi" w:eastAsiaTheme="minorEastAsia" w:hAnsiTheme="minorHAnsi" w:cstheme="minorBidi"/>
              <w:b w:val="0"/>
              <w:noProof/>
              <w:color w:val="auto"/>
              <w:szCs w:val="22"/>
              <w:lang w:eastAsia="en-AU"/>
            </w:rPr>
          </w:pPr>
          <w:hyperlink w:anchor="_Toc144110843"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_Toc144110843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1A309844" w14:textId="71D9488C" w:rsidR="004C7298" w:rsidRDefault="00A13E49">
          <w:pPr>
            <w:pStyle w:val="TOC3"/>
            <w:rPr>
              <w:rFonts w:asciiTheme="minorHAnsi" w:eastAsiaTheme="minorEastAsia" w:hAnsiTheme="minorHAnsi" w:cstheme="minorBidi"/>
              <w:b w:val="0"/>
              <w:noProof/>
              <w:color w:val="auto"/>
              <w:szCs w:val="22"/>
              <w:lang w:eastAsia="en-AU"/>
            </w:rPr>
          </w:pPr>
          <w:hyperlink w:anchor="_Toc144110844"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_Toc144110844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554E16EF" w14:textId="47C62914" w:rsidR="004C7298" w:rsidRDefault="00A13E49">
          <w:pPr>
            <w:pStyle w:val="TOC3"/>
            <w:rPr>
              <w:rFonts w:asciiTheme="minorHAnsi" w:eastAsiaTheme="minorEastAsia" w:hAnsiTheme="minorHAnsi" w:cstheme="minorBidi"/>
              <w:b w:val="0"/>
              <w:noProof/>
              <w:color w:val="auto"/>
              <w:szCs w:val="22"/>
              <w:lang w:eastAsia="en-AU"/>
            </w:rPr>
          </w:pPr>
          <w:hyperlink w:anchor="_Toc144110845"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_Toc144110845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2FD2AB70" w14:textId="115BF93C" w:rsidR="004C7298" w:rsidRDefault="00A13E49">
          <w:pPr>
            <w:pStyle w:val="TOC3"/>
            <w:rPr>
              <w:rFonts w:asciiTheme="minorHAnsi" w:eastAsiaTheme="minorEastAsia" w:hAnsiTheme="minorHAnsi" w:cstheme="minorBidi"/>
              <w:b w:val="0"/>
              <w:noProof/>
              <w:color w:val="auto"/>
              <w:szCs w:val="22"/>
              <w:lang w:eastAsia="en-AU"/>
            </w:rPr>
          </w:pPr>
          <w:hyperlink w:anchor="_Toc144110846"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_Toc144110846 \h </w:instrText>
            </w:r>
            <w:r w:rsidR="004C7298">
              <w:rPr>
                <w:noProof/>
                <w:webHidden/>
              </w:rPr>
            </w:r>
            <w:r w:rsidR="004C7298">
              <w:rPr>
                <w:noProof/>
                <w:webHidden/>
              </w:rPr>
              <w:fldChar w:fldCharType="separate"/>
            </w:r>
            <w:r w:rsidR="004C7298">
              <w:rPr>
                <w:noProof/>
                <w:webHidden/>
              </w:rPr>
              <w:t>12</w:t>
            </w:r>
            <w:r w:rsidR="004C7298">
              <w:rPr>
                <w:noProof/>
                <w:webHidden/>
              </w:rPr>
              <w:fldChar w:fldCharType="end"/>
            </w:r>
          </w:hyperlink>
        </w:p>
        <w:p w14:paraId="4007AEA5" w14:textId="3E6F4D95" w:rsidR="004C7298" w:rsidRDefault="00A13E49">
          <w:pPr>
            <w:pStyle w:val="TOC3"/>
            <w:rPr>
              <w:rFonts w:asciiTheme="minorHAnsi" w:eastAsiaTheme="minorEastAsia" w:hAnsiTheme="minorHAnsi" w:cstheme="minorBidi"/>
              <w:b w:val="0"/>
              <w:noProof/>
              <w:color w:val="auto"/>
              <w:szCs w:val="22"/>
              <w:lang w:eastAsia="en-AU"/>
            </w:rPr>
          </w:pPr>
          <w:hyperlink w:anchor="_Toc144110847"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_Toc144110847 \h </w:instrText>
            </w:r>
            <w:r w:rsidR="004C7298">
              <w:rPr>
                <w:noProof/>
                <w:webHidden/>
              </w:rPr>
            </w:r>
            <w:r w:rsidR="004C7298">
              <w:rPr>
                <w:noProof/>
                <w:webHidden/>
              </w:rPr>
              <w:fldChar w:fldCharType="separate"/>
            </w:r>
            <w:r w:rsidR="004C7298">
              <w:rPr>
                <w:noProof/>
                <w:webHidden/>
              </w:rPr>
              <w:t>13</w:t>
            </w:r>
            <w:r w:rsidR="004C7298">
              <w:rPr>
                <w:noProof/>
                <w:webHidden/>
              </w:rPr>
              <w:fldChar w:fldCharType="end"/>
            </w:r>
          </w:hyperlink>
        </w:p>
        <w:p w14:paraId="01C3CA4F" w14:textId="5956E535" w:rsidR="004C7298" w:rsidRDefault="00A13E49">
          <w:pPr>
            <w:pStyle w:val="TOC3"/>
            <w:rPr>
              <w:rFonts w:asciiTheme="minorHAnsi" w:eastAsiaTheme="minorEastAsia" w:hAnsiTheme="minorHAnsi" w:cstheme="minorBidi"/>
              <w:b w:val="0"/>
              <w:noProof/>
              <w:color w:val="auto"/>
              <w:szCs w:val="22"/>
              <w:lang w:eastAsia="en-AU"/>
            </w:rPr>
          </w:pPr>
          <w:hyperlink w:anchor="_Toc144110848"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_Toc144110848 \h </w:instrText>
            </w:r>
            <w:r w:rsidR="004C7298">
              <w:rPr>
                <w:noProof/>
                <w:webHidden/>
              </w:rPr>
            </w:r>
            <w:r w:rsidR="004C7298">
              <w:rPr>
                <w:noProof/>
                <w:webHidden/>
              </w:rPr>
              <w:fldChar w:fldCharType="separate"/>
            </w:r>
            <w:r w:rsidR="004C7298">
              <w:rPr>
                <w:noProof/>
                <w:webHidden/>
              </w:rPr>
              <w:t>13</w:t>
            </w:r>
            <w:r w:rsidR="004C7298">
              <w:rPr>
                <w:noProof/>
                <w:webHidden/>
              </w:rPr>
              <w:fldChar w:fldCharType="end"/>
            </w:r>
          </w:hyperlink>
        </w:p>
        <w:p w14:paraId="4F34EE6C" w14:textId="7B65B4E1" w:rsidR="004C7298" w:rsidRDefault="00A13E49">
          <w:pPr>
            <w:pStyle w:val="TOC3"/>
            <w:rPr>
              <w:rFonts w:asciiTheme="minorHAnsi" w:eastAsiaTheme="minorEastAsia" w:hAnsiTheme="minorHAnsi" w:cstheme="minorBidi"/>
              <w:b w:val="0"/>
              <w:noProof/>
              <w:color w:val="auto"/>
              <w:szCs w:val="22"/>
              <w:lang w:eastAsia="en-AU"/>
            </w:rPr>
          </w:pPr>
          <w:hyperlink w:anchor="_Toc144110849"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_Toc144110849 \h </w:instrText>
            </w:r>
            <w:r w:rsidR="004C7298">
              <w:rPr>
                <w:noProof/>
                <w:webHidden/>
              </w:rPr>
            </w:r>
            <w:r w:rsidR="004C7298">
              <w:rPr>
                <w:noProof/>
                <w:webHidden/>
              </w:rPr>
              <w:fldChar w:fldCharType="separate"/>
            </w:r>
            <w:r w:rsidR="004C7298">
              <w:rPr>
                <w:noProof/>
                <w:webHidden/>
              </w:rPr>
              <w:t>13</w:t>
            </w:r>
            <w:r w:rsidR="004C7298">
              <w:rPr>
                <w:noProof/>
                <w:webHidden/>
              </w:rPr>
              <w:fldChar w:fldCharType="end"/>
            </w:r>
          </w:hyperlink>
        </w:p>
        <w:p w14:paraId="3CAB8825" w14:textId="472CB202" w:rsidR="004C7298" w:rsidRDefault="00A13E49">
          <w:pPr>
            <w:pStyle w:val="TOC3"/>
            <w:rPr>
              <w:rFonts w:asciiTheme="minorHAnsi" w:eastAsiaTheme="minorEastAsia" w:hAnsiTheme="minorHAnsi" w:cstheme="minorBidi"/>
              <w:b w:val="0"/>
              <w:noProof/>
              <w:color w:val="auto"/>
              <w:szCs w:val="22"/>
              <w:lang w:eastAsia="en-AU"/>
            </w:rPr>
          </w:pPr>
          <w:hyperlink w:anchor="_Toc144110850"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_Toc144110850 \h </w:instrText>
            </w:r>
            <w:r w:rsidR="004C7298">
              <w:rPr>
                <w:noProof/>
                <w:webHidden/>
              </w:rPr>
            </w:r>
            <w:r w:rsidR="004C7298">
              <w:rPr>
                <w:noProof/>
                <w:webHidden/>
              </w:rPr>
              <w:fldChar w:fldCharType="separate"/>
            </w:r>
            <w:r w:rsidR="004C7298">
              <w:rPr>
                <w:noProof/>
                <w:webHidden/>
              </w:rPr>
              <w:t>13</w:t>
            </w:r>
            <w:r w:rsidR="004C7298">
              <w:rPr>
                <w:noProof/>
                <w:webHidden/>
              </w:rPr>
              <w:fldChar w:fldCharType="end"/>
            </w:r>
          </w:hyperlink>
        </w:p>
        <w:p w14:paraId="1B92B4EE" w14:textId="00C92F90" w:rsidR="004C7298" w:rsidRDefault="00A13E49">
          <w:pPr>
            <w:pStyle w:val="TOC3"/>
            <w:rPr>
              <w:rFonts w:asciiTheme="minorHAnsi" w:eastAsiaTheme="minorEastAsia" w:hAnsiTheme="minorHAnsi" w:cstheme="minorBidi"/>
              <w:b w:val="0"/>
              <w:noProof/>
              <w:color w:val="auto"/>
              <w:szCs w:val="22"/>
              <w:lang w:eastAsia="en-AU"/>
            </w:rPr>
          </w:pPr>
          <w:hyperlink w:anchor="_Toc144110851"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_Toc144110851 \h </w:instrText>
            </w:r>
            <w:r w:rsidR="004C7298">
              <w:rPr>
                <w:noProof/>
                <w:webHidden/>
              </w:rPr>
            </w:r>
            <w:r w:rsidR="004C7298">
              <w:rPr>
                <w:noProof/>
                <w:webHidden/>
              </w:rPr>
              <w:fldChar w:fldCharType="separate"/>
            </w:r>
            <w:r w:rsidR="004C7298">
              <w:rPr>
                <w:noProof/>
                <w:webHidden/>
              </w:rPr>
              <w:t>14</w:t>
            </w:r>
            <w:r w:rsidR="004C7298">
              <w:rPr>
                <w:noProof/>
                <w:webHidden/>
              </w:rPr>
              <w:fldChar w:fldCharType="end"/>
            </w:r>
          </w:hyperlink>
        </w:p>
        <w:p w14:paraId="6633DEDB" w14:textId="2F51991B"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852" w:history="1">
            <w:r w:rsidR="004C7298" w:rsidRPr="006D24F3">
              <w:rPr>
                <w:rStyle w:val="Hyperlink"/>
                <w:noProof/>
              </w:rPr>
              <w:t>1.3</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BPC-157</w:t>
            </w:r>
            <w:r w:rsidR="004C7298">
              <w:rPr>
                <w:noProof/>
                <w:webHidden/>
              </w:rPr>
              <w:tab/>
            </w:r>
            <w:r w:rsidR="004C7298">
              <w:rPr>
                <w:noProof/>
                <w:webHidden/>
              </w:rPr>
              <w:fldChar w:fldCharType="begin"/>
            </w:r>
            <w:r w:rsidR="004C7298">
              <w:rPr>
                <w:noProof/>
                <w:webHidden/>
              </w:rPr>
              <w:instrText xml:space="preserve"> PAGEREF _Toc144110852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6EF973F0" w14:textId="2B4686B7" w:rsidR="004C7298" w:rsidRDefault="00A13E49">
          <w:pPr>
            <w:pStyle w:val="TOC3"/>
            <w:rPr>
              <w:rFonts w:asciiTheme="minorHAnsi" w:eastAsiaTheme="minorEastAsia" w:hAnsiTheme="minorHAnsi" w:cstheme="minorBidi"/>
              <w:b w:val="0"/>
              <w:noProof/>
              <w:color w:val="auto"/>
              <w:szCs w:val="22"/>
              <w:lang w:eastAsia="en-AU"/>
            </w:rPr>
          </w:pPr>
          <w:hyperlink w:anchor="_Toc144110853"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_Toc144110853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72E1AC1B" w14:textId="554B978E" w:rsidR="004C7298" w:rsidRDefault="00A13E49">
          <w:pPr>
            <w:pStyle w:val="TOC3"/>
            <w:rPr>
              <w:rFonts w:asciiTheme="minorHAnsi" w:eastAsiaTheme="minorEastAsia" w:hAnsiTheme="minorHAnsi" w:cstheme="minorBidi"/>
              <w:b w:val="0"/>
              <w:noProof/>
              <w:color w:val="auto"/>
              <w:szCs w:val="22"/>
              <w:lang w:eastAsia="en-AU"/>
            </w:rPr>
          </w:pPr>
          <w:hyperlink w:anchor="_Toc144110854"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_Toc144110854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569473A1" w14:textId="617001DF" w:rsidR="004C7298" w:rsidRDefault="00A13E49">
          <w:pPr>
            <w:pStyle w:val="TOC3"/>
            <w:rPr>
              <w:rFonts w:asciiTheme="minorHAnsi" w:eastAsiaTheme="minorEastAsia" w:hAnsiTheme="minorHAnsi" w:cstheme="minorBidi"/>
              <w:b w:val="0"/>
              <w:noProof/>
              <w:color w:val="auto"/>
              <w:szCs w:val="22"/>
              <w:lang w:eastAsia="en-AU"/>
            </w:rPr>
          </w:pPr>
          <w:hyperlink w:anchor="_Toc144110855"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_Toc144110855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1824D004" w14:textId="3F6843EA" w:rsidR="004C7298" w:rsidRDefault="00A13E49">
          <w:pPr>
            <w:pStyle w:val="TOC3"/>
            <w:rPr>
              <w:rFonts w:asciiTheme="minorHAnsi" w:eastAsiaTheme="minorEastAsia" w:hAnsiTheme="minorHAnsi" w:cstheme="minorBidi"/>
              <w:b w:val="0"/>
              <w:noProof/>
              <w:color w:val="auto"/>
              <w:szCs w:val="22"/>
              <w:lang w:eastAsia="en-AU"/>
            </w:rPr>
          </w:pPr>
          <w:hyperlink w:anchor="_Toc144110856"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_Toc144110856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574CEBD7" w14:textId="6E7BCC92" w:rsidR="004C7298" w:rsidRDefault="00A13E49">
          <w:pPr>
            <w:pStyle w:val="TOC3"/>
            <w:rPr>
              <w:rFonts w:asciiTheme="minorHAnsi" w:eastAsiaTheme="minorEastAsia" w:hAnsiTheme="minorHAnsi" w:cstheme="minorBidi"/>
              <w:b w:val="0"/>
              <w:noProof/>
              <w:color w:val="auto"/>
              <w:szCs w:val="22"/>
              <w:lang w:eastAsia="en-AU"/>
            </w:rPr>
          </w:pPr>
          <w:hyperlink w:anchor="_Toc144110857"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_Toc144110857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3D006E66" w14:textId="026A3005" w:rsidR="004C7298" w:rsidRDefault="00A13E49">
          <w:pPr>
            <w:pStyle w:val="TOC3"/>
            <w:rPr>
              <w:rFonts w:asciiTheme="minorHAnsi" w:eastAsiaTheme="minorEastAsia" w:hAnsiTheme="minorHAnsi" w:cstheme="minorBidi"/>
              <w:b w:val="0"/>
              <w:noProof/>
              <w:color w:val="auto"/>
              <w:szCs w:val="22"/>
              <w:lang w:eastAsia="en-AU"/>
            </w:rPr>
          </w:pPr>
          <w:hyperlink w:anchor="_Toc144110858"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_Toc144110858 \h </w:instrText>
            </w:r>
            <w:r w:rsidR="004C7298">
              <w:rPr>
                <w:noProof/>
                <w:webHidden/>
              </w:rPr>
            </w:r>
            <w:r w:rsidR="004C7298">
              <w:rPr>
                <w:noProof/>
                <w:webHidden/>
              </w:rPr>
              <w:fldChar w:fldCharType="separate"/>
            </w:r>
            <w:r w:rsidR="004C7298">
              <w:rPr>
                <w:noProof/>
                <w:webHidden/>
              </w:rPr>
              <w:t>15</w:t>
            </w:r>
            <w:r w:rsidR="004C7298">
              <w:rPr>
                <w:noProof/>
                <w:webHidden/>
              </w:rPr>
              <w:fldChar w:fldCharType="end"/>
            </w:r>
          </w:hyperlink>
        </w:p>
        <w:p w14:paraId="549809FB" w14:textId="585429B1" w:rsidR="004C7298" w:rsidRDefault="00A13E49">
          <w:pPr>
            <w:pStyle w:val="TOC3"/>
            <w:rPr>
              <w:rFonts w:asciiTheme="minorHAnsi" w:eastAsiaTheme="minorEastAsia" w:hAnsiTheme="minorHAnsi" w:cstheme="minorBidi"/>
              <w:b w:val="0"/>
              <w:noProof/>
              <w:color w:val="auto"/>
              <w:szCs w:val="22"/>
              <w:lang w:eastAsia="en-AU"/>
            </w:rPr>
          </w:pPr>
          <w:hyperlink w:anchor="_Toc144110859" w:history="1">
            <w:r w:rsidR="004C7298" w:rsidRPr="006D24F3">
              <w:rPr>
                <w:rStyle w:val="Hyperlink"/>
                <w:noProof/>
              </w:rPr>
              <w:t>Summary of the reasons for the proposal</w:t>
            </w:r>
            <w:r w:rsidR="004C7298">
              <w:rPr>
                <w:noProof/>
                <w:webHidden/>
              </w:rPr>
              <w:tab/>
            </w:r>
            <w:r w:rsidR="004C7298">
              <w:rPr>
                <w:noProof/>
                <w:webHidden/>
              </w:rPr>
              <w:fldChar w:fldCharType="begin"/>
            </w:r>
            <w:r w:rsidR="004C7298">
              <w:rPr>
                <w:noProof/>
                <w:webHidden/>
              </w:rPr>
              <w:instrText xml:space="preserve"> PAGEREF _Toc144110859 \h </w:instrText>
            </w:r>
            <w:r w:rsidR="004C7298">
              <w:rPr>
                <w:noProof/>
                <w:webHidden/>
              </w:rPr>
            </w:r>
            <w:r w:rsidR="004C7298">
              <w:rPr>
                <w:noProof/>
                <w:webHidden/>
              </w:rPr>
              <w:fldChar w:fldCharType="separate"/>
            </w:r>
            <w:r w:rsidR="004C7298">
              <w:rPr>
                <w:noProof/>
                <w:webHidden/>
              </w:rPr>
              <w:t>16</w:t>
            </w:r>
            <w:r w:rsidR="004C7298">
              <w:rPr>
                <w:noProof/>
                <w:webHidden/>
              </w:rPr>
              <w:fldChar w:fldCharType="end"/>
            </w:r>
          </w:hyperlink>
        </w:p>
        <w:p w14:paraId="67C3D499" w14:textId="1E440D05" w:rsidR="004C7298" w:rsidRDefault="00A13E49">
          <w:pPr>
            <w:pStyle w:val="TOC3"/>
            <w:rPr>
              <w:rFonts w:asciiTheme="minorHAnsi" w:eastAsiaTheme="minorEastAsia" w:hAnsiTheme="minorHAnsi" w:cstheme="minorBidi"/>
              <w:b w:val="0"/>
              <w:noProof/>
              <w:color w:val="auto"/>
              <w:szCs w:val="22"/>
              <w:lang w:eastAsia="en-AU"/>
            </w:rPr>
          </w:pPr>
          <w:hyperlink w:anchor="_Toc144110860"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_Toc144110860 \h </w:instrText>
            </w:r>
            <w:r w:rsidR="004C7298">
              <w:rPr>
                <w:noProof/>
                <w:webHidden/>
              </w:rPr>
            </w:r>
            <w:r w:rsidR="004C7298">
              <w:rPr>
                <w:noProof/>
                <w:webHidden/>
              </w:rPr>
              <w:fldChar w:fldCharType="separate"/>
            </w:r>
            <w:r w:rsidR="004C7298">
              <w:rPr>
                <w:noProof/>
                <w:webHidden/>
              </w:rPr>
              <w:t>16</w:t>
            </w:r>
            <w:r w:rsidR="004C7298">
              <w:rPr>
                <w:noProof/>
                <w:webHidden/>
              </w:rPr>
              <w:fldChar w:fldCharType="end"/>
            </w:r>
          </w:hyperlink>
        </w:p>
        <w:p w14:paraId="5EBFD96E" w14:textId="2659C41C" w:rsidR="004C7298" w:rsidRDefault="00A13E49">
          <w:pPr>
            <w:pStyle w:val="TOC3"/>
            <w:rPr>
              <w:rFonts w:asciiTheme="minorHAnsi" w:eastAsiaTheme="minorEastAsia" w:hAnsiTheme="minorHAnsi" w:cstheme="minorBidi"/>
              <w:b w:val="0"/>
              <w:noProof/>
              <w:color w:val="auto"/>
              <w:szCs w:val="22"/>
              <w:lang w:eastAsia="en-AU"/>
            </w:rPr>
          </w:pPr>
          <w:hyperlink w:anchor="_Toc144110861"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_Toc144110861 \h </w:instrText>
            </w:r>
            <w:r w:rsidR="004C7298">
              <w:rPr>
                <w:noProof/>
                <w:webHidden/>
              </w:rPr>
            </w:r>
            <w:r w:rsidR="004C7298">
              <w:rPr>
                <w:noProof/>
                <w:webHidden/>
              </w:rPr>
              <w:fldChar w:fldCharType="separate"/>
            </w:r>
            <w:r w:rsidR="004C7298">
              <w:rPr>
                <w:noProof/>
                <w:webHidden/>
              </w:rPr>
              <w:t>16</w:t>
            </w:r>
            <w:r w:rsidR="004C7298">
              <w:rPr>
                <w:noProof/>
                <w:webHidden/>
              </w:rPr>
              <w:fldChar w:fldCharType="end"/>
            </w:r>
          </w:hyperlink>
        </w:p>
        <w:p w14:paraId="010547BA" w14:textId="0B6C57CF" w:rsidR="004C7298" w:rsidRDefault="00A13E49">
          <w:pPr>
            <w:pStyle w:val="TOC3"/>
            <w:rPr>
              <w:rFonts w:asciiTheme="minorHAnsi" w:eastAsiaTheme="minorEastAsia" w:hAnsiTheme="minorHAnsi" w:cstheme="minorBidi"/>
              <w:b w:val="0"/>
              <w:noProof/>
              <w:color w:val="auto"/>
              <w:szCs w:val="22"/>
              <w:lang w:eastAsia="en-AU"/>
            </w:rPr>
          </w:pPr>
          <w:hyperlink w:anchor="_Toc144110862"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_Toc144110862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429D5A3A" w14:textId="4C485BA0"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863" w:history="1">
            <w:r w:rsidR="004C7298" w:rsidRPr="006D24F3">
              <w:rPr>
                <w:rStyle w:val="Hyperlink"/>
                <w:noProof/>
              </w:rPr>
              <w:t>1.4</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Glycopyrronium</w:t>
            </w:r>
            <w:r w:rsidR="004C7298">
              <w:rPr>
                <w:noProof/>
                <w:webHidden/>
              </w:rPr>
              <w:tab/>
            </w:r>
            <w:r w:rsidR="004C7298">
              <w:rPr>
                <w:noProof/>
                <w:webHidden/>
              </w:rPr>
              <w:fldChar w:fldCharType="begin"/>
            </w:r>
            <w:r w:rsidR="004C7298">
              <w:rPr>
                <w:noProof/>
                <w:webHidden/>
              </w:rPr>
              <w:instrText xml:space="preserve"> PAGEREF _Toc144110863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299B2AA1" w14:textId="3055B560" w:rsidR="004C7298" w:rsidRDefault="00A13E49">
          <w:pPr>
            <w:pStyle w:val="TOC3"/>
            <w:rPr>
              <w:rFonts w:asciiTheme="minorHAnsi" w:eastAsiaTheme="minorEastAsia" w:hAnsiTheme="minorHAnsi" w:cstheme="minorBidi"/>
              <w:b w:val="0"/>
              <w:noProof/>
              <w:color w:val="auto"/>
              <w:szCs w:val="22"/>
              <w:lang w:eastAsia="en-AU"/>
            </w:rPr>
          </w:pPr>
          <w:hyperlink w:anchor="_Toc144110864"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_Toc144110864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40BF3356" w14:textId="2BBAF753" w:rsidR="004C7298" w:rsidRDefault="00A13E49">
          <w:pPr>
            <w:pStyle w:val="TOC3"/>
            <w:rPr>
              <w:rFonts w:asciiTheme="minorHAnsi" w:eastAsiaTheme="minorEastAsia" w:hAnsiTheme="minorHAnsi" w:cstheme="minorBidi"/>
              <w:b w:val="0"/>
              <w:noProof/>
              <w:color w:val="auto"/>
              <w:szCs w:val="22"/>
              <w:lang w:eastAsia="en-AU"/>
            </w:rPr>
          </w:pPr>
          <w:hyperlink w:anchor="_Toc144110865"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_Toc144110865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022143B6" w14:textId="1B2E6715" w:rsidR="004C7298" w:rsidRDefault="00A13E49">
          <w:pPr>
            <w:pStyle w:val="TOC3"/>
            <w:rPr>
              <w:rFonts w:asciiTheme="minorHAnsi" w:eastAsiaTheme="minorEastAsia" w:hAnsiTheme="minorHAnsi" w:cstheme="minorBidi"/>
              <w:b w:val="0"/>
              <w:noProof/>
              <w:color w:val="auto"/>
              <w:szCs w:val="22"/>
              <w:lang w:eastAsia="en-AU"/>
            </w:rPr>
          </w:pPr>
          <w:hyperlink w:anchor="_Toc144110866"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_Toc144110866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512F4BF2" w14:textId="13CC73EF" w:rsidR="004C7298" w:rsidRDefault="00A13E49">
          <w:pPr>
            <w:pStyle w:val="TOC3"/>
            <w:rPr>
              <w:rFonts w:asciiTheme="minorHAnsi" w:eastAsiaTheme="minorEastAsia" w:hAnsiTheme="minorHAnsi" w:cstheme="minorBidi"/>
              <w:b w:val="0"/>
              <w:noProof/>
              <w:color w:val="auto"/>
              <w:szCs w:val="22"/>
              <w:lang w:eastAsia="en-AU"/>
            </w:rPr>
          </w:pPr>
          <w:hyperlink w:anchor="_Toc144110867"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_Toc144110867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1E8170EA" w14:textId="6FAEAA94" w:rsidR="004C7298" w:rsidRDefault="00A13E49">
          <w:pPr>
            <w:pStyle w:val="TOC3"/>
            <w:rPr>
              <w:rFonts w:asciiTheme="minorHAnsi" w:eastAsiaTheme="minorEastAsia" w:hAnsiTheme="minorHAnsi" w:cstheme="minorBidi"/>
              <w:b w:val="0"/>
              <w:noProof/>
              <w:color w:val="auto"/>
              <w:szCs w:val="22"/>
              <w:lang w:eastAsia="en-AU"/>
            </w:rPr>
          </w:pPr>
          <w:hyperlink w:anchor="_Toc144110868"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_Toc144110868 \h </w:instrText>
            </w:r>
            <w:r w:rsidR="004C7298">
              <w:rPr>
                <w:noProof/>
                <w:webHidden/>
              </w:rPr>
            </w:r>
            <w:r w:rsidR="004C7298">
              <w:rPr>
                <w:noProof/>
                <w:webHidden/>
              </w:rPr>
              <w:fldChar w:fldCharType="separate"/>
            </w:r>
            <w:r w:rsidR="004C7298">
              <w:rPr>
                <w:noProof/>
                <w:webHidden/>
              </w:rPr>
              <w:t>17</w:t>
            </w:r>
            <w:r w:rsidR="004C7298">
              <w:rPr>
                <w:noProof/>
                <w:webHidden/>
              </w:rPr>
              <w:fldChar w:fldCharType="end"/>
            </w:r>
          </w:hyperlink>
        </w:p>
        <w:p w14:paraId="66D57DFF" w14:textId="4A48F58B" w:rsidR="004C7298" w:rsidRDefault="00A13E49">
          <w:pPr>
            <w:pStyle w:val="TOC3"/>
            <w:rPr>
              <w:rFonts w:asciiTheme="minorHAnsi" w:eastAsiaTheme="minorEastAsia" w:hAnsiTheme="minorHAnsi" w:cstheme="minorBidi"/>
              <w:b w:val="0"/>
              <w:noProof/>
              <w:color w:val="auto"/>
              <w:szCs w:val="22"/>
              <w:lang w:eastAsia="en-AU"/>
            </w:rPr>
          </w:pPr>
          <w:hyperlink w:anchor="_Toc144110869"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_Toc144110869 \h </w:instrText>
            </w:r>
            <w:r w:rsidR="004C7298">
              <w:rPr>
                <w:noProof/>
                <w:webHidden/>
              </w:rPr>
            </w:r>
            <w:r w:rsidR="004C7298">
              <w:rPr>
                <w:noProof/>
                <w:webHidden/>
              </w:rPr>
              <w:fldChar w:fldCharType="separate"/>
            </w:r>
            <w:r w:rsidR="004C7298">
              <w:rPr>
                <w:noProof/>
                <w:webHidden/>
              </w:rPr>
              <w:t>18</w:t>
            </w:r>
            <w:r w:rsidR="004C7298">
              <w:rPr>
                <w:noProof/>
                <w:webHidden/>
              </w:rPr>
              <w:fldChar w:fldCharType="end"/>
            </w:r>
          </w:hyperlink>
        </w:p>
        <w:p w14:paraId="274F9A4C" w14:textId="46AC1BFB" w:rsidR="004C7298" w:rsidRDefault="00A13E49">
          <w:pPr>
            <w:pStyle w:val="TOC3"/>
            <w:rPr>
              <w:rFonts w:asciiTheme="minorHAnsi" w:eastAsiaTheme="minorEastAsia" w:hAnsiTheme="minorHAnsi" w:cstheme="minorBidi"/>
              <w:b w:val="0"/>
              <w:noProof/>
              <w:color w:val="auto"/>
              <w:szCs w:val="22"/>
              <w:lang w:eastAsia="en-AU"/>
            </w:rPr>
          </w:pPr>
          <w:hyperlink w:anchor="_Toc144110870"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_Toc144110870 \h </w:instrText>
            </w:r>
            <w:r w:rsidR="004C7298">
              <w:rPr>
                <w:noProof/>
                <w:webHidden/>
              </w:rPr>
            </w:r>
            <w:r w:rsidR="004C7298">
              <w:rPr>
                <w:noProof/>
                <w:webHidden/>
              </w:rPr>
              <w:fldChar w:fldCharType="separate"/>
            </w:r>
            <w:r w:rsidR="004C7298">
              <w:rPr>
                <w:noProof/>
                <w:webHidden/>
              </w:rPr>
              <w:t>18</w:t>
            </w:r>
            <w:r w:rsidR="004C7298">
              <w:rPr>
                <w:noProof/>
                <w:webHidden/>
              </w:rPr>
              <w:fldChar w:fldCharType="end"/>
            </w:r>
          </w:hyperlink>
        </w:p>
        <w:p w14:paraId="33DF1659" w14:textId="7D59FA44" w:rsidR="004C7298" w:rsidRDefault="00A13E49">
          <w:pPr>
            <w:pStyle w:val="TOC3"/>
            <w:rPr>
              <w:rFonts w:asciiTheme="minorHAnsi" w:eastAsiaTheme="minorEastAsia" w:hAnsiTheme="minorHAnsi" w:cstheme="minorBidi"/>
              <w:b w:val="0"/>
              <w:noProof/>
              <w:color w:val="auto"/>
              <w:szCs w:val="22"/>
              <w:lang w:eastAsia="en-AU"/>
            </w:rPr>
          </w:pPr>
          <w:hyperlink w:anchor="_Toc144110871"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_Toc144110871 \h </w:instrText>
            </w:r>
            <w:r w:rsidR="004C7298">
              <w:rPr>
                <w:noProof/>
                <w:webHidden/>
              </w:rPr>
            </w:r>
            <w:r w:rsidR="004C7298">
              <w:rPr>
                <w:noProof/>
                <w:webHidden/>
              </w:rPr>
              <w:fldChar w:fldCharType="separate"/>
            </w:r>
            <w:r w:rsidR="004C7298">
              <w:rPr>
                <w:noProof/>
                <w:webHidden/>
              </w:rPr>
              <w:t>18</w:t>
            </w:r>
            <w:r w:rsidR="004C7298">
              <w:rPr>
                <w:noProof/>
                <w:webHidden/>
              </w:rPr>
              <w:fldChar w:fldCharType="end"/>
            </w:r>
          </w:hyperlink>
        </w:p>
        <w:p w14:paraId="10692BC7" w14:textId="7BF8DF7C" w:rsidR="004C7298" w:rsidRDefault="00A13E49">
          <w:pPr>
            <w:pStyle w:val="TOC3"/>
            <w:rPr>
              <w:rFonts w:asciiTheme="minorHAnsi" w:eastAsiaTheme="minorEastAsia" w:hAnsiTheme="minorHAnsi" w:cstheme="minorBidi"/>
              <w:b w:val="0"/>
              <w:noProof/>
              <w:color w:val="auto"/>
              <w:szCs w:val="22"/>
              <w:lang w:eastAsia="en-AU"/>
            </w:rPr>
          </w:pPr>
          <w:hyperlink w:anchor="_Toc144110872"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_Toc144110872 \h </w:instrText>
            </w:r>
            <w:r w:rsidR="004C7298">
              <w:rPr>
                <w:noProof/>
                <w:webHidden/>
              </w:rPr>
            </w:r>
            <w:r w:rsidR="004C7298">
              <w:rPr>
                <w:noProof/>
                <w:webHidden/>
              </w:rPr>
              <w:fldChar w:fldCharType="separate"/>
            </w:r>
            <w:r w:rsidR="004C7298">
              <w:rPr>
                <w:noProof/>
                <w:webHidden/>
              </w:rPr>
              <w:t>18</w:t>
            </w:r>
            <w:r w:rsidR="004C7298">
              <w:rPr>
                <w:noProof/>
                <w:webHidden/>
              </w:rPr>
              <w:fldChar w:fldCharType="end"/>
            </w:r>
          </w:hyperlink>
        </w:p>
        <w:p w14:paraId="2DC123CC" w14:textId="4C95CD98" w:rsidR="004C7298" w:rsidRDefault="00A13E49">
          <w:pPr>
            <w:pStyle w:val="TOC3"/>
            <w:rPr>
              <w:rFonts w:asciiTheme="minorHAnsi" w:eastAsiaTheme="minorEastAsia" w:hAnsiTheme="minorHAnsi" w:cstheme="minorBidi"/>
              <w:b w:val="0"/>
              <w:noProof/>
              <w:color w:val="auto"/>
              <w:szCs w:val="22"/>
              <w:lang w:eastAsia="en-AU"/>
            </w:rPr>
          </w:pPr>
          <w:hyperlink w:anchor="_Toc144110873"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_Toc144110873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65870CEB" w14:textId="50559A4E"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874" w:history="1">
            <w:r w:rsidR="004C7298" w:rsidRPr="006D24F3">
              <w:rPr>
                <w:rStyle w:val="Hyperlink"/>
                <w:noProof/>
              </w:rPr>
              <w:t>1.5</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Methenamine</w:t>
            </w:r>
            <w:r w:rsidR="004C7298">
              <w:rPr>
                <w:noProof/>
                <w:webHidden/>
              </w:rPr>
              <w:tab/>
            </w:r>
            <w:r w:rsidR="004C7298">
              <w:rPr>
                <w:noProof/>
                <w:webHidden/>
              </w:rPr>
              <w:fldChar w:fldCharType="begin"/>
            </w:r>
            <w:r w:rsidR="004C7298">
              <w:rPr>
                <w:noProof/>
                <w:webHidden/>
              </w:rPr>
              <w:instrText xml:space="preserve"> PAGEREF _Toc144110874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09077BFA" w14:textId="5CE2F17E" w:rsidR="004C7298" w:rsidRDefault="00A13E49">
          <w:pPr>
            <w:pStyle w:val="TOC3"/>
            <w:rPr>
              <w:rFonts w:asciiTheme="minorHAnsi" w:eastAsiaTheme="minorEastAsia" w:hAnsiTheme="minorHAnsi" w:cstheme="minorBidi"/>
              <w:b w:val="0"/>
              <w:noProof/>
              <w:color w:val="auto"/>
              <w:szCs w:val="22"/>
              <w:lang w:eastAsia="en-AU"/>
            </w:rPr>
          </w:pPr>
          <w:hyperlink w:anchor="_Toc144110875"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_Toc144110875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7F2BC8CF" w14:textId="013D5063" w:rsidR="004C7298" w:rsidRDefault="00A13E49">
          <w:pPr>
            <w:pStyle w:val="TOC3"/>
            <w:rPr>
              <w:rFonts w:asciiTheme="minorHAnsi" w:eastAsiaTheme="minorEastAsia" w:hAnsiTheme="minorHAnsi" w:cstheme="minorBidi"/>
              <w:b w:val="0"/>
              <w:noProof/>
              <w:color w:val="auto"/>
              <w:szCs w:val="22"/>
              <w:lang w:eastAsia="en-AU"/>
            </w:rPr>
          </w:pPr>
          <w:hyperlink w:anchor="_Toc144110876"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_Toc144110876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4DC3A6BB" w14:textId="0220CE3A" w:rsidR="004C7298" w:rsidRDefault="00A13E49">
          <w:pPr>
            <w:pStyle w:val="TOC3"/>
            <w:rPr>
              <w:rFonts w:asciiTheme="minorHAnsi" w:eastAsiaTheme="minorEastAsia" w:hAnsiTheme="minorHAnsi" w:cstheme="minorBidi"/>
              <w:b w:val="0"/>
              <w:noProof/>
              <w:color w:val="auto"/>
              <w:szCs w:val="22"/>
              <w:lang w:eastAsia="en-AU"/>
            </w:rPr>
          </w:pPr>
          <w:hyperlink w:anchor="_Toc144110877"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_Toc144110877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65E045BF" w14:textId="6D71E2D5" w:rsidR="004C7298" w:rsidRDefault="00A13E49">
          <w:pPr>
            <w:pStyle w:val="TOC3"/>
            <w:rPr>
              <w:rFonts w:asciiTheme="minorHAnsi" w:eastAsiaTheme="minorEastAsia" w:hAnsiTheme="minorHAnsi" w:cstheme="minorBidi"/>
              <w:b w:val="0"/>
              <w:noProof/>
              <w:color w:val="auto"/>
              <w:szCs w:val="22"/>
              <w:lang w:eastAsia="en-AU"/>
            </w:rPr>
          </w:pPr>
          <w:hyperlink w:anchor="_Toc144110878"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_Toc144110878 \h </w:instrText>
            </w:r>
            <w:r w:rsidR="004C7298">
              <w:rPr>
                <w:noProof/>
                <w:webHidden/>
              </w:rPr>
            </w:r>
            <w:r w:rsidR="004C7298">
              <w:rPr>
                <w:noProof/>
                <w:webHidden/>
              </w:rPr>
              <w:fldChar w:fldCharType="separate"/>
            </w:r>
            <w:r w:rsidR="004C7298">
              <w:rPr>
                <w:noProof/>
                <w:webHidden/>
              </w:rPr>
              <w:t>20</w:t>
            </w:r>
            <w:r w:rsidR="004C7298">
              <w:rPr>
                <w:noProof/>
                <w:webHidden/>
              </w:rPr>
              <w:fldChar w:fldCharType="end"/>
            </w:r>
          </w:hyperlink>
        </w:p>
        <w:p w14:paraId="67E0AD37" w14:textId="11057511" w:rsidR="004C7298" w:rsidRDefault="00A13E49">
          <w:pPr>
            <w:pStyle w:val="TOC3"/>
            <w:rPr>
              <w:rFonts w:asciiTheme="minorHAnsi" w:eastAsiaTheme="minorEastAsia" w:hAnsiTheme="minorHAnsi" w:cstheme="minorBidi"/>
              <w:b w:val="0"/>
              <w:noProof/>
              <w:color w:val="auto"/>
              <w:szCs w:val="22"/>
              <w:lang w:eastAsia="en-AU"/>
            </w:rPr>
          </w:pPr>
          <w:hyperlink w:anchor="_Toc144110879"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_Toc144110879 \h </w:instrText>
            </w:r>
            <w:r w:rsidR="004C7298">
              <w:rPr>
                <w:noProof/>
                <w:webHidden/>
              </w:rPr>
            </w:r>
            <w:r w:rsidR="004C7298">
              <w:rPr>
                <w:noProof/>
                <w:webHidden/>
              </w:rPr>
              <w:fldChar w:fldCharType="separate"/>
            </w:r>
            <w:r w:rsidR="004C7298">
              <w:rPr>
                <w:noProof/>
                <w:webHidden/>
              </w:rPr>
              <w:t>21</w:t>
            </w:r>
            <w:r w:rsidR="004C7298">
              <w:rPr>
                <w:noProof/>
                <w:webHidden/>
              </w:rPr>
              <w:fldChar w:fldCharType="end"/>
            </w:r>
          </w:hyperlink>
        </w:p>
        <w:p w14:paraId="31620859" w14:textId="389A98AE" w:rsidR="004C7298" w:rsidRDefault="00A13E49">
          <w:pPr>
            <w:pStyle w:val="TOC3"/>
            <w:rPr>
              <w:rFonts w:asciiTheme="minorHAnsi" w:eastAsiaTheme="minorEastAsia" w:hAnsiTheme="minorHAnsi" w:cstheme="minorBidi"/>
              <w:b w:val="0"/>
              <w:noProof/>
              <w:color w:val="auto"/>
              <w:szCs w:val="22"/>
              <w:lang w:eastAsia="en-AU"/>
            </w:rPr>
          </w:pPr>
          <w:hyperlink w:anchor="_Toc144110880"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_Toc144110880 \h </w:instrText>
            </w:r>
            <w:r w:rsidR="004C7298">
              <w:rPr>
                <w:noProof/>
                <w:webHidden/>
              </w:rPr>
            </w:r>
            <w:r w:rsidR="004C7298">
              <w:rPr>
                <w:noProof/>
                <w:webHidden/>
              </w:rPr>
              <w:fldChar w:fldCharType="separate"/>
            </w:r>
            <w:r w:rsidR="004C7298">
              <w:rPr>
                <w:noProof/>
                <w:webHidden/>
              </w:rPr>
              <w:t>21</w:t>
            </w:r>
            <w:r w:rsidR="004C7298">
              <w:rPr>
                <w:noProof/>
                <w:webHidden/>
              </w:rPr>
              <w:fldChar w:fldCharType="end"/>
            </w:r>
          </w:hyperlink>
        </w:p>
        <w:p w14:paraId="18E7115B" w14:textId="748D5C79" w:rsidR="004C7298" w:rsidRDefault="00A13E49">
          <w:pPr>
            <w:pStyle w:val="TOC3"/>
            <w:rPr>
              <w:rFonts w:asciiTheme="minorHAnsi" w:eastAsiaTheme="minorEastAsia" w:hAnsiTheme="minorHAnsi" w:cstheme="minorBidi"/>
              <w:b w:val="0"/>
              <w:noProof/>
              <w:color w:val="auto"/>
              <w:szCs w:val="22"/>
              <w:lang w:eastAsia="en-AU"/>
            </w:rPr>
          </w:pPr>
          <w:hyperlink w:anchor="_Toc144110881"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_Toc144110881 \h </w:instrText>
            </w:r>
            <w:r w:rsidR="004C7298">
              <w:rPr>
                <w:noProof/>
                <w:webHidden/>
              </w:rPr>
            </w:r>
            <w:r w:rsidR="004C7298">
              <w:rPr>
                <w:noProof/>
                <w:webHidden/>
              </w:rPr>
              <w:fldChar w:fldCharType="separate"/>
            </w:r>
            <w:r w:rsidR="004C7298">
              <w:rPr>
                <w:noProof/>
                <w:webHidden/>
              </w:rPr>
              <w:t>21</w:t>
            </w:r>
            <w:r w:rsidR="004C7298">
              <w:rPr>
                <w:noProof/>
                <w:webHidden/>
              </w:rPr>
              <w:fldChar w:fldCharType="end"/>
            </w:r>
          </w:hyperlink>
        </w:p>
        <w:p w14:paraId="73918D6C" w14:textId="0BAC07EA" w:rsidR="004C7298" w:rsidRDefault="00A13E49">
          <w:pPr>
            <w:pStyle w:val="TOC3"/>
            <w:rPr>
              <w:rFonts w:asciiTheme="minorHAnsi" w:eastAsiaTheme="minorEastAsia" w:hAnsiTheme="minorHAnsi" w:cstheme="minorBidi"/>
              <w:b w:val="0"/>
              <w:noProof/>
              <w:color w:val="auto"/>
              <w:szCs w:val="22"/>
              <w:lang w:eastAsia="en-AU"/>
            </w:rPr>
          </w:pPr>
          <w:hyperlink w:anchor="_Toc144110882"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_Toc144110882 \h </w:instrText>
            </w:r>
            <w:r w:rsidR="004C7298">
              <w:rPr>
                <w:noProof/>
                <w:webHidden/>
              </w:rPr>
            </w:r>
            <w:r w:rsidR="004C7298">
              <w:rPr>
                <w:noProof/>
                <w:webHidden/>
              </w:rPr>
              <w:fldChar w:fldCharType="separate"/>
            </w:r>
            <w:r w:rsidR="004C7298">
              <w:rPr>
                <w:noProof/>
                <w:webHidden/>
              </w:rPr>
              <w:t>22</w:t>
            </w:r>
            <w:r w:rsidR="004C7298">
              <w:rPr>
                <w:noProof/>
                <w:webHidden/>
              </w:rPr>
              <w:fldChar w:fldCharType="end"/>
            </w:r>
          </w:hyperlink>
        </w:p>
        <w:p w14:paraId="31EB5F5F" w14:textId="10EA4390" w:rsidR="004C7298" w:rsidRDefault="00A13E49">
          <w:pPr>
            <w:pStyle w:val="TOC3"/>
            <w:rPr>
              <w:rFonts w:asciiTheme="minorHAnsi" w:eastAsiaTheme="minorEastAsia" w:hAnsiTheme="minorHAnsi" w:cstheme="minorBidi"/>
              <w:b w:val="0"/>
              <w:noProof/>
              <w:color w:val="auto"/>
              <w:szCs w:val="22"/>
              <w:lang w:eastAsia="en-AU"/>
            </w:rPr>
          </w:pPr>
          <w:hyperlink w:anchor="_Toc144110883"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_Toc144110883 \h </w:instrText>
            </w:r>
            <w:r w:rsidR="004C7298">
              <w:rPr>
                <w:noProof/>
                <w:webHidden/>
              </w:rPr>
            </w:r>
            <w:r w:rsidR="004C7298">
              <w:rPr>
                <w:noProof/>
                <w:webHidden/>
              </w:rPr>
              <w:fldChar w:fldCharType="separate"/>
            </w:r>
            <w:r w:rsidR="004C7298">
              <w:rPr>
                <w:noProof/>
                <w:webHidden/>
              </w:rPr>
              <w:t>22</w:t>
            </w:r>
            <w:r w:rsidR="004C7298">
              <w:rPr>
                <w:noProof/>
                <w:webHidden/>
              </w:rPr>
              <w:fldChar w:fldCharType="end"/>
            </w:r>
          </w:hyperlink>
        </w:p>
        <w:p w14:paraId="2DB69229" w14:textId="34FEA5DD" w:rsidR="004C7298" w:rsidRDefault="00A13E49">
          <w:pPr>
            <w:pStyle w:val="TOC3"/>
            <w:rPr>
              <w:rFonts w:asciiTheme="minorHAnsi" w:eastAsiaTheme="minorEastAsia" w:hAnsiTheme="minorHAnsi" w:cstheme="minorBidi"/>
              <w:b w:val="0"/>
              <w:noProof/>
              <w:color w:val="auto"/>
              <w:szCs w:val="22"/>
              <w:lang w:eastAsia="en-AU"/>
            </w:rPr>
          </w:pPr>
          <w:hyperlink w:anchor="_Toc144110884"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_Toc144110884 \h </w:instrText>
            </w:r>
            <w:r w:rsidR="004C7298">
              <w:rPr>
                <w:noProof/>
                <w:webHidden/>
              </w:rPr>
            </w:r>
            <w:r w:rsidR="004C7298">
              <w:rPr>
                <w:noProof/>
                <w:webHidden/>
              </w:rPr>
              <w:fldChar w:fldCharType="separate"/>
            </w:r>
            <w:r w:rsidR="004C7298">
              <w:rPr>
                <w:noProof/>
                <w:webHidden/>
              </w:rPr>
              <w:t>22</w:t>
            </w:r>
            <w:r w:rsidR="004C7298">
              <w:rPr>
                <w:noProof/>
                <w:webHidden/>
              </w:rPr>
              <w:fldChar w:fldCharType="end"/>
            </w:r>
          </w:hyperlink>
        </w:p>
        <w:p w14:paraId="5011EFC8" w14:textId="53D735D4"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885" w:history="1">
            <w:r w:rsidR="004C7298" w:rsidRPr="006D24F3">
              <w:rPr>
                <w:rStyle w:val="Hyperlink"/>
                <w:noProof/>
              </w:rPr>
              <w:t>1.6</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Naratriptan</w:t>
            </w:r>
            <w:r w:rsidR="004C7298">
              <w:rPr>
                <w:noProof/>
                <w:webHidden/>
              </w:rPr>
              <w:tab/>
            </w:r>
            <w:r w:rsidR="004C7298">
              <w:rPr>
                <w:noProof/>
                <w:webHidden/>
              </w:rPr>
              <w:fldChar w:fldCharType="begin"/>
            </w:r>
            <w:r w:rsidR="004C7298">
              <w:rPr>
                <w:noProof/>
                <w:webHidden/>
              </w:rPr>
              <w:instrText xml:space="preserve"> PAGEREF _Toc144110885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5B28B108" w14:textId="0E65DBEC" w:rsidR="004C7298" w:rsidRDefault="00A13E49">
          <w:pPr>
            <w:pStyle w:val="TOC3"/>
            <w:rPr>
              <w:rFonts w:asciiTheme="minorHAnsi" w:eastAsiaTheme="minorEastAsia" w:hAnsiTheme="minorHAnsi" w:cstheme="minorBidi"/>
              <w:b w:val="0"/>
              <w:noProof/>
              <w:color w:val="auto"/>
              <w:szCs w:val="22"/>
              <w:lang w:eastAsia="en-AU"/>
            </w:rPr>
          </w:pPr>
          <w:hyperlink w:anchor="_Toc144110886"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_Toc144110886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431C76E4" w14:textId="5CB4661E" w:rsidR="004C7298" w:rsidRDefault="00A13E49">
          <w:pPr>
            <w:pStyle w:val="TOC3"/>
            <w:rPr>
              <w:rFonts w:asciiTheme="minorHAnsi" w:eastAsiaTheme="minorEastAsia" w:hAnsiTheme="minorHAnsi" w:cstheme="minorBidi"/>
              <w:b w:val="0"/>
              <w:noProof/>
              <w:color w:val="auto"/>
              <w:szCs w:val="22"/>
              <w:lang w:eastAsia="en-AU"/>
            </w:rPr>
          </w:pPr>
          <w:hyperlink w:anchor="_Toc144110887"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_Toc144110887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3609F3C0" w14:textId="07D49775" w:rsidR="004C7298" w:rsidRDefault="00A13E49">
          <w:pPr>
            <w:pStyle w:val="TOC3"/>
            <w:rPr>
              <w:rFonts w:asciiTheme="minorHAnsi" w:eastAsiaTheme="minorEastAsia" w:hAnsiTheme="minorHAnsi" w:cstheme="minorBidi"/>
              <w:b w:val="0"/>
              <w:noProof/>
              <w:color w:val="auto"/>
              <w:szCs w:val="22"/>
              <w:lang w:eastAsia="en-AU"/>
            </w:rPr>
          </w:pPr>
          <w:hyperlink w:anchor="_Toc144110888"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_Toc144110888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36D8EE4F" w14:textId="7B58A5C3" w:rsidR="004C7298" w:rsidRDefault="00A13E49">
          <w:pPr>
            <w:pStyle w:val="TOC3"/>
            <w:rPr>
              <w:rFonts w:asciiTheme="minorHAnsi" w:eastAsiaTheme="minorEastAsia" w:hAnsiTheme="minorHAnsi" w:cstheme="minorBidi"/>
              <w:b w:val="0"/>
              <w:noProof/>
              <w:color w:val="auto"/>
              <w:szCs w:val="22"/>
              <w:lang w:eastAsia="en-AU"/>
            </w:rPr>
          </w:pPr>
          <w:hyperlink w:anchor="_Toc144110889"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_Toc144110889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3B3B1335" w14:textId="1D745FD3" w:rsidR="004C7298" w:rsidRDefault="00A13E49">
          <w:pPr>
            <w:pStyle w:val="TOC3"/>
            <w:rPr>
              <w:rFonts w:asciiTheme="minorHAnsi" w:eastAsiaTheme="minorEastAsia" w:hAnsiTheme="minorHAnsi" w:cstheme="minorBidi"/>
              <w:b w:val="0"/>
              <w:noProof/>
              <w:color w:val="auto"/>
              <w:szCs w:val="22"/>
              <w:lang w:eastAsia="en-AU"/>
            </w:rPr>
          </w:pPr>
          <w:hyperlink w:anchor="_Toc144110890"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_Toc144110890 \h </w:instrText>
            </w:r>
            <w:r w:rsidR="004C7298">
              <w:rPr>
                <w:noProof/>
                <w:webHidden/>
              </w:rPr>
            </w:r>
            <w:r w:rsidR="004C7298">
              <w:rPr>
                <w:noProof/>
                <w:webHidden/>
              </w:rPr>
              <w:fldChar w:fldCharType="separate"/>
            </w:r>
            <w:r w:rsidR="004C7298">
              <w:rPr>
                <w:noProof/>
                <w:webHidden/>
              </w:rPr>
              <w:t>23</w:t>
            </w:r>
            <w:r w:rsidR="004C7298">
              <w:rPr>
                <w:noProof/>
                <w:webHidden/>
              </w:rPr>
              <w:fldChar w:fldCharType="end"/>
            </w:r>
          </w:hyperlink>
        </w:p>
        <w:p w14:paraId="645CAF2B" w14:textId="5F217AF1" w:rsidR="004C7298" w:rsidRDefault="00A13E49">
          <w:pPr>
            <w:pStyle w:val="TOC3"/>
            <w:rPr>
              <w:rFonts w:asciiTheme="minorHAnsi" w:eastAsiaTheme="minorEastAsia" w:hAnsiTheme="minorHAnsi" w:cstheme="minorBidi"/>
              <w:b w:val="0"/>
              <w:noProof/>
              <w:color w:val="auto"/>
              <w:szCs w:val="22"/>
              <w:lang w:eastAsia="en-AU"/>
            </w:rPr>
          </w:pPr>
          <w:hyperlink w:anchor="_Toc144110891"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_Toc144110891 \h </w:instrText>
            </w:r>
            <w:r w:rsidR="004C7298">
              <w:rPr>
                <w:noProof/>
                <w:webHidden/>
              </w:rPr>
            </w:r>
            <w:r w:rsidR="004C7298">
              <w:rPr>
                <w:noProof/>
                <w:webHidden/>
              </w:rPr>
              <w:fldChar w:fldCharType="separate"/>
            </w:r>
            <w:r w:rsidR="004C7298">
              <w:rPr>
                <w:noProof/>
                <w:webHidden/>
              </w:rPr>
              <w:t>24</w:t>
            </w:r>
            <w:r w:rsidR="004C7298">
              <w:rPr>
                <w:noProof/>
                <w:webHidden/>
              </w:rPr>
              <w:fldChar w:fldCharType="end"/>
            </w:r>
          </w:hyperlink>
        </w:p>
        <w:p w14:paraId="52B8F96F" w14:textId="6FE97006" w:rsidR="004C7298" w:rsidRDefault="00A13E49">
          <w:pPr>
            <w:pStyle w:val="TOC3"/>
            <w:rPr>
              <w:rFonts w:asciiTheme="minorHAnsi" w:eastAsiaTheme="minorEastAsia" w:hAnsiTheme="minorHAnsi" w:cstheme="minorBidi"/>
              <w:b w:val="0"/>
              <w:noProof/>
              <w:color w:val="auto"/>
              <w:szCs w:val="22"/>
              <w:lang w:eastAsia="en-AU"/>
            </w:rPr>
          </w:pPr>
          <w:hyperlink w:anchor="_Toc144110892"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_Toc144110892 \h </w:instrText>
            </w:r>
            <w:r w:rsidR="004C7298">
              <w:rPr>
                <w:noProof/>
                <w:webHidden/>
              </w:rPr>
            </w:r>
            <w:r w:rsidR="004C7298">
              <w:rPr>
                <w:noProof/>
                <w:webHidden/>
              </w:rPr>
              <w:fldChar w:fldCharType="separate"/>
            </w:r>
            <w:r w:rsidR="004C7298">
              <w:rPr>
                <w:noProof/>
                <w:webHidden/>
              </w:rPr>
              <w:t>24</w:t>
            </w:r>
            <w:r w:rsidR="004C7298">
              <w:rPr>
                <w:noProof/>
                <w:webHidden/>
              </w:rPr>
              <w:fldChar w:fldCharType="end"/>
            </w:r>
          </w:hyperlink>
        </w:p>
        <w:p w14:paraId="1D45F7FC" w14:textId="1EF8B2E4" w:rsidR="004C7298" w:rsidRDefault="00A13E49">
          <w:pPr>
            <w:pStyle w:val="TOC3"/>
            <w:rPr>
              <w:rFonts w:asciiTheme="minorHAnsi" w:eastAsiaTheme="minorEastAsia" w:hAnsiTheme="minorHAnsi" w:cstheme="minorBidi"/>
              <w:b w:val="0"/>
              <w:noProof/>
              <w:color w:val="auto"/>
              <w:szCs w:val="22"/>
              <w:lang w:eastAsia="en-AU"/>
            </w:rPr>
          </w:pPr>
          <w:hyperlink w:anchor="_Toc144110893"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_Toc144110893 \h </w:instrText>
            </w:r>
            <w:r w:rsidR="004C7298">
              <w:rPr>
                <w:noProof/>
                <w:webHidden/>
              </w:rPr>
            </w:r>
            <w:r w:rsidR="004C7298">
              <w:rPr>
                <w:noProof/>
                <w:webHidden/>
              </w:rPr>
              <w:fldChar w:fldCharType="separate"/>
            </w:r>
            <w:r w:rsidR="004C7298">
              <w:rPr>
                <w:noProof/>
                <w:webHidden/>
              </w:rPr>
              <w:t>24</w:t>
            </w:r>
            <w:r w:rsidR="004C7298">
              <w:rPr>
                <w:noProof/>
                <w:webHidden/>
              </w:rPr>
              <w:fldChar w:fldCharType="end"/>
            </w:r>
          </w:hyperlink>
        </w:p>
        <w:p w14:paraId="20473E2A" w14:textId="33890079" w:rsidR="004C7298" w:rsidRDefault="00A13E49">
          <w:pPr>
            <w:pStyle w:val="TOC3"/>
            <w:rPr>
              <w:rFonts w:asciiTheme="minorHAnsi" w:eastAsiaTheme="minorEastAsia" w:hAnsiTheme="minorHAnsi" w:cstheme="minorBidi"/>
              <w:b w:val="0"/>
              <w:noProof/>
              <w:color w:val="auto"/>
              <w:szCs w:val="22"/>
              <w:lang w:eastAsia="en-AU"/>
            </w:rPr>
          </w:pPr>
          <w:hyperlink w:anchor="_Toc144110894"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_Toc144110894 \h </w:instrText>
            </w:r>
            <w:r w:rsidR="004C7298">
              <w:rPr>
                <w:noProof/>
                <w:webHidden/>
              </w:rPr>
            </w:r>
            <w:r w:rsidR="004C7298">
              <w:rPr>
                <w:noProof/>
                <w:webHidden/>
              </w:rPr>
              <w:fldChar w:fldCharType="separate"/>
            </w:r>
            <w:r w:rsidR="004C7298">
              <w:rPr>
                <w:noProof/>
                <w:webHidden/>
              </w:rPr>
              <w:t>24</w:t>
            </w:r>
            <w:r w:rsidR="004C7298">
              <w:rPr>
                <w:noProof/>
                <w:webHidden/>
              </w:rPr>
              <w:fldChar w:fldCharType="end"/>
            </w:r>
          </w:hyperlink>
        </w:p>
        <w:p w14:paraId="68288CE6" w14:textId="1D27A0B8" w:rsidR="004C7298" w:rsidRDefault="00A13E49">
          <w:pPr>
            <w:pStyle w:val="TOC3"/>
            <w:rPr>
              <w:rFonts w:asciiTheme="minorHAnsi" w:eastAsiaTheme="minorEastAsia" w:hAnsiTheme="minorHAnsi" w:cstheme="minorBidi"/>
              <w:b w:val="0"/>
              <w:noProof/>
              <w:color w:val="auto"/>
              <w:szCs w:val="22"/>
              <w:lang w:eastAsia="en-AU"/>
            </w:rPr>
          </w:pPr>
          <w:hyperlink w:anchor="_Toc144110895"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_Toc144110895 \h </w:instrText>
            </w:r>
            <w:r w:rsidR="004C7298">
              <w:rPr>
                <w:noProof/>
                <w:webHidden/>
              </w:rPr>
            </w:r>
            <w:r w:rsidR="004C7298">
              <w:rPr>
                <w:noProof/>
                <w:webHidden/>
              </w:rPr>
              <w:fldChar w:fldCharType="separate"/>
            </w:r>
            <w:r w:rsidR="004C7298">
              <w:rPr>
                <w:noProof/>
                <w:webHidden/>
              </w:rPr>
              <w:t>25</w:t>
            </w:r>
            <w:r w:rsidR="004C7298">
              <w:rPr>
                <w:noProof/>
                <w:webHidden/>
              </w:rPr>
              <w:fldChar w:fldCharType="end"/>
            </w:r>
          </w:hyperlink>
        </w:p>
        <w:p w14:paraId="76B243DF" w14:textId="429FEF92"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896" w:history="1">
            <w:r w:rsidR="004C7298" w:rsidRPr="006D24F3">
              <w:rPr>
                <w:rStyle w:val="Hyperlink"/>
                <w:noProof/>
              </w:rPr>
              <w:t>1.7</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Paracetamol</w:t>
            </w:r>
            <w:r w:rsidR="004C7298">
              <w:rPr>
                <w:noProof/>
                <w:webHidden/>
              </w:rPr>
              <w:tab/>
            </w:r>
            <w:r w:rsidR="004C7298">
              <w:rPr>
                <w:noProof/>
                <w:webHidden/>
              </w:rPr>
              <w:fldChar w:fldCharType="begin"/>
            </w:r>
            <w:r w:rsidR="004C7298">
              <w:rPr>
                <w:noProof/>
                <w:webHidden/>
              </w:rPr>
              <w:instrText xml:space="preserve"> PAGEREF _Toc144110896 \h </w:instrText>
            </w:r>
            <w:r w:rsidR="004C7298">
              <w:rPr>
                <w:noProof/>
                <w:webHidden/>
              </w:rPr>
            </w:r>
            <w:r w:rsidR="004C7298">
              <w:rPr>
                <w:noProof/>
                <w:webHidden/>
              </w:rPr>
              <w:fldChar w:fldCharType="separate"/>
            </w:r>
            <w:r w:rsidR="004C7298">
              <w:rPr>
                <w:noProof/>
                <w:webHidden/>
              </w:rPr>
              <w:t>26</w:t>
            </w:r>
            <w:r w:rsidR="004C7298">
              <w:rPr>
                <w:noProof/>
                <w:webHidden/>
              </w:rPr>
              <w:fldChar w:fldCharType="end"/>
            </w:r>
          </w:hyperlink>
        </w:p>
        <w:p w14:paraId="2FE2A691" w14:textId="00EFE7F3" w:rsidR="004C7298" w:rsidRDefault="00A13E49">
          <w:pPr>
            <w:pStyle w:val="TOC3"/>
            <w:rPr>
              <w:rFonts w:asciiTheme="minorHAnsi" w:eastAsiaTheme="minorEastAsia" w:hAnsiTheme="minorHAnsi" w:cstheme="minorBidi"/>
              <w:b w:val="0"/>
              <w:noProof/>
              <w:color w:val="auto"/>
              <w:szCs w:val="22"/>
              <w:lang w:eastAsia="en-AU"/>
            </w:rPr>
          </w:pPr>
          <w:hyperlink w:anchor="_Toc144110897"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_Toc144110897 \h </w:instrText>
            </w:r>
            <w:r w:rsidR="004C7298">
              <w:rPr>
                <w:noProof/>
                <w:webHidden/>
              </w:rPr>
            </w:r>
            <w:r w:rsidR="004C7298">
              <w:rPr>
                <w:noProof/>
                <w:webHidden/>
              </w:rPr>
              <w:fldChar w:fldCharType="separate"/>
            </w:r>
            <w:r w:rsidR="004C7298">
              <w:rPr>
                <w:noProof/>
                <w:webHidden/>
              </w:rPr>
              <w:t>26</w:t>
            </w:r>
            <w:r w:rsidR="004C7298">
              <w:rPr>
                <w:noProof/>
                <w:webHidden/>
              </w:rPr>
              <w:fldChar w:fldCharType="end"/>
            </w:r>
          </w:hyperlink>
        </w:p>
        <w:p w14:paraId="251CD986" w14:textId="3CD449E4" w:rsidR="004C7298" w:rsidRDefault="00A13E49">
          <w:pPr>
            <w:pStyle w:val="TOC3"/>
            <w:rPr>
              <w:rFonts w:asciiTheme="minorHAnsi" w:eastAsiaTheme="minorEastAsia" w:hAnsiTheme="minorHAnsi" w:cstheme="minorBidi"/>
              <w:b w:val="0"/>
              <w:noProof/>
              <w:color w:val="auto"/>
              <w:szCs w:val="22"/>
              <w:lang w:eastAsia="en-AU"/>
            </w:rPr>
          </w:pPr>
          <w:hyperlink w:anchor="_Toc144110898"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_Toc144110898 \h </w:instrText>
            </w:r>
            <w:r w:rsidR="004C7298">
              <w:rPr>
                <w:noProof/>
                <w:webHidden/>
              </w:rPr>
            </w:r>
            <w:r w:rsidR="004C7298">
              <w:rPr>
                <w:noProof/>
                <w:webHidden/>
              </w:rPr>
              <w:fldChar w:fldCharType="separate"/>
            </w:r>
            <w:r w:rsidR="004C7298">
              <w:rPr>
                <w:noProof/>
                <w:webHidden/>
              </w:rPr>
              <w:t>26</w:t>
            </w:r>
            <w:r w:rsidR="004C7298">
              <w:rPr>
                <w:noProof/>
                <w:webHidden/>
              </w:rPr>
              <w:fldChar w:fldCharType="end"/>
            </w:r>
          </w:hyperlink>
        </w:p>
        <w:p w14:paraId="5ED1C324" w14:textId="0EA54992" w:rsidR="004C7298" w:rsidRDefault="00A13E49">
          <w:pPr>
            <w:pStyle w:val="TOC3"/>
            <w:rPr>
              <w:rFonts w:asciiTheme="minorHAnsi" w:eastAsiaTheme="minorEastAsia" w:hAnsiTheme="minorHAnsi" w:cstheme="minorBidi"/>
              <w:b w:val="0"/>
              <w:noProof/>
              <w:color w:val="auto"/>
              <w:szCs w:val="22"/>
              <w:lang w:eastAsia="en-AU"/>
            </w:rPr>
          </w:pPr>
          <w:hyperlink w:anchor="_Toc144110899"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_Toc144110899 \h </w:instrText>
            </w:r>
            <w:r w:rsidR="004C7298">
              <w:rPr>
                <w:noProof/>
                <w:webHidden/>
              </w:rPr>
            </w:r>
            <w:r w:rsidR="004C7298">
              <w:rPr>
                <w:noProof/>
                <w:webHidden/>
              </w:rPr>
              <w:fldChar w:fldCharType="separate"/>
            </w:r>
            <w:r w:rsidR="004C7298">
              <w:rPr>
                <w:noProof/>
                <w:webHidden/>
              </w:rPr>
              <w:t>26</w:t>
            </w:r>
            <w:r w:rsidR="004C7298">
              <w:rPr>
                <w:noProof/>
                <w:webHidden/>
              </w:rPr>
              <w:fldChar w:fldCharType="end"/>
            </w:r>
          </w:hyperlink>
        </w:p>
        <w:p w14:paraId="303837A3" w14:textId="2ADB7CBD" w:rsidR="004C7298" w:rsidRDefault="00A13E49">
          <w:pPr>
            <w:pStyle w:val="TOC3"/>
            <w:rPr>
              <w:rFonts w:asciiTheme="minorHAnsi" w:eastAsiaTheme="minorEastAsia" w:hAnsiTheme="minorHAnsi" w:cstheme="minorBidi"/>
              <w:b w:val="0"/>
              <w:noProof/>
              <w:color w:val="auto"/>
              <w:szCs w:val="22"/>
              <w:lang w:eastAsia="en-AU"/>
            </w:rPr>
          </w:pPr>
          <w:hyperlink w:anchor="_Toc144110900"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_Toc144110900 \h </w:instrText>
            </w:r>
            <w:r w:rsidR="004C7298">
              <w:rPr>
                <w:noProof/>
                <w:webHidden/>
              </w:rPr>
            </w:r>
            <w:r w:rsidR="004C7298">
              <w:rPr>
                <w:noProof/>
                <w:webHidden/>
              </w:rPr>
              <w:fldChar w:fldCharType="separate"/>
            </w:r>
            <w:r w:rsidR="004C7298">
              <w:rPr>
                <w:noProof/>
                <w:webHidden/>
              </w:rPr>
              <w:t>26</w:t>
            </w:r>
            <w:r w:rsidR="004C7298">
              <w:rPr>
                <w:noProof/>
                <w:webHidden/>
              </w:rPr>
              <w:fldChar w:fldCharType="end"/>
            </w:r>
          </w:hyperlink>
        </w:p>
        <w:p w14:paraId="77BB2FD8" w14:textId="1C6573DC" w:rsidR="004C7298" w:rsidRDefault="00A13E49">
          <w:pPr>
            <w:pStyle w:val="TOC3"/>
            <w:rPr>
              <w:rFonts w:asciiTheme="minorHAnsi" w:eastAsiaTheme="minorEastAsia" w:hAnsiTheme="minorHAnsi" w:cstheme="minorBidi"/>
              <w:b w:val="0"/>
              <w:noProof/>
              <w:color w:val="auto"/>
              <w:szCs w:val="22"/>
              <w:lang w:eastAsia="en-AU"/>
            </w:rPr>
          </w:pPr>
          <w:hyperlink w:anchor="_Toc144110901"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_Toc144110901 \h </w:instrText>
            </w:r>
            <w:r w:rsidR="004C7298">
              <w:rPr>
                <w:noProof/>
                <w:webHidden/>
              </w:rPr>
            </w:r>
            <w:r w:rsidR="004C7298">
              <w:rPr>
                <w:noProof/>
                <w:webHidden/>
              </w:rPr>
              <w:fldChar w:fldCharType="separate"/>
            </w:r>
            <w:r w:rsidR="004C7298">
              <w:rPr>
                <w:noProof/>
                <w:webHidden/>
              </w:rPr>
              <w:t>29</w:t>
            </w:r>
            <w:r w:rsidR="004C7298">
              <w:rPr>
                <w:noProof/>
                <w:webHidden/>
              </w:rPr>
              <w:fldChar w:fldCharType="end"/>
            </w:r>
          </w:hyperlink>
        </w:p>
        <w:p w14:paraId="6327642F" w14:textId="55F68C7D" w:rsidR="004C7298" w:rsidRDefault="00A13E49">
          <w:pPr>
            <w:pStyle w:val="TOC3"/>
            <w:rPr>
              <w:rFonts w:asciiTheme="minorHAnsi" w:eastAsiaTheme="minorEastAsia" w:hAnsiTheme="minorHAnsi" w:cstheme="minorBidi"/>
              <w:b w:val="0"/>
              <w:noProof/>
              <w:color w:val="auto"/>
              <w:szCs w:val="22"/>
              <w:lang w:eastAsia="en-AU"/>
            </w:rPr>
          </w:pPr>
          <w:hyperlink w:anchor="_Toc144110902"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_Toc144110902 \h </w:instrText>
            </w:r>
            <w:r w:rsidR="004C7298">
              <w:rPr>
                <w:noProof/>
                <w:webHidden/>
              </w:rPr>
            </w:r>
            <w:r w:rsidR="004C7298">
              <w:rPr>
                <w:noProof/>
                <w:webHidden/>
              </w:rPr>
              <w:fldChar w:fldCharType="separate"/>
            </w:r>
            <w:r w:rsidR="004C7298">
              <w:rPr>
                <w:noProof/>
                <w:webHidden/>
              </w:rPr>
              <w:t>29</w:t>
            </w:r>
            <w:r w:rsidR="004C7298">
              <w:rPr>
                <w:noProof/>
                <w:webHidden/>
              </w:rPr>
              <w:fldChar w:fldCharType="end"/>
            </w:r>
          </w:hyperlink>
        </w:p>
        <w:p w14:paraId="793B3C82" w14:textId="6B7F1FB1" w:rsidR="004C7298" w:rsidRDefault="00A13E49">
          <w:pPr>
            <w:pStyle w:val="TOC3"/>
            <w:rPr>
              <w:rFonts w:asciiTheme="minorHAnsi" w:eastAsiaTheme="minorEastAsia" w:hAnsiTheme="minorHAnsi" w:cstheme="minorBidi"/>
              <w:b w:val="0"/>
              <w:noProof/>
              <w:color w:val="auto"/>
              <w:szCs w:val="22"/>
              <w:lang w:eastAsia="en-AU"/>
            </w:rPr>
          </w:pPr>
          <w:hyperlink w:anchor="_Toc144110903"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_Toc144110903 \h </w:instrText>
            </w:r>
            <w:r w:rsidR="004C7298">
              <w:rPr>
                <w:noProof/>
                <w:webHidden/>
              </w:rPr>
            </w:r>
            <w:r w:rsidR="004C7298">
              <w:rPr>
                <w:noProof/>
                <w:webHidden/>
              </w:rPr>
              <w:fldChar w:fldCharType="separate"/>
            </w:r>
            <w:r w:rsidR="004C7298">
              <w:rPr>
                <w:noProof/>
                <w:webHidden/>
              </w:rPr>
              <w:t>30</w:t>
            </w:r>
            <w:r w:rsidR="004C7298">
              <w:rPr>
                <w:noProof/>
                <w:webHidden/>
              </w:rPr>
              <w:fldChar w:fldCharType="end"/>
            </w:r>
          </w:hyperlink>
        </w:p>
        <w:p w14:paraId="708D3478" w14:textId="3A47085B" w:rsidR="004C7298" w:rsidRDefault="00A13E49">
          <w:pPr>
            <w:pStyle w:val="TOC3"/>
            <w:rPr>
              <w:rFonts w:asciiTheme="minorHAnsi" w:eastAsiaTheme="minorEastAsia" w:hAnsiTheme="minorHAnsi" w:cstheme="minorBidi"/>
              <w:b w:val="0"/>
              <w:noProof/>
              <w:color w:val="auto"/>
              <w:szCs w:val="22"/>
              <w:lang w:eastAsia="en-AU"/>
            </w:rPr>
          </w:pPr>
          <w:hyperlink w:anchor="_Toc144110904"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_Toc144110904 \h </w:instrText>
            </w:r>
            <w:r w:rsidR="004C7298">
              <w:rPr>
                <w:noProof/>
                <w:webHidden/>
              </w:rPr>
            </w:r>
            <w:r w:rsidR="004C7298">
              <w:rPr>
                <w:noProof/>
                <w:webHidden/>
              </w:rPr>
              <w:fldChar w:fldCharType="separate"/>
            </w:r>
            <w:r w:rsidR="004C7298">
              <w:rPr>
                <w:noProof/>
                <w:webHidden/>
              </w:rPr>
              <w:t>30</w:t>
            </w:r>
            <w:r w:rsidR="004C7298">
              <w:rPr>
                <w:noProof/>
                <w:webHidden/>
              </w:rPr>
              <w:fldChar w:fldCharType="end"/>
            </w:r>
          </w:hyperlink>
        </w:p>
        <w:p w14:paraId="7422D980" w14:textId="2EEB2F6D" w:rsidR="004C7298" w:rsidRDefault="00A13E49">
          <w:pPr>
            <w:pStyle w:val="TOC3"/>
            <w:rPr>
              <w:rFonts w:asciiTheme="minorHAnsi" w:eastAsiaTheme="minorEastAsia" w:hAnsiTheme="minorHAnsi" w:cstheme="minorBidi"/>
              <w:b w:val="0"/>
              <w:noProof/>
              <w:color w:val="auto"/>
              <w:szCs w:val="22"/>
              <w:lang w:eastAsia="en-AU"/>
            </w:rPr>
          </w:pPr>
          <w:hyperlink w:anchor="_Toc144110905"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_Toc144110905 \h </w:instrText>
            </w:r>
            <w:r w:rsidR="004C7298">
              <w:rPr>
                <w:noProof/>
                <w:webHidden/>
              </w:rPr>
            </w:r>
            <w:r w:rsidR="004C7298">
              <w:rPr>
                <w:noProof/>
                <w:webHidden/>
              </w:rPr>
              <w:fldChar w:fldCharType="separate"/>
            </w:r>
            <w:r w:rsidR="004C7298">
              <w:rPr>
                <w:noProof/>
                <w:webHidden/>
              </w:rPr>
              <w:t>33</w:t>
            </w:r>
            <w:r w:rsidR="004C7298">
              <w:rPr>
                <w:noProof/>
                <w:webHidden/>
              </w:rPr>
              <w:fldChar w:fldCharType="end"/>
            </w:r>
          </w:hyperlink>
        </w:p>
        <w:p w14:paraId="77FEF1B7" w14:textId="780C1D97" w:rsidR="004C7298" w:rsidRDefault="00A13E49">
          <w:pPr>
            <w:pStyle w:val="TOC1"/>
            <w:tabs>
              <w:tab w:val="left" w:pos="425"/>
            </w:tabs>
            <w:rPr>
              <w:rFonts w:asciiTheme="minorHAnsi" w:eastAsiaTheme="minorEastAsia" w:hAnsiTheme="minorHAnsi" w:cstheme="minorBidi"/>
              <w:b w:val="0"/>
              <w:noProof/>
              <w:color w:val="auto"/>
              <w:sz w:val="22"/>
              <w:szCs w:val="22"/>
              <w:lang w:eastAsia="en-AU"/>
            </w:rPr>
          </w:pPr>
          <w:hyperlink w:anchor="_Toc144110906" w:history="1">
            <w:r w:rsidR="004C7298" w:rsidRPr="006D24F3">
              <w:rPr>
                <w:rStyle w:val="Hyperlink"/>
                <w:noProof/>
              </w:rPr>
              <w:t>2</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Proposed amendments referred for scheduling advice to the Joint ACMS-ACCS meeting #35</w:t>
            </w:r>
            <w:r w:rsidR="004C7298">
              <w:rPr>
                <w:noProof/>
                <w:webHidden/>
              </w:rPr>
              <w:tab/>
            </w:r>
            <w:r w:rsidR="004C7298">
              <w:rPr>
                <w:noProof/>
                <w:webHidden/>
              </w:rPr>
              <w:fldChar w:fldCharType="begin"/>
            </w:r>
            <w:r w:rsidR="004C7298">
              <w:rPr>
                <w:noProof/>
                <w:webHidden/>
              </w:rPr>
              <w:instrText xml:space="preserve"> PAGEREF _Toc144110906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0A8C012E" w14:textId="2D821A76"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907" w:history="1">
            <w:r w:rsidR="004C7298" w:rsidRPr="006D24F3">
              <w:rPr>
                <w:rStyle w:val="Hyperlink"/>
                <w:noProof/>
              </w:rPr>
              <w:t>2.1</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Adrenaline</w:t>
            </w:r>
            <w:r w:rsidR="004C7298">
              <w:rPr>
                <w:noProof/>
                <w:webHidden/>
              </w:rPr>
              <w:tab/>
            </w:r>
            <w:r w:rsidR="004C7298">
              <w:rPr>
                <w:noProof/>
                <w:webHidden/>
              </w:rPr>
              <w:fldChar w:fldCharType="begin"/>
            </w:r>
            <w:r w:rsidR="004C7298">
              <w:rPr>
                <w:noProof/>
                <w:webHidden/>
              </w:rPr>
              <w:instrText xml:space="preserve"> PAGEREF _Toc144110907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3815F364" w14:textId="026011A5" w:rsidR="004C7298" w:rsidRDefault="00A13E49">
          <w:pPr>
            <w:pStyle w:val="TOC3"/>
            <w:rPr>
              <w:rFonts w:asciiTheme="minorHAnsi" w:eastAsiaTheme="minorEastAsia" w:hAnsiTheme="minorHAnsi" w:cstheme="minorBidi"/>
              <w:b w:val="0"/>
              <w:noProof/>
              <w:color w:val="auto"/>
              <w:szCs w:val="22"/>
              <w:lang w:eastAsia="en-AU"/>
            </w:rPr>
          </w:pPr>
          <w:hyperlink w:anchor="_Toc144110908"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_Toc144110908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3D270737" w14:textId="21E9C620" w:rsidR="004C7298" w:rsidRDefault="00A13E49">
          <w:pPr>
            <w:pStyle w:val="TOC3"/>
            <w:rPr>
              <w:rFonts w:asciiTheme="minorHAnsi" w:eastAsiaTheme="minorEastAsia" w:hAnsiTheme="minorHAnsi" w:cstheme="minorBidi"/>
              <w:b w:val="0"/>
              <w:noProof/>
              <w:color w:val="auto"/>
              <w:szCs w:val="22"/>
              <w:lang w:eastAsia="en-AU"/>
            </w:rPr>
          </w:pPr>
          <w:hyperlink w:anchor="_Toc144110909"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_Toc144110909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1D4C9230" w14:textId="00DEEA8D" w:rsidR="004C7298" w:rsidRDefault="00A13E49">
          <w:pPr>
            <w:pStyle w:val="TOC3"/>
            <w:rPr>
              <w:rFonts w:asciiTheme="minorHAnsi" w:eastAsiaTheme="minorEastAsia" w:hAnsiTheme="minorHAnsi" w:cstheme="minorBidi"/>
              <w:b w:val="0"/>
              <w:noProof/>
              <w:color w:val="auto"/>
              <w:szCs w:val="22"/>
              <w:lang w:eastAsia="en-AU"/>
            </w:rPr>
          </w:pPr>
          <w:hyperlink w:anchor="_Toc144110910"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_Toc144110910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1D9100AC" w14:textId="3D339A04" w:rsidR="004C7298" w:rsidRDefault="00A13E49">
          <w:pPr>
            <w:pStyle w:val="TOC3"/>
            <w:rPr>
              <w:rFonts w:asciiTheme="minorHAnsi" w:eastAsiaTheme="minorEastAsia" w:hAnsiTheme="minorHAnsi" w:cstheme="minorBidi"/>
              <w:b w:val="0"/>
              <w:noProof/>
              <w:color w:val="auto"/>
              <w:szCs w:val="22"/>
              <w:lang w:eastAsia="en-AU"/>
            </w:rPr>
          </w:pPr>
          <w:hyperlink w:anchor="_Toc144110911"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_Toc144110911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5ED39A07" w14:textId="4A180D7A" w:rsidR="004C7298" w:rsidRDefault="00A13E49">
          <w:pPr>
            <w:pStyle w:val="TOC3"/>
            <w:rPr>
              <w:rFonts w:asciiTheme="minorHAnsi" w:eastAsiaTheme="minorEastAsia" w:hAnsiTheme="minorHAnsi" w:cstheme="minorBidi"/>
              <w:b w:val="0"/>
              <w:noProof/>
              <w:color w:val="auto"/>
              <w:szCs w:val="22"/>
              <w:lang w:eastAsia="en-AU"/>
            </w:rPr>
          </w:pPr>
          <w:hyperlink w:anchor="_Toc144110912"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_Toc144110912 \h </w:instrText>
            </w:r>
            <w:r w:rsidR="004C7298">
              <w:rPr>
                <w:noProof/>
                <w:webHidden/>
              </w:rPr>
            </w:r>
            <w:r w:rsidR="004C7298">
              <w:rPr>
                <w:noProof/>
                <w:webHidden/>
              </w:rPr>
              <w:fldChar w:fldCharType="separate"/>
            </w:r>
            <w:r w:rsidR="004C7298">
              <w:rPr>
                <w:noProof/>
                <w:webHidden/>
              </w:rPr>
              <w:t>34</w:t>
            </w:r>
            <w:r w:rsidR="004C7298">
              <w:rPr>
                <w:noProof/>
                <w:webHidden/>
              </w:rPr>
              <w:fldChar w:fldCharType="end"/>
            </w:r>
          </w:hyperlink>
        </w:p>
        <w:p w14:paraId="76C8ECAF" w14:textId="64385962" w:rsidR="004C7298" w:rsidRDefault="00A13E49">
          <w:pPr>
            <w:pStyle w:val="TOC3"/>
            <w:rPr>
              <w:rFonts w:asciiTheme="minorHAnsi" w:eastAsiaTheme="minorEastAsia" w:hAnsiTheme="minorHAnsi" w:cstheme="minorBidi"/>
              <w:b w:val="0"/>
              <w:noProof/>
              <w:color w:val="auto"/>
              <w:szCs w:val="22"/>
              <w:lang w:eastAsia="en-AU"/>
            </w:rPr>
          </w:pPr>
          <w:hyperlink w:anchor="_Toc144110913"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_Toc144110913 \h </w:instrText>
            </w:r>
            <w:r w:rsidR="004C7298">
              <w:rPr>
                <w:noProof/>
                <w:webHidden/>
              </w:rPr>
            </w:r>
            <w:r w:rsidR="004C7298">
              <w:rPr>
                <w:noProof/>
                <w:webHidden/>
              </w:rPr>
              <w:fldChar w:fldCharType="separate"/>
            </w:r>
            <w:r w:rsidR="004C7298">
              <w:rPr>
                <w:noProof/>
                <w:webHidden/>
              </w:rPr>
              <w:t>35</w:t>
            </w:r>
            <w:r w:rsidR="004C7298">
              <w:rPr>
                <w:noProof/>
                <w:webHidden/>
              </w:rPr>
              <w:fldChar w:fldCharType="end"/>
            </w:r>
          </w:hyperlink>
        </w:p>
        <w:p w14:paraId="152CF63B" w14:textId="66F3011E" w:rsidR="004C7298" w:rsidRDefault="00A13E49">
          <w:pPr>
            <w:pStyle w:val="TOC3"/>
            <w:rPr>
              <w:rFonts w:asciiTheme="minorHAnsi" w:eastAsiaTheme="minorEastAsia" w:hAnsiTheme="minorHAnsi" w:cstheme="minorBidi"/>
              <w:b w:val="0"/>
              <w:noProof/>
              <w:color w:val="auto"/>
              <w:szCs w:val="22"/>
              <w:lang w:eastAsia="en-AU"/>
            </w:rPr>
          </w:pPr>
          <w:hyperlink w:anchor="_Toc144110914" w:history="1">
            <w:r w:rsidR="004C7298" w:rsidRPr="006D24F3">
              <w:rPr>
                <w:rStyle w:val="Hyperlink"/>
                <w:noProof/>
              </w:rPr>
              <w:t>Summary of the reasons for the proposal</w:t>
            </w:r>
            <w:r w:rsidR="004C7298">
              <w:rPr>
                <w:noProof/>
                <w:webHidden/>
              </w:rPr>
              <w:tab/>
            </w:r>
            <w:r w:rsidR="004C7298">
              <w:rPr>
                <w:noProof/>
                <w:webHidden/>
              </w:rPr>
              <w:fldChar w:fldCharType="begin"/>
            </w:r>
            <w:r w:rsidR="004C7298">
              <w:rPr>
                <w:noProof/>
                <w:webHidden/>
              </w:rPr>
              <w:instrText xml:space="preserve"> PAGEREF _Toc144110914 \h </w:instrText>
            </w:r>
            <w:r w:rsidR="004C7298">
              <w:rPr>
                <w:noProof/>
                <w:webHidden/>
              </w:rPr>
            </w:r>
            <w:r w:rsidR="004C7298">
              <w:rPr>
                <w:noProof/>
                <w:webHidden/>
              </w:rPr>
              <w:fldChar w:fldCharType="separate"/>
            </w:r>
            <w:r w:rsidR="004C7298">
              <w:rPr>
                <w:noProof/>
                <w:webHidden/>
              </w:rPr>
              <w:t>35</w:t>
            </w:r>
            <w:r w:rsidR="004C7298">
              <w:rPr>
                <w:noProof/>
                <w:webHidden/>
              </w:rPr>
              <w:fldChar w:fldCharType="end"/>
            </w:r>
          </w:hyperlink>
        </w:p>
        <w:p w14:paraId="78EEE443" w14:textId="7E7AC4D1" w:rsidR="004C7298" w:rsidRDefault="00A13E49">
          <w:pPr>
            <w:pStyle w:val="TOC3"/>
            <w:rPr>
              <w:rFonts w:asciiTheme="minorHAnsi" w:eastAsiaTheme="minorEastAsia" w:hAnsiTheme="minorHAnsi" w:cstheme="minorBidi"/>
              <w:b w:val="0"/>
              <w:noProof/>
              <w:color w:val="auto"/>
              <w:szCs w:val="22"/>
              <w:lang w:eastAsia="en-AU"/>
            </w:rPr>
          </w:pPr>
          <w:hyperlink w:anchor="_Toc144110915"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_Toc144110915 \h </w:instrText>
            </w:r>
            <w:r w:rsidR="004C7298">
              <w:rPr>
                <w:noProof/>
                <w:webHidden/>
              </w:rPr>
            </w:r>
            <w:r w:rsidR="004C7298">
              <w:rPr>
                <w:noProof/>
                <w:webHidden/>
              </w:rPr>
              <w:fldChar w:fldCharType="separate"/>
            </w:r>
            <w:r w:rsidR="004C7298">
              <w:rPr>
                <w:noProof/>
                <w:webHidden/>
              </w:rPr>
              <w:t>35</w:t>
            </w:r>
            <w:r w:rsidR="004C7298">
              <w:rPr>
                <w:noProof/>
                <w:webHidden/>
              </w:rPr>
              <w:fldChar w:fldCharType="end"/>
            </w:r>
          </w:hyperlink>
        </w:p>
        <w:p w14:paraId="7FB7CC55" w14:textId="518AE820" w:rsidR="004C7298" w:rsidRDefault="00A13E49">
          <w:pPr>
            <w:pStyle w:val="TOC3"/>
            <w:rPr>
              <w:rFonts w:asciiTheme="minorHAnsi" w:eastAsiaTheme="minorEastAsia" w:hAnsiTheme="minorHAnsi" w:cstheme="minorBidi"/>
              <w:b w:val="0"/>
              <w:noProof/>
              <w:color w:val="auto"/>
              <w:szCs w:val="22"/>
              <w:lang w:eastAsia="en-AU"/>
            </w:rPr>
          </w:pPr>
          <w:hyperlink w:anchor="_Toc144110916"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_Toc144110916 \h </w:instrText>
            </w:r>
            <w:r w:rsidR="004C7298">
              <w:rPr>
                <w:noProof/>
                <w:webHidden/>
              </w:rPr>
            </w:r>
            <w:r w:rsidR="004C7298">
              <w:rPr>
                <w:noProof/>
                <w:webHidden/>
              </w:rPr>
              <w:fldChar w:fldCharType="separate"/>
            </w:r>
            <w:r w:rsidR="004C7298">
              <w:rPr>
                <w:noProof/>
                <w:webHidden/>
              </w:rPr>
              <w:t>35</w:t>
            </w:r>
            <w:r w:rsidR="004C7298">
              <w:rPr>
                <w:noProof/>
                <w:webHidden/>
              </w:rPr>
              <w:fldChar w:fldCharType="end"/>
            </w:r>
          </w:hyperlink>
        </w:p>
        <w:p w14:paraId="4926CB98" w14:textId="1DC03E59" w:rsidR="004C7298" w:rsidRDefault="00A13E49">
          <w:pPr>
            <w:pStyle w:val="TOC3"/>
            <w:rPr>
              <w:rFonts w:asciiTheme="minorHAnsi" w:eastAsiaTheme="minorEastAsia" w:hAnsiTheme="minorHAnsi" w:cstheme="minorBidi"/>
              <w:b w:val="0"/>
              <w:noProof/>
              <w:color w:val="auto"/>
              <w:szCs w:val="22"/>
              <w:lang w:eastAsia="en-AU"/>
            </w:rPr>
          </w:pPr>
          <w:hyperlink w:anchor="_Toc144110917"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_Toc144110917 \h </w:instrText>
            </w:r>
            <w:r w:rsidR="004C7298">
              <w:rPr>
                <w:noProof/>
                <w:webHidden/>
              </w:rPr>
            </w:r>
            <w:r w:rsidR="004C7298">
              <w:rPr>
                <w:noProof/>
                <w:webHidden/>
              </w:rPr>
              <w:fldChar w:fldCharType="separate"/>
            </w:r>
            <w:r w:rsidR="004C7298">
              <w:rPr>
                <w:noProof/>
                <w:webHidden/>
              </w:rPr>
              <w:t>36</w:t>
            </w:r>
            <w:r w:rsidR="004C7298">
              <w:rPr>
                <w:noProof/>
                <w:webHidden/>
              </w:rPr>
              <w:fldChar w:fldCharType="end"/>
            </w:r>
          </w:hyperlink>
        </w:p>
        <w:p w14:paraId="705D63A7" w14:textId="357A5897"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918" w:history="1">
            <w:r w:rsidR="004C7298" w:rsidRPr="006D24F3">
              <w:rPr>
                <w:rStyle w:val="Hyperlink"/>
                <w:noProof/>
              </w:rPr>
              <w:t>2.2</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Benzoic acid</w:t>
            </w:r>
            <w:r w:rsidR="004C7298">
              <w:rPr>
                <w:noProof/>
                <w:webHidden/>
              </w:rPr>
              <w:tab/>
            </w:r>
            <w:r w:rsidR="004C7298">
              <w:rPr>
                <w:noProof/>
                <w:webHidden/>
              </w:rPr>
              <w:fldChar w:fldCharType="begin"/>
            </w:r>
            <w:r w:rsidR="004C7298">
              <w:rPr>
                <w:noProof/>
                <w:webHidden/>
              </w:rPr>
              <w:instrText xml:space="preserve"> PAGEREF _Toc144110918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49C4EAEA" w14:textId="71F9E2F2" w:rsidR="004C7298" w:rsidRDefault="00A13E49">
          <w:pPr>
            <w:pStyle w:val="TOC3"/>
            <w:rPr>
              <w:rFonts w:asciiTheme="minorHAnsi" w:eastAsiaTheme="minorEastAsia" w:hAnsiTheme="minorHAnsi" w:cstheme="minorBidi"/>
              <w:b w:val="0"/>
              <w:noProof/>
              <w:color w:val="auto"/>
              <w:szCs w:val="22"/>
              <w:lang w:eastAsia="en-AU"/>
            </w:rPr>
          </w:pPr>
          <w:hyperlink w:anchor="_Toc144110919"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_Toc144110919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2274E68E" w14:textId="3B4B0AE6" w:rsidR="004C7298" w:rsidRDefault="00A13E49">
          <w:pPr>
            <w:pStyle w:val="TOC3"/>
            <w:rPr>
              <w:rFonts w:asciiTheme="minorHAnsi" w:eastAsiaTheme="minorEastAsia" w:hAnsiTheme="minorHAnsi" w:cstheme="minorBidi"/>
              <w:b w:val="0"/>
              <w:noProof/>
              <w:color w:val="auto"/>
              <w:szCs w:val="22"/>
              <w:lang w:eastAsia="en-AU"/>
            </w:rPr>
          </w:pPr>
          <w:hyperlink w:anchor="_Toc144110920"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_Toc144110920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79BD9D5D" w14:textId="0E64701B" w:rsidR="004C7298" w:rsidRDefault="00A13E49">
          <w:pPr>
            <w:pStyle w:val="TOC3"/>
            <w:rPr>
              <w:rFonts w:asciiTheme="minorHAnsi" w:eastAsiaTheme="minorEastAsia" w:hAnsiTheme="minorHAnsi" w:cstheme="minorBidi"/>
              <w:b w:val="0"/>
              <w:noProof/>
              <w:color w:val="auto"/>
              <w:szCs w:val="22"/>
              <w:lang w:eastAsia="en-AU"/>
            </w:rPr>
          </w:pPr>
          <w:hyperlink w:anchor="_Toc144110921"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_Toc144110921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7A4AF96F" w14:textId="1F6624D5" w:rsidR="004C7298" w:rsidRDefault="00A13E49">
          <w:pPr>
            <w:pStyle w:val="TOC3"/>
            <w:rPr>
              <w:rFonts w:asciiTheme="minorHAnsi" w:eastAsiaTheme="minorEastAsia" w:hAnsiTheme="minorHAnsi" w:cstheme="minorBidi"/>
              <w:b w:val="0"/>
              <w:noProof/>
              <w:color w:val="auto"/>
              <w:szCs w:val="22"/>
              <w:lang w:eastAsia="en-AU"/>
            </w:rPr>
          </w:pPr>
          <w:hyperlink w:anchor="_Toc144110922"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_Toc144110922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295012E2" w14:textId="7CC1C5C1" w:rsidR="004C7298" w:rsidRDefault="00A13E49">
          <w:pPr>
            <w:pStyle w:val="TOC3"/>
            <w:rPr>
              <w:rFonts w:asciiTheme="minorHAnsi" w:eastAsiaTheme="minorEastAsia" w:hAnsiTheme="minorHAnsi" w:cstheme="minorBidi"/>
              <w:b w:val="0"/>
              <w:noProof/>
              <w:color w:val="auto"/>
              <w:szCs w:val="22"/>
              <w:lang w:eastAsia="en-AU"/>
            </w:rPr>
          </w:pPr>
          <w:hyperlink w:anchor="_Toc144110923"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_Toc144110923 \h </w:instrText>
            </w:r>
            <w:r w:rsidR="004C7298">
              <w:rPr>
                <w:noProof/>
                <w:webHidden/>
              </w:rPr>
            </w:r>
            <w:r w:rsidR="004C7298">
              <w:rPr>
                <w:noProof/>
                <w:webHidden/>
              </w:rPr>
              <w:fldChar w:fldCharType="separate"/>
            </w:r>
            <w:r w:rsidR="004C7298">
              <w:rPr>
                <w:noProof/>
                <w:webHidden/>
              </w:rPr>
              <w:t>37</w:t>
            </w:r>
            <w:r w:rsidR="004C7298">
              <w:rPr>
                <w:noProof/>
                <w:webHidden/>
              </w:rPr>
              <w:fldChar w:fldCharType="end"/>
            </w:r>
          </w:hyperlink>
        </w:p>
        <w:p w14:paraId="7FF12FCE" w14:textId="7205F51E" w:rsidR="004C7298" w:rsidRDefault="00A13E49">
          <w:pPr>
            <w:pStyle w:val="TOC3"/>
            <w:rPr>
              <w:rFonts w:asciiTheme="minorHAnsi" w:eastAsiaTheme="minorEastAsia" w:hAnsiTheme="minorHAnsi" w:cstheme="minorBidi"/>
              <w:b w:val="0"/>
              <w:noProof/>
              <w:color w:val="auto"/>
              <w:szCs w:val="22"/>
              <w:lang w:eastAsia="en-AU"/>
            </w:rPr>
          </w:pPr>
          <w:hyperlink w:anchor="_Toc144110924"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_Toc144110924 \h </w:instrText>
            </w:r>
            <w:r w:rsidR="004C7298">
              <w:rPr>
                <w:noProof/>
                <w:webHidden/>
              </w:rPr>
            </w:r>
            <w:r w:rsidR="004C7298">
              <w:rPr>
                <w:noProof/>
                <w:webHidden/>
              </w:rPr>
              <w:fldChar w:fldCharType="separate"/>
            </w:r>
            <w:r w:rsidR="004C7298">
              <w:rPr>
                <w:noProof/>
                <w:webHidden/>
              </w:rPr>
              <w:t>38</w:t>
            </w:r>
            <w:r w:rsidR="004C7298">
              <w:rPr>
                <w:noProof/>
                <w:webHidden/>
              </w:rPr>
              <w:fldChar w:fldCharType="end"/>
            </w:r>
          </w:hyperlink>
        </w:p>
        <w:p w14:paraId="62C3EB85" w14:textId="0378974F" w:rsidR="004C7298" w:rsidRDefault="00A13E49">
          <w:pPr>
            <w:pStyle w:val="TOC3"/>
            <w:rPr>
              <w:rFonts w:asciiTheme="minorHAnsi" w:eastAsiaTheme="minorEastAsia" w:hAnsiTheme="minorHAnsi" w:cstheme="minorBidi"/>
              <w:b w:val="0"/>
              <w:noProof/>
              <w:color w:val="auto"/>
              <w:szCs w:val="22"/>
              <w:lang w:eastAsia="en-AU"/>
            </w:rPr>
          </w:pPr>
          <w:hyperlink w:anchor="_Toc144110925"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_Toc144110925 \h </w:instrText>
            </w:r>
            <w:r w:rsidR="004C7298">
              <w:rPr>
                <w:noProof/>
                <w:webHidden/>
              </w:rPr>
            </w:r>
            <w:r w:rsidR="004C7298">
              <w:rPr>
                <w:noProof/>
                <w:webHidden/>
              </w:rPr>
              <w:fldChar w:fldCharType="separate"/>
            </w:r>
            <w:r w:rsidR="004C7298">
              <w:rPr>
                <w:noProof/>
                <w:webHidden/>
              </w:rPr>
              <w:t>38</w:t>
            </w:r>
            <w:r w:rsidR="004C7298">
              <w:rPr>
                <w:noProof/>
                <w:webHidden/>
              </w:rPr>
              <w:fldChar w:fldCharType="end"/>
            </w:r>
          </w:hyperlink>
        </w:p>
        <w:p w14:paraId="112F268F" w14:textId="6766A5F3" w:rsidR="004C7298" w:rsidRDefault="00A13E49">
          <w:pPr>
            <w:pStyle w:val="TOC3"/>
            <w:rPr>
              <w:rFonts w:asciiTheme="minorHAnsi" w:eastAsiaTheme="minorEastAsia" w:hAnsiTheme="minorHAnsi" w:cstheme="minorBidi"/>
              <w:b w:val="0"/>
              <w:noProof/>
              <w:color w:val="auto"/>
              <w:szCs w:val="22"/>
              <w:lang w:eastAsia="en-AU"/>
            </w:rPr>
          </w:pPr>
          <w:hyperlink w:anchor="_Toc144110926"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_Toc144110926 \h </w:instrText>
            </w:r>
            <w:r w:rsidR="004C7298">
              <w:rPr>
                <w:noProof/>
                <w:webHidden/>
              </w:rPr>
            </w:r>
            <w:r w:rsidR="004C7298">
              <w:rPr>
                <w:noProof/>
                <w:webHidden/>
              </w:rPr>
              <w:fldChar w:fldCharType="separate"/>
            </w:r>
            <w:r w:rsidR="004C7298">
              <w:rPr>
                <w:noProof/>
                <w:webHidden/>
              </w:rPr>
              <w:t>38</w:t>
            </w:r>
            <w:r w:rsidR="004C7298">
              <w:rPr>
                <w:noProof/>
                <w:webHidden/>
              </w:rPr>
              <w:fldChar w:fldCharType="end"/>
            </w:r>
          </w:hyperlink>
        </w:p>
        <w:p w14:paraId="58E6FC3D" w14:textId="5D27D136" w:rsidR="004C7298" w:rsidRDefault="00A13E49">
          <w:pPr>
            <w:pStyle w:val="TOC3"/>
            <w:rPr>
              <w:rFonts w:asciiTheme="minorHAnsi" w:eastAsiaTheme="minorEastAsia" w:hAnsiTheme="minorHAnsi" w:cstheme="minorBidi"/>
              <w:b w:val="0"/>
              <w:noProof/>
              <w:color w:val="auto"/>
              <w:szCs w:val="22"/>
              <w:lang w:eastAsia="en-AU"/>
            </w:rPr>
          </w:pPr>
          <w:hyperlink w:anchor="_Toc144110927"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_Toc144110927 \h </w:instrText>
            </w:r>
            <w:r w:rsidR="004C7298">
              <w:rPr>
                <w:noProof/>
                <w:webHidden/>
              </w:rPr>
            </w:r>
            <w:r w:rsidR="004C7298">
              <w:rPr>
                <w:noProof/>
                <w:webHidden/>
              </w:rPr>
              <w:fldChar w:fldCharType="separate"/>
            </w:r>
            <w:r w:rsidR="004C7298">
              <w:rPr>
                <w:noProof/>
                <w:webHidden/>
              </w:rPr>
              <w:t>38</w:t>
            </w:r>
            <w:r w:rsidR="004C7298">
              <w:rPr>
                <w:noProof/>
                <w:webHidden/>
              </w:rPr>
              <w:fldChar w:fldCharType="end"/>
            </w:r>
          </w:hyperlink>
        </w:p>
        <w:p w14:paraId="30678428" w14:textId="4838BE1A" w:rsidR="004C7298" w:rsidRDefault="00A13E49">
          <w:pPr>
            <w:pStyle w:val="TOC3"/>
            <w:rPr>
              <w:rFonts w:asciiTheme="minorHAnsi" w:eastAsiaTheme="minorEastAsia" w:hAnsiTheme="minorHAnsi" w:cstheme="minorBidi"/>
              <w:b w:val="0"/>
              <w:noProof/>
              <w:color w:val="auto"/>
              <w:szCs w:val="22"/>
              <w:lang w:eastAsia="en-AU"/>
            </w:rPr>
          </w:pPr>
          <w:hyperlink w:anchor="_Toc144110928"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_Toc144110928 \h </w:instrText>
            </w:r>
            <w:r w:rsidR="004C7298">
              <w:rPr>
                <w:noProof/>
                <w:webHidden/>
              </w:rPr>
            </w:r>
            <w:r w:rsidR="004C7298">
              <w:rPr>
                <w:noProof/>
                <w:webHidden/>
              </w:rPr>
              <w:fldChar w:fldCharType="separate"/>
            </w:r>
            <w:r w:rsidR="004C7298">
              <w:rPr>
                <w:noProof/>
                <w:webHidden/>
              </w:rPr>
              <w:t>39</w:t>
            </w:r>
            <w:r w:rsidR="004C7298">
              <w:rPr>
                <w:noProof/>
                <w:webHidden/>
              </w:rPr>
              <w:fldChar w:fldCharType="end"/>
            </w:r>
          </w:hyperlink>
        </w:p>
        <w:p w14:paraId="0E45BDC3" w14:textId="1C6A32F2"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929" w:history="1">
            <w:r w:rsidR="004C7298" w:rsidRPr="006D24F3">
              <w:rPr>
                <w:rStyle w:val="Hyperlink"/>
                <w:noProof/>
              </w:rPr>
              <w:t>2.3</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Meloxicam</w:t>
            </w:r>
            <w:r w:rsidR="004C7298">
              <w:rPr>
                <w:noProof/>
                <w:webHidden/>
              </w:rPr>
              <w:tab/>
            </w:r>
            <w:r w:rsidR="004C7298">
              <w:rPr>
                <w:noProof/>
                <w:webHidden/>
              </w:rPr>
              <w:fldChar w:fldCharType="begin"/>
            </w:r>
            <w:r w:rsidR="004C7298">
              <w:rPr>
                <w:noProof/>
                <w:webHidden/>
              </w:rPr>
              <w:instrText xml:space="preserve"> PAGEREF _Toc144110929 \h </w:instrText>
            </w:r>
            <w:r w:rsidR="004C7298">
              <w:rPr>
                <w:noProof/>
                <w:webHidden/>
              </w:rPr>
            </w:r>
            <w:r w:rsidR="004C7298">
              <w:rPr>
                <w:noProof/>
                <w:webHidden/>
              </w:rPr>
              <w:fldChar w:fldCharType="separate"/>
            </w:r>
            <w:r w:rsidR="004C7298">
              <w:rPr>
                <w:noProof/>
                <w:webHidden/>
              </w:rPr>
              <w:t>40</w:t>
            </w:r>
            <w:r w:rsidR="004C7298">
              <w:rPr>
                <w:noProof/>
                <w:webHidden/>
              </w:rPr>
              <w:fldChar w:fldCharType="end"/>
            </w:r>
          </w:hyperlink>
        </w:p>
        <w:p w14:paraId="248DA367" w14:textId="360BC119" w:rsidR="004C7298" w:rsidRDefault="00A13E49">
          <w:pPr>
            <w:pStyle w:val="TOC3"/>
            <w:rPr>
              <w:rFonts w:asciiTheme="minorHAnsi" w:eastAsiaTheme="minorEastAsia" w:hAnsiTheme="minorHAnsi" w:cstheme="minorBidi"/>
              <w:b w:val="0"/>
              <w:noProof/>
              <w:color w:val="auto"/>
              <w:szCs w:val="22"/>
              <w:lang w:eastAsia="en-AU"/>
            </w:rPr>
          </w:pPr>
          <w:hyperlink w:anchor="_Toc144110930"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_Toc144110930 \h </w:instrText>
            </w:r>
            <w:r w:rsidR="004C7298">
              <w:rPr>
                <w:noProof/>
                <w:webHidden/>
              </w:rPr>
            </w:r>
            <w:r w:rsidR="004C7298">
              <w:rPr>
                <w:noProof/>
                <w:webHidden/>
              </w:rPr>
              <w:fldChar w:fldCharType="separate"/>
            </w:r>
            <w:r w:rsidR="004C7298">
              <w:rPr>
                <w:noProof/>
                <w:webHidden/>
              </w:rPr>
              <w:t>40</w:t>
            </w:r>
            <w:r w:rsidR="004C7298">
              <w:rPr>
                <w:noProof/>
                <w:webHidden/>
              </w:rPr>
              <w:fldChar w:fldCharType="end"/>
            </w:r>
          </w:hyperlink>
        </w:p>
        <w:p w14:paraId="68C27DC8" w14:textId="1C4985A2" w:rsidR="004C7298" w:rsidRDefault="00A13E49">
          <w:pPr>
            <w:pStyle w:val="TOC3"/>
            <w:rPr>
              <w:rFonts w:asciiTheme="minorHAnsi" w:eastAsiaTheme="minorEastAsia" w:hAnsiTheme="minorHAnsi" w:cstheme="minorBidi"/>
              <w:b w:val="0"/>
              <w:noProof/>
              <w:color w:val="auto"/>
              <w:szCs w:val="22"/>
              <w:lang w:eastAsia="en-AU"/>
            </w:rPr>
          </w:pPr>
          <w:hyperlink w:anchor="_Toc144110931"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_Toc144110931 \h </w:instrText>
            </w:r>
            <w:r w:rsidR="004C7298">
              <w:rPr>
                <w:noProof/>
                <w:webHidden/>
              </w:rPr>
            </w:r>
            <w:r w:rsidR="004C7298">
              <w:rPr>
                <w:noProof/>
                <w:webHidden/>
              </w:rPr>
              <w:fldChar w:fldCharType="separate"/>
            </w:r>
            <w:r w:rsidR="004C7298">
              <w:rPr>
                <w:noProof/>
                <w:webHidden/>
              </w:rPr>
              <w:t>40</w:t>
            </w:r>
            <w:r w:rsidR="004C7298">
              <w:rPr>
                <w:noProof/>
                <w:webHidden/>
              </w:rPr>
              <w:fldChar w:fldCharType="end"/>
            </w:r>
          </w:hyperlink>
        </w:p>
        <w:p w14:paraId="086059EB" w14:textId="0EFFDB06" w:rsidR="004C7298" w:rsidRDefault="00A13E49">
          <w:pPr>
            <w:pStyle w:val="TOC3"/>
            <w:rPr>
              <w:rFonts w:asciiTheme="minorHAnsi" w:eastAsiaTheme="minorEastAsia" w:hAnsiTheme="minorHAnsi" w:cstheme="minorBidi"/>
              <w:b w:val="0"/>
              <w:noProof/>
              <w:color w:val="auto"/>
              <w:szCs w:val="22"/>
              <w:lang w:eastAsia="en-AU"/>
            </w:rPr>
          </w:pPr>
          <w:hyperlink w:anchor="_Toc144110932"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_Toc144110932 \h </w:instrText>
            </w:r>
            <w:r w:rsidR="004C7298">
              <w:rPr>
                <w:noProof/>
                <w:webHidden/>
              </w:rPr>
            </w:r>
            <w:r w:rsidR="004C7298">
              <w:rPr>
                <w:noProof/>
                <w:webHidden/>
              </w:rPr>
              <w:fldChar w:fldCharType="separate"/>
            </w:r>
            <w:r w:rsidR="004C7298">
              <w:rPr>
                <w:noProof/>
                <w:webHidden/>
              </w:rPr>
              <w:t>40</w:t>
            </w:r>
            <w:r w:rsidR="004C7298">
              <w:rPr>
                <w:noProof/>
                <w:webHidden/>
              </w:rPr>
              <w:fldChar w:fldCharType="end"/>
            </w:r>
          </w:hyperlink>
        </w:p>
        <w:p w14:paraId="7366544D" w14:textId="5C7855AD" w:rsidR="004C7298" w:rsidRDefault="00A13E49">
          <w:pPr>
            <w:pStyle w:val="TOC3"/>
            <w:rPr>
              <w:rFonts w:asciiTheme="minorHAnsi" w:eastAsiaTheme="minorEastAsia" w:hAnsiTheme="minorHAnsi" w:cstheme="minorBidi"/>
              <w:b w:val="0"/>
              <w:noProof/>
              <w:color w:val="auto"/>
              <w:szCs w:val="22"/>
              <w:lang w:eastAsia="en-AU"/>
            </w:rPr>
          </w:pPr>
          <w:hyperlink w:anchor="_Toc144110933"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_Toc144110933 \h </w:instrText>
            </w:r>
            <w:r w:rsidR="004C7298">
              <w:rPr>
                <w:noProof/>
                <w:webHidden/>
              </w:rPr>
            </w:r>
            <w:r w:rsidR="004C7298">
              <w:rPr>
                <w:noProof/>
                <w:webHidden/>
              </w:rPr>
              <w:fldChar w:fldCharType="separate"/>
            </w:r>
            <w:r w:rsidR="004C7298">
              <w:rPr>
                <w:noProof/>
                <w:webHidden/>
              </w:rPr>
              <w:t>40</w:t>
            </w:r>
            <w:r w:rsidR="004C7298">
              <w:rPr>
                <w:noProof/>
                <w:webHidden/>
              </w:rPr>
              <w:fldChar w:fldCharType="end"/>
            </w:r>
          </w:hyperlink>
        </w:p>
        <w:p w14:paraId="37BCF633" w14:textId="32FF697B" w:rsidR="004C7298" w:rsidRDefault="00A13E49">
          <w:pPr>
            <w:pStyle w:val="TOC3"/>
            <w:rPr>
              <w:rFonts w:asciiTheme="minorHAnsi" w:eastAsiaTheme="minorEastAsia" w:hAnsiTheme="minorHAnsi" w:cstheme="minorBidi"/>
              <w:b w:val="0"/>
              <w:noProof/>
              <w:color w:val="auto"/>
              <w:szCs w:val="22"/>
              <w:lang w:eastAsia="en-AU"/>
            </w:rPr>
          </w:pPr>
          <w:hyperlink w:anchor="_Toc144110934"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_Toc144110934 \h </w:instrText>
            </w:r>
            <w:r w:rsidR="004C7298">
              <w:rPr>
                <w:noProof/>
                <w:webHidden/>
              </w:rPr>
            </w:r>
            <w:r w:rsidR="004C7298">
              <w:rPr>
                <w:noProof/>
                <w:webHidden/>
              </w:rPr>
              <w:fldChar w:fldCharType="separate"/>
            </w:r>
            <w:r w:rsidR="004C7298">
              <w:rPr>
                <w:noProof/>
                <w:webHidden/>
              </w:rPr>
              <w:t>41</w:t>
            </w:r>
            <w:r w:rsidR="004C7298">
              <w:rPr>
                <w:noProof/>
                <w:webHidden/>
              </w:rPr>
              <w:fldChar w:fldCharType="end"/>
            </w:r>
          </w:hyperlink>
        </w:p>
        <w:p w14:paraId="673DCF7A" w14:textId="72A5550F" w:rsidR="004C7298" w:rsidRDefault="00A13E49">
          <w:pPr>
            <w:pStyle w:val="TOC3"/>
            <w:rPr>
              <w:rFonts w:asciiTheme="minorHAnsi" w:eastAsiaTheme="minorEastAsia" w:hAnsiTheme="minorHAnsi" w:cstheme="minorBidi"/>
              <w:b w:val="0"/>
              <w:noProof/>
              <w:color w:val="auto"/>
              <w:szCs w:val="22"/>
              <w:lang w:eastAsia="en-AU"/>
            </w:rPr>
          </w:pPr>
          <w:hyperlink w:anchor="_Toc144110935"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_Toc144110935 \h </w:instrText>
            </w:r>
            <w:r w:rsidR="004C7298">
              <w:rPr>
                <w:noProof/>
                <w:webHidden/>
              </w:rPr>
            </w:r>
            <w:r w:rsidR="004C7298">
              <w:rPr>
                <w:noProof/>
                <w:webHidden/>
              </w:rPr>
              <w:fldChar w:fldCharType="separate"/>
            </w:r>
            <w:r w:rsidR="004C7298">
              <w:rPr>
                <w:noProof/>
                <w:webHidden/>
              </w:rPr>
              <w:t>41</w:t>
            </w:r>
            <w:r w:rsidR="004C7298">
              <w:rPr>
                <w:noProof/>
                <w:webHidden/>
              </w:rPr>
              <w:fldChar w:fldCharType="end"/>
            </w:r>
          </w:hyperlink>
        </w:p>
        <w:p w14:paraId="494D6A10" w14:textId="78A219BB" w:rsidR="004C7298" w:rsidRDefault="00A13E49">
          <w:pPr>
            <w:pStyle w:val="TOC3"/>
            <w:rPr>
              <w:rFonts w:asciiTheme="minorHAnsi" w:eastAsiaTheme="minorEastAsia" w:hAnsiTheme="minorHAnsi" w:cstheme="minorBidi"/>
              <w:b w:val="0"/>
              <w:noProof/>
              <w:color w:val="auto"/>
              <w:szCs w:val="22"/>
              <w:lang w:eastAsia="en-AU"/>
            </w:rPr>
          </w:pPr>
          <w:hyperlink w:anchor="_Toc144110936"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_Toc144110936 \h </w:instrText>
            </w:r>
            <w:r w:rsidR="004C7298">
              <w:rPr>
                <w:noProof/>
                <w:webHidden/>
              </w:rPr>
            </w:r>
            <w:r w:rsidR="004C7298">
              <w:rPr>
                <w:noProof/>
                <w:webHidden/>
              </w:rPr>
              <w:fldChar w:fldCharType="separate"/>
            </w:r>
            <w:r w:rsidR="004C7298">
              <w:rPr>
                <w:noProof/>
                <w:webHidden/>
              </w:rPr>
              <w:t>41</w:t>
            </w:r>
            <w:r w:rsidR="004C7298">
              <w:rPr>
                <w:noProof/>
                <w:webHidden/>
              </w:rPr>
              <w:fldChar w:fldCharType="end"/>
            </w:r>
          </w:hyperlink>
        </w:p>
        <w:p w14:paraId="39EAD37C" w14:textId="083FFFA7" w:rsidR="004C7298" w:rsidRDefault="00A13E49">
          <w:pPr>
            <w:pStyle w:val="TOC3"/>
            <w:rPr>
              <w:rFonts w:asciiTheme="minorHAnsi" w:eastAsiaTheme="minorEastAsia" w:hAnsiTheme="minorHAnsi" w:cstheme="minorBidi"/>
              <w:b w:val="0"/>
              <w:noProof/>
              <w:color w:val="auto"/>
              <w:szCs w:val="22"/>
              <w:lang w:eastAsia="en-AU"/>
            </w:rPr>
          </w:pPr>
          <w:hyperlink w:anchor="_Toc144110937"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_Toc144110937 \h </w:instrText>
            </w:r>
            <w:r w:rsidR="004C7298">
              <w:rPr>
                <w:noProof/>
                <w:webHidden/>
              </w:rPr>
            </w:r>
            <w:r w:rsidR="004C7298">
              <w:rPr>
                <w:noProof/>
                <w:webHidden/>
              </w:rPr>
              <w:fldChar w:fldCharType="separate"/>
            </w:r>
            <w:r w:rsidR="004C7298">
              <w:rPr>
                <w:noProof/>
                <w:webHidden/>
              </w:rPr>
              <w:t>41</w:t>
            </w:r>
            <w:r w:rsidR="004C7298">
              <w:rPr>
                <w:noProof/>
                <w:webHidden/>
              </w:rPr>
              <w:fldChar w:fldCharType="end"/>
            </w:r>
          </w:hyperlink>
        </w:p>
        <w:p w14:paraId="00C01690" w14:textId="1A3AF572" w:rsidR="004C7298" w:rsidRDefault="00A13E49">
          <w:pPr>
            <w:pStyle w:val="TOC3"/>
            <w:rPr>
              <w:rFonts w:asciiTheme="minorHAnsi" w:eastAsiaTheme="minorEastAsia" w:hAnsiTheme="minorHAnsi" w:cstheme="minorBidi"/>
              <w:b w:val="0"/>
              <w:noProof/>
              <w:color w:val="auto"/>
              <w:szCs w:val="22"/>
              <w:lang w:eastAsia="en-AU"/>
            </w:rPr>
          </w:pPr>
          <w:hyperlink w:anchor="_Toc144110938"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_Toc144110938 \h </w:instrText>
            </w:r>
            <w:r w:rsidR="004C7298">
              <w:rPr>
                <w:noProof/>
                <w:webHidden/>
              </w:rPr>
            </w:r>
            <w:r w:rsidR="004C7298">
              <w:rPr>
                <w:noProof/>
                <w:webHidden/>
              </w:rPr>
              <w:fldChar w:fldCharType="separate"/>
            </w:r>
            <w:r w:rsidR="004C7298">
              <w:rPr>
                <w:noProof/>
                <w:webHidden/>
              </w:rPr>
              <w:t>42</w:t>
            </w:r>
            <w:r w:rsidR="004C7298">
              <w:rPr>
                <w:noProof/>
                <w:webHidden/>
              </w:rPr>
              <w:fldChar w:fldCharType="end"/>
            </w:r>
          </w:hyperlink>
        </w:p>
        <w:p w14:paraId="642E55F9" w14:textId="7EF3136B"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939" w:history="1">
            <w:r w:rsidR="004C7298" w:rsidRPr="006D24F3">
              <w:rPr>
                <w:rStyle w:val="Hyperlink"/>
                <w:noProof/>
              </w:rPr>
              <w:t>2.4</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Palmitoylethanolamide (PEA)</w:t>
            </w:r>
            <w:r w:rsidR="004C7298">
              <w:rPr>
                <w:noProof/>
                <w:webHidden/>
              </w:rPr>
              <w:tab/>
            </w:r>
            <w:r w:rsidR="004C7298">
              <w:rPr>
                <w:noProof/>
                <w:webHidden/>
              </w:rPr>
              <w:fldChar w:fldCharType="begin"/>
            </w:r>
            <w:r w:rsidR="004C7298">
              <w:rPr>
                <w:noProof/>
                <w:webHidden/>
              </w:rPr>
              <w:instrText xml:space="preserve"> PAGEREF _Toc144110939 \h </w:instrText>
            </w:r>
            <w:r w:rsidR="004C7298">
              <w:rPr>
                <w:noProof/>
                <w:webHidden/>
              </w:rPr>
            </w:r>
            <w:r w:rsidR="004C7298">
              <w:rPr>
                <w:noProof/>
                <w:webHidden/>
              </w:rPr>
              <w:fldChar w:fldCharType="separate"/>
            </w:r>
            <w:r w:rsidR="004C7298">
              <w:rPr>
                <w:noProof/>
                <w:webHidden/>
              </w:rPr>
              <w:t>42</w:t>
            </w:r>
            <w:r w:rsidR="004C7298">
              <w:rPr>
                <w:noProof/>
                <w:webHidden/>
              </w:rPr>
              <w:fldChar w:fldCharType="end"/>
            </w:r>
          </w:hyperlink>
        </w:p>
        <w:p w14:paraId="60A50C1F" w14:textId="2A3F1E26" w:rsidR="004C7298" w:rsidRDefault="00A13E49">
          <w:pPr>
            <w:pStyle w:val="TOC3"/>
            <w:rPr>
              <w:rFonts w:asciiTheme="minorHAnsi" w:eastAsiaTheme="minorEastAsia" w:hAnsiTheme="minorHAnsi" w:cstheme="minorBidi"/>
              <w:b w:val="0"/>
              <w:noProof/>
              <w:color w:val="auto"/>
              <w:szCs w:val="22"/>
              <w:lang w:eastAsia="en-AU"/>
            </w:rPr>
          </w:pPr>
          <w:hyperlink w:anchor="_Toc144110940"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_Toc144110940 \h </w:instrText>
            </w:r>
            <w:r w:rsidR="004C7298">
              <w:rPr>
                <w:noProof/>
                <w:webHidden/>
              </w:rPr>
            </w:r>
            <w:r w:rsidR="004C7298">
              <w:rPr>
                <w:noProof/>
                <w:webHidden/>
              </w:rPr>
              <w:fldChar w:fldCharType="separate"/>
            </w:r>
            <w:r w:rsidR="004C7298">
              <w:rPr>
                <w:noProof/>
                <w:webHidden/>
              </w:rPr>
              <w:t>42</w:t>
            </w:r>
            <w:r w:rsidR="004C7298">
              <w:rPr>
                <w:noProof/>
                <w:webHidden/>
              </w:rPr>
              <w:fldChar w:fldCharType="end"/>
            </w:r>
          </w:hyperlink>
        </w:p>
        <w:p w14:paraId="36CEDE53" w14:textId="7732AD71" w:rsidR="004C7298" w:rsidRDefault="00A13E49">
          <w:pPr>
            <w:pStyle w:val="TOC3"/>
            <w:rPr>
              <w:rFonts w:asciiTheme="minorHAnsi" w:eastAsiaTheme="minorEastAsia" w:hAnsiTheme="minorHAnsi" w:cstheme="minorBidi"/>
              <w:b w:val="0"/>
              <w:noProof/>
              <w:color w:val="auto"/>
              <w:szCs w:val="22"/>
              <w:lang w:eastAsia="en-AU"/>
            </w:rPr>
          </w:pPr>
          <w:hyperlink w:anchor="_Toc144110941"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_Toc144110941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3933E08F" w14:textId="712728D4" w:rsidR="004C7298" w:rsidRDefault="00A13E49">
          <w:pPr>
            <w:pStyle w:val="TOC3"/>
            <w:rPr>
              <w:rFonts w:asciiTheme="minorHAnsi" w:eastAsiaTheme="minorEastAsia" w:hAnsiTheme="minorHAnsi" w:cstheme="minorBidi"/>
              <w:b w:val="0"/>
              <w:noProof/>
              <w:color w:val="auto"/>
              <w:szCs w:val="22"/>
              <w:lang w:eastAsia="en-AU"/>
            </w:rPr>
          </w:pPr>
          <w:hyperlink w:anchor="_Toc144110942"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_Toc144110942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163A8F97" w14:textId="47C6A6F4" w:rsidR="004C7298" w:rsidRDefault="00A13E49">
          <w:pPr>
            <w:pStyle w:val="TOC3"/>
            <w:rPr>
              <w:rFonts w:asciiTheme="minorHAnsi" w:eastAsiaTheme="minorEastAsia" w:hAnsiTheme="minorHAnsi" w:cstheme="minorBidi"/>
              <w:b w:val="0"/>
              <w:noProof/>
              <w:color w:val="auto"/>
              <w:szCs w:val="22"/>
              <w:lang w:eastAsia="en-AU"/>
            </w:rPr>
          </w:pPr>
          <w:hyperlink w:anchor="_Toc144110943"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_Toc144110943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5FA34BD3" w14:textId="5D37F5A8" w:rsidR="004C7298" w:rsidRDefault="00A13E49">
          <w:pPr>
            <w:pStyle w:val="TOC3"/>
            <w:rPr>
              <w:rFonts w:asciiTheme="minorHAnsi" w:eastAsiaTheme="minorEastAsia" w:hAnsiTheme="minorHAnsi" w:cstheme="minorBidi"/>
              <w:b w:val="0"/>
              <w:noProof/>
              <w:color w:val="auto"/>
              <w:szCs w:val="22"/>
              <w:lang w:eastAsia="en-AU"/>
            </w:rPr>
          </w:pPr>
          <w:hyperlink w:anchor="_Toc144110944"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_Toc144110944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16A0D1CB" w14:textId="38AF5F07" w:rsidR="004C7298" w:rsidRDefault="00A13E49">
          <w:pPr>
            <w:pStyle w:val="TOC3"/>
            <w:rPr>
              <w:rFonts w:asciiTheme="minorHAnsi" w:eastAsiaTheme="minorEastAsia" w:hAnsiTheme="minorHAnsi" w:cstheme="minorBidi"/>
              <w:b w:val="0"/>
              <w:noProof/>
              <w:color w:val="auto"/>
              <w:szCs w:val="22"/>
              <w:lang w:eastAsia="en-AU"/>
            </w:rPr>
          </w:pPr>
          <w:hyperlink w:anchor="_Toc144110945"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_Toc144110945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329D210E" w14:textId="4DE26D00" w:rsidR="004C7298" w:rsidRDefault="00A13E49">
          <w:pPr>
            <w:pStyle w:val="TOC3"/>
            <w:rPr>
              <w:rFonts w:asciiTheme="minorHAnsi" w:eastAsiaTheme="minorEastAsia" w:hAnsiTheme="minorHAnsi" w:cstheme="minorBidi"/>
              <w:b w:val="0"/>
              <w:noProof/>
              <w:color w:val="auto"/>
              <w:szCs w:val="22"/>
              <w:lang w:eastAsia="en-AU"/>
            </w:rPr>
          </w:pPr>
          <w:hyperlink w:anchor="_Toc144110946"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_Toc144110946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5109D46D" w14:textId="1D37CE95" w:rsidR="004C7298" w:rsidRDefault="00A13E49">
          <w:pPr>
            <w:pStyle w:val="TOC3"/>
            <w:rPr>
              <w:rFonts w:asciiTheme="minorHAnsi" w:eastAsiaTheme="minorEastAsia" w:hAnsiTheme="minorHAnsi" w:cstheme="minorBidi"/>
              <w:b w:val="0"/>
              <w:noProof/>
              <w:color w:val="auto"/>
              <w:szCs w:val="22"/>
              <w:lang w:eastAsia="en-AU"/>
            </w:rPr>
          </w:pPr>
          <w:hyperlink w:anchor="_Toc144110947"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_Toc144110947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0127383C" w14:textId="5C49474D" w:rsidR="004C7298" w:rsidRDefault="00A13E49">
          <w:pPr>
            <w:pStyle w:val="TOC3"/>
            <w:rPr>
              <w:rFonts w:asciiTheme="minorHAnsi" w:eastAsiaTheme="minorEastAsia" w:hAnsiTheme="minorHAnsi" w:cstheme="minorBidi"/>
              <w:b w:val="0"/>
              <w:noProof/>
              <w:color w:val="auto"/>
              <w:szCs w:val="22"/>
              <w:lang w:eastAsia="en-AU"/>
            </w:rPr>
          </w:pPr>
          <w:hyperlink w:anchor="_Toc144110948"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_Toc144110948 \h </w:instrText>
            </w:r>
            <w:r w:rsidR="004C7298">
              <w:rPr>
                <w:noProof/>
                <w:webHidden/>
              </w:rPr>
            </w:r>
            <w:r w:rsidR="004C7298">
              <w:rPr>
                <w:noProof/>
                <w:webHidden/>
              </w:rPr>
              <w:fldChar w:fldCharType="separate"/>
            </w:r>
            <w:r w:rsidR="004C7298">
              <w:rPr>
                <w:noProof/>
                <w:webHidden/>
              </w:rPr>
              <w:t>43</w:t>
            </w:r>
            <w:r w:rsidR="004C7298">
              <w:rPr>
                <w:noProof/>
                <w:webHidden/>
              </w:rPr>
              <w:fldChar w:fldCharType="end"/>
            </w:r>
          </w:hyperlink>
        </w:p>
        <w:p w14:paraId="58A51915" w14:textId="72932699" w:rsidR="004C7298" w:rsidRDefault="00A13E49">
          <w:pPr>
            <w:pStyle w:val="TOC3"/>
            <w:rPr>
              <w:rFonts w:asciiTheme="minorHAnsi" w:eastAsiaTheme="minorEastAsia" w:hAnsiTheme="minorHAnsi" w:cstheme="minorBidi"/>
              <w:b w:val="0"/>
              <w:noProof/>
              <w:color w:val="auto"/>
              <w:szCs w:val="22"/>
              <w:lang w:eastAsia="en-AU"/>
            </w:rPr>
          </w:pPr>
          <w:hyperlink w:anchor="_Toc144110949"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_Toc144110949 \h </w:instrText>
            </w:r>
            <w:r w:rsidR="004C7298">
              <w:rPr>
                <w:noProof/>
                <w:webHidden/>
              </w:rPr>
            </w:r>
            <w:r w:rsidR="004C7298">
              <w:rPr>
                <w:noProof/>
                <w:webHidden/>
              </w:rPr>
              <w:fldChar w:fldCharType="separate"/>
            </w:r>
            <w:r w:rsidR="004C7298">
              <w:rPr>
                <w:noProof/>
                <w:webHidden/>
              </w:rPr>
              <w:t>44</w:t>
            </w:r>
            <w:r w:rsidR="004C7298">
              <w:rPr>
                <w:noProof/>
                <w:webHidden/>
              </w:rPr>
              <w:fldChar w:fldCharType="end"/>
            </w:r>
          </w:hyperlink>
        </w:p>
        <w:p w14:paraId="50C018D0" w14:textId="27EBC4EE" w:rsidR="004C7298" w:rsidRDefault="00A13E49">
          <w:pPr>
            <w:pStyle w:val="TOC1"/>
            <w:tabs>
              <w:tab w:val="left" w:pos="425"/>
            </w:tabs>
            <w:rPr>
              <w:rFonts w:asciiTheme="minorHAnsi" w:eastAsiaTheme="minorEastAsia" w:hAnsiTheme="minorHAnsi" w:cstheme="minorBidi"/>
              <w:b w:val="0"/>
              <w:noProof/>
              <w:color w:val="auto"/>
              <w:sz w:val="22"/>
              <w:szCs w:val="22"/>
              <w:lang w:eastAsia="en-AU"/>
            </w:rPr>
          </w:pPr>
          <w:hyperlink w:anchor="_Toc144110950" w:history="1">
            <w:r w:rsidR="004C7298" w:rsidRPr="006D24F3">
              <w:rPr>
                <w:rStyle w:val="Hyperlink"/>
                <w:noProof/>
              </w:rPr>
              <w:t>3</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Proposed amendments referred for scheduling advice to ACCS meeting #37</w:t>
            </w:r>
            <w:r w:rsidR="004C7298">
              <w:rPr>
                <w:noProof/>
                <w:webHidden/>
              </w:rPr>
              <w:tab/>
            </w:r>
            <w:r w:rsidR="004C7298">
              <w:rPr>
                <w:noProof/>
                <w:webHidden/>
              </w:rPr>
              <w:fldChar w:fldCharType="begin"/>
            </w:r>
            <w:r w:rsidR="004C7298">
              <w:rPr>
                <w:noProof/>
                <w:webHidden/>
              </w:rPr>
              <w:instrText xml:space="preserve"> PAGEREF _Toc144110950 \h </w:instrText>
            </w:r>
            <w:r w:rsidR="004C7298">
              <w:rPr>
                <w:noProof/>
                <w:webHidden/>
              </w:rPr>
            </w:r>
            <w:r w:rsidR="004C7298">
              <w:rPr>
                <w:noProof/>
                <w:webHidden/>
              </w:rPr>
              <w:fldChar w:fldCharType="separate"/>
            </w:r>
            <w:r w:rsidR="004C7298">
              <w:rPr>
                <w:noProof/>
                <w:webHidden/>
              </w:rPr>
              <w:t>46</w:t>
            </w:r>
            <w:r w:rsidR="004C7298">
              <w:rPr>
                <w:noProof/>
                <w:webHidden/>
              </w:rPr>
              <w:fldChar w:fldCharType="end"/>
            </w:r>
          </w:hyperlink>
        </w:p>
        <w:p w14:paraId="7484D53A" w14:textId="08A0592D"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951" w:history="1">
            <w:r w:rsidR="004C7298" w:rsidRPr="006D24F3">
              <w:rPr>
                <w:rStyle w:val="Hyperlink"/>
                <w:noProof/>
              </w:rPr>
              <w:t>3.1</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Animal Blood Products</w:t>
            </w:r>
            <w:r w:rsidR="004C7298">
              <w:rPr>
                <w:noProof/>
                <w:webHidden/>
              </w:rPr>
              <w:tab/>
            </w:r>
            <w:r w:rsidR="004C7298">
              <w:rPr>
                <w:noProof/>
                <w:webHidden/>
              </w:rPr>
              <w:fldChar w:fldCharType="begin"/>
            </w:r>
            <w:r w:rsidR="004C7298">
              <w:rPr>
                <w:noProof/>
                <w:webHidden/>
              </w:rPr>
              <w:instrText xml:space="preserve"> PAGEREF _Toc144110951 \h </w:instrText>
            </w:r>
            <w:r w:rsidR="004C7298">
              <w:rPr>
                <w:noProof/>
                <w:webHidden/>
              </w:rPr>
            </w:r>
            <w:r w:rsidR="004C7298">
              <w:rPr>
                <w:noProof/>
                <w:webHidden/>
              </w:rPr>
              <w:fldChar w:fldCharType="separate"/>
            </w:r>
            <w:r w:rsidR="004C7298">
              <w:rPr>
                <w:noProof/>
                <w:webHidden/>
              </w:rPr>
              <w:t>46</w:t>
            </w:r>
            <w:r w:rsidR="004C7298">
              <w:rPr>
                <w:noProof/>
                <w:webHidden/>
              </w:rPr>
              <w:fldChar w:fldCharType="end"/>
            </w:r>
          </w:hyperlink>
        </w:p>
        <w:p w14:paraId="26F500F7" w14:textId="12A854BA" w:rsidR="004C7298" w:rsidRDefault="00A13E49">
          <w:pPr>
            <w:pStyle w:val="TOC3"/>
            <w:rPr>
              <w:rFonts w:asciiTheme="minorHAnsi" w:eastAsiaTheme="minorEastAsia" w:hAnsiTheme="minorHAnsi" w:cstheme="minorBidi"/>
              <w:b w:val="0"/>
              <w:noProof/>
              <w:color w:val="auto"/>
              <w:szCs w:val="22"/>
              <w:lang w:eastAsia="en-AU"/>
            </w:rPr>
          </w:pPr>
          <w:hyperlink w:anchor="_Toc144110952"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_Toc144110952 \h </w:instrText>
            </w:r>
            <w:r w:rsidR="004C7298">
              <w:rPr>
                <w:noProof/>
                <w:webHidden/>
              </w:rPr>
            </w:r>
            <w:r w:rsidR="004C7298">
              <w:rPr>
                <w:noProof/>
                <w:webHidden/>
              </w:rPr>
              <w:fldChar w:fldCharType="separate"/>
            </w:r>
            <w:r w:rsidR="004C7298">
              <w:rPr>
                <w:noProof/>
                <w:webHidden/>
              </w:rPr>
              <w:t>46</w:t>
            </w:r>
            <w:r w:rsidR="004C7298">
              <w:rPr>
                <w:noProof/>
                <w:webHidden/>
              </w:rPr>
              <w:fldChar w:fldCharType="end"/>
            </w:r>
          </w:hyperlink>
        </w:p>
        <w:p w14:paraId="2032D6FA" w14:textId="36034E1C" w:rsidR="004C7298" w:rsidRDefault="00A13E49">
          <w:pPr>
            <w:pStyle w:val="TOC3"/>
            <w:rPr>
              <w:rFonts w:asciiTheme="minorHAnsi" w:eastAsiaTheme="minorEastAsia" w:hAnsiTheme="minorHAnsi" w:cstheme="minorBidi"/>
              <w:b w:val="0"/>
              <w:noProof/>
              <w:color w:val="auto"/>
              <w:szCs w:val="22"/>
              <w:lang w:eastAsia="en-AU"/>
            </w:rPr>
          </w:pPr>
          <w:hyperlink w:anchor="_Toc144110953"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_Toc144110953 \h </w:instrText>
            </w:r>
            <w:r w:rsidR="004C7298">
              <w:rPr>
                <w:noProof/>
                <w:webHidden/>
              </w:rPr>
            </w:r>
            <w:r w:rsidR="004C7298">
              <w:rPr>
                <w:noProof/>
                <w:webHidden/>
              </w:rPr>
              <w:fldChar w:fldCharType="separate"/>
            </w:r>
            <w:r w:rsidR="004C7298">
              <w:rPr>
                <w:noProof/>
                <w:webHidden/>
              </w:rPr>
              <w:t>46</w:t>
            </w:r>
            <w:r w:rsidR="004C7298">
              <w:rPr>
                <w:noProof/>
                <w:webHidden/>
              </w:rPr>
              <w:fldChar w:fldCharType="end"/>
            </w:r>
          </w:hyperlink>
        </w:p>
        <w:p w14:paraId="596E0717" w14:textId="152D9B3C" w:rsidR="004C7298" w:rsidRDefault="00A13E49">
          <w:pPr>
            <w:pStyle w:val="TOC3"/>
            <w:rPr>
              <w:rFonts w:asciiTheme="minorHAnsi" w:eastAsiaTheme="minorEastAsia" w:hAnsiTheme="minorHAnsi" w:cstheme="minorBidi"/>
              <w:b w:val="0"/>
              <w:noProof/>
              <w:color w:val="auto"/>
              <w:szCs w:val="22"/>
              <w:lang w:eastAsia="en-AU"/>
            </w:rPr>
          </w:pPr>
          <w:hyperlink w:anchor="_Toc144110954"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_Toc144110954 \h </w:instrText>
            </w:r>
            <w:r w:rsidR="004C7298">
              <w:rPr>
                <w:noProof/>
                <w:webHidden/>
              </w:rPr>
            </w:r>
            <w:r w:rsidR="004C7298">
              <w:rPr>
                <w:noProof/>
                <w:webHidden/>
              </w:rPr>
              <w:fldChar w:fldCharType="separate"/>
            </w:r>
            <w:r w:rsidR="004C7298">
              <w:rPr>
                <w:noProof/>
                <w:webHidden/>
              </w:rPr>
              <w:t>46</w:t>
            </w:r>
            <w:r w:rsidR="004C7298">
              <w:rPr>
                <w:noProof/>
                <w:webHidden/>
              </w:rPr>
              <w:fldChar w:fldCharType="end"/>
            </w:r>
          </w:hyperlink>
        </w:p>
        <w:p w14:paraId="6D12E820" w14:textId="2873B7A6" w:rsidR="004C7298" w:rsidRDefault="00A13E49">
          <w:pPr>
            <w:pStyle w:val="TOC3"/>
            <w:rPr>
              <w:rFonts w:asciiTheme="minorHAnsi" w:eastAsiaTheme="minorEastAsia" w:hAnsiTheme="minorHAnsi" w:cstheme="minorBidi"/>
              <w:b w:val="0"/>
              <w:noProof/>
              <w:color w:val="auto"/>
              <w:szCs w:val="22"/>
              <w:lang w:eastAsia="en-AU"/>
            </w:rPr>
          </w:pPr>
          <w:hyperlink w:anchor="_Toc144110955"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_Toc144110955 \h </w:instrText>
            </w:r>
            <w:r w:rsidR="004C7298">
              <w:rPr>
                <w:noProof/>
                <w:webHidden/>
              </w:rPr>
            </w:r>
            <w:r w:rsidR="004C7298">
              <w:rPr>
                <w:noProof/>
                <w:webHidden/>
              </w:rPr>
              <w:fldChar w:fldCharType="separate"/>
            </w:r>
            <w:r w:rsidR="004C7298">
              <w:rPr>
                <w:noProof/>
                <w:webHidden/>
              </w:rPr>
              <w:t>47</w:t>
            </w:r>
            <w:r w:rsidR="004C7298">
              <w:rPr>
                <w:noProof/>
                <w:webHidden/>
              </w:rPr>
              <w:fldChar w:fldCharType="end"/>
            </w:r>
          </w:hyperlink>
        </w:p>
        <w:p w14:paraId="09600D9D" w14:textId="7095D803" w:rsidR="004C7298" w:rsidRDefault="00A13E49">
          <w:pPr>
            <w:pStyle w:val="TOC3"/>
            <w:rPr>
              <w:rFonts w:asciiTheme="minorHAnsi" w:eastAsiaTheme="minorEastAsia" w:hAnsiTheme="minorHAnsi" w:cstheme="minorBidi"/>
              <w:b w:val="0"/>
              <w:noProof/>
              <w:color w:val="auto"/>
              <w:szCs w:val="22"/>
              <w:lang w:eastAsia="en-AU"/>
            </w:rPr>
          </w:pPr>
          <w:hyperlink w:anchor="_Toc144110956"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_Toc144110956 \h </w:instrText>
            </w:r>
            <w:r w:rsidR="004C7298">
              <w:rPr>
                <w:noProof/>
                <w:webHidden/>
              </w:rPr>
            </w:r>
            <w:r w:rsidR="004C7298">
              <w:rPr>
                <w:noProof/>
                <w:webHidden/>
              </w:rPr>
              <w:fldChar w:fldCharType="separate"/>
            </w:r>
            <w:r w:rsidR="004C7298">
              <w:rPr>
                <w:noProof/>
                <w:webHidden/>
              </w:rPr>
              <w:t>47</w:t>
            </w:r>
            <w:r w:rsidR="004C7298">
              <w:rPr>
                <w:noProof/>
                <w:webHidden/>
              </w:rPr>
              <w:fldChar w:fldCharType="end"/>
            </w:r>
          </w:hyperlink>
        </w:p>
        <w:p w14:paraId="44F6E86C" w14:textId="1E79045A" w:rsidR="004C7298" w:rsidRDefault="00A13E49">
          <w:pPr>
            <w:pStyle w:val="TOC3"/>
            <w:rPr>
              <w:rFonts w:asciiTheme="minorHAnsi" w:eastAsiaTheme="minorEastAsia" w:hAnsiTheme="minorHAnsi" w:cstheme="minorBidi"/>
              <w:b w:val="0"/>
              <w:noProof/>
              <w:color w:val="auto"/>
              <w:szCs w:val="22"/>
              <w:lang w:eastAsia="en-AU"/>
            </w:rPr>
          </w:pPr>
          <w:hyperlink w:anchor="_Toc144110957"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_Toc144110957 \h </w:instrText>
            </w:r>
            <w:r w:rsidR="004C7298">
              <w:rPr>
                <w:noProof/>
                <w:webHidden/>
              </w:rPr>
            </w:r>
            <w:r w:rsidR="004C7298">
              <w:rPr>
                <w:noProof/>
                <w:webHidden/>
              </w:rPr>
              <w:fldChar w:fldCharType="separate"/>
            </w:r>
            <w:r w:rsidR="004C7298">
              <w:rPr>
                <w:noProof/>
                <w:webHidden/>
              </w:rPr>
              <w:t>47</w:t>
            </w:r>
            <w:r w:rsidR="004C7298">
              <w:rPr>
                <w:noProof/>
                <w:webHidden/>
              </w:rPr>
              <w:fldChar w:fldCharType="end"/>
            </w:r>
          </w:hyperlink>
        </w:p>
        <w:p w14:paraId="4F3F4D67" w14:textId="663A78B4" w:rsidR="004C7298" w:rsidRDefault="00A13E49">
          <w:pPr>
            <w:pStyle w:val="TOC3"/>
            <w:rPr>
              <w:rFonts w:asciiTheme="minorHAnsi" w:eastAsiaTheme="minorEastAsia" w:hAnsiTheme="minorHAnsi" w:cstheme="minorBidi"/>
              <w:b w:val="0"/>
              <w:noProof/>
              <w:color w:val="auto"/>
              <w:szCs w:val="22"/>
              <w:lang w:eastAsia="en-AU"/>
            </w:rPr>
          </w:pPr>
          <w:hyperlink w:anchor="_Toc144110958"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_Toc144110958 \h </w:instrText>
            </w:r>
            <w:r w:rsidR="004C7298">
              <w:rPr>
                <w:noProof/>
                <w:webHidden/>
              </w:rPr>
            </w:r>
            <w:r w:rsidR="004C7298">
              <w:rPr>
                <w:noProof/>
                <w:webHidden/>
              </w:rPr>
              <w:fldChar w:fldCharType="separate"/>
            </w:r>
            <w:r w:rsidR="004C7298">
              <w:rPr>
                <w:noProof/>
                <w:webHidden/>
              </w:rPr>
              <w:t>47</w:t>
            </w:r>
            <w:r w:rsidR="004C7298">
              <w:rPr>
                <w:noProof/>
                <w:webHidden/>
              </w:rPr>
              <w:fldChar w:fldCharType="end"/>
            </w:r>
          </w:hyperlink>
        </w:p>
        <w:p w14:paraId="4A893DE9" w14:textId="3219DEA5" w:rsidR="004C7298" w:rsidRDefault="00A13E49">
          <w:pPr>
            <w:pStyle w:val="TOC3"/>
            <w:rPr>
              <w:rFonts w:asciiTheme="minorHAnsi" w:eastAsiaTheme="minorEastAsia" w:hAnsiTheme="minorHAnsi" w:cstheme="minorBidi"/>
              <w:b w:val="0"/>
              <w:noProof/>
              <w:color w:val="auto"/>
              <w:szCs w:val="22"/>
              <w:lang w:eastAsia="en-AU"/>
            </w:rPr>
          </w:pPr>
          <w:hyperlink w:anchor="_Toc144110959"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_Toc144110959 \h </w:instrText>
            </w:r>
            <w:r w:rsidR="004C7298">
              <w:rPr>
                <w:noProof/>
                <w:webHidden/>
              </w:rPr>
            </w:r>
            <w:r w:rsidR="004C7298">
              <w:rPr>
                <w:noProof/>
                <w:webHidden/>
              </w:rPr>
              <w:fldChar w:fldCharType="separate"/>
            </w:r>
            <w:r w:rsidR="004C7298">
              <w:rPr>
                <w:noProof/>
                <w:webHidden/>
              </w:rPr>
              <w:t>47</w:t>
            </w:r>
            <w:r w:rsidR="004C7298">
              <w:rPr>
                <w:noProof/>
                <w:webHidden/>
              </w:rPr>
              <w:fldChar w:fldCharType="end"/>
            </w:r>
          </w:hyperlink>
        </w:p>
        <w:p w14:paraId="0E18F727" w14:textId="63C76C7C" w:rsidR="004C7298" w:rsidRDefault="00A13E49">
          <w:pPr>
            <w:pStyle w:val="TOC2"/>
            <w:tabs>
              <w:tab w:val="left" w:pos="1276"/>
            </w:tabs>
            <w:rPr>
              <w:rFonts w:asciiTheme="minorHAnsi" w:eastAsiaTheme="minorEastAsia" w:hAnsiTheme="minorHAnsi" w:cstheme="minorBidi"/>
              <w:b w:val="0"/>
              <w:noProof/>
              <w:color w:val="auto"/>
              <w:sz w:val="22"/>
              <w:szCs w:val="22"/>
              <w:lang w:eastAsia="en-AU"/>
            </w:rPr>
          </w:pPr>
          <w:hyperlink w:anchor="_Toc144110960" w:history="1">
            <w:r w:rsidR="004C7298" w:rsidRPr="006D24F3">
              <w:rPr>
                <w:rStyle w:val="Hyperlink"/>
                <w:noProof/>
              </w:rPr>
              <w:t>3.2</w:t>
            </w:r>
            <w:r w:rsidR="004C7298">
              <w:rPr>
                <w:rFonts w:asciiTheme="minorHAnsi" w:eastAsiaTheme="minorEastAsia" w:hAnsiTheme="minorHAnsi" w:cstheme="minorBidi"/>
                <w:b w:val="0"/>
                <w:noProof/>
                <w:color w:val="auto"/>
                <w:sz w:val="22"/>
                <w:szCs w:val="22"/>
                <w:lang w:eastAsia="en-AU"/>
              </w:rPr>
              <w:tab/>
            </w:r>
            <w:r w:rsidR="004C7298" w:rsidRPr="006D24F3">
              <w:rPr>
                <w:rStyle w:val="Hyperlink"/>
                <w:noProof/>
              </w:rPr>
              <w:t>Bile acids</w:t>
            </w:r>
            <w:r w:rsidR="004C7298">
              <w:rPr>
                <w:noProof/>
                <w:webHidden/>
              </w:rPr>
              <w:tab/>
            </w:r>
            <w:r w:rsidR="004C7298">
              <w:rPr>
                <w:noProof/>
                <w:webHidden/>
              </w:rPr>
              <w:fldChar w:fldCharType="begin"/>
            </w:r>
            <w:r w:rsidR="004C7298">
              <w:rPr>
                <w:noProof/>
                <w:webHidden/>
              </w:rPr>
              <w:instrText xml:space="preserve"> PAGEREF _Toc144110960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6ECE4F08" w14:textId="574572F5" w:rsidR="004C7298" w:rsidRDefault="00A13E49">
          <w:pPr>
            <w:pStyle w:val="TOC3"/>
            <w:rPr>
              <w:rFonts w:asciiTheme="minorHAnsi" w:eastAsiaTheme="minorEastAsia" w:hAnsiTheme="minorHAnsi" w:cstheme="minorBidi"/>
              <w:b w:val="0"/>
              <w:noProof/>
              <w:color w:val="auto"/>
              <w:szCs w:val="22"/>
              <w:lang w:eastAsia="en-AU"/>
            </w:rPr>
          </w:pPr>
          <w:hyperlink w:anchor="_Toc144110961" w:history="1">
            <w:r w:rsidR="004C7298" w:rsidRPr="006D24F3">
              <w:rPr>
                <w:rStyle w:val="Hyperlink"/>
                <w:noProof/>
              </w:rPr>
              <w:t>Proposal</w:t>
            </w:r>
            <w:r w:rsidR="004C7298">
              <w:rPr>
                <w:noProof/>
                <w:webHidden/>
              </w:rPr>
              <w:tab/>
            </w:r>
            <w:r w:rsidR="004C7298">
              <w:rPr>
                <w:noProof/>
                <w:webHidden/>
              </w:rPr>
              <w:fldChar w:fldCharType="begin"/>
            </w:r>
            <w:r w:rsidR="004C7298">
              <w:rPr>
                <w:noProof/>
                <w:webHidden/>
              </w:rPr>
              <w:instrText xml:space="preserve"> PAGEREF _Toc144110961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7BBAEB20" w14:textId="7E47F9A3" w:rsidR="004C7298" w:rsidRDefault="00A13E49">
          <w:pPr>
            <w:pStyle w:val="TOC3"/>
            <w:rPr>
              <w:rFonts w:asciiTheme="minorHAnsi" w:eastAsiaTheme="minorEastAsia" w:hAnsiTheme="minorHAnsi" w:cstheme="minorBidi"/>
              <w:b w:val="0"/>
              <w:noProof/>
              <w:color w:val="auto"/>
              <w:szCs w:val="22"/>
              <w:lang w:eastAsia="en-AU"/>
            </w:rPr>
          </w:pPr>
          <w:hyperlink w:anchor="_Toc144110962" w:history="1">
            <w:r w:rsidR="004C7298" w:rsidRPr="006D24F3">
              <w:rPr>
                <w:rStyle w:val="Hyperlink"/>
                <w:noProof/>
              </w:rPr>
              <w:t>CAS Number</w:t>
            </w:r>
            <w:r w:rsidR="004C7298">
              <w:rPr>
                <w:noProof/>
                <w:webHidden/>
              </w:rPr>
              <w:tab/>
            </w:r>
            <w:r w:rsidR="004C7298">
              <w:rPr>
                <w:noProof/>
                <w:webHidden/>
              </w:rPr>
              <w:fldChar w:fldCharType="begin"/>
            </w:r>
            <w:r w:rsidR="004C7298">
              <w:rPr>
                <w:noProof/>
                <w:webHidden/>
              </w:rPr>
              <w:instrText xml:space="preserve"> PAGEREF _Toc144110962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4CDB2954" w14:textId="34431A8F" w:rsidR="004C7298" w:rsidRDefault="00A13E49">
          <w:pPr>
            <w:pStyle w:val="TOC3"/>
            <w:rPr>
              <w:rFonts w:asciiTheme="minorHAnsi" w:eastAsiaTheme="minorEastAsia" w:hAnsiTheme="minorHAnsi" w:cstheme="minorBidi"/>
              <w:b w:val="0"/>
              <w:noProof/>
              <w:color w:val="auto"/>
              <w:szCs w:val="22"/>
              <w:lang w:eastAsia="en-AU"/>
            </w:rPr>
          </w:pPr>
          <w:hyperlink w:anchor="_Toc144110963" w:history="1">
            <w:r w:rsidR="004C7298" w:rsidRPr="006D24F3">
              <w:rPr>
                <w:rStyle w:val="Hyperlink"/>
                <w:noProof/>
              </w:rPr>
              <w:t>Alternative names</w:t>
            </w:r>
            <w:r w:rsidR="004C7298">
              <w:rPr>
                <w:noProof/>
                <w:webHidden/>
              </w:rPr>
              <w:tab/>
            </w:r>
            <w:r w:rsidR="004C7298">
              <w:rPr>
                <w:noProof/>
                <w:webHidden/>
              </w:rPr>
              <w:fldChar w:fldCharType="begin"/>
            </w:r>
            <w:r w:rsidR="004C7298">
              <w:rPr>
                <w:noProof/>
                <w:webHidden/>
              </w:rPr>
              <w:instrText xml:space="preserve"> PAGEREF _Toc144110963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0ECD5B5A" w14:textId="60389580" w:rsidR="004C7298" w:rsidRDefault="00A13E49">
          <w:pPr>
            <w:pStyle w:val="TOC3"/>
            <w:rPr>
              <w:rFonts w:asciiTheme="minorHAnsi" w:eastAsiaTheme="minorEastAsia" w:hAnsiTheme="minorHAnsi" w:cstheme="minorBidi"/>
              <w:b w:val="0"/>
              <w:noProof/>
              <w:color w:val="auto"/>
              <w:szCs w:val="22"/>
              <w:lang w:eastAsia="en-AU"/>
            </w:rPr>
          </w:pPr>
          <w:hyperlink w:anchor="_Toc144110964" w:history="1">
            <w:r w:rsidR="004C7298" w:rsidRPr="006D24F3">
              <w:rPr>
                <w:rStyle w:val="Hyperlink"/>
                <w:noProof/>
              </w:rPr>
              <w:t>Applicant</w:t>
            </w:r>
            <w:r w:rsidR="004C7298">
              <w:rPr>
                <w:noProof/>
                <w:webHidden/>
              </w:rPr>
              <w:tab/>
            </w:r>
            <w:r w:rsidR="004C7298">
              <w:rPr>
                <w:noProof/>
                <w:webHidden/>
              </w:rPr>
              <w:fldChar w:fldCharType="begin"/>
            </w:r>
            <w:r w:rsidR="004C7298">
              <w:rPr>
                <w:noProof/>
                <w:webHidden/>
              </w:rPr>
              <w:instrText xml:space="preserve"> PAGEREF _Toc144110964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77364B62" w14:textId="2A48D35E" w:rsidR="004C7298" w:rsidRDefault="00A13E49">
          <w:pPr>
            <w:pStyle w:val="TOC3"/>
            <w:rPr>
              <w:rFonts w:asciiTheme="minorHAnsi" w:eastAsiaTheme="minorEastAsia" w:hAnsiTheme="minorHAnsi" w:cstheme="minorBidi"/>
              <w:b w:val="0"/>
              <w:noProof/>
              <w:color w:val="auto"/>
              <w:szCs w:val="22"/>
              <w:lang w:eastAsia="en-AU"/>
            </w:rPr>
          </w:pPr>
          <w:hyperlink w:anchor="_Toc144110965" w:history="1">
            <w:r w:rsidR="004C7298" w:rsidRPr="006D24F3">
              <w:rPr>
                <w:rStyle w:val="Hyperlink"/>
                <w:noProof/>
              </w:rPr>
              <w:t>Proposed Scheduling</w:t>
            </w:r>
            <w:r w:rsidR="004C7298">
              <w:rPr>
                <w:noProof/>
                <w:webHidden/>
              </w:rPr>
              <w:tab/>
            </w:r>
            <w:r w:rsidR="004C7298">
              <w:rPr>
                <w:noProof/>
                <w:webHidden/>
              </w:rPr>
              <w:fldChar w:fldCharType="begin"/>
            </w:r>
            <w:r w:rsidR="004C7298">
              <w:rPr>
                <w:noProof/>
                <w:webHidden/>
              </w:rPr>
              <w:instrText xml:space="preserve"> PAGEREF _Toc144110965 \h </w:instrText>
            </w:r>
            <w:r w:rsidR="004C7298">
              <w:rPr>
                <w:noProof/>
                <w:webHidden/>
              </w:rPr>
            </w:r>
            <w:r w:rsidR="004C7298">
              <w:rPr>
                <w:noProof/>
                <w:webHidden/>
              </w:rPr>
              <w:fldChar w:fldCharType="separate"/>
            </w:r>
            <w:r w:rsidR="004C7298">
              <w:rPr>
                <w:noProof/>
                <w:webHidden/>
              </w:rPr>
              <w:t>48</w:t>
            </w:r>
            <w:r w:rsidR="004C7298">
              <w:rPr>
                <w:noProof/>
                <w:webHidden/>
              </w:rPr>
              <w:fldChar w:fldCharType="end"/>
            </w:r>
          </w:hyperlink>
        </w:p>
        <w:p w14:paraId="78F6D793" w14:textId="44C22BD8" w:rsidR="004C7298" w:rsidRDefault="00A13E49">
          <w:pPr>
            <w:pStyle w:val="TOC3"/>
            <w:rPr>
              <w:rFonts w:asciiTheme="minorHAnsi" w:eastAsiaTheme="minorEastAsia" w:hAnsiTheme="minorHAnsi" w:cstheme="minorBidi"/>
              <w:b w:val="0"/>
              <w:noProof/>
              <w:color w:val="auto"/>
              <w:szCs w:val="22"/>
              <w:lang w:eastAsia="en-AU"/>
            </w:rPr>
          </w:pPr>
          <w:hyperlink w:anchor="_Toc144110966" w:history="1">
            <w:r w:rsidR="004C7298" w:rsidRPr="006D24F3">
              <w:rPr>
                <w:rStyle w:val="Hyperlink"/>
                <w:noProof/>
              </w:rPr>
              <w:t>Background</w:t>
            </w:r>
            <w:r w:rsidR="004C7298">
              <w:rPr>
                <w:noProof/>
                <w:webHidden/>
              </w:rPr>
              <w:tab/>
            </w:r>
            <w:r w:rsidR="004C7298">
              <w:rPr>
                <w:noProof/>
                <w:webHidden/>
              </w:rPr>
              <w:fldChar w:fldCharType="begin"/>
            </w:r>
            <w:r w:rsidR="004C7298">
              <w:rPr>
                <w:noProof/>
                <w:webHidden/>
              </w:rPr>
              <w:instrText xml:space="preserve"> PAGEREF _Toc144110966 \h </w:instrText>
            </w:r>
            <w:r w:rsidR="004C7298">
              <w:rPr>
                <w:noProof/>
                <w:webHidden/>
              </w:rPr>
            </w:r>
            <w:r w:rsidR="004C7298">
              <w:rPr>
                <w:noProof/>
                <w:webHidden/>
              </w:rPr>
              <w:fldChar w:fldCharType="separate"/>
            </w:r>
            <w:r w:rsidR="004C7298">
              <w:rPr>
                <w:noProof/>
                <w:webHidden/>
              </w:rPr>
              <w:t>49</w:t>
            </w:r>
            <w:r w:rsidR="004C7298">
              <w:rPr>
                <w:noProof/>
                <w:webHidden/>
              </w:rPr>
              <w:fldChar w:fldCharType="end"/>
            </w:r>
          </w:hyperlink>
        </w:p>
        <w:p w14:paraId="30B90EAD" w14:textId="11490680" w:rsidR="004C7298" w:rsidRDefault="00A13E49">
          <w:pPr>
            <w:pStyle w:val="TOC3"/>
            <w:rPr>
              <w:rFonts w:asciiTheme="minorHAnsi" w:eastAsiaTheme="minorEastAsia" w:hAnsiTheme="minorHAnsi" w:cstheme="minorBidi"/>
              <w:b w:val="0"/>
              <w:noProof/>
              <w:color w:val="auto"/>
              <w:szCs w:val="22"/>
              <w:lang w:eastAsia="en-AU"/>
            </w:rPr>
          </w:pPr>
          <w:hyperlink w:anchor="_Toc144110967" w:history="1">
            <w:r w:rsidR="004C7298" w:rsidRPr="006D24F3">
              <w:rPr>
                <w:rStyle w:val="Hyperlink"/>
                <w:noProof/>
              </w:rPr>
              <w:t>Summary of applicant’s reasons for the proposal</w:t>
            </w:r>
            <w:r w:rsidR="004C7298">
              <w:rPr>
                <w:noProof/>
                <w:webHidden/>
              </w:rPr>
              <w:tab/>
            </w:r>
            <w:r w:rsidR="004C7298">
              <w:rPr>
                <w:noProof/>
                <w:webHidden/>
              </w:rPr>
              <w:fldChar w:fldCharType="begin"/>
            </w:r>
            <w:r w:rsidR="004C7298">
              <w:rPr>
                <w:noProof/>
                <w:webHidden/>
              </w:rPr>
              <w:instrText xml:space="preserve"> PAGEREF _Toc144110967 \h </w:instrText>
            </w:r>
            <w:r w:rsidR="004C7298">
              <w:rPr>
                <w:noProof/>
                <w:webHidden/>
              </w:rPr>
            </w:r>
            <w:r w:rsidR="004C7298">
              <w:rPr>
                <w:noProof/>
                <w:webHidden/>
              </w:rPr>
              <w:fldChar w:fldCharType="separate"/>
            </w:r>
            <w:r w:rsidR="004C7298">
              <w:rPr>
                <w:noProof/>
                <w:webHidden/>
              </w:rPr>
              <w:t>49</w:t>
            </w:r>
            <w:r w:rsidR="004C7298">
              <w:rPr>
                <w:noProof/>
                <w:webHidden/>
              </w:rPr>
              <w:fldChar w:fldCharType="end"/>
            </w:r>
          </w:hyperlink>
        </w:p>
        <w:p w14:paraId="4674C875" w14:textId="19F50D16" w:rsidR="004C7298" w:rsidRDefault="00A13E49">
          <w:pPr>
            <w:pStyle w:val="TOC3"/>
            <w:rPr>
              <w:rFonts w:asciiTheme="minorHAnsi" w:eastAsiaTheme="minorEastAsia" w:hAnsiTheme="minorHAnsi" w:cstheme="minorBidi"/>
              <w:b w:val="0"/>
              <w:noProof/>
              <w:color w:val="auto"/>
              <w:szCs w:val="22"/>
              <w:lang w:eastAsia="en-AU"/>
            </w:rPr>
          </w:pPr>
          <w:hyperlink w:anchor="_Toc144110968" w:history="1">
            <w:r w:rsidR="004C7298" w:rsidRPr="006D24F3">
              <w:rPr>
                <w:rStyle w:val="Hyperlink"/>
                <w:noProof/>
              </w:rPr>
              <w:t>Key uses / expected use</w:t>
            </w:r>
            <w:r w:rsidR="004C7298">
              <w:rPr>
                <w:noProof/>
                <w:webHidden/>
              </w:rPr>
              <w:tab/>
            </w:r>
            <w:r w:rsidR="004C7298">
              <w:rPr>
                <w:noProof/>
                <w:webHidden/>
              </w:rPr>
              <w:fldChar w:fldCharType="begin"/>
            </w:r>
            <w:r w:rsidR="004C7298">
              <w:rPr>
                <w:noProof/>
                <w:webHidden/>
              </w:rPr>
              <w:instrText xml:space="preserve"> PAGEREF _Toc144110968 \h </w:instrText>
            </w:r>
            <w:r w:rsidR="004C7298">
              <w:rPr>
                <w:noProof/>
                <w:webHidden/>
              </w:rPr>
            </w:r>
            <w:r w:rsidR="004C7298">
              <w:rPr>
                <w:noProof/>
                <w:webHidden/>
              </w:rPr>
              <w:fldChar w:fldCharType="separate"/>
            </w:r>
            <w:r w:rsidR="004C7298">
              <w:rPr>
                <w:noProof/>
                <w:webHidden/>
              </w:rPr>
              <w:t>49</w:t>
            </w:r>
            <w:r w:rsidR="004C7298">
              <w:rPr>
                <w:noProof/>
                <w:webHidden/>
              </w:rPr>
              <w:fldChar w:fldCharType="end"/>
            </w:r>
          </w:hyperlink>
        </w:p>
        <w:p w14:paraId="093B0088" w14:textId="5EC794A9" w:rsidR="004C7298" w:rsidRDefault="00A13E49">
          <w:pPr>
            <w:pStyle w:val="TOC3"/>
            <w:rPr>
              <w:rFonts w:asciiTheme="minorHAnsi" w:eastAsiaTheme="minorEastAsia" w:hAnsiTheme="minorHAnsi" w:cstheme="minorBidi"/>
              <w:b w:val="0"/>
              <w:noProof/>
              <w:color w:val="auto"/>
              <w:szCs w:val="22"/>
              <w:lang w:eastAsia="en-AU"/>
            </w:rPr>
          </w:pPr>
          <w:hyperlink w:anchor="_Toc144110969" w:history="1">
            <w:r w:rsidR="004C7298" w:rsidRPr="006D24F3">
              <w:rPr>
                <w:rStyle w:val="Hyperlink"/>
                <w:noProof/>
              </w:rPr>
              <w:t>Australian regulations</w:t>
            </w:r>
            <w:r w:rsidR="004C7298">
              <w:rPr>
                <w:noProof/>
                <w:webHidden/>
              </w:rPr>
              <w:tab/>
            </w:r>
            <w:r w:rsidR="004C7298">
              <w:rPr>
                <w:noProof/>
                <w:webHidden/>
              </w:rPr>
              <w:fldChar w:fldCharType="begin"/>
            </w:r>
            <w:r w:rsidR="004C7298">
              <w:rPr>
                <w:noProof/>
                <w:webHidden/>
              </w:rPr>
              <w:instrText xml:space="preserve"> PAGEREF _Toc144110969 \h </w:instrText>
            </w:r>
            <w:r w:rsidR="004C7298">
              <w:rPr>
                <w:noProof/>
                <w:webHidden/>
              </w:rPr>
            </w:r>
            <w:r w:rsidR="004C7298">
              <w:rPr>
                <w:noProof/>
                <w:webHidden/>
              </w:rPr>
              <w:fldChar w:fldCharType="separate"/>
            </w:r>
            <w:r w:rsidR="004C7298">
              <w:rPr>
                <w:noProof/>
                <w:webHidden/>
              </w:rPr>
              <w:t>50</w:t>
            </w:r>
            <w:r w:rsidR="004C7298">
              <w:rPr>
                <w:noProof/>
                <w:webHidden/>
              </w:rPr>
              <w:fldChar w:fldCharType="end"/>
            </w:r>
          </w:hyperlink>
        </w:p>
        <w:p w14:paraId="37901495" w14:textId="7F905BBF" w:rsidR="004C7298" w:rsidRDefault="00A13E49">
          <w:pPr>
            <w:pStyle w:val="TOC3"/>
            <w:rPr>
              <w:rFonts w:asciiTheme="minorHAnsi" w:eastAsiaTheme="minorEastAsia" w:hAnsiTheme="minorHAnsi" w:cstheme="minorBidi"/>
              <w:b w:val="0"/>
              <w:noProof/>
              <w:color w:val="auto"/>
              <w:szCs w:val="22"/>
              <w:lang w:eastAsia="en-AU"/>
            </w:rPr>
          </w:pPr>
          <w:hyperlink w:anchor="_Toc144110970" w:history="1">
            <w:r w:rsidR="004C7298" w:rsidRPr="006D24F3">
              <w:rPr>
                <w:rStyle w:val="Hyperlink"/>
                <w:noProof/>
              </w:rPr>
              <w:t>International regulations</w:t>
            </w:r>
            <w:r w:rsidR="004C7298">
              <w:rPr>
                <w:noProof/>
                <w:webHidden/>
              </w:rPr>
              <w:tab/>
            </w:r>
            <w:r w:rsidR="004C7298">
              <w:rPr>
                <w:noProof/>
                <w:webHidden/>
              </w:rPr>
              <w:fldChar w:fldCharType="begin"/>
            </w:r>
            <w:r w:rsidR="004C7298">
              <w:rPr>
                <w:noProof/>
                <w:webHidden/>
              </w:rPr>
              <w:instrText xml:space="preserve"> PAGEREF _Toc144110970 \h </w:instrText>
            </w:r>
            <w:r w:rsidR="004C7298">
              <w:rPr>
                <w:noProof/>
                <w:webHidden/>
              </w:rPr>
            </w:r>
            <w:r w:rsidR="004C7298">
              <w:rPr>
                <w:noProof/>
                <w:webHidden/>
              </w:rPr>
              <w:fldChar w:fldCharType="separate"/>
            </w:r>
            <w:r w:rsidR="004C7298">
              <w:rPr>
                <w:noProof/>
                <w:webHidden/>
              </w:rPr>
              <w:t>51</w:t>
            </w:r>
            <w:r w:rsidR="004C7298">
              <w:rPr>
                <w:noProof/>
                <w:webHidden/>
              </w:rPr>
              <w:fldChar w:fldCharType="end"/>
            </w:r>
          </w:hyperlink>
        </w:p>
        <w:p w14:paraId="2D72744B" w14:textId="56A86513" w:rsidR="004C7298" w:rsidRDefault="00A13E49">
          <w:pPr>
            <w:pStyle w:val="TOC1"/>
            <w:rPr>
              <w:rFonts w:asciiTheme="minorHAnsi" w:eastAsiaTheme="minorEastAsia" w:hAnsiTheme="minorHAnsi" w:cstheme="minorBidi"/>
              <w:b w:val="0"/>
              <w:noProof/>
              <w:color w:val="auto"/>
              <w:sz w:val="22"/>
              <w:szCs w:val="22"/>
              <w:lang w:eastAsia="en-AU"/>
            </w:rPr>
          </w:pPr>
          <w:hyperlink w:anchor="_Toc144110971" w:history="1">
            <w:r w:rsidR="004C7298" w:rsidRPr="006D24F3">
              <w:rPr>
                <w:rStyle w:val="Hyperlink"/>
                <w:noProof/>
              </w:rPr>
              <w:t>How to respond</w:t>
            </w:r>
            <w:r w:rsidR="004C7298">
              <w:rPr>
                <w:noProof/>
                <w:webHidden/>
              </w:rPr>
              <w:tab/>
            </w:r>
            <w:r w:rsidR="004C7298">
              <w:rPr>
                <w:noProof/>
                <w:webHidden/>
              </w:rPr>
              <w:fldChar w:fldCharType="begin"/>
            </w:r>
            <w:r w:rsidR="004C7298">
              <w:rPr>
                <w:noProof/>
                <w:webHidden/>
              </w:rPr>
              <w:instrText xml:space="preserve"> PAGEREF _Toc144110971 \h </w:instrText>
            </w:r>
            <w:r w:rsidR="004C7298">
              <w:rPr>
                <w:noProof/>
                <w:webHidden/>
              </w:rPr>
            </w:r>
            <w:r w:rsidR="004C7298">
              <w:rPr>
                <w:noProof/>
                <w:webHidden/>
              </w:rPr>
              <w:fldChar w:fldCharType="separate"/>
            </w:r>
            <w:r w:rsidR="004C7298">
              <w:rPr>
                <w:noProof/>
                <w:webHidden/>
              </w:rPr>
              <w:t>52</w:t>
            </w:r>
            <w:r w:rsidR="004C7298">
              <w:rPr>
                <w:noProof/>
                <w:webHidden/>
              </w:rPr>
              <w:fldChar w:fldCharType="end"/>
            </w:r>
          </w:hyperlink>
        </w:p>
        <w:p w14:paraId="1AE424C2" w14:textId="347DA9F2" w:rsidR="004C7298" w:rsidRDefault="00A13E49">
          <w:pPr>
            <w:pStyle w:val="TOC1"/>
            <w:rPr>
              <w:rFonts w:asciiTheme="minorHAnsi" w:eastAsiaTheme="minorEastAsia" w:hAnsiTheme="minorHAnsi" w:cstheme="minorBidi"/>
              <w:b w:val="0"/>
              <w:noProof/>
              <w:color w:val="auto"/>
              <w:sz w:val="22"/>
              <w:szCs w:val="22"/>
              <w:lang w:eastAsia="en-AU"/>
            </w:rPr>
          </w:pPr>
          <w:hyperlink w:anchor="_Toc144110972" w:history="1">
            <w:r w:rsidR="004C7298" w:rsidRPr="006D24F3">
              <w:rPr>
                <w:rStyle w:val="Hyperlink"/>
                <w:noProof/>
              </w:rPr>
              <w:t>What will happen</w:t>
            </w:r>
            <w:r w:rsidR="004C7298">
              <w:rPr>
                <w:noProof/>
                <w:webHidden/>
              </w:rPr>
              <w:tab/>
            </w:r>
            <w:r w:rsidR="004C7298">
              <w:rPr>
                <w:noProof/>
                <w:webHidden/>
              </w:rPr>
              <w:fldChar w:fldCharType="begin"/>
            </w:r>
            <w:r w:rsidR="004C7298">
              <w:rPr>
                <w:noProof/>
                <w:webHidden/>
              </w:rPr>
              <w:instrText xml:space="preserve"> PAGEREF _Toc144110972 \h </w:instrText>
            </w:r>
            <w:r w:rsidR="004C7298">
              <w:rPr>
                <w:noProof/>
                <w:webHidden/>
              </w:rPr>
            </w:r>
            <w:r w:rsidR="004C7298">
              <w:rPr>
                <w:noProof/>
                <w:webHidden/>
              </w:rPr>
              <w:fldChar w:fldCharType="separate"/>
            </w:r>
            <w:r w:rsidR="004C7298">
              <w:rPr>
                <w:noProof/>
                <w:webHidden/>
              </w:rPr>
              <w:t>52</w:t>
            </w:r>
            <w:r w:rsidR="004C7298">
              <w:rPr>
                <w:noProof/>
                <w:webHidden/>
              </w:rPr>
              <w:fldChar w:fldCharType="end"/>
            </w:r>
          </w:hyperlink>
        </w:p>
        <w:p w14:paraId="6CF8A28F" w14:textId="1710184D" w:rsidR="00F02AEC" w:rsidRPr="00215D48" w:rsidRDefault="00F02AEC" w:rsidP="00AC5E26">
          <w:r w:rsidRPr="00710D2F">
            <w:fldChar w:fldCharType="end"/>
          </w:r>
        </w:p>
      </w:sdtContent>
    </w:sdt>
    <w:bookmarkEnd w:id="3" w:displacedByCustomXml="prev"/>
    <w:p w14:paraId="427C3F47" w14:textId="76582A0C" w:rsidR="00D44CC1" w:rsidRPr="00215D48" w:rsidRDefault="00F02AEC" w:rsidP="00D63639">
      <w:r w:rsidRPr="00215D48">
        <w:br w:type="page"/>
      </w:r>
    </w:p>
    <w:p w14:paraId="514E9D3C" w14:textId="0E869C32" w:rsidR="00F02AEC" w:rsidRPr="00215D48" w:rsidRDefault="00685E72" w:rsidP="00F2313E">
      <w:pPr>
        <w:pStyle w:val="Heading2"/>
      </w:pPr>
      <w:bookmarkStart w:id="4" w:name="_Toc144110828"/>
      <w:bookmarkStart w:id="5" w:name="_Hlk139892263"/>
      <w:r>
        <w:lastRenderedPageBreak/>
        <w:t>About this consultation</w:t>
      </w:r>
      <w:bookmarkEnd w:id="4"/>
    </w:p>
    <w:p w14:paraId="3079A9D0" w14:textId="77777777" w:rsidR="00685E72" w:rsidRPr="00796620" w:rsidRDefault="00685E72" w:rsidP="007D561C">
      <w:pPr>
        <w:spacing w:before="120" w:after="180" w:line="240" w:lineRule="atLeast"/>
        <w:rPr>
          <w:rFonts w:cstheme="minorHAnsi"/>
        </w:rPr>
      </w:pPr>
      <w:bookmarkStart w:id="6" w:name="_Toc323739591"/>
      <w:bookmarkStart w:id="7" w:name="_Toc356305218"/>
      <w:r w:rsidRPr="00796620">
        <w:rPr>
          <w:rFonts w:cstheme="minorHAnsi"/>
        </w:rPr>
        <w:t>Subdivision 3D.2 of the </w:t>
      </w:r>
      <w:r w:rsidRPr="00796620">
        <w:rPr>
          <w:rFonts w:cstheme="minorHAnsi"/>
          <w:i/>
          <w:iCs/>
        </w:rPr>
        <w:t>Therapeutic Goods Regulations 1990</w:t>
      </w:r>
      <w:r w:rsidRPr="00796620">
        <w:rPr>
          <w:rFonts w:cstheme="minorHAnsi"/>
        </w:rPr>
        <w:t xml:space="preserve"> (the </w:t>
      </w:r>
      <w:r w:rsidRPr="00796620">
        <w:rPr>
          <w:rFonts w:cstheme="minorHAnsi"/>
          <w:b/>
          <w:bCs/>
        </w:rPr>
        <w:t>Regulations</w:t>
      </w:r>
      <w:r w:rsidRPr="00796620">
        <w:rPr>
          <w:rFonts w:cstheme="minorHAnsi"/>
        </w:rPr>
        <w:t>) sets out the procedure to be followed where the Secretary receives an application under section 52EAA of the </w:t>
      </w:r>
      <w:r w:rsidRPr="00796620">
        <w:rPr>
          <w:rFonts w:cstheme="minorHAnsi"/>
          <w:i/>
          <w:iCs/>
        </w:rPr>
        <w:t>Therapeutic Goods Act 1989</w:t>
      </w:r>
      <w:r w:rsidRPr="00796620">
        <w:rPr>
          <w:rFonts w:cstheme="minorHAnsi"/>
        </w:rPr>
        <w:t xml:space="preserve"> (the </w:t>
      </w:r>
      <w:r w:rsidRPr="00796620">
        <w:rPr>
          <w:rFonts w:cstheme="minorHAnsi"/>
          <w:b/>
          <w:bCs/>
        </w:rPr>
        <w:t>Act</w:t>
      </w:r>
      <w:r w:rsidRPr="00796620">
        <w:rPr>
          <w:rFonts w:cstheme="minorHAnsi"/>
        </w:rPr>
        <w: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22DD8014" w14:textId="49D5132D" w:rsidR="003628F4" w:rsidRPr="00796620" w:rsidRDefault="00685E72" w:rsidP="007D561C">
      <w:pPr>
        <w:spacing w:before="120" w:after="180" w:line="240" w:lineRule="atLeast"/>
        <w:rPr>
          <w:rFonts w:cstheme="minorHAnsi"/>
          <w:b/>
          <w:highlight w:val="yellow"/>
          <w:lang w:val="en"/>
        </w:rPr>
      </w:pPr>
      <w:r w:rsidRPr="00796620">
        <w:rPr>
          <w:rFonts w:cstheme="minorHAnsi"/>
          <w:noProof/>
        </w:rPr>
        <mc:AlternateContent>
          <mc:Choice Requires="wps">
            <w:drawing>
              <wp:anchor distT="0" distB="0" distL="114300" distR="114300" simplePos="0" relativeHeight="251659264" behindDoc="0" locked="0" layoutInCell="1" allowOverlap="1" wp14:anchorId="78822159" wp14:editId="730565E5">
                <wp:simplePos x="0" y="0"/>
                <wp:positionH relativeFrom="margin">
                  <wp:align>left</wp:align>
                </wp:positionH>
                <wp:positionV relativeFrom="paragraph">
                  <wp:posOffset>873400</wp:posOffset>
                </wp:positionV>
                <wp:extent cx="1828800" cy="1828800"/>
                <wp:effectExtent l="0" t="0" r="25400" b="2349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52B8CC47" w14:textId="69DC8A44" w:rsidR="00685E72" w:rsidRPr="00E5512A" w:rsidRDefault="00685E72" w:rsidP="007D561C">
                            <w:pPr>
                              <w:spacing w:before="120" w:after="180" w:line="240" w:lineRule="atLeast"/>
                              <w:rPr>
                                <w:rFonts w:cstheme="minorHAnsi"/>
                                <w:lang w:val="en"/>
                              </w:rPr>
                            </w:pPr>
                            <w:r w:rsidRPr="00E5512A">
                              <w:rPr>
                                <w:rFonts w:cstheme="minorHAnsi"/>
                              </w:rPr>
                              <w:t>Submissions should be provided through our</w:t>
                            </w:r>
                            <w:r w:rsidRPr="00E5512A">
                              <w:rPr>
                                <w:rFonts w:cstheme="minorHAnsi"/>
                                <w:lang w:val="en"/>
                              </w:rPr>
                              <w:t xml:space="preserve"> </w:t>
                            </w:r>
                            <w:hyperlink r:id="rId13" w:history="1">
                              <w:r w:rsidRPr="00E5512A">
                                <w:rPr>
                                  <w:rStyle w:val="Hyperlink"/>
                                  <w:rFonts w:asciiTheme="minorHAnsi" w:hAnsiTheme="minorHAnsi" w:cstheme="minorHAnsi"/>
                                </w:rPr>
                                <w:t>consultation hub</w:t>
                              </w:r>
                            </w:hyperlink>
                            <w:r w:rsidRPr="00E5512A">
                              <w:rPr>
                                <w:rFonts w:cstheme="minorHAnsi"/>
                                <w:lang w:val="en"/>
                              </w:rPr>
                              <w:t xml:space="preserve">. </w:t>
                            </w:r>
                            <w:r w:rsidRPr="00E5512A">
                              <w:rPr>
                                <w:rFonts w:cstheme="minorHAnsi"/>
                              </w:rPr>
                              <w:t>Any submission about any of the proposals to amend the Poisons Standard will be considered at the next meeting of the</w:t>
                            </w:r>
                            <w:r w:rsidRPr="00E5512A">
                              <w:rPr>
                                <w:rFonts w:cstheme="minorHAnsi"/>
                                <w:lang w:val="en"/>
                              </w:rPr>
                              <w:t xml:space="preserve"> </w:t>
                            </w:r>
                            <w:hyperlink r:id="rId14" w:history="1">
                              <w:r w:rsidRPr="00E5512A">
                                <w:rPr>
                                  <w:rStyle w:val="Hyperlink"/>
                                  <w:rFonts w:asciiTheme="minorHAnsi" w:hAnsiTheme="minorHAnsi" w:cstheme="minorHAnsi"/>
                                </w:rPr>
                                <w:t>Advisory Committee on Medicines Scheduling (ACMS)</w:t>
                              </w:r>
                            </w:hyperlink>
                            <w:r w:rsidRPr="00E5512A">
                              <w:rPr>
                                <w:rFonts w:cstheme="minorHAnsi"/>
                                <w:lang w:val="en"/>
                              </w:rPr>
                              <w:t xml:space="preserve">, </w:t>
                            </w:r>
                            <w:r w:rsidRPr="00E5512A">
                              <w:rPr>
                                <w:rFonts w:cstheme="minorHAnsi"/>
                              </w:rPr>
                              <w:t>meeting of the</w:t>
                            </w:r>
                            <w:r w:rsidRPr="00E5512A">
                              <w:rPr>
                                <w:rFonts w:cstheme="minorHAnsi"/>
                                <w:lang w:val="en"/>
                              </w:rPr>
                              <w:t xml:space="preserve"> </w:t>
                            </w:r>
                            <w:hyperlink r:id="rId15" w:history="1">
                              <w:r w:rsidRPr="00E5512A">
                                <w:rPr>
                                  <w:rStyle w:val="Hyperlink"/>
                                  <w:rFonts w:asciiTheme="minorHAnsi" w:hAnsiTheme="minorHAnsi" w:cstheme="minorHAnsi"/>
                                </w:rPr>
                                <w:t>Advisory Committee on Chemicals Scheduling (ACCS)</w:t>
                              </w:r>
                            </w:hyperlink>
                            <w:r w:rsidRPr="00E5512A">
                              <w:rPr>
                                <w:rFonts w:cstheme="minorHAnsi"/>
                                <w:lang w:val="en"/>
                              </w:rPr>
                              <w:t xml:space="preserve">, </w:t>
                            </w:r>
                            <w:r w:rsidRPr="00E5512A">
                              <w:rPr>
                                <w:rFonts w:cstheme="minorHAnsi"/>
                              </w:rPr>
                              <w:t>or a joint meeting of these two committees.</w:t>
                            </w:r>
                          </w:p>
                          <w:p w14:paraId="1681B090" w14:textId="41FFBEE5" w:rsidR="00685E72" w:rsidRPr="00E5512A" w:rsidRDefault="00685E72" w:rsidP="007D561C">
                            <w:pPr>
                              <w:spacing w:before="120" w:after="180" w:line="240" w:lineRule="atLeast"/>
                              <w:rPr>
                                <w:rFonts w:cstheme="minorHAnsi"/>
                                <w:b/>
                                <w:lang w:val="en"/>
                              </w:rPr>
                            </w:pPr>
                            <w:r w:rsidRPr="00E5512A">
                              <w:rPr>
                                <w:rFonts w:cstheme="minorHAnsi"/>
                                <w:b/>
                                <w:lang w:val="en"/>
                              </w:rPr>
                              <w:t xml:space="preserve">This consultation </w:t>
                            </w:r>
                            <w:r w:rsidRPr="00A83DFC">
                              <w:rPr>
                                <w:rFonts w:cstheme="minorHAnsi"/>
                                <w:b/>
                                <w:lang w:val="en"/>
                              </w:rPr>
                              <w:t xml:space="preserve">closes on </w:t>
                            </w:r>
                            <w:r w:rsidR="00A83DFC" w:rsidRPr="00A83DFC">
                              <w:rPr>
                                <w:rFonts w:cstheme="minorHAnsi"/>
                                <w:b/>
                                <w:lang w:val="en"/>
                              </w:rPr>
                              <w:t>29</w:t>
                            </w:r>
                            <w:r w:rsidR="003628F4" w:rsidRPr="00A83DFC">
                              <w:rPr>
                                <w:rFonts w:cstheme="minorHAnsi"/>
                                <w:b/>
                                <w:lang w:val="en"/>
                              </w:rPr>
                              <w:t xml:space="preserve"> September 2023</w:t>
                            </w:r>
                            <w:r w:rsidRPr="00A83DFC">
                              <w:rPr>
                                <w:rFonts w:cstheme="minorHAnsi"/>
                                <w:b/>
                                <w:lang w:val="en"/>
                              </w:rPr>
                              <w:t>.</w:t>
                            </w:r>
                          </w:p>
                          <w:p w14:paraId="085F45F4" w14:textId="77777777" w:rsidR="00685E72" w:rsidRPr="00E5512A" w:rsidRDefault="00685E72" w:rsidP="007D561C">
                            <w:pPr>
                              <w:spacing w:before="120" w:after="180" w:line="240" w:lineRule="atLeast"/>
                              <w:rPr>
                                <w:rFonts w:cstheme="minorHAnsi"/>
                              </w:rPr>
                            </w:pPr>
                            <w:r w:rsidRPr="00E5512A">
                              <w:rPr>
                                <w:rFonts w:cstheme="minorHAnsi"/>
                              </w:rPr>
                              <w:t>We aim to provide documents in an accessible format. If you're having problems using this document, please contact </w:t>
                            </w:r>
                            <w:hyperlink r:id="rId16" w:history="1">
                              <w:r w:rsidRPr="00E5512A">
                                <w:rPr>
                                  <w:rStyle w:val="Hyperlink"/>
                                  <w:rFonts w:asciiTheme="minorHAnsi" w:hAnsiTheme="minorHAnsi" w:cstheme="minorHAnsi"/>
                                </w:rPr>
                                <w:t>medicines.scheduling@health.gov.au</w:t>
                              </w:r>
                            </w:hyperlink>
                            <w:r w:rsidRPr="00E5512A">
                              <w:rPr>
                                <w:rFonts w:cstheme="minorHAnsi"/>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822159" id="_x0000_t202" coordsize="21600,21600" o:spt="202" path="m,l,21600r21600,l21600,xe">
                <v:stroke joinstyle="miter"/>
                <v:path gradientshapeok="t" o:connecttype="rect"/>
              </v:shapetype>
              <v:shape id="Text Box 1" o:spid="_x0000_s1026" type="#_x0000_t202" style="position:absolute;margin-left:0;margin-top:68.7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" fillcolor="#c6d0e9" strokeweight=".5pt">
                <v:textbox style="mso-fit-shape-to-text:t">
                  <w:txbxContent>
                    <w:p w14:paraId="52B8CC47" w14:textId="69DC8A44" w:rsidR="00685E72" w:rsidRPr="00E5512A" w:rsidRDefault="00685E72" w:rsidP="007D561C">
                      <w:pPr>
                        <w:spacing w:before="120" w:after="180" w:line="240" w:lineRule="atLeast"/>
                        <w:rPr>
                          <w:rFonts w:cstheme="minorHAnsi"/>
                          <w:lang w:val="en"/>
                        </w:rPr>
                      </w:pPr>
                      <w:r w:rsidRPr="00E5512A">
                        <w:rPr>
                          <w:rFonts w:cstheme="minorHAnsi"/>
                        </w:rPr>
                        <w:t>Submissions should be provided through our</w:t>
                      </w:r>
                      <w:r w:rsidRPr="00E5512A">
                        <w:rPr>
                          <w:rFonts w:cstheme="minorHAnsi"/>
                          <w:lang w:val="en"/>
                        </w:rPr>
                        <w:t xml:space="preserve"> </w:t>
                      </w:r>
                      <w:hyperlink r:id="rId17" w:history="1">
                        <w:r w:rsidRPr="00E5512A">
                          <w:rPr>
                            <w:rStyle w:val="Hyperlink"/>
                            <w:rFonts w:asciiTheme="minorHAnsi" w:hAnsiTheme="minorHAnsi" w:cstheme="minorHAnsi"/>
                          </w:rPr>
                          <w:t>consultation hub</w:t>
                        </w:r>
                      </w:hyperlink>
                      <w:r w:rsidRPr="00E5512A">
                        <w:rPr>
                          <w:rFonts w:cstheme="minorHAnsi"/>
                          <w:lang w:val="en"/>
                        </w:rPr>
                        <w:t xml:space="preserve">. </w:t>
                      </w:r>
                      <w:r w:rsidRPr="00E5512A">
                        <w:rPr>
                          <w:rFonts w:cstheme="minorHAnsi"/>
                        </w:rPr>
                        <w:t>Any submission about any of the proposals to amend the Poisons Standard will be considered at the next meeting of the</w:t>
                      </w:r>
                      <w:r w:rsidRPr="00E5512A">
                        <w:rPr>
                          <w:rFonts w:cstheme="minorHAnsi"/>
                          <w:lang w:val="en"/>
                        </w:rPr>
                        <w:t xml:space="preserve"> </w:t>
                      </w:r>
                      <w:hyperlink r:id="rId18" w:history="1">
                        <w:r w:rsidRPr="00E5512A">
                          <w:rPr>
                            <w:rStyle w:val="Hyperlink"/>
                            <w:rFonts w:asciiTheme="minorHAnsi" w:hAnsiTheme="minorHAnsi" w:cstheme="minorHAnsi"/>
                          </w:rPr>
                          <w:t>Advisory Committee on Medicines Scheduling (ACMS)</w:t>
                        </w:r>
                      </w:hyperlink>
                      <w:r w:rsidRPr="00E5512A">
                        <w:rPr>
                          <w:rFonts w:cstheme="minorHAnsi"/>
                          <w:lang w:val="en"/>
                        </w:rPr>
                        <w:t xml:space="preserve">, </w:t>
                      </w:r>
                      <w:r w:rsidRPr="00E5512A">
                        <w:rPr>
                          <w:rFonts w:cstheme="minorHAnsi"/>
                        </w:rPr>
                        <w:t>meeting of the</w:t>
                      </w:r>
                      <w:r w:rsidRPr="00E5512A">
                        <w:rPr>
                          <w:rFonts w:cstheme="minorHAnsi"/>
                          <w:lang w:val="en"/>
                        </w:rPr>
                        <w:t xml:space="preserve"> </w:t>
                      </w:r>
                      <w:hyperlink r:id="rId19" w:history="1">
                        <w:r w:rsidRPr="00E5512A">
                          <w:rPr>
                            <w:rStyle w:val="Hyperlink"/>
                            <w:rFonts w:asciiTheme="minorHAnsi" w:hAnsiTheme="minorHAnsi" w:cstheme="minorHAnsi"/>
                          </w:rPr>
                          <w:t>Advisory Committee on Chemicals Scheduling (ACCS)</w:t>
                        </w:r>
                      </w:hyperlink>
                      <w:r w:rsidRPr="00E5512A">
                        <w:rPr>
                          <w:rFonts w:cstheme="minorHAnsi"/>
                          <w:lang w:val="en"/>
                        </w:rPr>
                        <w:t xml:space="preserve">, </w:t>
                      </w:r>
                      <w:r w:rsidRPr="00E5512A">
                        <w:rPr>
                          <w:rFonts w:cstheme="minorHAnsi"/>
                        </w:rPr>
                        <w:t>or a joint meeting of these two committees.</w:t>
                      </w:r>
                    </w:p>
                    <w:p w14:paraId="1681B090" w14:textId="41FFBEE5" w:rsidR="00685E72" w:rsidRPr="00E5512A" w:rsidRDefault="00685E72" w:rsidP="007D561C">
                      <w:pPr>
                        <w:spacing w:before="120" w:after="180" w:line="240" w:lineRule="atLeast"/>
                        <w:rPr>
                          <w:rFonts w:cstheme="minorHAnsi"/>
                          <w:b/>
                          <w:lang w:val="en"/>
                        </w:rPr>
                      </w:pPr>
                      <w:r w:rsidRPr="00E5512A">
                        <w:rPr>
                          <w:rFonts w:cstheme="minorHAnsi"/>
                          <w:b/>
                          <w:lang w:val="en"/>
                        </w:rPr>
                        <w:t xml:space="preserve">This consultation </w:t>
                      </w:r>
                      <w:r w:rsidRPr="00A83DFC">
                        <w:rPr>
                          <w:rFonts w:cstheme="minorHAnsi"/>
                          <w:b/>
                          <w:lang w:val="en"/>
                        </w:rPr>
                        <w:t xml:space="preserve">closes on </w:t>
                      </w:r>
                      <w:r w:rsidR="00A83DFC" w:rsidRPr="00A83DFC">
                        <w:rPr>
                          <w:rFonts w:cstheme="minorHAnsi"/>
                          <w:b/>
                          <w:lang w:val="en"/>
                        </w:rPr>
                        <w:t>29</w:t>
                      </w:r>
                      <w:r w:rsidR="003628F4" w:rsidRPr="00A83DFC">
                        <w:rPr>
                          <w:rFonts w:cstheme="minorHAnsi"/>
                          <w:b/>
                          <w:lang w:val="en"/>
                        </w:rPr>
                        <w:t xml:space="preserve"> September 2023</w:t>
                      </w:r>
                      <w:r w:rsidRPr="00A83DFC">
                        <w:rPr>
                          <w:rFonts w:cstheme="minorHAnsi"/>
                          <w:b/>
                          <w:lang w:val="en"/>
                        </w:rPr>
                        <w:t>.</w:t>
                      </w:r>
                    </w:p>
                    <w:p w14:paraId="085F45F4" w14:textId="77777777" w:rsidR="00685E72" w:rsidRPr="00E5512A" w:rsidRDefault="00685E72" w:rsidP="007D561C">
                      <w:pPr>
                        <w:spacing w:before="120" w:after="180" w:line="240" w:lineRule="atLeast"/>
                        <w:rPr>
                          <w:rFonts w:cstheme="minorHAnsi"/>
                        </w:rPr>
                      </w:pPr>
                      <w:r w:rsidRPr="00E5512A">
                        <w:rPr>
                          <w:rFonts w:cstheme="minorHAnsi"/>
                        </w:rPr>
                        <w:t>We aim to provide documents in an accessible format. If you're having problems using this document, please contact </w:t>
                      </w:r>
                      <w:hyperlink r:id="rId20" w:history="1">
                        <w:r w:rsidRPr="00E5512A">
                          <w:rPr>
                            <w:rStyle w:val="Hyperlink"/>
                            <w:rFonts w:asciiTheme="minorHAnsi" w:hAnsiTheme="minorHAnsi" w:cstheme="minorHAnsi"/>
                          </w:rPr>
                          <w:t>medicines.scheduling@health.gov.au</w:t>
                        </w:r>
                      </w:hyperlink>
                      <w:r w:rsidRPr="00E5512A">
                        <w:rPr>
                          <w:rFonts w:cstheme="minorHAnsi"/>
                        </w:rPr>
                        <w:t>.</w:t>
                      </w:r>
                    </w:p>
                  </w:txbxContent>
                </v:textbox>
                <w10:wrap type="square" anchorx="margin"/>
              </v:shape>
            </w:pict>
          </mc:Fallback>
        </mc:AlternateContent>
      </w:r>
      <w:r w:rsidRPr="00796620">
        <w:rPr>
          <w:rFonts w:cstheme="minorHAnsi"/>
        </w:rPr>
        <w:t xml:space="preserve">In accordance with regulation 42ZCZK of the Regulations, the Secretary invites public submissions on scheduling proposals referred to the </w:t>
      </w:r>
      <w:r w:rsidR="002327B4" w:rsidRPr="0072362E">
        <w:rPr>
          <w:rFonts w:cstheme="minorHAnsi"/>
        </w:rPr>
        <w:t>November 2023</w:t>
      </w:r>
      <w:r w:rsidR="002327B4" w:rsidRPr="00796620">
        <w:rPr>
          <w:rFonts w:cstheme="minorHAnsi"/>
          <w:b/>
          <w:bCs/>
        </w:rPr>
        <w:t xml:space="preserve"> </w:t>
      </w:r>
      <w:r w:rsidRPr="00796620">
        <w:rPr>
          <w:rFonts w:cstheme="minorHAnsi"/>
        </w:rPr>
        <w:t>meeting</w:t>
      </w:r>
      <w:r w:rsidR="00343CFA" w:rsidRPr="00796620">
        <w:rPr>
          <w:rFonts w:cstheme="minorHAnsi"/>
        </w:rPr>
        <w:t>s</w:t>
      </w:r>
      <w:r w:rsidRPr="00796620">
        <w:rPr>
          <w:rFonts w:cstheme="minorHAnsi"/>
        </w:rPr>
        <w:t xml:space="preserve"> of the Advisory Committee on </w:t>
      </w:r>
      <w:r w:rsidRPr="0072362E">
        <w:rPr>
          <w:rFonts w:cstheme="minorHAnsi"/>
        </w:rPr>
        <w:t>Medicines</w:t>
      </w:r>
      <w:r w:rsidR="00343CFA" w:rsidRPr="0072362E">
        <w:rPr>
          <w:rFonts w:cstheme="minorHAnsi"/>
        </w:rPr>
        <w:t xml:space="preserve"> and </w:t>
      </w:r>
      <w:r w:rsidRPr="0072362E">
        <w:rPr>
          <w:rFonts w:cstheme="minorHAnsi"/>
        </w:rPr>
        <w:t>Chemicals</w:t>
      </w:r>
      <w:r w:rsidR="00343CFA" w:rsidRPr="00796620">
        <w:rPr>
          <w:rFonts w:cstheme="minorHAnsi"/>
        </w:rPr>
        <w:t xml:space="preserve"> </w:t>
      </w:r>
      <w:r w:rsidRPr="00796620">
        <w:rPr>
          <w:rFonts w:cstheme="minorHAnsi"/>
        </w:rPr>
        <w:t>Scheduling</w:t>
      </w:r>
      <w:r w:rsidR="00343CFA" w:rsidRPr="00796620">
        <w:rPr>
          <w:rFonts w:cstheme="minorHAnsi"/>
        </w:rPr>
        <w:t xml:space="preserve">. </w:t>
      </w:r>
      <w:r w:rsidRPr="00796620">
        <w:rPr>
          <w:rFonts w:cstheme="minorHAnsi"/>
        </w:rPr>
        <w:t xml:space="preserve">Submissions must be received by close of </w:t>
      </w:r>
      <w:r w:rsidRPr="00A83DFC">
        <w:rPr>
          <w:rFonts w:cstheme="minorHAnsi"/>
        </w:rPr>
        <w:t>business </w:t>
      </w:r>
      <w:r w:rsidR="00A83DFC" w:rsidRPr="00A83DFC">
        <w:rPr>
          <w:rFonts w:cstheme="minorHAnsi"/>
          <w:b/>
          <w:lang w:val="en"/>
        </w:rPr>
        <w:t>29</w:t>
      </w:r>
      <w:r w:rsidR="00343CFA" w:rsidRPr="00A83DFC">
        <w:rPr>
          <w:rFonts w:cstheme="minorHAnsi"/>
          <w:b/>
          <w:lang w:val="en"/>
        </w:rPr>
        <w:t xml:space="preserve"> September 2023. </w:t>
      </w:r>
    </w:p>
    <w:p w14:paraId="467458DE" w14:textId="583BFA4C" w:rsidR="00685E72" w:rsidRDefault="00685E72" w:rsidP="00685E72"/>
    <w:bookmarkEnd w:id="5"/>
    <w:bookmarkEnd w:id="6"/>
    <w:bookmarkEnd w:id="7"/>
    <w:p w14:paraId="40CD998C" w14:textId="77777777" w:rsidR="00685E72" w:rsidRDefault="00685E72">
      <w:pPr>
        <w:rPr>
          <w:rFonts w:ascii="Arial" w:eastAsia="Cambria" w:hAnsi="Arial" w:cs="Times New Roman"/>
          <w:b/>
          <w:color w:val="001871"/>
          <w:sz w:val="38"/>
        </w:rPr>
      </w:pPr>
      <w:r>
        <w:br w:type="page"/>
      </w:r>
    </w:p>
    <w:p w14:paraId="4E968656" w14:textId="6540B56E" w:rsidR="00685E72" w:rsidRDefault="001D5CC5" w:rsidP="00EB1099">
      <w:pPr>
        <w:pStyle w:val="Heading2"/>
        <w:ind w:left="720" w:hanging="720"/>
      </w:pPr>
      <w:bookmarkStart w:id="8" w:name="_Toc144110829"/>
      <w:bookmarkStart w:id="9" w:name="_Hlk139892366"/>
      <w:r>
        <w:lastRenderedPageBreak/>
        <w:t>1</w:t>
      </w:r>
      <w:r>
        <w:tab/>
      </w:r>
      <w:r w:rsidR="00685E72">
        <w:t xml:space="preserve">Proposed </w:t>
      </w:r>
      <w:proofErr w:type="gramStart"/>
      <w:r w:rsidR="00685E72">
        <w:t>amendment</w:t>
      </w:r>
      <w:r w:rsidR="000416C1">
        <w:t>s</w:t>
      </w:r>
      <w:proofErr w:type="gramEnd"/>
      <w:r w:rsidR="00685E72">
        <w:t xml:space="preserve"> referred for scheduling advice to ACMS meeting #</w:t>
      </w:r>
      <w:r w:rsidR="002327B4">
        <w:t>43</w:t>
      </w:r>
      <w:r w:rsidR="007E0F88">
        <w:t>, November 2023</w:t>
      </w:r>
      <w:bookmarkEnd w:id="8"/>
    </w:p>
    <w:p w14:paraId="2A326509" w14:textId="3C97EF75" w:rsidR="00586A6E" w:rsidRPr="00586A6E" w:rsidRDefault="001D5CC5" w:rsidP="00F2313E">
      <w:pPr>
        <w:pStyle w:val="Heading3"/>
      </w:pPr>
      <w:bookmarkStart w:id="10" w:name="_Toc144110830"/>
      <w:r>
        <w:t>1.1</w:t>
      </w:r>
      <w:r>
        <w:tab/>
      </w:r>
      <w:r w:rsidR="00586A6E">
        <w:t>Astodrimer sodium</w:t>
      </w:r>
      <w:bookmarkEnd w:id="10"/>
    </w:p>
    <w:p w14:paraId="21575F17" w14:textId="77777777" w:rsidR="00685E72" w:rsidRDefault="00685E72" w:rsidP="00685E72">
      <w:pPr>
        <w:pStyle w:val="Heading4"/>
      </w:pPr>
      <w:bookmarkStart w:id="11" w:name="_Toc122614215"/>
      <w:bookmarkStart w:id="12" w:name="_Toc144110831"/>
      <w:r>
        <w:t>Proposal</w:t>
      </w:r>
      <w:bookmarkEnd w:id="11"/>
      <w:bookmarkEnd w:id="12"/>
    </w:p>
    <w:p w14:paraId="106F6FE6" w14:textId="7FD94CA7" w:rsidR="00B05BCF" w:rsidRPr="007A3B6C" w:rsidRDefault="00B05BCF" w:rsidP="00DF0A9C">
      <w:bookmarkStart w:id="13" w:name="_Toc122614216"/>
      <w:r w:rsidRPr="007A3B6C">
        <w:t xml:space="preserve">The applicant has proposed an amendment of the Schedule 3 entry relating to </w:t>
      </w:r>
      <w:r w:rsidR="000A63B2">
        <w:t>a</w:t>
      </w:r>
      <w:r w:rsidRPr="007A3B6C">
        <w:t xml:space="preserve">stodrimer sodium. The proposed amendment would exempt </w:t>
      </w:r>
      <w:r w:rsidR="000A63B2">
        <w:t>a</w:t>
      </w:r>
      <w:r w:rsidRPr="007A3B6C">
        <w:t>stodrimer sodium from scheduling when in a barrier nasal spray preparation. Astodrimer sodium is currently approved for use as an active ingredient in medical devices only.</w:t>
      </w:r>
    </w:p>
    <w:p w14:paraId="688C1F49" w14:textId="4E5EAFC2" w:rsidR="00685E72" w:rsidRDefault="00685E72" w:rsidP="00685E72">
      <w:pPr>
        <w:pStyle w:val="Heading4"/>
      </w:pPr>
      <w:bookmarkStart w:id="14" w:name="_Toc144110832"/>
      <w:r>
        <w:t>CAS number</w:t>
      </w:r>
      <w:bookmarkEnd w:id="13"/>
      <w:bookmarkEnd w:id="14"/>
    </w:p>
    <w:p w14:paraId="6299252F" w14:textId="22B9A7C1" w:rsidR="00685E72" w:rsidRPr="007E0F88" w:rsidRDefault="00E63FCC" w:rsidP="00DF0A9C">
      <w:r w:rsidRPr="007E0F88">
        <w:t xml:space="preserve">676271-69-5 </w:t>
      </w:r>
    </w:p>
    <w:p w14:paraId="28346AF8" w14:textId="77777777" w:rsidR="00685E72" w:rsidRDefault="00685E72" w:rsidP="00685E72">
      <w:pPr>
        <w:pStyle w:val="Heading4"/>
      </w:pPr>
      <w:bookmarkStart w:id="15" w:name="_Toc122614217"/>
      <w:bookmarkStart w:id="16" w:name="_Toc144110833"/>
      <w:r>
        <w:t>Alternative names</w:t>
      </w:r>
      <w:bookmarkEnd w:id="15"/>
      <w:bookmarkEnd w:id="16"/>
    </w:p>
    <w:p w14:paraId="7787FAF4" w14:textId="0E3E06FD" w:rsidR="00E63FCC" w:rsidRPr="007E0F88" w:rsidRDefault="00E63FCC" w:rsidP="0072362E">
      <w:bookmarkStart w:id="17" w:name="_Toc122614218"/>
      <w:r w:rsidRPr="007E0F88">
        <w:t>2, 6-Bis</w:t>
      </w:r>
      <w:proofErr w:type="gramStart"/>
      <w:r w:rsidRPr="007E0F88">
        <w:t>-{</w:t>
      </w:r>
      <w:proofErr w:type="gramEnd"/>
      <w:r w:rsidRPr="007E0F88">
        <w:t>(1-napthalenyl-3,6-disulfonic acid)-oxyacetamido}-2,6-bis-2,6-bis-2,6-bis-(2,6-diamino-hexanoylamino)-2,6-diamino-hexanoic acid (</w:t>
      </w:r>
      <w:proofErr w:type="spellStart"/>
      <w:r w:rsidRPr="007E0F88">
        <w:t>diphenylmethyl</w:t>
      </w:r>
      <w:proofErr w:type="spellEnd"/>
      <w:r w:rsidRPr="007E0F88">
        <w:t xml:space="preserve">)-amide, </w:t>
      </w:r>
      <w:proofErr w:type="spellStart"/>
      <w:r w:rsidRPr="007E0F88">
        <w:t>polysodium</w:t>
      </w:r>
      <w:proofErr w:type="spellEnd"/>
      <w:r w:rsidRPr="007E0F88">
        <w:t xml:space="preserve"> salt</w:t>
      </w:r>
      <w:r w:rsidR="00687F35">
        <w:t xml:space="preserve">; </w:t>
      </w:r>
      <w:r w:rsidRPr="007E0F88">
        <w:t>SPL</w:t>
      </w:r>
      <w:r w:rsidR="00B05BCF" w:rsidRPr="007E0F88">
        <w:t>7</w:t>
      </w:r>
      <w:r w:rsidRPr="007E0F88">
        <w:t>013</w:t>
      </w:r>
    </w:p>
    <w:p w14:paraId="2784E917" w14:textId="405C6529" w:rsidR="007144AC" w:rsidRPr="007144AC" w:rsidRDefault="00685E72" w:rsidP="00E521E0">
      <w:pPr>
        <w:pStyle w:val="Heading4"/>
      </w:pPr>
      <w:bookmarkStart w:id="18" w:name="_Toc144110834"/>
      <w:r>
        <w:t>Applicant</w:t>
      </w:r>
      <w:bookmarkEnd w:id="17"/>
      <w:bookmarkEnd w:id="18"/>
    </w:p>
    <w:p w14:paraId="29DCA2A0" w14:textId="316ADB0E" w:rsidR="00E521E0" w:rsidRPr="00A35340" w:rsidRDefault="00E63FCC" w:rsidP="00A35340">
      <w:pPr>
        <w:spacing w:after="0"/>
      </w:pPr>
      <w:r w:rsidRPr="007E0F88">
        <w:t>Private applicant</w:t>
      </w:r>
    </w:p>
    <w:p w14:paraId="6A71BF2A" w14:textId="6B626826" w:rsidR="00685E72" w:rsidRDefault="00685E72" w:rsidP="00685E72">
      <w:pPr>
        <w:pStyle w:val="Heading4"/>
      </w:pPr>
      <w:bookmarkStart w:id="19" w:name="_Toc122614219"/>
      <w:bookmarkStart w:id="20" w:name="_Toc144110835"/>
      <w:r>
        <w:t>Proposed Scheduling</w:t>
      </w:r>
      <w:bookmarkEnd w:id="19"/>
      <w:bookmarkEnd w:id="20"/>
    </w:p>
    <w:p w14:paraId="39425F42" w14:textId="7A35FB8E" w:rsidR="00A35340" w:rsidRPr="00A35340" w:rsidRDefault="00A35340" w:rsidP="00A35340">
      <w:r w:rsidRPr="007E0F88">
        <w:t>Astodrimer sodium is currently listed in Schedule 3, Appendix F and Appendix H of the Poisons Standard.</w:t>
      </w:r>
    </w:p>
    <w:p w14:paraId="031498E0" w14:textId="65E9051B" w:rsidR="00685E72" w:rsidRPr="0072362E" w:rsidRDefault="00685E72" w:rsidP="0072362E">
      <w:r w:rsidRPr="0072362E">
        <w:t xml:space="preserve">The </w:t>
      </w:r>
      <w:r w:rsidRPr="006B6406">
        <w:t xml:space="preserve">applicant’s </w:t>
      </w:r>
      <w:r w:rsidRPr="0072362E">
        <w:t>proposed amendments to the Poisons Standard are</w:t>
      </w:r>
      <w:r w:rsidR="00691A9C">
        <w:t>:</w:t>
      </w:r>
      <w:r w:rsidRPr="0072362E">
        <w:rPr>
          <w:rStyle w:val="FootnoteReference"/>
          <w:rFonts w:ascii="Cambria" w:hAnsi="Cambria"/>
          <w:bCs/>
        </w:rPr>
        <w:footnoteReference w:id="1"/>
      </w:r>
    </w:p>
    <w:p w14:paraId="48397CC7" w14:textId="2E23BD1C" w:rsidR="00685E72" w:rsidRPr="00E5512A" w:rsidRDefault="00685E72">
      <w:pPr>
        <w:ind w:left="426"/>
        <w:rPr>
          <w:b/>
          <w:bCs/>
        </w:rPr>
      </w:pPr>
      <w:r w:rsidRPr="00E5512A">
        <w:rPr>
          <w:b/>
          <w:bCs/>
        </w:rPr>
        <w:t xml:space="preserve">Schedule </w:t>
      </w:r>
      <w:r w:rsidR="00717F6A" w:rsidRPr="00E5512A">
        <w:rPr>
          <w:b/>
          <w:bCs/>
        </w:rPr>
        <w:t>3</w:t>
      </w:r>
      <w:r w:rsidRPr="00E5512A">
        <w:rPr>
          <w:b/>
          <w:bCs/>
        </w:rPr>
        <w:t xml:space="preserve"> – Amend Entry</w:t>
      </w:r>
    </w:p>
    <w:p w14:paraId="6074A8FF" w14:textId="785C278F" w:rsidR="00685E72" w:rsidRPr="007E0F88" w:rsidRDefault="00717F6A" w:rsidP="0072362E">
      <w:pPr>
        <w:ind w:left="709"/>
      </w:pPr>
      <w:r w:rsidRPr="006B6406">
        <w:t xml:space="preserve">ASTODRIMER SODIUM except </w:t>
      </w:r>
      <w:r w:rsidRPr="007E0F88">
        <w:rPr>
          <w:color w:val="00B050"/>
          <w:u w:val="single"/>
        </w:rPr>
        <w:t>when used</w:t>
      </w:r>
      <w:r w:rsidRPr="007E0F88">
        <w:rPr>
          <w:color w:val="00B050"/>
        </w:rPr>
        <w:t xml:space="preserve"> </w:t>
      </w:r>
      <w:r w:rsidRPr="006B6406">
        <w:t>in:</w:t>
      </w:r>
    </w:p>
    <w:p w14:paraId="02668214" w14:textId="0B11D2C6" w:rsidR="00717F6A" w:rsidRPr="00A35340" w:rsidRDefault="00717F6A" w:rsidP="004C7298">
      <w:pPr>
        <w:pStyle w:val="ListParagraph"/>
        <w:numPr>
          <w:ilvl w:val="0"/>
          <w:numId w:val="64"/>
        </w:numPr>
        <w:ind w:left="1276"/>
        <w:rPr>
          <w:rFonts w:asciiTheme="minorHAnsi" w:hAnsiTheme="minorHAnsi" w:cstheme="minorHAnsi"/>
        </w:rPr>
      </w:pPr>
      <w:r w:rsidRPr="00A35340">
        <w:rPr>
          <w:rFonts w:asciiTheme="minorHAnsi" w:hAnsiTheme="minorHAnsi" w:cstheme="minorHAnsi"/>
        </w:rPr>
        <w:t>a condom lubricant</w:t>
      </w:r>
      <w:r w:rsidR="005773EB" w:rsidRPr="00A35340">
        <w:rPr>
          <w:rFonts w:asciiTheme="minorHAnsi" w:hAnsiTheme="minorHAnsi" w:cstheme="minorHAnsi"/>
          <w:color w:val="00B050"/>
          <w:u w:val="single"/>
        </w:rPr>
        <w:t>; or</w:t>
      </w:r>
    </w:p>
    <w:p w14:paraId="5382B371" w14:textId="37F3E287" w:rsidR="00717F6A" w:rsidRPr="00A35340" w:rsidRDefault="005773EB" w:rsidP="004C7298">
      <w:pPr>
        <w:pStyle w:val="ListParagraph"/>
        <w:numPr>
          <w:ilvl w:val="0"/>
          <w:numId w:val="64"/>
        </w:numPr>
        <w:ind w:left="1276"/>
        <w:rPr>
          <w:rFonts w:asciiTheme="minorHAnsi" w:hAnsiTheme="minorHAnsi" w:cstheme="minorHAnsi"/>
          <w:color w:val="00B050"/>
          <w:u w:val="single"/>
        </w:rPr>
      </w:pPr>
      <w:r w:rsidRPr="00A35340">
        <w:rPr>
          <w:rFonts w:asciiTheme="minorHAnsi" w:hAnsiTheme="minorHAnsi" w:cstheme="minorHAnsi"/>
          <w:color w:val="00B050"/>
          <w:u w:val="single"/>
        </w:rPr>
        <w:t>a barrier nasal spray</w:t>
      </w:r>
      <w:r w:rsidR="0007591A" w:rsidRPr="0007591A">
        <w:rPr>
          <w:rFonts w:asciiTheme="minorHAnsi" w:hAnsiTheme="minorHAnsi" w:cstheme="minorHAnsi"/>
        </w:rPr>
        <w:t>.</w:t>
      </w:r>
    </w:p>
    <w:p w14:paraId="0B88297E" w14:textId="76E88317" w:rsidR="00685E72" w:rsidRPr="00E5512A" w:rsidRDefault="00685E72" w:rsidP="00E5512A">
      <w:pPr>
        <w:ind w:left="426"/>
        <w:rPr>
          <w:b/>
          <w:bCs/>
        </w:rPr>
      </w:pPr>
      <w:r w:rsidRPr="00E5512A">
        <w:rPr>
          <w:b/>
          <w:bCs/>
        </w:rPr>
        <w:t>Index</w:t>
      </w:r>
    </w:p>
    <w:p w14:paraId="4CE81D3D" w14:textId="77777777" w:rsidR="00C34837" w:rsidRDefault="005773EB" w:rsidP="0072362E">
      <w:pPr>
        <w:ind w:left="709"/>
      </w:pPr>
      <w:bookmarkStart w:id="21" w:name="_Toc122614220"/>
      <w:r w:rsidRPr="00717F6A">
        <w:t>ASTODRIMER SODIUM</w:t>
      </w:r>
    </w:p>
    <w:p w14:paraId="04A1F487" w14:textId="0FA097CC" w:rsidR="00AB4D39" w:rsidRDefault="005773EB" w:rsidP="0072362E">
      <w:pPr>
        <w:ind w:left="709"/>
      </w:pPr>
      <w:r w:rsidRPr="007E0F88">
        <w:t xml:space="preserve">Schedule 3 </w:t>
      </w:r>
      <w:r w:rsidR="00AB4D39" w:rsidRPr="007E0F88">
        <w:br/>
        <w:t xml:space="preserve">Appendix F, clause 4 </w:t>
      </w:r>
      <w:r w:rsidR="00AB4D39" w:rsidRPr="007E0F88">
        <w:br/>
        <w:t>Appendix H, clause 1</w:t>
      </w:r>
    </w:p>
    <w:p w14:paraId="245D6979" w14:textId="21898084" w:rsidR="009F285A" w:rsidRDefault="005773EB" w:rsidP="0072362E">
      <w:pPr>
        <w:ind w:left="426"/>
      </w:pPr>
      <w:r w:rsidRPr="0072362E">
        <w:rPr>
          <w:b/>
          <w:bCs/>
        </w:rPr>
        <w:lastRenderedPageBreak/>
        <w:t>Appendix F, clause 4</w:t>
      </w:r>
      <w:r w:rsidR="009F285A">
        <w:t xml:space="preserve"> </w:t>
      </w:r>
      <w:r w:rsidR="00BA7703">
        <w:t xml:space="preserve">– </w:t>
      </w:r>
      <w:r w:rsidR="00BA7703" w:rsidRPr="007E0F88">
        <w:t xml:space="preserve">Poisons that must be labelled with warning statements and safety </w:t>
      </w:r>
      <w:r w:rsidR="00800740" w:rsidRPr="007E0F88">
        <w:t>directions.</w:t>
      </w:r>
      <w:r w:rsidR="00BA7703">
        <w:t xml:space="preserve"> </w:t>
      </w:r>
    </w:p>
    <w:tbl>
      <w:tblPr>
        <w:tblStyle w:val="TableTGAblue"/>
        <w:tblW w:w="8646" w:type="dxa"/>
        <w:tblInd w:w="416" w:type="dxa"/>
        <w:tblLook w:val="04A0" w:firstRow="1" w:lastRow="0" w:firstColumn="1" w:lastColumn="0" w:noHBand="0" w:noVBand="1"/>
      </w:tblPr>
      <w:tblGrid>
        <w:gridCol w:w="699"/>
        <w:gridCol w:w="3260"/>
        <w:gridCol w:w="4687"/>
      </w:tblGrid>
      <w:tr w:rsidR="009F285A" w:rsidRPr="00687F35" w14:paraId="17D2B074" w14:textId="77777777" w:rsidTr="0072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14ACA5ED" w14:textId="616C5A68" w:rsidR="009F285A" w:rsidRPr="0072362E" w:rsidRDefault="009F285A" w:rsidP="00687F35">
            <w:pPr>
              <w:spacing w:before="60" w:after="60"/>
              <w:rPr>
                <w:rFonts w:asciiTheme="minorHAnsi" w:hAnsiTheme="minorHAnsi" w:cstheme="minorHAnsi"/>
                <w:sz w:val="20"/>
                <w:szCs w:val="20"/>
              </w:rPr>
            </w:pPr>
            <w:r w:rsidRPr="00687F35">
              <w:rPr>
                <w:rFonts w:asciiTheme="minorHAnsi" w:hAnsiTheme="minorHAnsi" w:cstheme="minorHAnsi"/>
                <w:sz w:val="20"/>
                <w:szCs w:val="20"/>
              </w:rPr>
              <w:t>Item</w:t>
            </w:r>
          </w:p>
        </w:tc>
        <w:tc>
          <w:tcPr>
            <w:tcW w:w="3260" w:type="dxa"/>
          </w:tcPr>
          <w:p w14:paraId="3E662A86" w14:textId="1C3D76D0" w:rsidR="009F285A" w:rsidRPr="0072362E" w:rsidRDefault="009F285A" w:rsidP="00687F35">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Poison</w:t>
            </w:r>
          </w:p>
        </w:tc>
        <w:tc>
          <w:tcPr>
            <w:tcW w:w="4687" w:type="dxa"/>
          </w:tcPr>
          <w:p w14:paraId="707A1DB6" w14:textId="4A82E1B9" w:rsidR="009F285A" w:rsidRPr="0072362E" w:rsidRDefault="009F285A" w:rsidP="00687F35">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 xml:space="preserve">Warning statement </w:t>
            </w:r>
          </w:p>
        </w:tc>
      </w:tr>
      <w:tr w:rsidR="00BA7703" w:rsidRPr="00687F35" w14:paraId="008B42E6"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val="restart"/>
          </w:tcPr>
          <w:p w14:paraId="08C803D2" w14:textId="5DEFB895" w:rsidR="00BA7703" w:rsidRPr="0072362E" w:rsidRDefault="00BA7703" w:rsidP="00687F35">
            <w:pPr>
              <w:spacing w:before="60" w:after="60"/>
              <w:rPr>
                <w:rFonts w:asciiTheme="minorHAnsi" w:hAnsiTheme="minorHAnsi" w:cstheme="minorHAnsi"/>
                <w:sz w:val="20"/>
                <w:szCs w:val="20"/>
              </w:rPr>
            </w:pPr>
            <w:r w:rsidRPr="00687F35">
              <w:rPr>
                <w:rFonts w:asciiTheme="minorHAnsi" w:hAnsiTheme="minorHAnsi" w:cstheme="minorHAnsi"/>
                <w:sz w:val="20"/>
                <w:szCs w:val="20"/>
              </w:rPr>
              <w:t>30</w:t>
            </w:r>
          </w:p>
        </w:tc>
        <w:tc>
          <w:tcPr>
            <w:tcW w:w="3260" w:type="dxa"/>
            <w:vMerge w:val="restart"/>
          </w:tcPr>
          <w:p w14:paraId="7C47532C" w14:textId="7D948064"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ASTODRIMER SODIUM – for the treatment and relief of bacterial vaginosis</w:t>
            </w:r>
          </w:p>
        </w:tc>
        <w:tc>
          <w:tcPr>
            <w:tcW w:w="4687" w:type="dxa"/>
          </w:tcPr>
          <w:p w14:paraId="574EAE8D" w14:textId="27DEC9FE"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63</w:t>
            </w:r>
            <w:r w:rsidRPr="00687F35">
              <w:rPr>
                <w:rFonts w:asciiTheme="minorHAnsi" w:hAnsiTheme="minorHAnsi" w:cstheme="minorHAnsi"/>
                <w:sz w:val="20"/>
                <w:szCs w:val="20"/>
              </w:rPr>
              <w:t xml:space="preserve"> – See a doctor (or) (dentist) if no better after (Insert number of days as approved Product Information) days. </w:t>
            </w:r>
          </w:p>
        </w:tc>
      </w:tr>
      <w:tr w:rsidR="00BA7703" w:rsidRPr="00687F35" w14:paraId="7C1820AE"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6606B53F"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2A6414CB"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5C7E8098" w14:textId="7E40B3E5"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64</w:t>
            </w:r>
            <w:r w:rsidRPr="00687F35">
              <w:rPr>
                <w:rFonts w:asciiTheme="minorHAnsi" w:hAnsiTheme="minorHAnsi" w:cstheme="minorHAnsi"/>
                <w:sz w:val="20"/>
                <w:szCs w:val="20"/>
              </w:rPr>
              <w:t xml:space="preserve"> – If getting better, keep using for (Insert number of days as per approved Product Information) days. </w:t>
            </w:r>
          </w:p>
        </w:tc>
      </w:tr>
      <w:tr w:rsidR="00BA7703" w:rsidRPr="00687F35" w14:paraId="03D689FE"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44AAAEC5"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62FF8345"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7F5BE7BF" w14:textId="7A3A1FA5" w:rsidR="00BA7703" w:rsidRPr="00687F35" w:rsidRDefault="00BA7703" w:rsidP="00687F35">
            <w:pPr>
              <w:spacing w:before="60" w:after="60"/>
              <w:ind w:right="-11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69</w:t>
            </w:r>
            <w:r w:rsidRPr="00687F35">
              <w:rPr>
                <w:rFonts w:asciiTheme="minorHAnsi" w:hAnsiTheme="minorHAnsi" w:cstheme="minorHAnsi"/>
                <w:sz w:val="20"/>
                <w:szCs w:val="20"/>
              </w:rPr>
              <w:t xml:space="preserve"> – If symptoms recur within two weeks of completing the course, consult a doctor. </w:t>
            </w:r>
          </w:p>
        </w:tc>
      </w:tr>
      <w:tr w:rsidR="00BA7703" w:rsidRPr="00687F35" w14:paraId="28E3CA3A"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587895A3"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2511692E"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27FCD0D2" w14:textId="6DAB818B"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75</w:t>
            </w:r>
            <w:r w:rsidRPr="00687F35">
              <w:rPr>
                <w:rFonts w:asciiTheme="minorHAnsi" w:hAnsiTheme="minorHAnsi" w:cstheme="minorHAnsi"/>
                <w:sz w:val="20"/>
                <w:szCs w:val="20"/>
              </w:rPr>
              <w:t xml:space="preserve"> – Do not </w:t>
            </w:r>
            <w:r w:rsidR="00687F35" w:rsidRPr="00687F35">
              <w:rPr>
                <w:rFonts w:asciiTheme="minorHAnsi" w:hAnsiTheme="minorHAnsi" w:cstheme="minorHAnsi"/>
                <w:sz w:val="20"/>
                <w:szCs w:val="20"/>
              </w:rPr>
              <w:t>us</w:t>
            </w:r>
            <w:r w:rsidRPr="00687F35">
              <w:rPr>
                <w:rFonts w:asciiTheme="minorHAnsi" w:hAnsiTheme="minorHAnsi" w:cstheme="minorHAnsi"/>
                <w:sz w:val="20"/>
                <w:szCs w:val="20"/>
              </w:rPr>
              <w:t>e under waterproof bandages unless a doctor has told you to.</w:t>
            </w:r>
          </w:p>
        </w:tc>
      </w:tr>
      <w:tr w:rsidR="00BA7703" w:rsidRPr="00687F35" w14:paraId="5C8ED3EE"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45D1E6EA"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209482AA"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7C657D8F" w14:textId="34BB2D85"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109</w:t>
            </w:r>
            <w:r w:rsidRPr="00687F35">
              <w:rPr>
                <w:rFonts w:asciiTheme="minorHAnsi" w:hAnsiTheme="minorHAnsi" w:cstheme="minorHAnsi"/>
                <w:sz w:val="20"/>
                <w:szCs w:val="20"/>
              </w:rPr>
              <w:t xml:space="preserve"> – See your healthcare provider is you consider that you may be at risk of a Sexually Transmitted Infection (STI).</w:t>
            </w:r>
          </w:p>
        </w:tc>
      </w:tr>
      <w:tr w:rsidR="00BA7703" w:rsidRPr="00687F35" w14:paraId="2CE4396A" w14:textId="77777777" w:rsidTr="0072362E">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6E652A66"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3A187C32"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58616ECB" w14:textId="2C0096D5"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110</w:t>
            </w:r>
            <w:r w:rsidRPr="00687F35">
              <w:rPr>
                <w:rFonts w:asciiTheme="minorHAnsi" w:hAnsiTheme="minorHAnsi" w:cstheme="minorHAnsi"/>
                <w:sz w:val="20"/>
                <w:szCs w:val="20"/>
              </w:rPr>
              <w:t xml:space="preserve"> – See a doctor if you plan to become </w:t>
            </w:r>
            <w:r w:rsidR="00AB4D39" w:rsidRPr="00687F35">
              <w:rPr>
                <w:rFonts w:asciiTheme="minorHAnsi" w:hAnsiTheme="minorHAnsi" w:cstheme="minorHAnsi"/>
                <w:sz w:val="20"/>
                <w:szCs w:val="20"/>
              </w:rPr>
              <w:t>pregnant or</w:t>
            </w:r>
            <w:r w:rsidRPr="00687F35">
              <w:rPr>
                <w:rFonts w:asciiTheme="minorHAnsi" w:hAnsiTheme="minorHAnsi" w:cstheme="minorHAnsi"/>
                <w:sz w:val="20"/>
                <w:szCs w:val="20"/>
              </w:rPr>
              <w:t xml:space="preserve"> are breastfeeding or plan to breastfeed. </w:t>
            </w:r>
          </w:p>
        </w:tc>
      </w:tr>
      <w:tr w:rsidR="00BA7703" w:rsidRPr="00687F35" w14:paraId="67FA929C" w14:textId="77777777" w:rsidTr="0072362E">
        <w:trPr>
          <w:trHeight w:val="270"/>
        </w:trPr>
        <w:tc>
          <w:tcPr>
            <w:cnfStyle w:val="001000000000" w:firstRow="0" w:lastRow="0" w:firstColumn="1" w:lastColumn="0" w:oddVBand="0" w:evenVBand="0" w:oddHBand="0" w:evenHBand="0" w:firstRowFirstColumn="0" w:firstRowLastColumn="0" w:lastRowFirstColumn="0" w:lastRowLastColumn="0"/>
            <w:tcW w:w="699" w:type="dxa"/>
            <w:vMerge w:val="restart"/>
          </w:tcPr>
          <w:p w14:paraId="799225B4" w14:textId="2D88A2BF" w:rsidR="00BA7703" w:rsidRPr="0072362E" w:rsidRDefault="00BA7703" w:rsidP="00687F35">
            <w:pPr>
              <w:spacing w:before="60" w:after="60"/>
              <w:rPr>
                <w:rFonts w:asciiTheme="minorHAnsi" w:hAnsiTheme="minorHAnsi" w:cstheme="minorHAnsi"/>
                <w:sz w:val="20"/>
                <w:szCs w:val="20"/>
              </w:rPr>
            </w:pPr>
            <w:r w:rsidRPr="00687F35">
              <w:rPr>
                <w:rFonts w:asciiTheme="minorHAnsi" w:hAnsiTheme="minorHAnsi" w:cstheme="minorHAnsi"/>
                <w:sz w:val="20"/>
                <w:szCs w:val="20"/>
              </w:rPr>
              <w:t>31</w:t>
            </w:r>
          </w:p>
        </w:tc>
        <w:tc>
          <w:tcPr>
            <w:tcW w:w="3260" w:type="dxa"/>
            <w:vMerge w:val="restart"/>
          </w:tcPr>
          <w:p w14:paraId="76BD546A" w14:textId="683504BA"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ASTODRIMER SODIUM – for the prevention of recurrent bacterial vaginosis</w:t>
            </w:r>
          </w:p>
        </w:tc>
        <w:tc>
          <w:tcPr>
            <w:tcW w:w="4687" w:type="dxa"/>
          </w:tcPr>
          <w:p w14:paraId="585C4CC9" w14:textId="342A120F"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63</w:t>
            </w:r>
            <w:r w:rsidRPr="00687F35">
              <w:rPr>
                <w:rFonts w:asciiTheme="minorHAnsi" w:hAnsiTheme="minorHAnsi" w:cstheme="minorHAnsi"/>
                <w:sz w:val="20"/>
                <w:szCs w:val="20"/>
              </w:rPr>
              <w:t xml:space="preserve"> – See a doctor (or) (dentist) if no better after (Insert number of days as approved Product Information) days.</w:t>
            </w:r>
          </w:p>
        </w:tc>
      </w:tr>
      <w:tr w:rsidR="00BA7703" w:rsidRPr="00687F35" w14:paraId="4E94553A" w14:textId="77777777" w:rsidTr="0072362E">
        <w:trPr>
          <w:trHeight w:val="270"/>
        </w:trPr>
        <w:tc>
          <w:tcPr>
            <w:cnfStyle w:val="001000000000" w:firstRow="0" w:lastRow="0" w:firstColumn="1" w:lastColumn="0" w:oddVBand="0" w:evenVBand="0" w:oddHBand="0" w:evenHBand="0" w:firstRowFirstColumn="0" w:firstRowLastColumn="0" w:lastRowFirstColumn="0" w:lastRowLastColumn="0"/>
            <w:tcW w:w="699" w:type="dxa"/>
            <w:vMerge/>
          </w:tcPr>
          <w:p w14:paraId="63DB2085"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687B7D6F"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6487F379" w14:textId="31DB91B2"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75</w:t>
            </w:r>
            <w:r w:rsidRPr="00687F35">
              <w:rPr>
                <w:rFonts w:asciiTheme="minorHAnsi" w:hAnsiTheme="minorHAnsi" w:cstheme="minorHAnsi"/>
                <w:sz w:val="20"/>
                <w:szCs w:val="20"/>
              </w:rPr>
              <w:t xml:space="preserve"> – Do not sue under waterproof bandages unless a doctor has told you to.</w:t>
            </w:r>
          </w:p>
        </w:tc>
      </w:tr>
      <w:tr w:rsidR="00BA7703" w:rsidRPr="00687F35" w14:paraId="2C4DE005" w14:textId="77777777" w:rsidTr="0072362E">
        <w:trPr>
          <w:trHeight w:val="270"/>
        </w:trPr>
        <w:tc>
          <w:tcPr>
            <w:cnfStyle w:val="001000000000" w:firstRow="0" w:lastRow="0" w:firstColumn="1" w:lastColumn="0" w:oddVBand="0" w:evenVBand="0" w:oddHBand="0" w:evenHBand="0" w:firstRowFirstColumn="0" w:firstRowLastColumn="0" w:lastRowFirstColumn="0" w:lastRowLastColumn="0"/>
            <w:tcW w:w="699" w:type="dxa"/>
            <w:vMerge/>
          </w:tcPr>
          <w:p w14:paraId="2B967DF8"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476B5C26"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7CBAFB76" w14:textId="155C7BC8" w:rsidR="00BA7703" w:rsidRPr="00687F35" w:rsidRDefault="00AB4D39"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109</w:t>
            </w:r>
            <w:r w:rsidRPr="00687F35">
              <w:rPr>
                <w:rFonts w:asciiTheme="minorHAnsi" w:hAnsiTheme="minorHAnsi" w:cstheme="minorHAnsi"/>
                <w:sz w:val="20"/>
                <w:szCs w:val="20"/>
              </w:rPr>
              <w:t xml:space="preserve"> – See your healthcare provider is you consider that you may be at risk of a Sexually Transmitted Infection (STI).</w:t>
            </w:r>
          </w:p>
        </w:tc>
      </w:tr>
      <w:tr w:rsidR="00BA7703" w:rsidRPr="00687F35" w14:paraId="4B220930" w14:textId="77777777" w:rsidTr="0072362E">
        <w:trPr>
          <w:trHeight w:val="270"/>
        </w:trPr>
        <w:tc>
          <w:tcPr>
            <w:cnfStyle w:val="001000000000" w:firstRow="0" w:lastRow="0" w:firstColumn="1" w:lastColumn="0" w:oddVBand="0" w:evenVBand="0" w:oddHBand="0" w:evenHBand="0" w:firstRowFirstColumn="0" w:firstRowLastColumn="0" w:lastRowFirstColumn="0" w:lastRowLastColumn="0"/>
            <w:tcW w:w="699" w:type="dxa"/>
            <w:vMerge/>
          </w:tcPr>
          <w:p w14:paraId="4297E6EC" w14:textId="77777777" w:rsidR="00BA7703" w:rsidRPr="00687F35" w:rsidRDefault="00BA7703" w:rsidP="00687F35">
            <w:pPr>
              <w:spacing w:before="60" w:after="60"/>
              <w:rPr>
                <w:rFonts w:asciiTheme="minorHAnsi" w:hAnsiTheme="minorHAnsi" w:cstheme="minorHAnsi"/>
                <w:sz w:val="20"/>
                <w:szCs w:val="20"/>
              </w:rPr>
            </w:pPr>
          </w:p>
        </w:tc>
        <w:tc>
          <w:tcPr>
            <w:tcW w:w="3260" w:type="dxa"/>
            <w:vMerge/>
          </w:tcPr>
          <w:p w14:paraId="5882D409" w14:textId="77777777" w:rsidR="00BA7703" w:rsidRPr="00687F35" w:rsidRDefault="00BA7703"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4687" w:type="dxa"/>
          </w:tcPr>
          <w:p w14:paraId="2E0D311E" w14:textId="03DD0215" w:rsidR="00BA7703" w:rsidRPr="00687F35" w:rsidRDefault="00AB4D39"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2362E">
              <w:rPr>
                <w:rFonts w:cstheme="minorHAnsi"/>
                <w:b/>
                <w:bCs/>
                <w:sz w:val="20"/>
              </w:rPr>
              <w:t>110</w:t>
            </w:r>
            <w:r w:rsidRPr="00687F35">
              <w:rPr>
                <w:rFonts w:asciiTheme="minorHAnsi" w:hAnsiTheme="minorHAnsi" w:cstheme="minorHAnsi"/>
                <w:sz w:val="20"/>
                <w:szCs w:val="20"/>
              </w:rPr>
              <w:t xml:space="preserve"> – See a doctor if you plan to become pregnant or are breastfeeding or plan to breastfeed.</w:t>
            </w:r>
          </w:p>
        </w:tc>
      </w:tr>
    </w:tbl>
    <w:p w14:paraId="3EB1727D" w14:textId="33141608" w:rsidR="005773EB" w:rsidRPr="00087545" w:rsidRDefault="005773EB" w:rsidP="0072362E">
      <w:pPr>
        <w:spacing w:before="240"/>
        <w:ind w:left="426"/>
      </w:pPr>
      <w:r w:rsidRPr="0072362E">
        <w:rPr>
          <w:b/>
          <w:bCs/>
        </w:rPr>
        <w:t>Appendix H, clause 1</w:t>
      </w:r>
      <w:r w:rsidR="00AB4D39">
        <w:t xml:space="preserve"> – </w:t>
      </w:r>
      <w:r w:rsidR="00AB4D39" w:rsidRPr="0072362E">
        <w:t xml:space="preserve">Schedule 3 medicines permitted to be </w:t>
      </w:r>
      <w:r w:rsidR="00800740" w:rsidRPr="0072362E">
        <w:t>advertised.</w:t>
      </w:r>
      <w:r w:rsidR="00AB4D39">
        <w:t xml:space="preserve"> </w:t>
      </w:r>
    </w:p>
    <w:tbl>
      <w:tblPr>
        <w:tblStyle w:val="TableTGAblue"/>
        <w:tblW w:w="8646" w:type="dxa"/>
        <w:tblInd w:w="416" w:type="dxa"/>
        <w:tblLook w:val="04A0" w:firstRow="1" w:lastRow="0" w:firstColumn="1" w:lastColumn="0" w:noHBand="0" w:noVBand="1"/>
      </w:tblPr>
      <w:tblGrid>
        <w:gridCol w:w="699"/>
        <w:gridCol w:w="7947"/>
      </w:tblGrid>
      <w:tr w:rsidR="00AB4D39" w:rsidRPr="00687F35" w14:paraId="5C3740D0" w14:textId="77777777" w:rsidTr="0072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4598009" w14:textId="0B6E1DA3" w:rsidR="00AB4D39" w:rsidRPr="0072362E" w:rsidRDefault="00AB4D39" w:rsidP="00687F35">
            <w:pPr>
              <w:spacing w:before="60" w:after="60"/>
              <w:rPr>
                <w:rFonts w:asciiTheme="minorHAnsi" w:hAnsiTheme="minorHAnsi" w:cstheme="minorHAnsi"/>
                <w:sz w:val="20"/>
                <w:szCs w:val="20"/>
              </w:rPr>
            </w:pPr>
            <w:r w:rsidRPr="00687F35">
              <w:rPr>
                <w:rFonts w:asciiTheme="minorHAnsi" w:hAnsiTheme="minorHAnsi" w:cstheme="minorHAnsi"/>
                <w:sz w:val="20"/>
                <w:szCs w:val="20"/>
              </w:rPr>
              <w:t>Item</w:t>
            </w:r>
          </w:p>
        </w:tc>
        <w:tc>
          <w:tcPr>
            <w:tcW w:w="7947" w:type="dxa"/>
          </w:tcPr>
          <w:p w14:paraId="0891CB77" w14:textId="7E59F7C5" w:rsidR="00AB4D39" w:rsidRPr="0072362E" w:rsidRDefault="00AB4D39" w:rsidP="00687F35">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Poison</w:t>
            </w:r>
          </w:p>
        </w:tc>
      </w:tr>
      <w:tr w:rsidR="00AB4D39" w:rsidRPr="00687F35" w14:paraId="3A09377B" w14:textId="77777777" w:rsidTr="0072362E">
        <w:tc>
          <w:tcPr>
            <w:cnfStyle w:val="001000000000" w:firstRow="0" w:lastRow="0" w:firstColumn="1" w:lastColumn="0" w:oddVBand="0" w:evenVBand="0" w:oddHBand="0" w:evenHBand="0" w:firstRowFirstColumn="0" w:firstRowLastColumn="0" w:lastRowFirstColumn="0" w:lastRowLastColumn="0"/>
            <w:tcW w:w="699" w:type="dxa"/>
          </w:tcPr>
          <w:p w14:paraId="4EBE4853" w14:textId="27693AA8" w:rsidR="00AB4D39" w:rsidRPr="0072362E" w:rsidRDefault="00AB4D39" w:rsidP="00687F35">
            <w:pPr>
              <w:spacing w:before="60" w:after="60"/>
              <w:rPr>
                <w:rFonts w:asciiTheme="minorHAnsi" w:hAnsiTheme="minorHAnsi" w:cstheme="minorHAnsi"/>
                <w:sz w:val="20"/>
                <w:szCs w:val="20"/>
              </w:rPr>
            </w:pPr>
            <w:r w:rsidRPr="00687F35">
              <w:rPr>
                <w:rFonts w:asciiTheme="minorHAnsi" w:hAnsiTheme="minorHAnsi" w:cstheme="minorHAnsi"/>
                <w:sz w:val="20"/>
                <w:szCs w:val="20"/>
              </w:rPr>
              <w:t>3</w:t>
            </w:r>
          </w:p>
        </w:tc>
        <w:tc>
          <w:tcPr>
            <w:tcW w:w="7947" w:type="dxa"/>
          </w:tcPr>
          <w:p w14:paraId="74E96D0B" w14:textId="778E067E" w:rsidR="00AB4D39" w:rsidRPr="00687F35" w:rsidRDefault="00AB4D39" w:rsidP="00687F3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F35">
              <w:rPr>
                <w:rFonts w:asciiTheme="minorHAnsi" w:hAnsiTheme="minorHAnsi" w:cstheme="minorHAnsi"/>
                <w:sz w:val="20"/>
                <w:szCs w:val="20"/>
              </w:rPr>
              <w:t>ASTODRIMER SODIUM – for the treatment and relief of bacterial vaginosis and for the prevention of recurrent bacterial vaginosis</w:t>
            </w:r>
          </w:p>
        </w:tc>
      </w:tr>
    </w:tbl>
    <w:p w14:paraId="507B5D80" w14:textId="77777777" w:rsidR="00685E72" w:rsidRDefault="00685E72" w:rsidP="00685E72">
      <w:pPr>
        <w:pStyle w:val="Heading4"/>
      </w:pPr>
      <w:bookmarkStart w:id="22" w:name="_Toc144110836"/>
      <w:r>
        <w:t>Background</w:t>
      </w:r>
      <w:bookmarkEnd w:id="21"/>
      <w:bookmarkEnd w:id="22"/>
    </w:p>
    <w:p w14:paraId="4C344C75" w14:textId="13D73D00" w:rsidR="00B05BCF" w:rsidRPr="00DF0A9C" w:rsidRDefault="00B05BCF" w:rsidP="00B05BCF">
      <w:pPr>
        <w:rPr>
          <w:rFonts w:cstheme="minorHAnsi"/>
        </w:rPr>
      </w:pPr>
      <w:bookmarkStart w:id="23" w:name="_Toc122614221"/>
      <w:r w:rsidRPr="00DF0A9C">
        <w:rPr>
          <w:rFonts w:cstheme="minorHAnsi"/>
        </w:rPr>
        <w:t>Astodrimer sodium is a low toxicity, non-antibiotic</w:t>
      </w:r>
      <w:r w:rsidR="007E0F88" w:rsidRPr="00DF0A9C">
        <w:rPr>
          <w:rFonts w:cstheme="minorHAnsi"/>
        </w:rPr>
        <w:t>,</w:t>
      </w:r>
      <w:r w:rsidRPr="00DF0A9C">
        <w:rPr>
          <w:rFonts w:cstheme="minorHAnsi"/>
        </w:rPr>
        <w:t xml:space="preserve"> microbicidal that is used in the treatment of bacterial vaginosis as a topical gel and the prevention of sexually transmitted diseases (STD) as a condom lubricant. </w:t>
      </w:r>
    </w:p>
    <w:p w14:paraId="21A58EA0" w14:textId="03987D80" w:rsidR="00B05BCF" w:rsidRPr="00DF0A9C" w:rsidRDefault="00B05BCF" w:rsidP="0072362E">
      <w:pPr>
        <w:spacing w:before="120" w:after="180" w:line="240" w:lineRule="atLeast"/>
        <w:rPr>
          <w:rFonts w:cstheme="minorHAnsi"/>
        </w:rPr>
      </w:pPr>
      <w:r w:rsidRPr="00DF0A9C">
        <w:rPr>
          <w:rFonts w:cstheme="minorHAnsi"/>
        </w:rPr>
        <w:t xml:space="preserve">Astodrimer sodium is currently a Schedule </w:t>
      </w:r>
      <w:r w:rsidR="00364278">
        <w:rPr>
          <w:rFonts w:cstheme="minorHAnsi"/>
        </w:rPr>
        <w:t>3</w:t>
      </w:r>
      <w:r w:rsidRPr="00DF0A9C">
        <w:rPr>
          <w:rFonts w:cstheme="minorHAnsi"/>
        </w:rPr>
        <w:t xml:space="preserve"> medication </w:t>
      </w:r>
      <w:r w:rsidR="00364278">
        <w:rPr>
          <w:rFonts w:cstheme="minorHAnsi"/>
        </w:rPr>
        <w:t xml:space="preserve">(except when used in condom lubricants) </w:t>
      </w:r>
      <w:r w:rsidRPr="00DF0A9C">
        <w:rPr>
          <w:rFonts w:cstheme="minorHAnsi"/>
        </w:rPr>
        <w:t xml:space="preserve">with labelled warning statements of </w:t>
      </w:r>
      <w:r w:rsidR="00471508">
        <w:rPr>
          <w:rFonts w:cstheme="minorHAnsi"/>
        </w:rPr>
        <w:t>‘</w:t>
      </w:r>
      <w:r w:rsidRPr="00DF0A9C">
        <w:rPr>
          <w:rFonts w:cstheme="minorHAnsi"/>
        </w:rPr>
        <w:t>for the treatment and relief of bacterial vaginosis</w:t>
      </w:r>
      <w:r w:rsidR="00471508">
        <w:rPr>
          <w:rFonts w:cstheme="minorHAnsi"/>
        </w:rPr>
        <w:t>’</w:t>
      </w:r>
      <w:r w:rsidRPr="00DF0A9C">
        <w:rPr>
          <w:rFonts w:cstheme="minorHAnsi"/>
        </w:rPr>
        <w:t xml:space="preserve"> and </w:t>
      </w:r>
      <w:r w:rsidR="00471508">
        <w:rPr>
          <w:rFonts w:cstheme="minorHAnsi"/>
        </w:rPr>
        <w:t>‘</w:t>
      </w:r>
      <w:r w:rsidRPr="00DF0A9C">
        <w:rPr>
          <w:rFonts w:cstheme="minorHAnsi"/>
        </w:rPr>
        <w:t>for the prevention of recurrent bacterial vaginosis.</w:t>
      </w:r>
      <w:r w:rsidR="00471508">
        <w:rPr>
          <w:rFonts w:cstheme="minorHAnsi"/>
        </w:rPr>
        <w:t>’</w:t>
      </w:r>
      <w:r w:rsidRPr="00DF0A9C">
        <w:rPr>
          <w:rFonts w:cstheme="minorHAnsi"/>
        </w:rPr>
        <w:t xml:space="preserve"> </w:t>
      </w:r>
      <w:r w:rsidR="00364278">
        <w:rPr>
          <w:rFonts w:cstheme="minorHAnsi"/>
        </w:rPr>
        <w:t xml:space="preserve">The </w:t>
      </w:r>
      <w:r w:rsidRPr="00DF0A9C">
        <w:rPr>
          <w:rFonts w:cstheme="minorHAnsi"/>
        </w:rPr>
        <w:t>Appendix H</w:t>
      </w:r>
      <w:r w:rsidR="00364278">
        <w:rPr>
          <w:rFonts w:cstheme="minorHAnsi"/>
        </w:rPr>
        <w:t xml:space="preserve"> </w:t>
      </w:r>
      <w:r w:rsidRPr="00DF0A9C">
        <w:rPr>
          <w:rFonts w:cstheme="minorHAnsi"/>
        </w:rPr>
        <w:t>entry permit</w:t>
      </w:r>
      <w:r w:rsidR="00364278">
        <w:rPr>
          <w:rFonts w:cstheme="minorHAnsi"/>
        </w:rPr>
        <w:t>s</w:t>
      </w:r>
      <w:r w:rsidRPr="00DF0A9C">
        <w:rPr>
          <w:rFonts w:cstheme="minorHAnsi"/>
        </w:rPr>
        <w:t xml:space="preserve"> advertising </w:t>
      </w:r>
      <w:r w:rsidR="00364278">
        <w:rPr>
          <w:rFonts w:cstheme="minorHAnsi"/>
        </w:rPr>
        <w:t xml:space="preserve">of Schedule 3 preparations containing astodrimer </w:t>
      </w:r>
      <w:r w:rsidRPr="00DF0A9C">
        <w:rPr>
          <w:rFonts w:cstheme="minorHAnsi"/>
        </w:rPr>
        <w:t>for the</w:t>
      </w:r>
      <w:r w:rsidR="00364278">
        <w:rPr>
          <w:rFonts w:cstheme="minorHAnsi"/>
        </w:rPr>
        <w:t>se indications</w:t>
      </w:r>
      <w:r w:rsidRPr="00DF0A9C">
        <w:rPr>
          <w:rFonts w:cstheme="minorHAnsi"/>
        </w:rPr>
        <w:t>.</w:t>
      </w:r>
    </w:p>
    <w:p w14:paraId="62431C4E" w14:textId="77777777" w:rsidR="00685E72" w:rsidRDefault="00685E72" w:rsidP="00685E72">
      <w:pPr>
        <w:pStyle w:val="Heading4"/>
      </w:pPr>
      <w:bookmarkStart w:id="24" w:name="_Toc144110837"/>
      <w:r>
        <w:lastRenderedPageBreak/>
        <w:t>Summary of applicant’s reasons for the proposal</w:t>
      </w:r>
      <w:bookmarkEnd w:id="23"/>
      <w:bookmarkEnd w:id="24"/>
    </w:p>
    <w:p w14:paraId="6446F9A9" w14:textId="0C1349A1" w:rsidR="00C41FAD" w:rsidRDefault="00C41FAD" w:rsidP="0072362E">
      <w:pPr>
        <w:pStyle w:val="ListParagraph"/>
        <w:numPr>
          <w:ilvl w:val="0"/>
          <w:numId w:val="22"/>
        </w:numPr>
        <w:ind w:left="360"/>
        <w:rPr>
          <w:rFonts w:asciiTheme="minorHAnsi" w:hAnsiTheme="minorHAnsi" w:cstheme="minorHAnsi"/>
        </w:rPr>
      </w:pPr>
      <w:r w:rsidRPr="00DF0A9C">
        <w:rPr>
          <w:rFonts w:asciiTheme="minorHAnsi" w:hAnsiTheme="minorHAnsi" w:cstheme="minorHAnsi"/>
        </w:rPr>
        <w:t>The non-serious and self-limiting nature of the condition (the common cold) is consistent with the risk profile of</w:t>
      </w:r>
      <w:r w:rsidR="00471508">
        <w:rPr>
          <w:rFonts w:asciiTheme="minorHAnsi" w:hAnsiTheme="minorHAnsi" w:cstheme="minorHAnsi"/>
        </w:rPr>
        <w:t xml:space="preserve"> </w:t>
      </w:r>
      <w:proofErr w:type="gramStart"/>
      <w:r w:rsidR="00471508">
        <w:rPr>
          <w:rFonts w:asciiTheme="minorHAnsi" w:hAnsiTheme="minorHAnsi" w:cstheme="minorHAnsi"/>
        </w:rPr>
        <w:t>over-the-counter</w:t>
      </w:r>
      <w:proofErr w:type="gramEnd"/>
      <w:r w:rsidR="00471508">
        <w:rPr>
          <w:rFonts w:asciiTheme="minorHAnsi" w:hAnsiTheme="minorHAnsi" w:cstheme="minorHAnsi"/>
        </w:rPr>
        <w:t xml:space="preserve"> (</w:t>
      </w:r>
      <w:r w:rsidRPr="00DF0A9C">
        <w:rPr>
          <w:rFonts w:asciiTheme="minorHAnsi" w:hAnsiTheme="minorHAnsi" w:cstheme="minorHAnsi"/>
        </w:rPr>
        <w:t>OTC</w:t>
      </w:r>
      <w:r w:rsidR="00471508">
        <w:rPr>
          <w:rFonts w:asciiTheme="minorHAnsi" w:hAnsiTheme="minorHAnsi" w:cstheme="minorHAnsi"/>
        </w:rPr>
        <w:t>)</w:t>
      </w:r>
      <w:r w:rsidRPr="00DF0A9C">
        <w:rPr>
          <w:rFonts w:asciiTheme="minorHAnsi" w:hAnsiTheme="minorHAnsi" w:cstheme="minorHAnsi"/>
        </w:rPr>
        <w:t xml:space="preserve"> medicines.</w:t>
      </w:r>
      <w:r w:rsidR="00687F35">
        <w:rPr>
          <w:rFonts w:asciiTheme="minorHAnsi" w:hAnsiTheme="minorHAnsi" w:cstheme="minorHAnsi"/>
        </w:rPr>
        <w:t xml:space="preserve"> </w:t>
      </w:r>
      <w:r w:rsidRPr="00687F35">
        <w:rPr>
          <w:rFonts w:asciiTheme="minorHAnsi" w:hAnsiTheme="minorHAnsi" w:cstheme="minorHAnsi"/>
        </w:rPr>
        <w:t xml:space="preserve">Similar products used in the treatment of the condition are OTC medicines and readily available in Australia. </w:t>
      </w:r>
    </w:p>
    <w:p w14:paraId="7F2A3FFC" w14:textId="77777777" w:rsidR="000A63B2" w:rsidRDefault="000A63B2" w:rsidP="00EB1099">
      <w:pPr>
        <w:pStyle w:val="ListParagraph"/>
        <w:ind w:left="360"/>
        <w:rPr>
          <w:rFonts w:asciiTheme="minorHAnsi" w:hAnsiTheme="minorHAnsi" w:cstheme="minorHAnsi"/>
        </w:rPr>
      </w:pPr>
    </w:p>
    <w:p w14:paraId="06D33CE4" w14:textId="34A34E95" w:rsidR="00173237" w:rsidRPr="00EB1099" w:rsidRDefault="00173237" w:rsidP="00EB1099">
      <w:pPr>
        <w:pStyle w:val="ListParagraph"/>
        <w:numPr>
          <w:ilvl w:val="0"/>
          <w:numId w:val="22"/>
        </w:numPr>
        <w:ind w:left="360"/>
        <w:rPr>
          <w:rFonts w:asciiTheme="minorHAnsi" w:hAnsiTheme="minorHAnsi" w:cstheme="minorHAnsi"/>
        </w:rPr>
      </w:pPr>
      <w:r>
        <w:rPr>
          <w:rFonts w:asciiTheme="minorHAnsi" w:hAnsiTheme="minorHAnsi" w:cstheme="minorHAnsi"/>
        </w:rPr>
        <w:t>T</w:t>
      </w:r>
      <w:r w:rsidRPr="00EB1099">
        <w:rPr>
          <w:rFonts w:asciiTheme="minorHAnsi" w:hAnsiTheme="minorHAnsi" w:cstheme="minorHAnsi"/>
        </w:rPr>
        <w:t xml:space="preserve">he purpose of astodrimer sodium </w:t>
      </w:r>
      <w:r>
        <w:rPr>
          <w:rFonts w:asciiTheme="minorHAnsi" w:hAnsiTheme="minorHAnsi" w:cstheme="minorHAnsi"/>
        </w:rPr>
        <w:t xml:space="preserve">inclusion in a nasal spray </w:t>
      </w:r>
      <w:r w:rsidRPr="00EB1099">
        <w:rPr>
          <w:rFonts w:asciiTheme="minorHAnsi" w:hAnsiTheme="minorHAnsi" w:cstheme="minorHAnsi"/>
        </w:rPr>
        <w:t xml:space="preserve">product is </w:t>
      </w:r>
      <w:r>
        <w:rPr>
          <w:rFonts w:asciiTheme="minorHAnsi" w:hAnsiTheme="minorHAnsi" w:cstheme="minorHAnsi"/>
        </w:rPr>
        <w:t xml:space="preserve">to act as </w:t>
      </w:r>
      <w:r w:rsidRPr="00EB1099">
        <w:rPr>
          <w:rFonts w:asciiTheme="minorHAnsi" w:hAnsiTheme="minorHAnsi" w:cstheme="minorHAnsi"/>
        </w:rPr>
        <w:t xml:space="preserve">a </w:t>
      </w:r>
      <w:r w:rsidR="00431F73">
        <w:rPr>
          <w:rFonts w:asciiTheme="minorHAnsi" w:hAnsiTheme="minorHAnsi" w:cstheme="minorHAnsi"/>
        </w:rPr>
        <w:t xml:space="preserve">physical barrier </w:t>
      </w:r>
      <w:r w:rsidRPr="00EB1099">
        <w:rPr>
          <w:rFonts w:asciiTheme="minorHAnsi" w:hAnsiTheme="minorHAnsi" w:cstheme="minorHAnsi"/>
        </w:rPr>
        <w:t xml:space="preserve">to trap and block cold viruses </w:t>
      </w:r>
      <w:r>
        <w:rPr>
          <w:rFonts w:asciiTheme="minorHAnsi" w:hAnsiTheme="minorHAnsi" w:cstheme="minorHAnsi"/>
        </w:rPr>
        <w:t xml:space="preserve">such as </w:t>
      </w:r>
      <w:r w:rsidRPr="00EB1099">
        <w:rPr>
          <w:rFonts w:asciiTheme="minorHAnsi" w:hAnsiTheme="minorHAnsi" w:cstheme="minorHAnsi"/>
        </w:rPr>
        <w:t>the common cold</w:t>
      </w:r>
      <w:r w:rsidR="00431F73">
        <w:rPr>
          <w:rFonts w:asciiTheme="minorHAnsi" w:hAnsiTheme="minorHAnsi" w:cstheme="minorHAnsi"/>
        </w:rPr>
        <w:t xml:space="preserve">, </w:t>
      </w:r>
      <w:r w:rsidR="00431F73" w:rsidRPr="00431F73">
        <w:rPr>
          <w:rFonts w:asciiTheme="minorHAnsi" w:hAnsiTheme="minorHAnsi" w:cstheme="minorHAnsi"/>
        </w:rPr>
        <w:t>allowing the body’s natural defences to remove them with the nasal mucus</w:t>
      </w:r>
      <w:r w:rsidR="00431F73">
        <w:rPr>
          <w:rFonts w:asciiTheme="minorHAnsi" w:hAnsiTheme="minorHAnsi" w:cstheme="minorHAnsi"/>
        </w:rPr>
        <w:t>.</w:t>
      </w:r>
    </w:p>
    <w:p w14:paraId="11E4A2D6" w14:textId="77777777" w:rsidR="00C41FAD" w:rsidRPr="00687F35" w:rsidRDefault="00C41FAD" w:rsidP="0072362E">
      <w:pPr>
        <w:pStyle w:val="ListParagraph"/>
        <w:ind w:left="360"/>
        <w:rPr>
          <w:rFonts w:asciiTheme="minorHAnsi" w:hAnsiTheme="minorHAnsi" w:cstheme="minorHAnsi"/>
        </w:rPr>
      </w:pPr>
    </w:p>
    <w:p w14:paraId="0B47A870" w14:textId="3CF5E200" w:rsidR="00C41FAD" w:rsidRPr="00DF0A9C" w:rsidRDefault="00687F35" w:rsidP="0072362E">
      <w:pPr>
        <w:pStyle w:val="ListParagraph"/>
        <w:numPr>
          <w:ilvl w:val="0"/>
          <w:numId w:val="22"/>
        </w:numPr>
        <w:ind w:left="360"/>
        <w:rPr>
          <w:rFonts w:asciiTheme="minorHAnsi" w:hAnsiTheme="minorHAnsi" w:cstheme="minorHAnsi"/>
        </w:rPr>
      </w:pPr>
      <w:r w:rsidRPr="00DF0A9C">
        <w:rPr>
          <w:rFonts w:asciiTheme="minorHAnsi" w:hAnsiTheme="minorHAnsi" w:cstheme="minorHAnsi"/>
        </w:rPr>
        <w:t>Astodrimer sodium poses low risk of harm, as noted in the delegate</w:t>
      </w:r>
      <w:r>
        <w:rPr>
          <w:rFonts w:asciiTheme="minorHAnsi" w:hAnsiTheme="minorHAnsi" w:cstheme="minorHAnsi"/>
        </w:rPr>
        <w:t>’</w:t>
      </w:r>
      <w:r w:rsidRPr="00DF0A9C">
        <w:rPr>
          <w:rFonts w:asciiTheme="minorHAnsi" w:hAnsiTheme="minorHAnsi" w:cstheme="minorHAnsi"/>
        </w:rPr>
        <w:t>s previous decision</w:t>
      </w:r>
      <w:r w:rsidR="00471508">
        <w:rPr>
          <w:rFonts w:asciiTheme="minorHAnsi" w:hAnsiTheme="minorHAnsi" w:cstheme="minorHAnsi"/>
        </w:rPr>
        <w:t xml:space="preserve"> in </w:t>
      </w:r>
      <w:r w:rsidR="008E7DB8">
        <w:rPr>
          <w:rFonts w:asciiTheme="minorHAnsi" w:hAnsiTheme="minorHAnsi" w:cstheme="minorHAnsi"/>
        </w:rPr>
        <w:t xml:space="preserve">November </w:t>
      </w:r>
      <w:r w:rsidR="00471508">
        <w:rPr>
          <w:rFonts w:asciiTheme="minorHAnsi" w:hAnsiTheme="minorHAnsi" w:cstheme="minorHAnsi"/>
        </w:rPr>
        <w:t>20</w:t>
      </w:r>
      <w:r w:rsidR="008E7DB8">
        <w:rPr>
          <w:rFonts w:asciiTheme="minorHAnsi" w:hAnsiTheme="minorHAnsi" w:cstheme="minorHAnsi"/>
        </w:rPr>
        <w:t xml:space="preserve">21. </w:t>
      </w:r>
      <w:r w:rsidR="00C41FAD" w:rsidRPr="00DF0A9C">
        <w:rPr>
          <w:rFonts w:asciiTheme="minorHAnsi" w:hAnsiTheme="minorHAnsi" w:cstheme="minorHAnsi"/>
        </w:rPr>
        <w:t>The risks associated with misuse, abuse and overuse are very low. Astodrimer sodium is not systemically absorbed when used as a barrier nasal spray.</w:t>
      </w:r>
    </w:p>
    <w:p w14:paraId="5715891C" w14:textId="77777777" w:rsidR="00C41FAD" w:rsidRPr="00DF0A9C" w:rsidRDefault="00C41FAD" w:rsidP="0072362E">
      <w:pPr>
        <w:pStyle w:val="ListParagraph"/>
        <w:ind w:left="360"/>
        <w:rPr>
          <w:rFonts w:asciiTheme="minorHAnsi" w:hAnsiTheme="minorHAnsi" w:cstheme="minorHAnsi"/>
        </w:rPr>
      </w:pPr>
    </w:p>
    <w:p w14:paraId="19244DE1" w14:textId="20E78B22" w:rsidR="00C41FAD" w:rsidRPr="00687F35" w:rsidRDefault="00C41FAD" w:rsidP="0072362E">
      <w:pPr>
        <w:pStyle w:val="ListParagraph"/>
        <w:numPr>
          <w:ilvl w:val="0"/>
          <w:numId w:val="22"/>
        </w:numPr>
        <w:ind w:left="360"/>
        <w:rPr>
          <w:rFonts w:asciiTheme="minorHAnsi" w:hAnsiTheme="minorHAnsi" w:cstheme="minorHAnsi"/>
        </w:rPr>
      </w:pPr>
      <w:r w:rsidRPr="00DF0A9C">
        <w:rPr>
          <w:rFonts w:asciiTheme="minorHAnsi" w:hAnsiTheme="minorHAnsi" w:cstheme="minorHAnsi"/>
        </w:rPr>
        <w:t xml:space="preserve">Adverse effects are rare and well-characterised; with no known interactions with </w:t>
      </w:r>
      <w:r w:rsidR="00800740" w:rsidRPr="00DF0A9C">
        <w:rPr>
          <w:rFonts w:asciiTheme="minorHAnsi" w:hAnsiTheme="minorHAnsi" w:cstheme="minorHAnsi"/>
        </w:rPr>
        <w:t>commonly used</w:t>
      </w:r>
      <w:r w:rsidRPr="00DF0A9C">
        <w:rPr>
          <w:rFonts w:asciiTheme="minorHAnsi" w:hAnsiTheme="minorHAnsi" w:cstheme="minorHAnsi"/>
        </w:rPr>
        <w:t xml:space="preserve"> food and consumables, or contra-indications</w:t>
      </w:r>
      <w:r w:rsidRPr="00687F35">
        <w:rPr>
          <w:rFonts w:asciiTheme="minorHAnsi" w:hAnsiTheme="minorHAnsi" w:cstheme="minorHAnsi"/>
        </w:rPr>
        <w:t>.</w:t>
      </w:r>
      <w:r w:rsidR="00687F35" w:rsidRPr="00687F35">
        <w:rPr>
          <w:rFonts w:asciiTheme="minorHAnsi" w:hAnsiTheme="minorHAnsi" w:cstheme="minorHAnsi"/>
        </w:rPr>
        <w:t xml:space="preserve"> </w:t>
      </w:r>
      <w:r w:rsidRPr="00687F35">
        <w:rPr>
          <w:rFonts w:asciiTheme="minorHAnsi" w:hAnsiTheme="minorHAnsi" w:cstheme="minorHAnsi"/>
        </w:rPr>
        <w:t xml:space="preserve">The risk profile of the substance is well </w:t>
      </w:r>
      <w:r w:rsidR="00800740" w:rsidRPr="00687F35">
        <w:rPr>
          <w:rFonts w:asciiTheme="minorHAnsi" w:hAnsiTheme="minorHAnsi" w:cstheme="minorHAnsi"/>
        </w:rPr>
        <w:t>defined,</w:t>
      </w:r>
      <w:r w:rsidRPr="00687F35">
        <w:rPr>
          <w:rFonts w:asciiTheme="minorHAnsi" w:hAnsiTheme="minorHAnsi" w:cstheme="minorHAnsi"/>
        </w:rPr>
        <w:t xml:space="preserve"> and risks can be appropriately managed through labelling and packaging. </w:t>
      </w:r>
    </w:p>
    <w:p w14:paraId="20CC814A" w14:textId="77777777" w:rsidR="00C41FAD" w:rsidRPr="00687F35" w:rsidRDefault="00C41FAD" w:rsidP="0072362E">
      <w:pPr>
        <w:pStyle w:val="ListParagraph"/>
        <w:ind w:left="360"/>
        <w:rPr>
          <w:rFonts w:asciiTheme="minorHAnsi" w:hAnsiTheme="minorHAnsi" w:cstheme="minorHAnsi"/>
        </w:rPr>
      </w:pPr>
    </w:p>
    <w:p w14:paraId="1C14B52E" w14:textId="74FF957A" w:rsidR="00DF28C7" w:rsidRPr="00DF0A9C" w:rsidRDefault="00C41FAD" w:rsidP="0072362E">
      <w:pPr>
        <w:pStyle w:val="ListParagraph"/>
        <w:numPr>
          <w:ilvl w:val="0"/>
          <w:numId w:val="22"/>
        </w:numPr>
        <w:ind w:left="360"/>
        <w:rPr>
          <w:rFonts w:asciiTheme="minorHAnsi" w:hAnsiTheme="minorHAnsi" w:cstheme="minorHAnsi"/>
        </w:rPr>
      </w:pPr>
      <w:r w:rsidRPr="00DF0A9C">
        <w:rPr>
          <w:rFonts w:asciiTheme="minorHAnsi" w:hAnsiTheme="minorHAnsi" w:cstheme="minorHAnsi"/>
        </w:rPr>
        <w:t>The use of astodrimer sodium in a nasal spray is not likely to mask the symptoms or delay diagnosis of a serious condition. Appropriate labelling and packaging can manage any perceived risk.</w:t>
      </w:r>
    </w:p>
    <w:p w14:paraId="3082CF3E" w14:textId="77777777" w:rsidR="00685E72" w:rsidRDefault="00685E72" w:rsidP="00685E72">
      <w:pPr>
        <w:pStyle w:val="Heading4"/>
      </w:pPr>
      <w:bookmarkStart w:id="25" w:name="_Toc122614222"/>
      <w:bookmarkStart w:id="26" w:name="_Toc144110838"/>
      <w:r>
        <w:t xml:space="preserve">Key uses / expected </w:t>
      </w:r>
      <w:proofErr w:type="gramStart"/>
      <w:r>
        <w:t>use</w:t>
      </w:r>
      <w:bookmarkEnd w:id="25"/>
      <w:bookmarkEnd w:id="26"/>
      <w:proofErr w:type="gramEnd"/>
    </w:p>
    <w:p w14:paraId="25554130" w14:textId="5C16BF43" w:rsidR="00685E72" w:rsidRPr="00DF0A9C" w:rsidRDefault="00DF28C7" w:rsidP="00685E72">
      <w:pPr>
        <w:rPr>
          <w:rFonts w:cstheme="minorHAnsi"/>
        </w:rPr>
      </w:pPr>
      <w:r w:rsidRPr="00DF0A9C">
        <w:rPr>
          <w:rFonts w:cstheme="minorHAnsi"/>
        </w:rPr>
        <w:t>Used in medical device</w:t>
      </w:r>
      <w:r w:rsidR="00AD4F61" w:rsidRPr="00DF0A9C">
        <w:rPr>
          <w:rFonts w:cstheme="minorHAnsi"/>
        </w:rPr>
        <w:t>s</w:t>
      </w:r>
      <w:r w:rsidRPr="00DF0A9C">
        <w:rPr>
          <w:rFonts w:cstheme="minorHAnsi"/>
        </w:rPr>
        <w:t xml:space="preserve">. </w:t>
      </w:r>
    </w:p>
    <w:p w14:paraId="52B282BD" w14:textId="77777777" w:rsidR="00685E72" w:rsidRDefault="00685E72" w:rsidP="00685E72">
      <w:pPr>
        <w:pStyle w:val="Heading4"/>
      </w:pPr>
      <w:bookmarkStart w:id="27" w:name="_Toc122614223"/>
      <w:bookmarkStart w:id="28" w:name="_Toc144110839"/>
      <w:r>
        <w:t>Australian regulations</w:t>
      </w:r>
      <w:bookmarkEnd w:id="27"/>
      <w:bookmarkEnd w:id="28"/>
    </w:p>
    <w:p w14:paraId="356A7D2A" w14:textId="6DD15ED5" w:rsidR="00685E72" w:rsidRPr="00DF0A9C" w:rsidRDefault="00685E72" w:rsidP="00EB1099">
      <w:pPr>
        <w:pStyle w:val="ListBullet"/>
        <w:numPr>
          <w:ilvl w:val="0"/>
          <w:numId w:val="83"/>
        </w:numPr>
      </w:pPr>
      <w:r w:rsidRPr="00DF0A9C">
        <w:t xml:space="preserve">According to the </w:t>
      </w:r>
      <w:hyperlink r:id="rId21" w:history="1">
        <w:r w:rsidRPr="00DF0A9C">
          <w:rPr>
            <w:rStyle w:val="Hyperlink"/>
            <w:rFonts w:asciiTheme="minorHAnsi" w:hAnsiTheme="minorHAnsi"/>
          </w:rPr>
          <w:t>TGA Ingredient Database</w:t>
        </w:r>
      </w:hyperlink>
      <w:r w:rsidRPr="00DF0A9C">
        <w:t xml:space="preserve">, </w:t>
      </w:r>
      <w:r w:rsidR="00245F2E" w:rsidRPr="00DF0A9C">
        <w:t>a</w:t>
      </w:r>
      <w:r w:rsidR="00AB253E" w:rsidRPr="00DF0A9C">
        <w:t>stodrimer sodium</w:t>
      </w:r>
      <w:r w:rsidRPr="00DF0A9C">
        <w:t xml:space="preserve"> is:</w:t>
      </w:r>
      <w:r w:rsidR="00AB253E" w:rsidRPr="00DF0A9C">
        <w:t xml:space="preserve"> </w:t>
      </w:r>
    </w:p>
    <w:p w14:paraId="76A369E5" w14:textId="048FBD93" w:rsidR="00AB253E" w:rsidRPr="00DF0A9C" w:rsidRDefault="00AB253E" w:rsidP="0072362E">
      <w:pPr>
        <w:pStyle w:val="ListBullet"/>
        <w:numPr>
          <w:ilvl w:val="0"/>
          <w:numId w:val="57"/>
        </w:numPr>
      </w:pPr>
      <w:r w:rsidRPr="00DF0A9C">
        <w:t xml:space="preserve">Available for use as an Active ingredient in Devices </w:t>
      </w:r>
    </w:p>
    <w:p w14:paraId="61669183" w14:textId="59FD5FB5" w:rsidR="00AB253E" w:rsidRPr="00DF0A9C" w:rsidRDefault="00AB253E" w:rsidP="0072362E">
      <w:pPr>
        <w:pStyle w:val="ListBullet"/>
        <w:numPr>
          <w:ilvl w:val="0"/>
          <w:numId w:val="57"/>
        </w:numPr>
      </w:pPr>
      <w:r w:rsidRPr="00DF0A9C">
        <w:t>Available for use as an Excipient in Devices</w:t>
      </w:r>
    </w:p>
    <w:p w14:paraId="1C5391E9" w14:textId="70FA30B6" w:rsidR="00AB253E" w:rsidRPr="00DF0A9C" w:rsidRDefault="00AB253E" w:rsidP="0072362E">
      <w:pPr>
        <w:pStyle w:val="ListBullet"/>
        <w:numPr>
          <w:ilvl w:val="0"/>
          <w:numId w:val="57"/>
        </w:numPr>
      </w:pPr>
      <w:r w:rsidRPr="00DF0A9C">
        <w:t>Not available as an Equivalent Ingredient in any application</w:t>
      </w:r>
    </w:p>
    <w:p w14:paraId="515084E1" w14:textId="0B0FD7C1" w:rsidR="00685E72" w:rsidRPr="00DF0A9C" w:rsidRDefault="00685E72" w:rsidP="00EB1099">
      <w:pPr>
        <w:pStyle w:val="ListBullet"/>
        <w:numPr>
          <w:ilvl w:val="0"/>
          <w:numId w:val="83"/>
        </w:numPr>
      </w:pPr>
      <w:r w:rsidRPr="00DF0A9C">
        <w:t xml:space="preserve">As of </w:t>
      </w:r>
      <w:r w:rsidR="00320FBA" w:rsidRPr="00DF0A9C">
        <w:t>July</w:t>
      </w:r>
      <w:r w:rsidRPr="00DF0A9C">
        <w:t xml:space="preserve"> 20</w:t>
      </w:r>
      <w:r w:rsidR="00320FBA" w:rsidRPr="00DF0A9C">
        <w:t>23</w:t>
      </w:r>
      <w:r w:rsidRPr="00DF0A9C">
        <w:t xml:space="preserve">, there were </w:t>
      </w:r>
      <w:r w:rsidR="006B159D" w:rsidRPr="00DF0A9C">
        <w:t>no</w:t>
      </w:r>
      <w:r w:rsidRPr="00DF0A9C">
        <w:t xml:space="preserve"> medicines </w:t>
      </w:r>
      <w:r w:rsidR="006B159D" w:rsidRPr="00DF0A9C">
        <w:t xml:space="preserve">containing astodrimer sodium </w:t>
      </w:r>
      <w:r w:rsidRPr="00DF0A9C">
        <w:t xml:space="preserve">on the </w:t>
      </w:r>
      <w:hyperlink r:id="rId22"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0007591A" w:rsidRPr="0007591A">
        <w:rPr>
          <w:rStyle w:val="Hyperlink"/>
          <w:rFonts w:asciiTheme="minorHAnsi" w:hAnsiTheme="minorHAnsi"/>
          <w:color w:val="auto"/>
          <w:u w:val="none"/>
        </w:rPr>
        <w:t>.</w:t>
      </w:r>
    </w:p>
    <w:p w14:paraId="5006CFE4" w14:textId="79D4BB2F" w:rsidR="00685E72" w:rsidRPr="00DF0A9C" w:rsidRDefault="00304F34" w:rsidP="00EB1099">
      <w:pPr>
        <w:pStyle w:val="ListBullet"/>
        <w:numPr>
          <w:ilvl w:val="0"/>
          <w:numId w:val="83"/>
        </w:numPr>
      </w:pPr>
      <w:r w:rsidRPr="00DF0A9C">
        <w:t>Astodrimer sodium</w:t>
      </w:r>
      <w:r w:rsidR="00685E72" w:rsidRPr="00DF0A9C">
        <w:t xml:space="preserve"> is not permitted to be included in listed medicines as it is not included in the </w:t>
      </w:r>
      <w:hyperlink r:id="rId23" w:history="1">
        <w:r w:rsidR="00685E72" w:rsidRPr="00DF0A9C">
          <w:rPr>
            <w:rStyle w:val="Hyperlink"/>
            <w:rFonts w:asciiTheme="minorHAnsi" w:hAnsiTheme="minorHAnsi"/>
          </w:rPr>
          <w:t>Therapeutic Goods (Permissible Ingredients) Determination</w:t>
        </w:r>
      </w:hyperlink>
      <w:r w:rsidR="00685E72" w:rsidRPr="00DF0A9C">
        <w:t xml:space="preserve"> No.</w:t>
      </w:r>
      <w:r w:rsidRPr="00DF0A9C">
        <w:t>3</w:t>
      </w:r>
      <w:r w:rsidR="00685E72" w:rsidRPr="00DF0A9C">
        <w:t xml:space="preserve"> of 20</w:t>
      </w:r>
      <w:r w:rsidRPr="00DF0A9C">
        <w:t>23</w:t>
      </w:r>
      <w:r w:rsidR="00685E72" w:rsidRPr="00DF0A9C">
        <w:t xml:space="preserve">. </w:t>
      </w:r>
    </w:p>
    <w:p w14:paraId="22406806" w14:textId="711E037D" w:rsidR="00685E72" w:rsidRPr="00DF0A9C" w:rsidRDefault="00304F34" w:rsidP="00EB1099">
      <w:pPr>
        <w:pStyle w:val="ListBullet"/>
        <w:numPr>
          <w:ilvl w:val="0"/>
          <w:numId w:val="83"/>
        </w:numPr>
      </w:pPr>
      <w:r w:rsidRPr="0072362E">
        <w:t>Astodrimer sodium is not listed in t</w:t>
      </w:r>
      <w:r w:rsidR="00685E72" w:rsidRPr="0072362E">
        <w:t xml:space="preserve">he </w:t>
      </w:r>
      <w:hyperlink r:id="rId24" w:history="1">
        <w:r w:rsidR="00685E72" w:rsidRPr="00DF0A9C">
          <w:rPr>
            <w:rStyle w:val="Hyperlink"/>
            <w:rFonts w:asciiTheme="minorHAnsi" w:hAnsiTheme="minorHAnsi"/>
          </w:rPr>
          <w:t>TGA prescribing medicines in pregnancy database</w:t>
        </w:r>
      </w:hyperlink>
      <w:r w:rsidR="0007591A" w:rsidRPr="0007591A">
        <w:rPr>
          <w:rStyle w:val="Hyperlink"/>
          <w:rFonts w:asciiTheme="minorHAnsi" w:hAnsiTheme="minorHAnsi"/>
          <w:color w:val="auto"/>
          <w:u w:val="none"/>
        </w:rPr>
        <w:t>.</w:t>
      </w:r>
      <w:r w:rsidRPr="00DF0A9C">
        <w:t xml:space="preserve"> </w:t>
      </w:r>
    </w:p>
    <w:p w14:paraId="50A831AB" w14:textId="2778D7B6" w:rsidR="00685E72" w:rsidRPr="00DF0A9C" w:rsidRDefault="00685E72" w:rsidP="00EB1099">
      <w:pPr>
        <w:pStyle w:val="ListBullet"/>
        <w:numPr>
          <w:ilvl w:val="0"/>
          <w:numId w:val="83"/>
        </w:numPr>
      </w:pPr>
      <w:r w:rsidRPr="00DF0A9C">
        <w:t xml:space="preserve">There are no warning statements pertaining to </w:t>
      </w:r>
      <w:r w:rsidR="00541A27" w:rsidRPr="00DF0A9C">
        <w:t>a</w:t>
      </w:r>
      <w:r w:rsidR="00304F34" w:rsidRPr="00DF0A9C">
        <w:t>stodrimer sodium</w:t>
      </w:r>
      <w:r w:rsidRPr="00DF0A9C">
        <w:t xml:space="preserve"> in the </w:t>
      </w:r>
      <w:hyperlink r:id="rId25" w:history="1">
        <w:r w:rsidRPr="00DF0A9C">
          <w:rPr>
            <w:rStyle w:val="Hyperlink"/>
            <w:rFonts w:asciiTheme="minorHAnsi" w:hAnsiTheme="minorHAnsi"/>
          </w:rPr>
          <w:t>Therapeutic Goods (Medicines Advisory Statements) Specification 2021</w:t>
        </w:r>
      </w:hyperlink>
      <w:r w:rsidR="0007591A" w:rsidRPr="0007591A">
        <w:rPr>
          <w:rStyle w:val="Hyperlink"/>
          <w:rFonts w:asciiTheme="minorHAnsi" w:hAnsiTheme="minorHAnsi"/>
          <w:color w:val="auto"/>
          <w:u w:val="none"/>
        </w:rPr>
        <w:t>.</w:t>
      </w:r>
    </w:p>
    <w:p w14:paraId="5F86477C" w14:textId="4206B858" w:rsidR="00685E72" w:rsidRPr="00DF0A9C" w:rsidRDefault="00685E72" w:rsidP="00EB1099">
      <w:pPr>
        <w:pStyle w:val="ListBullet"/>
        <w:numPr>
          <w:ilvl w:val="0"/>
          <w:numId w:val="83"/>
        </w:numPr>
      </w:pPr>
      <w:r w:rsidRPr="00DF0A9C">
        <w:t xml:space="preserve">As of </w:t>
      </w:r>
      <w:r w:rsidR="00320FBA" w:rsidRPr="00DF0A9C">
        <w:t>July 2023</w:t>
      </w:r>
      <w:r w:rsidRPr="00DF0A9C">
        <w:t xml:space="preserve">, there were </w:t>
      </w:r>
      <w:r w:rsidR="00DF28C7" w:rsidRPr="00DF0A9C">
        <w:t>no</w:t>
      </w:r>
      <w:r w:rsidRPr="00DF0A9C">
        <w:t xml:space="preserve"> reports of adverse events for products containing </w:t>
      </w:r>
      <w:r w:rsidR="00DF28C7" w:rsidRPr="00DF0A9C">
        <w:t>astodrimer sodium</w:t>
      </w:r>
      <w:r w:rsidRPr="00DF0A9C">
        <w:t xml:space="preserve"> as an active ingredient on the </w:t>
      </w:r>
      <w:hyperlink r:id="rId26"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00DF28C7" w:rsidRPr="00DF0A9C">
        <w:t>.</w:t>
      </w:r>
    </w:p>
    <w:p w14:paraId="5CF71759" w14:textId="3E969636" w:rsidR="00685E72" w:rsidRPr="00EA644F" w:rsidRDefault="00685E72" w:rsidP="001654D5">
      <w:pPr>
        <w:pStyle w:val="ListBullet"/>
        <w:numPr>
          <w:ilvl w:val="0"/>
          <w:numId w:val="83"/>
        </w:numPr>
        <w:ind w:left="357" w:hanging="357"/>
        <w:rPr>
          <w:rFonts w:ascii="Cambria" w:hAnsi="Cambria"/>
        </w:rPr>
      </w:pPr>
      <w:r w:rsidRPr="00DF0A9C">
        <w:t>As of</w:t>
      </w:r>
      <w:r w:rsidR="00320FBA" w:rsidRPr="00DF0A9C">
        <w:t xml:space="preserve"> July 2023</w:t>
      </w:r>
      <w:r w:rsidRPr="00DF0A9C">
        <w:t xml:space="preserve">, there were no products containing </w:t>
      </w:r>
      <w:r w:rsidR="00DF28C7" w:rsidRPr="00DF0A9C">
        <w:t>astodrimer sodium</w:t>
      </w:r>
      <w:r w:rsidRPr="00DF0A9C">
        <w:t xml:space="preserve"> as an active ingredient</w:t>
      </w:r>
      <w:r w:rsidR="00DF28C7" w:rsidRPr="00DF0A9C">
        <w:t>/</w:t>
      </w:r>
      <w:r w:rsidRPr="00DF0A9C">
        <w:t xml:space="preserve">constituent or scheduled substance listed on the </w:t>
      </w:r>
      <w:hyperlink r:id="rId27"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w:t>
      </w:r>
      <w:proofErr w:type="spellStart"/>
      <w:r w:rsidR="00EB1099" w:rsidRPr="00EB1099">
        <w:rPr>
          <w:rStyle w:val="Hyperlink"/>
          <w:rFonts w:asciiTheme="minorHAnsi" w:hAnsiTheme="minorHAnsi"/>
          <w:color w:val="auto"/>
          <w:u w:val="none"/>
        </w:rPr>
        <w:t>PubCRIS</w:t>
      </w:r>
      <w:proofErr w:type="spellEnd"/>
      <w:r w:rsidR="00EB1099" w:rsidRPr="00EB1099">
        <w:rPr>
          <w:rStyle w:val="Hyperlink"/>
          <w:rFonts w:asciiTheme="minorHAnsi" w:hAnsiTheme="minorHAnsi"/>
          <w:color w:val="auto"/>
          <w:u w:val="none"/>
        </w:rPr>
        <w:t>)</w:t>
      </w:r>
      <w:r w:rsidRPr="00EA644F">
        <w:rPr>
          <w:rFonts w:ascii="Cambria" w:hAnsi="Cambria"/>
        </w:rPr>
        <w:t xml:space="preserve">. </w:t>
      </w:r>
    </w:p>
    <w:p w14:paraId="5DA2B2E1" w14:textId="77777777" w:rsidR="00685E72" w:rsidRPr="00CB687C" w:rsidRDefault="00685E72" w:rsidP="00685E72">
      <w:pPr>
        <w:pStyle w:val="Heading4"/>
      </w:pPr>
      <w:bookmarkStart w:id="29" w:name="_Toc122614224"/>
      <w:bookmarkStart w:id="30" w:name="_Toc144110840"/>
      <w:r>
        <w:lastRenderedPageBreak/>
        <w:t>International regulations</w:t>
      </w:r>
      <w:bookmarkEnd w:id="29"/>
      <w:bookmarkEnd w:id="30"/>
    </w:p>
    <w:p w14:paraId="3622C471" w14:textId="4E8ACBD5" w:rsidR="000643D1" w:rsidRPr="00DF0A9C" w:rsidRDefault="000643D1" w:rsidP="001654D5">
      <w:pPr>
        <w:pStyle w:val="ListBullet"/>
        <w:numPr>
          <w:ilvl w:val="0"/>
          <w:numId w:val="83"/>
        </w:numPr>
        <w:ind w:left="357" w:hanging="357"/>
      </w:pPr>
      <w:r w:rsidRPr="00DF0A9C">
        <w:t>Astodrimer sodium is not included in</w:t>
      </w:r>
      <w:r w:rsidR="00EB1099">
        <w:t xml:space="preserve"> the</w:t>
      </w:r>
      <w:r w:rsidRPr="00DF0A9C">
        <w:t xml:space="preserve"> </w:t>
      </w:r>
      <w:hyperlink r:id="rId28" w:history="1">
        <w:r w:rsidR="00EB1099">
          <w:rPr>
            <w:rStyle w:val="Hyperlink"/>
            <w:rFonts w:asciiTheme="minorHAnsi" w:hAnsiTheme="minorHAnsi"/>
            <w:szCs w:val="22"/>
          </w:rPr>
          <w:t>Health Canada drug product database</w:t>
        </w:r>
      </w:hyperlink>
      <w:r w:rsidR="00687F35" w:rsidRPr="00687F35">
        <w:rPr>
          <w:rStyle w:val="Hyperlink"/>
          <w:rFonts w:asciiTheme="minorHAnsi" w:hAnsiTheme="minorHAnsi"/>
          <w:color w:val="auto"/>
          <w:szCs w:val="22"/>
          <w:u w:val="none"/>
        </w:rPr>
        <w:t>,</w:t>
      </w:r>
      <w:r w:rsidRPr="00DF0A9C">
        <w:t xml:space="preserve"> the </w:t>
      </w:r>
      <w:hyperlink r:id="rId29" w:history="1">
        <w:r w:rsidRPr="00DF0A9C">
          <w:rPr>
            <w:rStyle w:val="Hyperlink"/>
            <w:rFonts w:asciiTheme="minorHAnsi" w:hAnsiTheme="minorHAnsi"/>
            <w:szCs w:val="22"/>
          </w:rPr>
          <w:t>United States Food and Drug Administration</w:t>
        </w:r>
      </w:hyperlink>
      <w:r w:rsidRPr="00DF0A9C">
        <w:t>’s approved drug products database</w:t>
      </w:r>
      <w:r w:rsidR="00687F35">
        <w:t>,</w:t>
      </w:r>
      <w:r w:rsidRPr="00DF0A9C">
        <w:t xml:space="preserve"> the </w:t>
      </w:r>
      <w:hyperlink r:id="rId30" w:history="1">
        <w:r w:rsidRPr="00DF0A9C">
          <w:rPr>
            <w:rStyle w:val="Hyperlink"/>
            <w:rFonts w:asciiTheme="minorHAnsi" w:hAnsiTheme="minorHAnsi"/>
            <w:szCs w:val="22"/>
          </w:rPr>
          <w:t>New Zealand Inventory of Chemicals</w:t>
        </w:r>
      </w:hyperlink>
      <w:r w:rsidRPr="00DF0A9C">
        <w:t xml:space="preserve">, </w:t>
      </w:r>
      <w:r w:rsidR="00EB1099">
        <w:t xml:space="preserve">the </w:t>
      </w:r>
      <w:hyperlink r:id="rId31" w:history="1">
        <w:r w:rsidR="00EB1099">
          <w:rPr>
            <w:rStyle w:val="Hyperlink"/>
            <w:rFonts w:asciiTheme="minorHAnsi" w:hAnsiTheme="minorHAnsi"/>
            <w:szCs w:val="22"/>
          </w:rPr>
          <w:t>New Zealand Medicines and Medical Devices Safety Authority</w:t>
        </w:r>
      </w:hyperlink>
      <w:r w:rsidR="00EB1099" w:rsidRPr="0040314F">
        <w:rPr>
          <w:rStyle w:val="Hyperlink"/>
          <w:rFonts w:asciiTheme="minorHAnsi" w:hAnsiTheme="minorHAnsi"/>
          <w:color w:val="auto"/>
          <w:szCs w:val="22"/>
          <w:u w:val="none"/>
        </w:rPr>
        <w:t xml:space="preserve"> (</w:t>
      </w:r>
      <w:proofErr w:type="spellStart"/>
      <w:r w:rsidR="00EB1099" w:rsidRPr="0040314F">
        <w:rPr>
          <w:rStyle w:val="Hyperlink"/>
          <w:rFonts w:asciiTheme="minorHAnsi" w:hAnsiTheme="minorHAnsi"/>
          <w:color w:val="auto"/>
          <w:szCs w:val="22"/>
          <w:u w:val="none"/>
        </w:rPr>
        <w:t>MedSafe</w:t>
      </w:r>
      <w:proofErr w:type="spellEnd"/>
      <w:r w:rsidR="00EB1099" w:rsidRPr="0040314F">
        <w:rPr>
          <w:rStyle w:val="Hyperlink"/>
          <w:rFonts w:asciiTheme="minorHAnsi" w:hAnsiTheme="minorHAnsi"/>
          <w:color w:val="auto"/>
          <w:szCs w:val="22"/>
          <w:u w:val="none"/>
        </w:rPr>
        <w:t>)</w:t>
      </w:r>
      <w:r w:rsidR="00687F35">
        <w:t>,</w:t>
      </w:r>
      <w:r w:rsidRPr="00DF0A9C">
        <w:t xml:space="preserve"> the </w:t>
      </w:r>
      <w:hyperlink r:id="rId32" w:history="1">
        <w:r w:rsidRPr="00DF0A9C">
          <w:rPr>
            <w:rStyle w:val="Hyperlink"/>
            <w:rFonts w:asciiTheme="minorHAnsi" w:hAnsiTheme="minorHAnsi"/>
            <w:szCs w:val="22"/>
          </w:rPr>
          <w:t>European Commission database</w:t>
        </w:r>
      </w:hyperlink>
      <w:r w:rsidRPr="00DF0A9C">
        <w:t xml:space="preserve"> for information on cosmetic substances and ingredients</w:t>
      </w:r>
      <w:r w:rsidR="00687F35">
        <w:t>,</w:t>
      </w:r>
      <w:r w:rsidRPr="00DF0A9C">
        <w:t xml:space="preserve"> or </w:t>
      </w:r>
      <w:hyperlink r:id="rId33" w:history="1">
        <w:r w:rsidRPr="00DF0A9C">
          <w:rPr>
            <w:rStyle w:val="Hyperlink"/>
            <w:rFonts w:asciiTheme="minorHAnsi" w:hAnsiTheme="minorHAnsi"/>
            <w:szCs w:val="22"/>
          </w:rPr>
          <w:t>Ireland’s Health Products Regulatory Authority</w:t>
        </w:r>
      </w:hyperlink>
      <w:r w:rsidRPr="00DF0A9C">
        <w:t xml:space="preserve"> medicines database.</w:t>
      </w:r>
    </w:p>
    <w:p w14:paraId="5ADAA15B" w14:textId="09BE80D0" w:rsidR="00586A6E" w:rsidRPr="009401F6" w:rsidRDefault="001D5CC5" w:rsidP="00F2313E">
      <w:pPr>
        <w:pStyle w:val="Heading3"/>
      </w:pPr>
      <w:bookmarkStart w:id="31" w:name="_Toc144110841"/>
      <w:bookmarkStart w:id="32" w:name="_Toc122614225"/>
      <w:bookmarkEnd w:id="9"/>
      <w:r>
        <w:t>1.2</w:t>
      </w:r>
      <w:r>
        <w:tab/>
      </w:r>
      <w:r w:rsidR="00586A6E">
        <w:t>Bilastine</w:t>
      </w:r>
      <w:bookmarkEnd w:id="31"/>
    </w:p>
    <w:p w14:paraId="106D0D88" w14:textId="77777777" w:rsidR="00586A6E" w:rsidRDefault="00586A6E" w:rsidP="00586A6E">
      <w:pPr>
        <w:pStyle w:val="Heading4"/>
      </w:pPr>
      <w:bookmarkStart w:id="33" w:name="_Toc144110842"/>
      <w:r>
        <w:t>Proposal</w:t>
      </w:r>
      <w:bookmarkEnd w:id="33"/>
    </w:p>
    <w:p w14:paraId="42ACDC58" w14:textId="334E41CF" w:rsidR="00586A6E" w:rsidRPr="00DF0A9C" w:rsidRDefault="00D97403" w:rsidP="000A63B2">
      <w:pPr>
        <w:rPr>
          <w:rFonts w:cstheme="minorHAnsi"/>
        </w:rPr>
      </w:pPr>
      <w:r w:rsidRPr="00DF0A9C">
        <w:rPr>
          <w:rFonts w:cstheme="minorHAnsi"/>
        </w:rPr>
        <w:t xml:space="preserve">The applicant proposed to extend the availability of bilastine through a pharmacist without requiring a prescription by removing the current phrasing which limits the Schedule 3 entry to divided preparations and reducing the age restriction from 12 to 6 years of age. The applicant has not proposed any changes to the Appendix H entry. </w:t>
      </w:r>
    </w:p>
    <w:p w14:paraId="7C8DEFCF" w14:textId="39143783" w:rsidR="00586A6E" w:rsidRDefault="00586A6E" w:rsidP="00586A6E">
      <w:pPr>
        <w:pStyle w:val="Heading4"/>
      </w:pPr>
      <w:bookmarkStart w:id="34" w:name="_Toc144110843"/>
      <w:r>
        <w:t>CAS number</w:t>
      </w:r>
      <w:bookmarkEnd w:id="34"/>
    </w:p>
    <w:p w14:paraId="6C35E237" w14:textId="01BB2D42" w:rsidR="00586A6E" w:rsidRPr="00DF0A9C" w:rsidRDefault="00D97403" w:rsidP="00586A6E">
      <w:pPr>
        <w:rPr>
          <w:rFonts w:cstheme="minorHAnsi"/>
        </w:rPr>
      </w:pPr>
      <w:r w:rsidRPr="00DF0A9C">
        <w:rPr>
          <w:rFonts w:cstheme="minorHAnsi"/>
        </w:rPr>
        <w:t>202189-78-4</w:t>
      </w:r>
    </w:p>
    <w:p w14:paraId="6A34484C" w14:textId="77777777" w:rsidR="00586A6E" w:rsidRDefault="00586A6E" w:rsidP="00586A6E">
      <w:pPr>
        <w:pStyle w:val="Heading4"/>
      </w:pPr>
      <w:bookmarkStart w:id="35" w:name="_Toc144110844"/>
      <w:r>
        <w:t>Alternative names</w:t>
      </w:r>
      <w:bookmarkEnd w:id="35"/>
    </w:p>
    <w:p w14:paraId="641923FA" w14:textId="2495CC1B" w:rsidR="00526491" w:rsidRPr="00DF0A9C" w:rsidRDefault="00B2729D" w:rsidP="00526491">
      <w:pPr>
        <w:pStyle w:val="NormalWeb"/>
        <w:shd w:val="clear" w:color="auto" w:fill="FFFFFF"/>
        <w:rPr>
          <w:rFonts w:asciiTheme="minorHAnsi" w:hAnsiTheme="minorHAnsi" w:cstheme="minorHAnsi"/>
          <w:sz w:val="22"/>
          <w:szCs w:val="22"/>
        </w:rPr>
      </w:pPr>
      <w:r w:rsidRPr="0072362E">
        <w:rPr>
          <w:rStyle w:val="normaltextrun"/>
          <w:rFonts w:asciiTheme="minorHAnsi" w:hAnsiTheme="minorHAnsi" w:cstheme="minorHAnsi"/>
          <w:sz w:val="22"/>
          <w:szCs w:val="22"/>
          <w:shd w:val="clear" w:color="auto" w:fill="FFFFFF"/>
        </w:rPr>
        <w:t>4-[2-[4-[1-(2-Ethoxyethyl)-1</w:t>
      </w:r>
      <w:r w:rsidRPr="0072362E">
        <w:rPr>
          <w:rStyle w:val="normaltextrun"/>
          <w:rFonts w:asciiTheme="minorHAnsi" w:hAnsiTheme="minorHAnsi" w:cstheme="minorHAnsi"/>
          <w:i/>
          <w:iCs/>
          <w:sz w:val="22"/>
          <w:szCs w:val="22"/>
          <w:shd w:val="clear" w:color="auto" w:fill="FFFFFF"/>
        </w:rPr>
        <w:t>H</w:t>
      </w:r>
      <w:r w:rsidRPr="0072362E">
        <w:rPr>
          <w:rStyle w:val="normaltextrun"/>
          <w:rFonts w:asciiTheme="minorHAnsi" w:hAnsiTheme="minorHAnsi" w:cstheme="minorHAnsi"/>
          <w:sz w:val="22"/>
          <w:szCs w:val="22"/>
          <w:shd w:val="clear" w:color="auto" w:fill="FFFFFF"/>
        </w:rPr>
        <w:t>-benzimidazol-2-yl]-1-</w:t>
      </w:r>
      <w:proofErr w:type="gramStart"/>
      <w:r w:rsidRPr="0072362E">
        <w:rPr>
          <w:rStyle w:val="normaltextrun"/>
          <w:rFonts w:asciiTheme="minorHAnsi" w:hAnsiTheme="minorHAnsi" w:cstheme="minorHAnsi"/>
          <w:sz w:val="22"/>
          <w:szCs w:val="22"/>
          <w:shd w:val="clear" w:color="auto" w:fill="FFFFFF"/>
        </w:rPr>
        <w:t>piperidinyl]ethyl</w:t>
      </w:r>
      <w:proofErr w:type="gramEnd"/>
      <w:r w:rsidRPr="0072362E">
        <w:rPr>
          <w:rStyle w:val="normaltextrun"/>
          <w:rFonts w:asciiTheme="minorHAnsi" w:hAnsiTheme="minorHAnsi" w:cstheme="minorHAnsi"/>
          <w:sz w:val="22"/>
          <w:szCs w:val="22"/>
          <w:shd w:val="clear" w:color="auto" w:fill="FFFFFF"/>
        </w:rPr>
        <w:t>]-α,α-dimethylbenzeneacetic acid</w:t>
      </w:r>
    </w:p>
    <w:p w14:paraId="41CCABD4" w14:textId="138F989E" w:rsidR="00586A6E" w:rsidRPr="002C1070" w:rsidRDefault="00586A6E" w:rsidP="00526491">
      <w:pPr>
        <w:pStyle w:val="Heading4"/>
        <w:spacing w:before="0"/>
      </w:pPr>
      <w:bookmarkStart w:id="36" w:name="_Toc144110845"/>
      <w:r>
        <w:t>Applicant</w:t>
      </w:r>
      <w:bookmarkEnd w:id="36"/>
    </w:p>
    <w:p w14:paraId="573484AA" w14:textId="48920630" w:rsidR="006249CF" w:rsidRDefault="00586A6E" w:rsidP="008F2D16">
      <w:pPr>
        <w:rPr>
          <w:rFonts w:cstheme="minorHAnsi"/>
        </w:rPr>
      </w:pPr>
      <w:r w:rsidRPr="00DF0A9C">
        <w:rPr>
          <w:rFonts w:cstheme="minorHAnsi"/>
        </w:rPr>
        <w:t xml:space="preserve">Private applicant </w:t>
      </w:r>
    </w:p>
    <w:p w14:paraId="700AEBC9" w14:textId="5CCC301B" w:rsidR="00586A6E" w:rsidRDefault="00586A6E" w:rsidP="00586A6E">
      <w:pPr>
        <w:pStyle w:val="Heading4"/>
      </w:pPr>
      <w:bookmarkStart w:id="37" w:name="_Toc144110846"/>
      <w:bookmarkStart w:id="38" w:name="_Hlk143246973"/>
      <w:r>
        <w:t>Proposed Scheduling</w:t>
      </w:r>
      <w:bookmarkEnd w:id="37"/>
    </w:p>
    <w:bookmarkEnd w:id="38"/>
    <w:p w14:paraId="4C3C6DFA" w14:textId="0629EE47" w:rsidR="00AC5E26" w:rsidRPr="00DF0A9C" w:rsidRDefault="00AC5E26" w:rsidP="00586A6E">
      <w:pPr>
        <w:rPr>
          <w:rFonts w:cstheme="minorHAnsi"/>
          <w:szCs w:val="22"/>
        </w:rPr>
      </w:pPr>
      <w:r w:rsidRPr="00DF0A9C">
        <w:rPr>
          <w:rFonts w:cstheme="minorHAnsi"/>
          <w:szCs w:val="22"/>
        </w:rPr>
        <w:t xml:space="preserve">The </w:t>
      </w:r>
      <w:r w:rsidRPr="00A35340">
        <w:rPr>
          <w:rFonts w:cstheme="minorHAnsi"/>
          <w:szCs w:val="22"/>
        </w:rPr>
        <w:t>applicant’s proposed</w:t>
      </w:r>
      <w:r w:rsidRPr="00DF0A9C">
        <w:rPr>
          <w:rFonts w:cstheme="minorHAnsi"/>
          <w:szCs w:val="22"/>
        </w:rPr>
        <w:t xml:space="preserve"> amendments to the Poisons Standard are</w:t>
      </w:r>
      <w:r w:rsidR="0007591A">
        <w:rPr>
          <w:rFonts w:cstheme="minorHAnsi"/>
          <w:szCs w:val="22"/>
        </w:rPr>
        <w:t>:</w:t>
      </w:r>
      <w:r w:rsidR="00B21C87">
        <w:rPr>
          <w:rStyle w:val="FootnoteReference"/>
          <w:rFonts w:cstheme="minorHAnsi"/>
          <w:szCs w:val="22"/>
        </w:rPr>
        <w:footnoteReference w:id="2"/>
      </w:r>
    </w:p>
    <w:p w14:paraId="0FAA76D8" w14:textId="5FF20F0A" w:rsidR="00964E1E" w:rsidRPr="00DF0A9C" w:rsidRDefault="00964E1E" w:rsidP="00EB1099">
      <w:pPr>
        <w:spacing w:before="240"/>
        <w:ind w:left="425"/>
        <w:rPr>
          <w:rFonts w:cstheme="minorHAnsi"/>
          <w:b/>
        </w:rPr>
      </w:pPr>
      <w:r w:rsidRPr="00DF0A9C">
        <w:rPr>
          <w:rFonts w:cstheme="minorHAnsi"/>
          <w:b/>
        </w:rPr>
        <w:t xml:space="preserve">Schedule 3 – Amend </w:t>
      </w:r>
      <w:proofErr w:type="gramStart"/>
      <w:r w:rsidRPr="00DF0A9C">
        <w:rPr>
          <w:rFonts w:cstheme="minorHAnsi"/>
          <w:b/>
        </w:rPr>
        <w:t>entry</w:t>
      </w:r>
      <w:proofErr w:type="gramEnd"/>
      <w:r w:rsidRPr="00DF0A9C">
        <w:rPr>
          <w:rFonts w:cstheme="minorHAnsi"/>
          <w:b/>
        </w:rPr>
        <w:t xml:space="preserve"> </w:t>
      </w:r>
    </w:p>
    <w:p w14:paraId="199E0103" w14:textId="00B6CAF2" w:rsidR="00964E1E" w:rsidRPr="00DF0A9C" w:rsidRDefault="00964E1E" w:rsidP="00FE5EF0">
      <w:pPr>
        <w:ind w:left="720"/>
        <w:rPr>
          <w:rFonts w:cstheme="minorHAnsi"/>
        </w:rPr>
      </w:pPr>
      <w:r w:rsidRPr="00DF0A9C">
        <w:rPr>
          <w:rFonts w:cstheme="minorHAnsi"/>
        </w:rPr>
        <w:t xml:space="preserve">BILASTINE in </w:t>
      </w:r>
      <w:r w:rsidRPr="00DF0A9C">
        <w:rPr>
          <w:rFonts w:cstheme="minorHAnsi"/>
          <w:strike/>
          <w:color w:val="FF0000"/>
        </w:rPr>
        <w:t>divided</w:t>
      </w:r>
      <w:r w:rsidRPr="00DF0A9C">
        <w:rPr>
          <w:rFonts w:cstheme="minorHAnsi"/>
          <w:color w:val="FF0000"/>
        </w:rPr>
        <w:t xml:space="preserve"> </w:t>
      </w:r>
      <w:r w:rsidRPr="00DF0A9C">
        <w:rPr>
          <w:rFonts w:cstheme="minorHAnsi"/>
        </w:rPr>
        <w:t xml:space="preserve">oral </w:t>
      </w:r>
      <w:r w:rsidRPr="0072362E">
        <w:rPr>
          <w:rFonts w:cstheme="minorHAnsi"/>
          <w:color w:val="00B050"/>
          <w:u w:val="single"/>
        </w:rPr>
        <w:t>preparations when labelled with a recommended daily dose not exceeding</w:t>
      </w:r>
      <w:r w:rsidRPr="00DF0A9C">
        <w:rPr>
          <w:rFonts w:cstheme="minorHAnsi"/>
        </w:rPr>
        <w:t xml:space="preserve"> </w:t>
      </w:r>
      <w:r w:rsidRPr="00DF0A9C">
        <w:rPr>
          <w:rFonts w:cstheme="minorHAnsi"/>
          <w:strike/>
          <w:color w:val="FF0000"/>
        </w:rPr>
        <w:t>containing</w:t>
      </w:r>
      <w:r w:rsidRPr="00DF0A9C">
        <w:rPr>
          <w:rFonts w:cstheme="minorHAnsi"/>
          <w:color w:val="FF0000"/>
        </w:rPr>
        <w:t xml:space="preserve"> </w:t>
      </w:r>
      <w:r w:rsidRPr="00DF0A9C">
        <w:rPr>
          <w:rFonts w:cstheme="minorHAnsi"/>
        </w:rPr>
        <w:t xml:space="preserve">20 mg </w:t>
      </w:r>
      <w:r w:rsidRPr="00DF0A9C">
        <w:rPr>
          <w:rFonts w:cstheme="minorHAnsi"/>
          <w:strike/>
          <w:color w:val="FF0000"/>
        </w:rPr>
        <w:t xml:space="preserve">or less </w:t>
      </w:r>
      <w:r w:rsidRPr="0072362E">
        <w:rPr>
          <w:rFonts w:cstheme="minorHAnsi"/>
        </w:rPr>
        <w:t>of</w:t>
      </w:r>
      <w:r w:rsidRPr="00DF0A9C">
        <w:rPr>
          <w:rFonts w:cstheme="minorHAnsi"/>
          <w:color w:val="FF0000"/>
        </w:rPr>
        <w:t xml:space="preserve"> </w:t>
      </w:r>
      <w:r w:rsidRPr="00DF0A9C">
        <w:rPr>
          <w:rFonts w:cstheme="minorHAnsi"/>
        </w:rPr>
        <w:t xml:space="preserve">bilastine for the treatment of adults and </w:t>
      </w:r>
      <w:r w:rsidRPr="0072362E">
        <w:rPr>
          <w:rFonts w:cstheme="minorHAnsi"/>
          <w:color w:val="00B050"/>
          <w:u w:val="single"/>
        </w:rPr>
        <w:t>children</w:t>
      </w:r>
      <w:r w:rsidRPr="00DF0A9C">
        <w:rPr>
          <w:rFonts w:cstheme="minorHAnsi"/>
          <w:color w:val="00B050"/>
        </w:rPr>
        <w:t xml:space="preserve"> </w:t>
      </w:r>
      <w:r w:rsidRPr="00DF0A9C">
        <w:rPr>
          <w:rFonts w:cstheme="minorHAnsi"/>
          <w:strike/>
          <w:color w:val="FF0000"/>
        </w:rPr>
        <w:t>adolescents</w:t>
      </w:r>
      <w:r w:rsidRPr="00DF0A9C">
        <w:rPr>
          <w:rFonts w:cstheme="minorHAnsi"/>
          <w:color w:val="FF0000"/>
        </w:rPr>
        <w:t xml:space="preserve"> </w:t>
      </w:r>
      <w:r w:rsidRPr="0072362E">
        <w:rPr>
          <w:rFonts w:cstheme="minorHAnsi"/>
          <w:color w:val="00B050"/>
          <w:u w:val="single"/>
        </w:rPr>
        <w:t>6</w:t>
      </w:r>
      <w:r w:rsidRPr="00DF0A9C">
        <w:rPr>
          <w:rFonts w:cstheme="minorHAnsi"/>
          <w:strike/>
          <w:color w:val="FF0000"/>
        </w:rPr>
        <w:t>12</w:t>
      </w:r>
      <w:r w:rsidRPr="00DF0A9C">
        <w:rPr>
          <w:rFonts w:cstheme="minorHAnsi"/>
        </w:rPr>
        <w:t xml:space="preserve"> years of age and older. </w:t>
      </w:r>
    </w:p>
    <w:p w14:paraId="6E8D6191" w14:textId="77777777" w:rsidR="00964E1E" w:rsidRPr="00DF0A9C" w:rsidRDefault="00964E1E" w:rsidP="00964E1E">
      <w:pPr>
        <w:ind w:left="426"/>
        <w:rPr>
          <w:rFonts w:cstheme="minorHAnsi"/>
          <w:b/>
        </w:rPr>
      </w:pPr>
      <w:bookmarkStart w:id="39" w:name="_Hlk143247616"/>
      <w:r w:rsidRPr="00DF0A9C">
        <w:rPr>
          <w:rFonts w:cstheme="minorHAnsi"/>
          <w:b/>
        </w:rPr>
        <w:t>Index</w:t>
      </w:r>
    </w:p>
    <w:p w14:paraId="2AAA48A0" w14:textId="66134C3D" w:rsidR="00964E1E" w:rsidRPr="00DF0A9C" w:rsidRDefault="00964E1E" w:rsidP="0072362E">
      <w:pPr>
        <w:ind w:left="720"/>
        <w:rPr>
          <w:rFonts w:cstheme="minorHAnsi"/>
        </w:rPr>
      </w:pPr>
      <w:r w:rsidRPr="00DF0A9C">
        <w:rPr>
          <w:rFonts w:cstheme="minorHAnsi"/>
          <w:b/>
          <w:bCs/>
        </w:rPr>
        <w:t>BILASTINE</w:t>
      </w:r>
      <w:r w:rsidRPr="00DF0A9C">
        <w:rPr>
          <w:rFonts w:cstheme="minorHAnsi"/>
        </w:rPr>
        <w:br/>
        <w:t>Schedule 4</w:t>
      </w:r>
      <w:r w:rsidRPr="00DF0A9C">
        <w:rPr>
          <w:rFonts w:cstheme="minorHAnsi"/>
        </w:rPr>
        <w:br/>
        <w:t>Schedule 3</w:t>
      </w:r>
      <w:r w:rsidR="004465D7" w:rsidRPr="00DF0A9C">
        <w:rPr>
          <w:rFonts w:cstheme="minorHAnsi"/>
        </w:rPr>
        <w:br/>
      </w:r>
      <w:r w:rsidRPr="00DF0A9C">
        <w:rPr>
          <w:rFonts w:cstheme="minorHAnsi"/>
        </w:rPr>
        <w:t>Appendix H</w:t>
      </w:r>
      <w:r w:rsidR="00B2729D" w:rsidRPr="00DF0A9C">
        <w:rPr>
          <w:rFonts w:cstheme="minorHAnsi"/>
        </w:rPr>
        <w:t>,</w:t>
      </w:r>
      <w:r w:rsidRPr="00DF0A9C">
        <w:rPr>
          <w:rFonts w:cstheme="minorHAnsi"/>
        </w:rPr>
        <w:t xml:space="preserve"> clause 1</w:t>
      </w:r>
    </w:p>
    <w:p w14:paraId="1ADA9FB4" w14:textId="6437E92B" w:rsidR="00AB4D39" w:rsidRPr="00DF0A9C" w:rsidRDefault="00AB4D39" w:rsidP="0072362E">
      <w:pPr>
        <w:ind w:left="426"/>
        <w:rPr>
          <w:rFonts w:cstheme="minorHAnsi"/>
          <w:b/>
          <w:bCs/>
        </w:rPr>
      </w:pPr>
      <w:r w:rsidRPr="00DF0A9C">
        <w:rPr>
          <w:rFonts w:cstheme="minorHAnsi"/>
          <w:b/>
          <w:bCs/>
        </w:rPr>
        <w:t xml:space="preserve">Appendix H, clause 1 – </w:t>
      </w:r>
      <w:r w:rsidRPr="00DF0A9C">
        <w:rPr>
          <w:rFonts w:cstheme="minorHAnsi"/>
        </w:rPr>
        <w:t xml:space="preserve">Schedule 3 medicines permitted to be </w:t>
      </w:r>
      <w:r w:rsidR="00800740" w:rsidRPr="00DF0A9C">
        <w:rPr>
          <w:rFonts w:cstheme="minorHAnsi"/>
        </w:rPr>
        <w:t>advertised.</w:t>
      </w:r>
      <w:r w:rsidRPr="00DF0A9C">
        <w:rPr>
          <w:rFonts w:cstheme="minorHAnsi"/>
          <w:b/>
          <w:bCs/>
        </w:rPr>
        <w:t xml:space="preserve"> </w:t>
      </w:r>
    </w:p>
    <w:tbl>
      <w:tblPr>
        <w:tblStyle w:val="TableTGAblue"/>
        <w:tblW w:w="0" w:type="auto"/>
        <w:tblInd w:w="699" w:type="dxa"/>
        <w:tblLook w:val="04A0" w:firstRow="1" w:lastRow="0" w:firstColumn="1" w:lastColumn="0" w:noHBand="0" w:noVBand="1"/>
      </w:tblPr>
      <w:tblGrid>
        <w:gridCol w:w="699"/>
        <w:gridCol w:w="1276"/>
      </w:tblGrid>
      <w:tr w:rsidR="00AB4D39" w:rsidRPr="00C67045" w14:paraId="250B9BE1" w14:textId="77777777" w:rsidTr="00B2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02D88BE" w14:textId="77777777" w:rsidR="00AB4D39" w:rsidRPr="00C67045" w:rsidRDefault="00AB4D39" w:rsidP="00B21C87">
            <w:pPr>
              <w:spacing w:before="60" w:after="60"/>
              <w:rPr>
                <w:rFonts w:asciiTheme="minorHAnsi" w:hAnsiTheme="minorHAnsi" w:cstheme="minorHAnsi"/>
                <w:sz w:val="20"/>
                <w:szCs w:val="20"/>
              </w:rPr>
            </w:pPr>
            <w:r w:rsidRPr="00C67045">
              <w:rPr>
                <w:rFonts w:asciiTheme="minorHAnsi" w:hAnsiTheme="minorHAnsi" w:cstheme="minorHAnsi"/>
                <w:sz w:val="20"/>
                <w:szCs w:val="20"/>
              </w:rPr>
              <w:t>Item</w:t>
            </w:r>
          </w:p>
        </w:tc>
        <w:tc>
          <w:tcPr>
            <w:tcW w:w="1276" w:type="dxa"/>
          </w:tcPr>
          <w:p w14:paraId="7DE3BE61" w14:textId="77777777" w:rsidR="00AB4D39" w:rsidRPr="00C67045" w:rsidRDefault="00AB4D39" w:rsidP="00B21C87">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67045">
              <w:rPr>
                <w:rFonts w:asciiTheme="minorHAnsi" w:hAnsiTheme="minorHAnsi" w:cstheme="minorHAnsi"/>
                <w:sz w:val="20"/>
                <w:szCs w:val="20"/>
              </w:rPr>
              <w:t>Poison</w:t>
            </w:r>
          </w:p>
        </w:tc>
      </w:tr>
      <w:tr w:rsidR="00AB4D39" w:rsidRPr="00C67045" w14:paraId="2F5CBC5C" w14:textId="77777777" w:rsidTr="00B21C87">
        <w:tc>
          <w:tcPr>
            <w:cnfStyle w:val="001000000000" w:firstRow="0" w:lastRow="0" w:firstColumn="1" w:lastColumn="0" w:oddVBand="0" w:evenVBand="0" w:oddHBand="0" w:evenHBand="0" w:firstRowFirstColumn="0" w:firstRowLastColumn="0" w:lastRowFirstColumn="0" w:lastRowLastColumn="0"/>
            <w:tcW w:w="699" w:type="dxa"/>
          </w:tcPr>
          <w:p w14:paraId="4967DE54" w14:textId="4C88C35D" w:rsidR="00AB4D39" w:rsidRPr="00C67045" w:rsidRDefault="00AB4D39" w:rsidP="00B21C87">
            <w:pPr>
              <w:spacing w:before="60" w:after="60"/>
              <w:rPr>
                <w:rFonts w:asciiTheme="minorHAnsi" w:hAnsiTheme="minorHAnsi" w:cstheme="minorHAnsi"/>
                <w:sz w:val="20"/>
                <w:szCs w:val="20"/>
              </w:rPr>
            </w:pPr>
            <w:r w:rsidRPr="00C67045">
              <w:rPr>
                <w:rFonts w:asciiTheme="minorHAnsi" w:hAnsiTheme="minorHAnsi" w:cstheme="minorHAnsi"/>
                <w:sz w:val="20"/>
                <w:szCs w:val="20"/>
              </w:rPr>
              <w:t>4</w:t>
            </w:r>
          </w:p>
        </w:tc>
        <w:tc>
          <w:tcPr>
            <w:tcW w:w="1276" w:type="dxa"/>
          </w:tcPr>
          <w:p w14:paraId="30C92352" w14:textId="0A62E124" w:rsidR="00AB4D39" w:rsidRPr="00C67045" w:rsidRDefault="00AB4D39" w:rsidP="00B21C8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67045">
              <w:rPr>
                <w:rFonts w:asciiTheme="minorHAnsi" w:hAnsiTheme="minorHAnsi" w:cstheme="minorHAnsi"/>
                <w:sz w:val="20"/>
                <w:szCs w:val="20"/>
              </w:rPr>
              <w:t>BILASTINE</w:t>
            </w:r>
          </w:p>
        </w:tc>
      </w:tr>
    </w:tbl>
    <w:p w14:paraId="608748CE" w14:textId="77777777" w:rsidR="00586A6E" w:rsidRDefault="00586A6E" w:rsidP="00586A6E">
      <w:pPr>
        <w:pStyle w:val="Heading4"/>
      </w:pPr>
      <w:bookmarkStart w:id="40" w:name="_Toc144110847"/>
      <w:bookmarkEnd w:id="39"/>
      <w:r>
        <w:lastRenderedPageBreak/>
        <w:t>Background</w:t>
      </w:r>
      <w:bookmarkEnd w:id="40"/>
    </w:p>
    <w:p w14:paraId="7970C083" w14:textId="4FF8FE19" w:rsidR="00E41640" w:rsidRPr="00DF0A9C" w:rsidRDefault="00E41640" w:rsidP="000A63B2">
      <w:pPr>
        <w:rPr>
          <w:rFonts w:cstheme="minorHAnsi"/>
        </w:rPr>
      </w:pPr>
      <w:r w:rsidRPr="00DF0A9C">
        <w:rPr>
          <w:rFonts w:cstheme="minorHAnsi"/>
        </w:rPr>
        <w:t xml:space="preserve">Bilastine is an antihistamine that is used for the symptomatic treatment of seasonal and perennial allergic rhino-conjunctivitis and urticaria. Bilastine is currently available as 20 mg tablets in pack sizes of 10 and 30. </w:t>
      </w:r>
      <w:r w:rsidR="00B21C87">
        <w:rPr>
          <w:rFonts w:cstheme="minorHAnsi"/>
        </w:rPr>
        <w:t xml:space="preserve">Over the counter preparations of bilastine were permitted in 2021 </w:t>
      </w:r>
      <w:r w:rsidRPr="00DF0A9C">
        <w:rPr>
          <w:rFonts w:cstheme="minorHAnsi"/>
        </w:rPr>
        <w:t xml:space="preserve">in divided oral preparations containing 20 mg or less </w:t>
      </w:r>
      <w:r w:rsidR="00B21C87">
        <w:rPr>
          <w:rFonts w:cstheme="minorHAnsi"/>
        </w:rPr>
        <w:t>for</w:t>
      </w:r>
      <w:r w:rsidRPr="00DF0A9C">
        <w:rPr>
          <w:rFonts w:cstheme="minorHAnsi"/>
        </w:rPr>
        <w:t xml:space="preserve"> adults and adolescents 12 years of age and older.</w:t>
      </w:r>
    </w:p>
    <w:p w14:paraId="5BCBE698" w14:textId="0D971E44" w:rsidR="00586A6E" w:rsidRDefault="00586A6E" w:rsidP="00586A6E">
      <w:pPr>
        <w:pStyle w:val="Heading4"/>
      </w:pPr>
      <w:bookmarkStart w:id="41" w:name="_Toc144110848"/>
      <w:r>
        <w:t>Summary of applicant’s reasons for the proposal</w:t>
      </w:r>
      <w:bookmarkEnd w:id="41"/>
    </w:p>
    <w:p w14:paraId="678E989D" w14:textId="1650CB4C" w:rsidR="00E41640" w:rsidRPr="000A63B2" w:rsidRDefault="00E41640" w:rsidP="00EB1099">
      <w:pPr>
        <w:pStyle w:val="paragraph"/>
        <w:numPr>
          <w:ilvl w:val="0"/>
          <w:numId w:val="32"/>
        </w:numPr>
        <w:spacing w:before="0" w:beforeAutospacing="0" w:after="120" w:afterAutospacing="0" w:line="259" w:lineRule="auto"/>
        <w:ind w:left="357" w:hanging="357"/>
        <w:jc w:val="both"/>
        <w:textAlignment w:val="baseline"/>
        <w:rPr>
          <w:rFonts w:ascii="Calibri" w:hAnsi="Calibri" w:cs="Calibri"/>
          <w:sz w:val="22"/>
          <w:szCs w:val="22"/>
        </w:rPr>
      </w:pPr>
      <w:r>
        <w:rPr>
          <w:rStyle w:val="normaltextrun"/>
          <w:rFonts w:ascii="Calibri" w:hAnsi="Calibri" w:cs="Calibri"/>
          <w:sz w:val="22"/>
          <w:szCs w:val="22"/>
        </w:rPr>
        <w:t>Allergic rhinitis</w:t>
      </w:r>
      <w:r w:rsidR="00471508">
        <w:rPr>
          <w:rStyle w:val="normaltextrun"/>
          <w:rFonts w:ascii="Calibri" w:hAnsi="Calibri" w:cs="Calibri"/>
          <w:sz w:val="22"/>
          <w:szCs w:val="22"/>
        </w:rPr>
        <w:t xml:space="preserve"> (commonly known as hay fever)</w:t>
      </w:r>
      <w:r>
        <w:rPr>
          <w:rStyle w:val="normaltextrun"/>
          <w:rFonts w:ascii="Calibri" w:hAnsi="Calibri" w:cs="Calibri"/>
          <w:sz w:val="22"/>
          <w:szCs w:val="22"/>
        </w:rPr>
        <w:t xml:space="preserve">, both seasonal and perennial, is the most common allergic condition in Australia with an estimated 10% of the total population self-reporting the condition in 2017-2018. Allergic rhinitis is a risk factor for developing asthma and Australia has amongst the highest incidence </w:t>
      </w:r>
      <w:r w:rsidR="00471508">
        <w:rPr>
          <w:rStyle w:val="normaltextrun"/>
          <w:rFonts w:ascii="Calibri" w:hAnsi="Calibri" w:cs="Calibri"/>
          <w:sz w:val="22"/>
          <w:szCs w:val="22"/>
        </w:rPr>
        <w:t>of</w:t>
      </w:r>
      <w:r>
        <w:rPr>
          <w:rStyle w:val="normaltextrun"/>
          <w:rFonts w:ascii="Calibri" w:hAnsi="Calibri" w:cs="Calibri"/>
          <w:sz w:val="22"/>
          <w:szCs w:val="22"/>
        </w:rPr>
        <w:t xml:space="preserve"> developed countries.</w:t>
      </w:r>
    </w:p>
    <w:p w14:paraId="5D95BB3B" w14:textId="01E80431" w:rsidR="00E41640" w:rsidRPr="000A63B2" w:rsidRDefault="00E41640" w:rsidP="00EB1099">
      <w:pPr>
        <w:pStyle w:val="paragraph"/>
        <w:numPr>
          <w:ilvl w:val="0"/>
          <w:numId w:val="32"/>
        </w:numPr>
        <w:spacing w:before="0" w:beforeAutospacing="0" w:after="120" w:afterAutospacing="0" w:line="259" w:lineRule="auto"/>
        <w:ind w:left="360"/>
        <w:jc w:val="both"/>
        <w:textAlignment w:val="baseline"/>
        <w:rPr>
          <w:rFonts w:ascii="Calibri" w:hAnsi="Calibri" w:cs="Calibri"/>
          <w:sz w:val="22"/>
          <w:szCs w:val="22"/>
        </w:rPr>
      </w:pPr>
      <w:r>
        <w:rPr>
          <w:rStyle w:val="normaltextrun"/>
          <w:rFonts w:ascii="Calibri" w:hAnsi="Calibri" w:cs="Calibri"/>
          <w:sz w:val="22"/>
          <w:szCs w:val="22"/>
        </w:rPr>
        <w:t>Allergic rhino-conjunctivitis is known to be most prevalent during the school age years but is rare in children below 5 years of age.  Sleep disruption often results in daytime fatigue, increased class distraction or absenteeism, reduced focus on schoolwork and other curricular activities</w:t>
      </w:r>
      <w:r w:rsidR="00471508">
        <w:rPr>
          <w:rStyle w:val="normaltextrun"/>
          <w:rFonts w:ascii="Calibri" w:hAnsi="Calibri" w:cs="Calibri"/>
          <w:sz w:val="22"/>
          <w:szCs w:val="22"/>
        </w:rPr>
        <w:t>. T</w:t>
      </w:r>
      <w:r>
        <w:rPr>
          <w:rStyle w:val="normaltextrun"/>
          <w:rFonts w:ascii="Calibri" w:hAnsi="Calibri" w:cs="Calibri"/>
          <w:sz w:val="22"/>
          <w:szCs w:val="22"/>
        </w:rPr>
        <w:t>herefore</w:t>
      </w:r>
      <w:r w:rsidR="00471508">
        <w:rPr>
          <w:rStyle w:val="normaltextrun"/>
          <w:rFonts w:ascii="Calibri" w:hAnsi="Calibri" w:cs="Calibri"/>
          <w:sz w:val="22"/>
          <w:szCs w:val="22"/>
        </w:rPr>
        <w:t>,</w:t>
      </w:r>
      <w:r>
        <w:rPr>
          <w:rStyle w:val="normaltextrun"/>
          <w:rFonts w:ascii="Calibri" w:hAnsi="Calibri" w:cs="Calibri"/>
          <w:sz w:val="22"/>
          <w:szCs w:val="22"/>
        </w:rPr>
        <w:t xml:space="preserve"> symptomatic treatment is as important in school age children as in adults.</w:t>
      </w:r>
    </w:p>
    <w:p w14:paraId="381949DB" w14:textId="2FEFE62D" w:rsidR="00E41640" w:rsidRPr="000A63B2" w:rsidRDefault="00E41640" w:rsidP="00EB1099">
      <w:pPr>
        <w:pStyle w:val="paragraph"/>
        <w:numPr>
          <w:ilvl w:val="0"/>
          <w:numId w:val="32"/>
        </w:numPr>
        <w:spacing w:before="0" w:beforeAutospacing="0" w:after="120" w:afterAutospacing="0" w:line="259" w:lineRule="auto"/>
        <w:ind w:left="360"/>
        <w:jc w:val="both"/>
        <w:textAlignment w:val="baseline"/>
        <w:rPr>
          <w:rFonts w:ascii="Calibri" w:hAnsi="Calibri" w:cs="Calibri"/>
          <w:sz w:val="22"/>
          <w:szCs w:val="22"/>
        </w:rPr>
      </w:pPr>
      <w:r>
        <w:rPr>
          <w:rStyle w:val="normaltextrun"/>
          <w:rFonts w:ascii="Calibri" w:hAnsi="Calibri" w:cs="Calibri"/>
          <w:sz w:val="22"/>
          <w:szCs w:val="22"/>
        </w:rPr>
        <w:t xml:space="preserve">Bilastine is a non-sedating antihistamine which provides an effective once a day relief for common symptoms such as itchy, </w:t>
      </w:r>
      <w:proofErr w:type="gramStart"/>
      <w:r>
        <w:rPr>
          <w:rStyle w:val="normaltextrun"/>
          <w:rFonts w:ascii="Calibri" w:hAnsi="Calibri" w:cs="Calibri"/>
          <w:sz w:val="22"/>
          <w:szCs w:val="22"/>
        </w:rPr>
        <w:t>red</w:t>
      </w:r>
      <w:proofErr w:type="gramEnd"/>
      <w:r>
        <w:rPr>
          <w:rStyle w:val="normaltextrun"/>
          <w:rFonts w:ascii="Calibri" w:hAnsi="Calibri" w:cs="Calibri"/>
          <w:sz w:val="22"/>
          <w:szCs w:val="22"/>
        </w:rPr>
        <w:t xml:space="preserve"> or watery eyes, sneezing, runny or blocked nose, itchy throat, coughing and skin rashes/hives (urticaria) caused by allergies to certain plant and animal material.</w:t>
      </w:r>
      <w:r>
        <w:rPr>
          <w:rStyle w:val="eop"/>
          <w:rFonts w:ascii="Calibri" w:hAnsi="Calibri" w:cs="Calibri"/>
          <w:sz w:val="22"/>
          <w:szCs w:val="22"/>
        </w:rPr>
        <w:t> </w:t>
      </w:r>
    </w:p>
    <w:p w14:paraId="3D333259" w14:textId="1CE418E8" w:rsidR="00E41640" w:rsidRDefault="00E41640" w:rsidP="00EB1099">
      <w:pPr>
        <w:pStyle w:val="paragraph"/>
        <w:numPr>
          <w:ilvl w:val="0"/>
          <w:numId w:val="32"/>
        </w:numPr>
        <w:spacing w:before="0" w:beforeAutospacing="0" w:after="120" w:afterAutospacing="0" w:line="259" w:lineRule="auto"/>
        <w:ind w:left="360"/>
        <w:jc w:val="both"/>
        <w:textAlignment w:val="baseline"/>
        <w:rPr>
          <w:rFonts w:ascii="Calibri" w:hAnsi="Calibri" w:cs="Calibri"/>
          <w:sz w:val="22"/>
          <w:szCs w:val="22"/>
        </w:rPr>
      </w:pPr>
      <w:r>
        <w:rPr>
          <w:rStyle w:val="normaltextrun"/>
          <w:rFonts w:ascii="Calibri" w:hAnsi="Calibri" w:cs="Calibri"/>
          <w:sz w:val="22"/>
          <w:szCs w:val="22"/>
        </w:rPr>
        <w:t>The extension of treatment to the younger population necessitates the development of more palatable formulation</w:t>
      </w:r>
      <w:r w:rsidR="00B26D8B">
        <w:rPr>
          <w:rStyle w:val="normaltextrun"/>
          <w:rFonts w:ascii="Calibri" w:hAnsi="Calibri" w:cs="Calibri"/>
          <w:sz w:val="22"/>
          <w:szCs w:val="22"/>
        </w:rPr>
        <w:t>s</w:t>
      </w:r>
      <w:r>
        <w:rPr>
          <w:rStyle w:val="normaltextrun"/>
          <w:rFonts w:ascii="Calibri" w:hAnsi="Calibri" w:cs="Calibri"/>
          <w:sz w:val="22"/>
          <w:szCs w:val="22"/>
        </w:rPr>
        <w:t xml:space="preserve"> such as an oral liquid</w:t>
      </w:r>
      <w:r w:rsidR="00B26D8B">
        <w:rPr>
          <w:rStyle w:val="normaltextrun"/>
          <w:rFonts w:ascii="Calibri" w:hAnsi="Calibri" w:cs="Calibri"/>
          <w:sz w:val="22"/>
          <w:szCs w:val="22"/>
        </w:rPr>
        <w:t xml:space="preserve"> or</w:t>
      </w:r>
      <w:r w:rsidR="00B26D8B" w:rsidRPr="00B26D8B">
        <w:t xml:space="preserve"> </w:t>
      </w:r>
      <w:r w:rsidR="00B26D8B" w:rsidRPr="00B26D8B">
        <w:rPr>
          <w:rStyle w:val="normaltextrun"/>
          <w:rFonts w:ascii="Calibri" w:hAnsi="Calibri" w:cs="Calibri"/>
          <w:sz w:val="22"/>
          <w:szCs w:val="22"/>
        </w:rPr>
        <w:t>orally disintegrating tablets</w:t>
      </w:r>
      <w:r w:rsidR="00B26D8B">
        <w:rPr>
          <w:rStyle w:val="normaltextrun"/>
          <w:rFonts w:ascii="Calibri" w:hAnsi="Calibri" w:cs="Calibri"/>
          <w:sz w:val="22"/>
          <w:szCs w:val="22"/>
        </w:rPr>
        <w:t xml:space="preserve">. An oral liquid formulation </w:t>
      </w:r>
      <w:r>
        <w:rPr>
          <w:rStyle w:val="normaltextrun"/>
          <w:rFonts w:ascii="Calibri" w:hAnsi="Calibri" w:cs="Calibri"/>
          <w:sz w:val="22"/>
          <w:szCs w:val="22"/>
        </w:rPr>
        <w:t xml:space="preserve">under the current scheduling </w:t>
      </w:r>
      <w:r w:rsidR="00B26D8B" w:rsidRPr="00B26D8B">
        <w:rPr>
          <w:rStyle w:val="normaltextrun"/>
          <w:rFonts w:ascii="Calibri" w:hAnsi="Calibri" w:cs="Calibri"/>
          <w:sz w:val="22"/>
          <w:szCs w:val="22"/>
        </w:rPr>
        <w:t xml:space="preserve">would be classified as a prescription only medicine </w:t>
      </w:r>
      <w:r w:rsidR="00B26D8B">
        <w:rPr>
          <w:rStyle w:val="normaltextrun"/>
          <w:rFonts w:ascii="Calibri" w:hAnsi="Calibri" w:cs="Calibri"/>
          <w:sz w:val="22"/>
          <w:szCs w:val="22"/>
        </w:rPr>
        <w:t xml:space="preserve">(current Schedule 3 entry </w:t>
      </w:r>
      <w:r>
        <w:rPr>
          <w:rStyle w:val="normaltextrun"/>
          <w:rFonts w:ascii="Calibri" w:hAnsi="Calibri" w:cs="Calibri"/>
          <w:sz w:val="22"/>
          <w:szCs w:val="22"/>
        </w:rPr>
        <w:t>limits preparations to ‘divided’ medicines only</w:t>
      </w:r>
      <w:r w:rsidR="00B26D8B">
        <w:rPr>
          <w:rStyle w:val="eop"/>
          <w:rFonts w:ascii="Calibri" w:hAnsi="Calibri" w:cs="Calibri"/>
          <w:sz w:val="22"/>
          <w:szCs w:val="22"/>
        </w:rPr>
        <w:t>).</w:t>
      </w:r>
    </w:p>
    <w:p w14:paraId="7B019C1D" w14:textId="7B04142E" w:rsidR="00E41640" w:rsidRDefault="00E41640" w:rsidP="00EB1099">
      <w:pPr>
        <w:pStyle w:val="paragraph"/>
        <w:numPr>
          <w:ilvl w:val="0"/>
          <w:numId w:val="32"/>
        </w:numPr>
        <w:spacing w:before="0" w:beforeAutospacing="0" w:after="0" w:afterAutospacing="0"/>
        <w:ind w:left="357" w:hanging="357"/>
        <w:jc w:val="both"/>
        <w:textAlignment w:val="baseline"/>
        <w:rPr>
          <w:rFonts w:ascii="Calibri" w:hAnsi="Calibri" w:cs="Calibri"/>
          <w:sz w:val="22"/>
          <w:szCs w:val="22"/>
        </w:rPr>
      </w:pPr>
      <w:r>
        <w:rPr>
          <w:rStyle w:val="normaltextrun"/>
          <w:rFonts w:ascii="Calibri" w:hAnsi="Calibri" w:cs="Calibri"/>
          <w:sz w:val="22"/>
          <w:szCs w:val="22"/>
        </w:rPr>
        <w:t>Other paediatric formulations of non-sedating antihistamines have been available in Australia without a physician’s prescription for more than 25 years. Although bilastine is relatively new in Australia, the substance is indicated for the treatment of similar conditions and has a comparable safety profile to other non-sedating antihistamines.</w:t>
      </w:r>
    </w:p>
    <w:p w14:paraId="7775BC7D" w14:textId="77777777" w:rsidR="00586A6E" w:rsidRDefault="00586A6E" w:rsidP="00586A6E">
      <w:pPr>
        <w:pStyle w:val="Heading4"/>
      </w:pPr>
      <w:bookmarkStart w:id="42" w:name="_Toc144110849"/>
      <w:r>
        <w:t xml:space="preserve">Key uses / expected </w:t>
      </w:r>
      <w:proofErr w:type="gramStart"/>
      <w:r>
        <w:t>use</w:t>
      </w:r>
      <w:bookmarkEnd w:id="42"/>
      <w:proofErr w:type="gramEnd"/>
    </w:p>
    <w:p w14:paraId="7ACCFA32" w14:textId="4C3E99B7" w:rsidR="00586A6E" w:rsidRDefault="00586A6E" w:rsidP="00586A6E">
      <w:r w:rsidRPr="00E41640">
        <w:t>Medicines</w:t>
      </w:r>
    </w:p>
    <w:p w14:paraId="24A75ADC" w14:textId="77777777" w:rsidR="00586A6E" w:rsidRDefault="00586A6E" w:rsidP="00586A6E">
      <w:pPr>
        <w:pStyle w:val="Heading4"/>
      </w:pPr>
      <w:bookmarkStart w:id="43" w:name="_Toc144110850"/>
      <w:r>
        <w:t>Australian regulations</w:t>
      </w:r>
      <w:bookmarkEnd w:id="43"/>
    </w:p>
    <w:p w14:paraId="1A05B8CE" w14:textId="4656461B" w:rsidR="00E41640" w:rsidRPr="00E41640" w:rsidRDefault="00E41640" w:rsidP="0072362E">
      <w:pPr>
        <w:pStyle w:val="ListParagraph"/>
        <w:numPr>
          <w:ilvl w:val="0"/>
          <w:numId w:val="33"/>
        </w:numPr>
        <w:spacing w:line="240" w:lineRule="auto"/>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 xml:space="preserve">According to the </w:t>
      </w:r>
      <w:hyperlink r:id="rId34" w:tgtFrame="_blank" w:history="1">
        <w:r w:rsidRPr="00E41640">
          <w:rPr>
            <w:rFonts w:ascii="Calibri" w:eastAsia="Times New Roman" w:hAnsi="Calibri" w:cs="Calibri"/>
            <w:color w:val="0000FF"/>
            <w:szCs w:val="22"/>
            <w:u w:val="single"/>
            <w:lang w:eastAsia="en-AU"/>
          </w:rPr>
          <w:t>TGA Ingredient Database</w:t>
        </w:r>
      </w:hyperlink>
      <w:r w:rsidRPr="00E41640">
        <w:rPr>
          <w:rFonts w:ascii="Calibri" w:eastAsia="Times New Roman" w:hAnsi="Calibri" w:cs="Calibri"/>
          <w:szCs w:val="22"/>
          <w:lang w:eastAsia="en-AU"/>
        </w:rPr>
        <w:t>,</w:t>
      </w:r>
      <w:r w:rsidR="00B27F70">
        <w:rPr>
          <w:rFonts w:ascii="Calibri" w:eastAsia="Times New Roman" w:hAnsi="Calibri" w:cs="Calibri"/>
          <w:szCs w:val="22"/>
          <w:lang w:eastAsia="en-AU"/>
        </w:rPr>
        <w:t xml:space="preserve"> </w:t>
      </w:r>
      <w:r w:rsidRPr="00E41640">
        <w:rPr>
          <w:rFonts w:ascii="Calibri" w:eastAsia="Times New Roman" w:hAnsi="Calibri" w:cs="Calibri"/>
          <w:szCs w:val="22"/>
          <w:lang w:eastAsia="en-AU"/>
        </w:rPr>
        <w:t>bilastine is:</w:t>
      </w:r>
    </w:p>
    <w:p w14:paraId="6B9D1863" w14:textId="7C066833" w:rsidR="00E41640" w:rsidRPr="00E41640" w:rsidRDefault="00E41640" w:rsidP="0072362E">
      <w:pPr>
        <w:pStyle w:val="ListParagraph"/>
        <w:numPr>
          <w:ilvl w:val="1"/>
          <w:numId w:val="52"/>
        </w:numPr>
        <w:spacing w:line="240" w:lineRule="auto"/>
        <w:ind w:left="709"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Available for use as an Active Ingredient in Export Only, Over the Counter</w:t>
      </w:r>
      <w:r w:rsidR="00B27F70">
        <w:rPr>
          <w:rFonts w:ascii="Calibri" w:eastAsia="Times New Roman" w:hAnsi="Calibri" w:cs="Calibri"/>
          <w:szCs w:val="22"/>
          <w:lang w:eastAsia="en-AU"/>
        </w:rPr>
        <w:t xml:space="preserve"> and</w:t>
      </w:r>
      <w:r w:rsidRPr="00E41640">
        <w:rPr>
          <w:rFonts w:ascii="Calibri" w:eastAsia="Times New Roman" w:hAnsi="Calibri" w:cs="Calibri"/>
          <w:szCs w:val="22"/>
          <w:lang w:eastAsia="en-AU"/>
        </w:rPr>
        <w:t xml:space="preserve"> Prescription Medicines</w:t>
      </w:r>
    </w:p>
    <w:p w14:paraId="60ABDC07" w14:textId="5E963649" w:rsidR="00E41640" w:rsidRPr="00E41640" w:rsidRDefault="00E41640" w:rsidP="0072362E">
      <w:pPr>
        <w:pStyle w:val="ListParagraph"/>
        <w:numPr>
          <w:ilvl w:val="1"/>
          <w:numId w:val="52"/>
        </w:numPr>
        <w:spacing w:line="240" w:lineRule="auto"/>
        <w:ind w:left="709"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Not available as an Excipient Ingredient in any application</w:t>
      </w:r>
    </w:p>
    <w:p w14:paraId="471E0903" w14:textId="5C001BD3" w:rsidR="00E41640" w:rsidRPr="0072362E" w:rsidRDefault="00E41640" w:rsidP="0072362E">
      <w:pPr>
        <w:pStyle w:val="ListParagraph"/>
        <w:numPr>
          <w:ilvl w:val="1"/>
          <w:numId w:val="52"/>
        </w:numPr>
        <w:spacing w:line="240" w:lineRule="auto"/>
        <w:ind w:left="709" w:hanging="357"/>
        <w:contextualSpacing w:val="0"/>
        <w:textAlignment w:val="baseline"/>
        <w:rPr>
          <w:rFonts w:ascii="Calibri" w:eastAsia="Times New Roman" w:hAnsi="Calibri" w:cs="Calibri"/>
          <w:szCs w:val="22"/>
          <w:lang w:eastAsia="en-AU"/>
        </w:rPr>
      </w:pPr>
      <w:r w:rsidRPr="00E41640">
        <w:rPr>
          <w:rFonts w:ascii="Calibri" w:eastAsia="Times New Roman" w:hAnsi="Calibri" w:cs="Calibri"/>
          <w:szCs w:val="22"/>
          <w:lang w:eastAsia="en-AU"/>
        </w:rPr>
        <w:t>Not available as an Equivalent Ingredient in any application.</w:t>
      </w:r>
    </w:p>
    <w:p w14:paraId="7A77701F" w14:textId="127E6488" w:rsidR="00E41640" w:rsidRPr="0072362E" w:rsidRDefault="00E41640" w:rsidP="0072362E">
      <w:pPr>
        <w:pStyle w:val="ListParagraph"/>
        <w:numPr>
          <w:ilvl w:val="0"/>
          <w:numId w:val="33"/>
        </w:numPr>
        <w:spacing w:line="240" w:lineRule="auto"/>
        <w:ind w:left="357"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 xml:space="preserve">As of July 2023, there was </w:t>
      </w:r>
      <w:r w:rsidR="00B27F70">
        <w:rPr>
          <w:rFonts w:ascii="Calibri" w:eastAsia="Times New Roman" w:hAnsi="Calibri" w:cs="Calibri"/>
          <w:szCs w:val="22"/>
          <w:lang w:eastAsia="en-AU"/>
        </w:rPr>
        <w:t>one</w:t>
      </w:r>
      <w:r w:rsidRPr="00E41640">
        <w:rPr>
          <w:rFonts w:ascii="Calibri" w:eastAsia="Times New Roman" w:hAnsi="Calibri" w:cs="Calibri"/>
          <w:szCs w:val="22"/>
          <w:lang w:eastAsia="en-AU"/>
        </w:rPr>
        <w:t xml:space="preserve"> medicine currently active on the </w:t>
      </w:r>
      <w:hyperlink r:id="rId35" w:tgtFrame="_blank" w:history="1">
        <w:r w:rsidR="00EB1099">
          <w:rPr>
            <w:rFonts w:ascii="Calibri" w:eastAsia="Times New Roman" w:hAnsi="Calibri" w:cs="Calibri"/>
            <w:color w:val="0000FF"/>
            <w:szCs w:val="22"/>
            <w:u w:val="single"/>
            <w:lang w:eastAsia="en-AU"/>
          </w:rPr>
          <w:t>Australian Register of Therapeutic Goods</w:t>
        </w:r>
      </w:hyperlink>
      <w:r w:rsidR="006269E4" w:rsidRPr="006269E4">
        <w:rPr>
          <w:rStyle w:val="FootnoteReference"/>
          <w:rFonts w:asciiTheme="minorHAnsi" w:hAnsiTheme="minorHAnsi" w:cstheme="minorHAnsi"/>
        </w:rPr>
        <w:t xml:space="preserve"> </w:t>
      </w:r>
      <w:r w:rsidR="00EB1099" w:rsidRPr="00EB1099">
        <w:rPr>
          <w:rStyle w:val="FootnoteReference"/>
          <w:rFonts w:asciiTheme="minorHAnsi" w:hAnsiTheme="minorHAnsi" w:cstheme="minorHAnsi"/>
          <w:vertAlign w:val="baseline"/>
        </w:rPr>
        <w:t>(</w:t>
      </w:r>
      <w:r w:rsidR="00EB1099">
        <w:rPr>
          <w:rFonts w:asciiTheme="minorHAnsi" w:hAnsiTheme="minorHAnsi" w:cstheme="minorHAnsi"/>
        </w:rPr>
        <w:t xml:space="preserve">ARTG) </w:t>
      </w:r>
      <w:r w:rsidRPr="00E41640">
        <w:rPr>
          <w:rFonts w:ascii="Calibri" w:eastAsia="Times New Roman" w:hAnsi="Calibri" w:cs="Calibri"/>
          <w:szCs w:val="22"/>
          <w:lang w:eastAsia="en-AU"/>
        </w:rPr>
        <w:t>that contain bilastine as an active ingredient. It is a non-prescription medicine.</w:t>
      </w:r>
    </w:p>
    <w:p w14:paraId="48EF0441" w14:textId="74183D38" w:rsidR="00E41640" w:rsidRPr="0072362E" w:rsidRDefault="00E41640" w:rsidP="0072362E">
      <w:pPr>
        <w:pStyle w:val="ListParagraph"/>
        <w:numPr>
          <w:ilvl w:val="0"/>
          <w:numId w:val="33"/>
        </w:numPr>
        <w:spacing w:line="240" w:lineRule="auto"/>
        <w:ind w:left="357" w:hanging="357"/>
        <w:contextualSpacing w:val="0"/>
        <w:textAlignment w:val="baseline"/>
        <w:rPr>
          <w:rFonts w:ascii="Calibri" w:eastAsia="Times New Roman" w:hAnsi="Calibri" w:cs="Calibri"/>
          <w:szCs w:val="22"/>
          <w:lang w:eastAsia="en-AU"/>
        </w:rPr>
      </w:pPr>
      <w:r w:rsidRPr="00E41640">
        <w:rPr>
          <w:rFonts w:ascii="Calibri" w:eastAsia="Times New Roman" w:hAnsi="Calibri" w:cs="Calibri"/>
          <w:szCs w:val="22"/>
          <w:lang w:eastAsia="en-AU"/>
        </w:rPr>
        <w:t xml:space="preserve">Bilastine is not permitted to be included in listed medicines as it is not included in the </w:t>
      </w:r>
      <w:hyperlink r:id="rId36" w:tgtFrame="_blank" w:history="1">
        <w:r w:rsidRPr="00E41640">
          <w:rPr>
            <w:rFonts w:ascii="Calibri" w:eastAsia="Times New Roman" w:hAnsi="Calibri" w:cs="Calibri"/>
            <w:color w:val="0000FF"/>
            <w:szCs w:val="22"/>
            <w:u w:val="single"/>
            <w:lang w:eastAsia="en-AU"/>
          </w:rPr>
          <w:t>Therapeutic Goods (Permissible Ingredients) Determination</w:t>
        </w:r>
      </w:hyperlink>
      <w:r w:rsidRPr="00E41640">
        <w:rPr>
          <w:rFonts w:ascii="Calibri" w:eastAsia="Times New Roman" w:hAnsi="Calibri" w:cs="Calibri"/>
          <w:color w:val="333F48"/>
          <w:szCs w:val="22"/>
          <w:lang w:eastAsia="en-AU"/>
        </w:rPr>
        <w:t xml:space="preserve"> </w:t>
      </w:r>
      <w:r w:rsidRPr="00E41640">
        <w:rPr>
          <w:rFonts w:ascii="Calibri" w:eastAsia="Times New Roman" w:hAnsi="Calibri" w:cs="Calibri"/>
          <w:szCs w:val="22"/>
          <w:lang w:eastAsia="en-AU"/>
        </w:rPr>
        <w:t>No.3 of 2023.</w:t>
      </w:r>
    </w:p>
    <w:p w14:paraId="3660F3D9" w14:textId="5C82A445" w:rsidR="00E41640" w:rsidRPr="00E41640" w:rsidRDefault="00E41640" w:rsidP="0072362E">
      <w:pPr>
        <w:pStyle w:val="ListParagraph"/>
        <w:keepNext/>
        <w:numPr>
          <w:ilvl w:val="0"/>
          <w:numId w:val="33"/>
        </w:numPr>
        <w:spacing w:line="240" w:lineRule="auto"/>
        <w:ind w:left="357"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lastRenderedPageBreak/>
        <w:t>The</w:t>
      </w:r>
      <w:r w:rsidRPr="00E41640">
        <w:rPr>
          <w:rFonts w:ascii="Calibri" w:eastAsia="Times New Roman" w:hAnsi="Calibri" w:cs="Calibri"/>
          <w:color w:val="333F48"/>
          <w:szCs w:val="22"/>
          <w:lang w:eastAsia="en-AU"/>
        </w:rPr>
        <w:t xml:space="preserve"> </w:t>
      </w:r>
      <w:hyperlink r:id="rId37" w:tgtFrame="_blank" w:history="1">
        <w:r w:rsidRPr="00E41640">
          <w:rPr>
            <w:rFonts w:ascii="Calibri" w:eastAsia="Times New Roman" w:hAnsi="Calibri" w:cs="Calibri"/>
            <w:color w:val="0000FF"/>
            <w:szCs w:val="22"/>
            <w:u w:val="single"/>
            <w:lang w:eastAsia="en-AU"/>
          </w:rPr>
          <w:t>TGA prescribing medicines in pregnancy database</w:t>
        </w:r>
      </w:hyperlink>
      <w:r w:rsidRPr="00E41640">
        <w:rPr>
          <w:rFonts w:ascii="Calibri" w:eastAsia="Times New Roman" w:hAnsi="Calibri" w:cs="Calibri"/>
          <w:szCs w:val="22"/>
          <w:lang w:eastAsia="en-AU"/>
        </w:rPr>
        <w:t xml:space="preserve"> classifies bilastine as:</w:t>
      </w:r>
    </w:p>
    <w:tbl>
      <w:tblPr>
        <w:tblW w:w="8664" w:type="dxa"/>
        <w:tblInd w:w="39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04"/>
        <w:gridCol w:w="1117"/>
        <w:gridCol w:w="1984"/>
        <w:gridCol w:w="1985"/>
        <w:gridCol w:w="1974"/>
      </w:tblGrid>
      <w:tr w:rsidR="00E41640" w:rsidRPr="00B27F70" w14:paraId="3D7B023F" w14:textId="77777777" w:rsidTr="00E22509">
        <w:trPr>
          <w:trHeight w:val="300"/>
        </w:trPr>
        <w:tc>
          <w:tcPr>
            <w:tcW w:w="1604" w:type="dxa"/>
            <w:tcBorders>
              <w:top w:val="single" w:sz="6" w:space="0" w:color="002C47"/>
              <w:left w:val="single" w:sz="6" w:space="0" w:color="002C47"/>
              <w:bottom w:val="single" w:sz="6" w:space="0" w:color="002C47"/>
              <w:right w:val="nil"/>
            </w:tcBorders>
            <w:shd w:val="clear" w:color="auto" w:fill="006DA7"/>
            <w:hideMark/>
          </w:tcPr>
          <w:p w14:paraId="4077A812" w14:textId="0A374B06" w:rsidR="00E41640" w:rsidRPr="00B27F70" w:rsidRDefault="00E41640" w:rsidP="0072362E">
            <w:pPr>
              <w:keepNext/>
              <w:spacing w:before="60" w:after="60" w:line="240" w:lineRule="auto"/>
              <w:textAlignment w:val="baseline"/>
              <w:rPr>
                <w:rFonts w:ascii="Times New Roman" w:eastAsia="Times New Roman" w:hAnsi="Times New Roman" w:cs="Times New Roman"/>
                <w:b/>
                <w:bCs/>
                <w:color w:val="FFFFFF"/>
                <w:sz w:val="20"/>
                <w:lang w:eastAsia="en-AU"/>
              </w:rPr>
            </w:pPr>
            <w:r w:rsidRPr="00B27F70">
              <w:rPr>
                <w:rFonts w:ascii="Calibri" w:eastAsia="Times New Roman" w:hAnsi="Calibri" w:cs="Calibri"/>
                <w:b/>
                <w:bCs/>
                <w:color w:val="FFFFFF"/>
                <w:sz w:val="20"/>
                <w:lang w:eastAsia="en-AU"/>
              </w:rPr>
              <w:t>Drug name </w:t>
            </w:r>
          </w:p>
        </w:tc>
        <w:tc>
          <w:tcPr>
            <w:tcW w:w="1117" w:type="dxa"/>
            <w:tcBorders>
              <w:top w:val="single" w:sz="6" w:space="0" w:color="002C47"/>
              <w:left w:val="nil"/>
              <w:bottom w:val="single" w:sz="6" w:space="0" w:color="002C47"/>
              <w:right w:val="nil"/>
            </w:tcBorders>
            <w:shd w:val="clear" w:color="auto" w:fill="006DA7"/>
            <w:hideMark/>
          </w:tcPr>
          <w:p w14:paraId="49778504" w14:textId="0645EA0B" w:rsidR="00E41640" w:rsidRPr="00B27F70" w:rsidRDefault="00E41640" w:rsidP="0072362E">
            <w:pPr>
              <w:keepNext/>
              <w:spacing w:before="60" w:after="60" w:line="240" w:lineRule="auto"/>
              <w:textAlignment w:val="baseline"/>
              <w:rPr>
                <w:rFonts w:ascii="Times New Roman" w:eastAsia="Times New Roman" w:hAnsi="Times New Roman" w:cs="Times New Roman"/>
                <w:b/>
                <w:bCs/>
                <w:color w:val="FFFFFF"/>
                <w:sz w:val="20"/>
                <w:lang w:eastAsia="en-AU"/>
              </w:rPr>
            </w:pPr>
            <w:r w:rsidRPr="00B27F70">
              <w:rPr>
                <w:rFonts w:ascii="Calibri" w:eastAsia="Times New Roman" w:hAnsi="Calibri" w:cs="Calibri"/>
                <w:b/>
                <w:bCs/>
                <w:color w:val="FFFFFF"/>
                <w:sz w:val="20"/>
                <w:lang w:eastAsia="en-AU"/>
              </w:rPr>
              <w:t>Category </w:t>
            </w:r>
          </w:p>
        </w:tc>
        <w:tc>
          <w:tcPr>
            <w:tcW w:w="1984" w:type="dxa"/>
            <w:tcBorders>
              <w:top w:val="single" w:sz="6" w:space="0" w:color="002C47"/>
              <w:left w:val="nil"/>
              <w:bottom w:val="single" w:sz="6" w:space="0" w:color="002C47"/>
              <w:right w:val="nil"/>
            </w:tcBorders>
            <w:shd w:val="clear" w:color="auto" w:fill="006DA7"/>
            <w:hideMark/>
          </w:tcPr>
          <w:p w14:paraId="0936D96D" w14:textId="4CFFE443" w:rsidR="00E41640" w:rsidRPr="00B27F70" w:rsidRDefault="00E41640" w:rsidP="0072362E">
            <w:pPr>
              <w:keepNext/>
              <w:spacing w:before="60" w:after="60" w:line="240" w:lineRule="auto"/>
              <w:textAlignment w:val="baseline"/>
              <w:rPr>
                <w:rFonts w:ascii="Times New Roman" w:eastAsia="Times New Roman" w:hAnsi="Times New Roman" w:cs="Times New Roman"/>
                <w:b/>
                <w:bCs/>
                <w:color w:val="FFFFFF"/>
                <w:sz w:val="20"/>
                <w:lang w:eastAsia="en-AU"/>
              </w:rPr>
            </w:pPr>
            <w:r w:rsidRPr="00B27F70">
              <w:rPr>
                <w:rFonts w:ascii="Calibri" w:eastAsia="Times New Roman" w:hAnsi="Calibri" w:cs="Calibri"/>
                <w:b/>
                <w:bCs/>
                <w:color w:val="FFFFFF"/>
                <w:sz w:val="20"/>
                <w:lang w:eastAsia="en-AU"/>
              </w:rPr>
              <w:t>Classification Level 1 </w:t>
            </w:r>
          </w:p>
        </w:tc>
        <w:tc>
          <w:tcPr>
            <w:tcW w:w="1985" w:type="dxa"/>
            <w:tcBorders>
              <w:top w:val="single" w:sz="6" w:space="0" w:color="002C47"/>
              <w:left w:val="nil"/>
              <w:bottom w:val="single" w:sz="6" w:space="0" w:color="002C47"/>
              <w:right w:val="nil"/>
            </w:tcBorders>
            <w:shd w:val="clear" w:color="auto" w:fill="006DA7"/>
            <w:hideMark/>
          </w:tcPr>
          <w:p w14:paraId="183FDE73" w14:textId="0FE4C046" w:rsidR="00E41640" w:rsidRPr="00B27F70" w:rsidRDefault="00E41640" w:rsidP="0072362E">
            <w:pPr>
              <w:keepNext/>
              <w:spacing w:before="60" w:after="60" w:line="240" w:lineRule="auto"/>
              <w:textAlignment w:val="baseline"/>
              <w:rPr>
                <w:rFonts w:ascii="Times New Roman" w:eastAsia="Times New Roman" w:hAnsi="Times New Roman" w:cs="Times New Roman"/>
                <w:b/>
                <w:bCs/>
                <w:color w:val="FFFFFF"/>
                <w:sz w:val="20"/>
                <w:lang w:eastAsia="en-AU"/>
              </w:rPr>
            </w:pPr>
            <w:r w:rsidRPr="00B27F70">
              <w:rPr>
                <w:rFonts w:ascii="Calibri" w:eastAsia="Times New Roman" w:hAnsi="Calibri" w:cs="Calibri"/>
                <w:b/>
                <w:bCs/>
                <w:color w:val="FFFFFF"/>
                <w:sz w:val="20"/>
                <w:lang w:eastAsia="en-AU"/>
              </w:rPr>
              <w:t>Classification Level 2 </w:t>
            </w:r>
          </w:p>
        </w:tc>
        <w:tc>
          <w:tcPr>
            <w:tcW w:w="1974" w:type="dxa"/>
            <w:tcBorders>
              <w:top w:val="single" w:sz="6" w:space="0" w:color="002C47"/>
              <w:left w:val="nil"/>
              <w:bottom w:val="single" w:sz="6" w:space="0" w:color="002C47"/>
              <w:right w:val="single" w:sz="6" w:space="0" w:color="002C47"/>
            </w:tcBorders>
            <w:shd w:val="clear" w:color="auto" w:fill="006DA7"/>
            <w:hideMark/>
          </w:tcPr>
          <w:p w14:paraId="6545AFED" w14:textId="55B1006A" w:rsidR="00E41640" w:rsidRPr="00B27F70" w:rsidRDefault="00E41640" w:rsidP="0072362E">
            <w:pPr>
              <w:keepNext/>
              <w:spacing w:before="60" w:after="60" w:line="240" w:lineRule="auto"/>
              <w:textAlignment w:val="baseline"/>
              <w:rPr>
                <w:rFonts w:ascii="Times New Roman" w:eastAsia="Times New Roman" w:hAnsi="Times New Roman" w:cs="Times New Roman"/>
                <w:b/>
                <w:bCs/>
                <w:color w:val="FFFFFF"/>
                <w:sz w:val="20"/>
                <w:lang w:eastAsia="en-AU"/>
              </w:rPr>
            </w:pPr>
            <w:r w:rsidRPr="00B27F70">
              <w:rPr>
                <w:rFonts w:ascii="Calibri" w:eastAsia="Times New Roman" w:hAnsi="Calibri" w:cs="Calibri"/>
                <w:b/>
                <w:bCs/>
                <w:color w:val="FFFFFF"/>
                <w:sz w:val="20"/>
                <w:lang w:eastAsia="en-AU"/>
              </w:rPr>
              <w:t>Classification Level 3 </w:t>
            </w:r>
          </w:p>
        </w:tc>
      </w:tr>
      <w:tr w:rsidR="00E41640" w:rsidRPr="00B27F70" w14:paraId="0D00F35E" w14:textId="77777777" w:rsidTr="00E22509">
        <w:trPr>
          <w:trHeight w:val="300"/>
        </w:trPr>
        <w:tc>
          <w:tcPr>
            <w:tcW w:w="1604" w:type="dxa"/>
            <w:tcBorders>
              <w:top w:val="single" w:sz="6" w:space="0" w:color="002C47"/>
              <w:left w:val="single" w:sz="6" w:space="0" w:color="002C47"/>
              <w:bottom w:val="single" w:sz="6" w:space="0" w:color="002C47"/>
              <w:right w:val="single" w:sz="6" w:space="0" w:color="002C47"/>
            </w:tcBorders>
            <w:shd w:val="clear" w:color="auto" w:fill="auto"/>
            <w:hideMark/>
          </w:tcPr>
          <w:p w14:paraId="3311FAFC" w14:textId="3F8F3A43" w:rsidR="00E41640" w:rsidRPr="00B27F70" w:rsidRDefault="00AC5E26" w:rsidP="0072362E">
            <w:pPr>
              <w:keepNext/>
              <w:spacing w:before="60" w:after="60" w:line="240" w:lineRule="auto"/>
              <w:textAlignment w:val="baseline"/>
              <w:rPr>
                <w:rFonts w:ascii="Times New Roman" w:eastAsia="Times New Roman" w:hAnsi="Times New Roman" w:cs="Times New Roman"/>
                <w:color w:val="000000"/>
                <w:sz w:val="20"/>
                <w:lang w:eastAsia="en-AU"/>
              </w:rPr>
            </w:pPr>
            <w:r w:rsidRPr="00B27F70">
              <w:rPr>
                <w:rFonts w:ascii="Calibri" w:eastAsia="Times New Roman" w:hAnsi="Calibri" w:cs="Calibri"/>
                <w:color w:val="000000"/>
                <w:sz w:val="20"/>
                <w:lang w:eastAsia="en-AU"/>
              </w:rPr>
              <w:t>B</w:t>
            </w:r>
            <w:r w:rsidR="00E41640" w:rsidRPr="00B27F70">
              <w:rPr>
                <w:rFonts w:ascii="Calibri" w:eastAsia="Times New Roman" w:hAnsi="Calibri" w:cs="Calibri"/>
                <w:color w:val="000000"/>
                <w:sz w:val="20"/>
                <w:lang w:eastAsia="en-AU"/>
              </w:rPr>
              <w:t>ilastine </w:t>
            </w:r>
          </w:p>
        </w:tc>
        <w:tc>
          <w:tcPr>
            <w:tcW w:w="1117" w:type="dxa"/>
            <w:tcBorders>
              <w:top w:val="single" w:sz="6" w:space="0" w:color="002C47"/>
              <w:left w:val="single" w:sz="6" w:space="0" w:color="002C47"/>
              <w:bottom w:val="single" w:sz="6" w:space="0" w:color="002C47"/>
              <w:right w:val="single" w:sz="6" w:space="0" w:color="002C47"/>
            </w:tcBorders>
            <w:shd w:val="clear" w:color="auto" w:fill="auto"/>
            <w:hideMark/>
          </w:tcPr>
          <w:p w14:paraId="53D6760E" w14:textId="77777777" w:rsidR="00E41640" w:rsidRPr="00B27F70" w:rsidRDefault="00E41640" w:rsidP="0072362E">
            <w:pPr>
              <w:keepNext/>
              <w:spacing w:before="60" w:after="60" w:line="240" w:lineRule="auto"/>
              <w:ind w:left="57"/>
              <w:textAlignment w:val="baseline"/>
              <w:rPr>
                <w:rFonts w:ascii="Times New Roman" w:eastAsia="Times New Roman" w:hAnsi="Times New Roman" w:cs="Times New Roman"/>
                <w:color w:val="000000"/>
                <w:sz w:val="20"/>
                <w:lang w:eastAsia="en-AU"/>
              </w:rPr>
            </w:pPr>
            <w:r w:rsidRPr="00B27F70">
              <w:rPr>
                <w:rFonts w:ascii="Calibri" w:eastAsia="Times New Roman" w:hAnsi="Calibri" w:cs="Calibri"/>
                <w:color w:val="000000"/>
                <w:sz w:val="20"/>
                <w:lang w:eastAsia="en-AU"/>
              </w:rPr>
              <w:t>B3 </w:t>
            </w:r>
          </w:p>
        </w:tc>
        <w:tc>
          <w:tcPr>
            <w:tcW w:w="1984" w:type="dxa"/>
            <w:tcBorders>
              <w:top w:val="single" w:sz="6" w:space="0" w:color="002C47"/>
              <w:left w:val="single" w:sz="6" w:space="0" w:color="002C47"/>
              <w:bottom w:val="single" w:sz="6" w:space="0" w:color="002C47"/>
              <w:right w:val="single" w:sz="6" w:space="0" w:color="002C47"/>
            </w:tcBorders>
            <w:shd w:val="clear" w:color="auto" w:fill="auto"/>
            <w:hideMark/>
          </w:tcPr>
          <w:p w14:paraId="657BCF20" w14:textId="77777777" w:rsidR="00E41640" w:rsidRPr="00B27F70" w:rsidRDefault="00E41640" w:rsidP="0072362E">
            <w:pPr>
              <w:keepNext/>
              <w:spacing w:before="60" w:after="60" w:line="240" w:lineRule="auto"/>
              <w:ind w:left="57"/>
              <w:textAlignment w:val="baseline"/>
              <w:rPr>
                <w:rFonts w:ascii="Times New Roman" w:eastAsia="Times New Roman" w:hAnsi="Times New Roman" w:cs="Times New Roman"/>
                <w:color w:val="000000"/>
                <w:sz w:val="20"/>
                <w:lang w:eastAsia="en-AU"/>
              </w:rPr>
            </w:pPr>
            <w:r w:rsidRPr="00B27F70">
              <w:rPr>
                <w:rFonts w:ascii="Calibri" w:eastAsia="Times New Roman" w:hAnsi="Calibri" w:cs="Calibri"/>
                <w:color w:val="000000"/>
                <w:sz w:val="20"/>
                <w:lang w:eastAsia="en-AU"/>
              </w:rPr>
              <w:t>Allergy and Immune System </w:t>
            </w:r>
          </w:p>
        </w:tc>
        <w:tc>
          <w:tcPr>
            <w:tcW w:w="1985" w:type="dxa"/>
            <w:tcBorders>
              <w:top w:val="single" w:sz="6" w:space="0" w:color="002C47"/>
              <w:left w:val="single" w:sz="6" w:space="0" w:color="002C47"/>
              <w:bottom w:val="single" w:sz="6" w:space="0" w:color="002C47"/>
              <w:right w:val="single" w:sz="6" w:space="0" w:color="002C47"/>
            </w:tcBorders>
            <w:shd w:val="clear" w:color="auto" w:fill="auto"/>
            <w:hideMark/>
          </w:tcPr>
          <w:p w14:paraId="59C5E8DF" w14:textId="77777777" w:rsidR="00E41640" w:rsidRPr="00B27F70" w:rsidRDefault="00E41640" w:rsidP="0072362E">
            <w:pPr>
              <w:keepNext/>
              <w:spacing w:before="60" w:after="60" w:line="240" w:lineRule="auto"/>
              <w:ind w:left="57"/>
              <w:textAlignment w:val="baseline"/>
              <w:rPr>
                <w:rFonts w:ascii="Times New Roman" w:eastAsia="Times New Roman" w:hAnsi="Times New Roman" w:cs="Times New Roman"/>
                <w:color w:val="000000"/>
                <w:sz w:val="20"/>
                <w:lang w:eastAsia="en-AU"/>
              </w:rPr>
            </w:pPr>
            <w:r w:rsidRPr="00B27F70">
              <w:rPr>
                <w:rFonts w:ascii="Calibri" w:eastAsia="Times New Roman" w:hAnsi="Calibri" w:cs="Calibri"/>
                <w:color w:val="000000"/>
                <w:sz w:val="20"/>
                <w:lang w:eastAsia="en-AU"/>
              </w:rPr>
              <w:t>Antihistamines </w:t>
            </w:r>
          </w:p>
        </w:tc>
        <w:tc>
          <w:tcPr>
            <w:tcW w:w="1974" w:type="dxa"/>
            <w:tcBorders>
              <w:top w:val="single" w:sz="6" w:space="0" w:color="002C47"/>
              <w:left w:val="single" w:sz="6" w:space="0" w:color="002C47"/>
              <w:bottom w:val="single" w:sz="6" w:space="0" w:color="002C47"/>
              <w:right w:val="single" w:sz="6" w:space="0" w:color="002C47"/>
            </w:tcBorders>
            <w:shd w:val="clear" w:color="auto" w:fill="auto"/>
            <w:hideMark/>
          </w:tcPr>
          <w:p w14:paraId="1883A295" w14:textId="77777777" w:rsidR="00E41640" w:rsidRPr="00B27F70" w:rsidRDefault="00E41640" w:rsidP="0072362E">
            <w:pPr>
              <w:keepNext/>
              <w:spacing w:before="60" w:after="60" w:line="240" w:lineRule="auto"/>
              <w:textAlignment w:val="baseline"/>
              <w:rPr>
                <w:rFonts w:ascii="Times New Roman" w:eastAsia="Times New Roman" w:hAnsi="Times New Roman" w:cs="Times New Roman"/>
                <w:color w:val="000000"/>
                <w:sz w:val="20"/>
                <w:lang w:eastAsia="en-AU"/>
              </w:rPr>
            </w:pPr>
            <w:r w:rsidRPr="00B27F70">
              <w:rPr>
                <w:rFonts w:ascii="Calibri" w:eastAsia="Times New Roman" w:hAnsi="Calibri" w:cs="Calibri"/>
                <w:color w:val="000000"/>
                <w:sz w:val="20"/>
                <w:lang w:eastAsia="en-AU"/>
              </w:rPr>
              <w:t> </w:t>
            </w:r>
          </w:p>
        </w:tc>
      </w:tr>
      <w:tr w:rsidR="00E41640" w:rsidRPr="00B27F70" w14:paraId="0BD9FBD6" w14:textId="77777777" w:rsidTr="00B27F70">
        <w:trPr>
          <w:trHeight w:val="300"/>
        </w:trPr>
        <w:tc>
          <w:tcPr>
            <w:tcW w:w="8664" w:type="dxa"/>
            <w:gridSpan w:val="5"/>
            <w:tcBorders>
              <w:top w:val="single" w:sz="6" w:space="0" w:color="002C47"/>
              <w:left w:val="single" w:sz="6" w:space="0" w:color="002C47"/>
              <w:bottom w:val="single" w:sz="6" w:space="0" w:color="002C47"/>
              <w:right w:val="single" w:sz="6" w:space="0" w:color="002C47"/>
            </w:tcBorders>
            <w:shd w:val="clear" w:color="auto" w:fill="auto"/>
            <w:hideMark/>
          </w:tcPr>
          <w:p w14:paraId="78850A54" w14:textId="77777777" w:rsidR="00E41640" w:rsidRPr="00C67045" w:rsidRDefault="00E41640" w:rsidP="0072362E">
            <w:pPr>
              <w:keepNext/>
              <w:spacing w:before="60" w:after="60" w:line="240" w:lineRule="auto"/>
              <w:textAlignment w:val="baseline"/>
              <w:rPr>
                <w:rFonts w:ascii="Times New Roman" w:eastAsia="Times New Roman" w:hAnsi="Times New Roman" w:cs="Times New Roman"/>
                <w:color w:val="000000"/>
                <w:sz w:val="18"/>
                <w:szCs w:val="18"/>
                <w:lang w:eastAsia="en-AU"/>
              </w:rPr>
            </w:pPr>
            <w:r w:rsidRPr="00C67045">
              <w:rPr>
                <w:rFonts w:ascii="Calibri" w:eastAsia="Times New Roman" w:hAnsi="Calibri" w:cs="Calibri"/>
                <w:b/>
                <w:bCs/>
                <w:color w:val="000000"/>
                <w:sz w:val="18"/>
                <w:szCs w:val="18"/>
                <w:lang w:eastAsia="en-AU"/>
              </w:rPr>
              <w:t>Category B3</w:t>
            </w:r>
            <w:r w:rsidRPr="00C67045">
              <w:rPr>
                <w:rFonts w:ascii="Calibri" w:eastAsia="Times New Roman" w:hAnsi="Calibri" w:cs="Calibri"/>
                <w:color w:val="000000"/>
                <w:sz w:val="18"/>
                <w:szCs w:val="18"/>
                <w:lang w:eastAsia="en-AU"/>
              </w:rPr>
              <w:t xml:space="preserve"> – Drugs which have been taken by only a limited number of pregnant women and women of childbearing age, without an increase in the frequency of malformation or other direct or indirect harmful effects on the human foetus having been observed. </w:t>
            </w:r>
          </w:p>
          <w:p w14:paraId="22EA26AA" w14:textId="77777777" w:rsidR="00E41640" w:rsidRPr="00B27F70" w:rsidRDefault="00E41640" w:rsidP="0072362E">
            <w:pPr>
              <w:keepNext/>
              <w:spacing w:before="60" w:after="60" w:line="240" w:lineRule="auto"/>
              <w:textAlignment w:val="baseline"/>
              <w:rPr>
                <w:rFonts w:ascii="Times New Roman" w:eastAsia="Times New Roman" w:hAnsi="Times New Roman" w:cs="Times New Roman"/>
                <w:color w:val="000000"/>
                <w:sz w:val="20"/>
                <w:lang w:eastAsia="en-AU"/>
              </w:rPr>
            </w:pPr>
            <w:r w:rsidRPr="00C67045">
              <w:rPr>
                <w:rFonts w:ascii="Calibri" w:eastAsia="Times New Roman" w:hAnsi="Calibri" w:cs="Calibri"/>
                <w:color w:val="000000"/>
                <w:sz w:val="18"/>
                <w:szCs w:val="18"/>
                <w:lang w:eastAsia="en-AU"/>
              </w:rPr>
              <w:t>Studies in animals have shown evidence of an increased occurrence of foetal damage, the significance of which is considered uncertain in humans. </w:t>
            </w:r>
          </w:p>
        </w:tc>
      </w:tr>
    </w:tbl>
    <w:p w14:paraId="449EFD6F" w14:textId="165DB849" w:rsidR="00E41640" w:rsidRDefault="00E41640" w:rsidP="0072362E">
      <w:pPr>
        <w:pStyle w:val="ListParagraph"/>
        <w:numPr>
          <w:ilvl w:val="0"/>
          <w:numId w:val="34"/>
        </w:numPr>
        <w:spacing w:after="0" w:line="240" w:lineRule="auto"/>
        <w:ind w:left="357"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 xml:space="preserve">There are no warning statements pertaining to bilastine in the </w:t>
      </w:r>
      <w:hyperlink r:id="rId38" w:tgtFrame="_blank" w:history="1">
        <w:r w:rsidRPr="00E41640">
          <w:rPr>
            <w:rFonts w:ascii="Calibri" w:eastAsia="Times New Roman" w:hAnsi="Calibri" w:cs="Calibri"/>
            <w:color w:val="0000FF"/>
            <w:szCs w:val="22"/>
            <w:u w:val="single"/>
            <w:lang w:eastAsia="en-AU"/>
          </w:rPr>
          <w:t>Therapeutic Goods (Medicines Advisory Statements) Specification 2021</w:t>
        </w:r>
      </w:hyperlink>
      <w:r w:rsidR="00D12920">
        <w:rPr>
          <w:rFonts w:ascii="Calibri" w:eastAsia="Times New Roman" w:hAnsi="Calibri" w:cs="Calibri"/>
          <w:szCs w:val="22"/>
          <w:lang w:eastAsia="en-AU"/>
        </w:rPr>
        <w:t>.</w:t>
      </w:r>
    </w:p>
    <w:p w14:paraId="08FC45D7" w14:textId="708FDFFB" w:rsidR="00E41640" w:rsidRPr="00E41640" w:rsidRDefault="00E41640" w:rsidP="0072362E">
      <w:pPr>
        <w:pStyle w:val="ListParagraph"/>
        <w:numPr>
          <w:ilvl w:val="0"/>
          <w:numId w:val="34"/>
        </w:numPr>
        <w:spacing w:after="0" w:line="240" w:lineRule="auto"/>
        <w:ind w:left="357"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 xml:space="preserve">As of July 2023, there were 6 reports of adverse events for products containing bilastine as an active ingredient on the </w:t>
      </w:r>
      <w:hyperlink r:id="rId39" w:tgtFrame="_blank" w:history="1">
        <w:r w:rsidR="00EB1099">
          <w:rPr>
            <w:rFonts w:ascii="Calibri" w:eastAsia="Times New Roman" w:hAnsi="Calibri" w:cs="Calibri"/>
            <w:color w:val="0000FF"/>
            <w:szCs w:val="22"/>
            <w:u w:val="single"/>
            <w:lang w:eastAsia="en-AU"/>
          </w:rPr>
          <w:t>Database of Adverse Event Notifications</w:t>
        </w:r>
      </w:hyperlink>
      <w:r w:rsidR="00EB1099" w:rsidRPr="00EB1099">
        <w:rPr>
          <w:rFonts w:ascii="Calibri" w:eastAsia="Times New Roman" w:hAnsi="Calibri" w:cs="Calibri"/>
          <w:szCs w:val="22"/>
          <w:lang w:eastAsia="en-AU"/>
        </w:rPr>
        <w:t xml:space="preserve"> (DAEN)</w:t>
      </w:r>
      <w:r w:rsidRPr="00E41640">
        <w:rPr>
          <w:rFonts w:ascii="Calibri" w:eastAsia="Times New Roman" w:hAnsi="Calibri" w:cs="Calibri"/>
          <w:color w:val="333F48"/>
          <w:szCs w:val="22"/>
          <w:lang w:eastAsia="en-AU"/>
        </w:rPr>
        <w:t xml:space="preserve">, </w:t>
      </w:r>
      <w:r w:rsidRPr="00E41640">
        <w:rPr>
          <w:rFonts w:ascii="Calibri" w:eastAsia="Times New Roman" w:hAnsi="Calibri" w:cs="Calibri"/>
          <w:szCs w:val="22"/>
          <w:lang w:eastAsia="en-AU"/>
        </w:rPr>
        <w:t xml:space="preserve">with 6 reports where bilastine was the single suspected medicine. </w:t>
      </w:r>
      <w:r w:rsidR="00B21C87">
        <w:rPr>
          <w:rFonts w:ascii="Calibri" w:eastAsia="Times New Roman" w:hAnsi="Calibri" w:cs="Calibri"/>
          <w:szCs w:val="22"/>
          <w:lang w:eastAsia="en-AU"/>
        </w:rPr>
        <w:t>The reported events were diverse in nature.</w:t>
      </w:r>
    </w:p>
    <w:p w14:paraId="5A8C8565" w14:textId="4A97333F" w:rsidR="00E41640" w:rsidRPr="00E41640" w:rsidRDefault="00E41640" w:rsidP="0072362E">
      <w:pPr>
        <w:pStyle w:val="ListParagraph"/>
        <w:numPr>
          <w:ilvl w:val="0"/>
          <w:numId w:val="34"/>
        </w:numPr>
        <w:spacing w:after="0" w:line="240" w:lineRule="auto"/>
        <w:ind w:left="357" w:hanging="357"/>
        <w:contextualSpacing w:val="0"/>
        <w:textAlignment w:val="baseline"/>
        <w:rPr>
          <w:rFonts w:ascii="Calibri" w:eastAsia="Times New Roman" w:hAnsi="Calibri" w:cs="Calibri"/>
          <w:color w:val="333F48"/>
          <w:szCs w:val="22"/>
          <w:lang w:eastAsia="en-AU"/>
        </w:rPr>
      </w:pPr>
      <w:r w:rsidRPr="00E41640">
        <w:rPr>
          <w:rFonts w:ascii="Calibri" w:eastAsia="Times New Roman" w:hAnsi="Calibri" w:cs="Calibri"/>
          <w:szCs w:val="22"/>
          <w:lang w:eastAsia="en-AU"/>
        </w:rPr>
        <w:t xml:space="preserve">As of July 2023, there were no products containing bilastine as an active ingredient/constituent or scheduled substance listed on the </w:t>
      </w:r>
      <w:hyperlink r:id="rId40" w:tgtFrame="_blank" w:history="1">
        <w:r w:rsidR="00EB1099">
          <w:rPr>
            <w:rFonts w:ascii="Calibri" w:eastAsia="Times New Roman" w:hAnsi="Calibri" w:cs="Calibri"/>
            <w:color w:val="0000FF"/>
            <w:szCs w:val="22"/>
            <w:u w:val="single"/>
            <w:lang w:eastAsia="en-AU"/>
          </w:rPr>
          <w:t>Public Chemical Registration Information System Search</w:t>
        </w:r>
      </w:hyperlink>
      <w:r w:rsidR="00EB1099" w:rsidRPr="00EB1099">
        <w:rPr>
          <w:rFonts w:ascii="Calibri" w:eastAsia="Times New Roman" w:hAnsi="Calibri" w:cs="Calibri"/>
          <w:szCs w:val="22"/>
          <w:lang w:eastAsia="en-AU"/>
        </w:rPr>
        <w:t xml:space="preserve"> (</w:t>
      </w:r>
      <w:proofErr w:type="spellStart"/>
      <w:r w:rsidR="00EB1099" w:rsidRPr="00EB1099">
        <w:rPr>
          <w:rFonts w:ascii="Calibri" w:eastAsia="Times New Roman" w:hAnsi="Calibri" w:cs="Calibri"/>
          <w:szCs w:val="22"/>
          <w:lang w:eastAsia="en-AU"/>
        </w:rPr>
        <w:t>PubCRIS</w:t>
      </w:r>
      <w:proofErr w:type="spellEnd"/>
      <w:r w:rsidR="00EB1099" w:rsidRPr="00EB1099">
        <w:rPr>
          <w:rFonts w:ascii="Calibri" w:eastAsia="Times New Roman" w:hAnsi="Calibri" w:cs="Calibri"/>
          <w:szCs w:val="22"/>
          <w:lang w:eastAsia="en-AU"/>
        </w:rPr>
        <w:t>)</w:t>
      </w:r>
      <w:r w:rsidRPr="00E41640">
        <w:rPr>
          <w:rFonts w:ascii="Calibri" w:eastAsia="Times New Roman" w:hAnsi="Calibri" w:cs="Calibri"/>
          <w:color w:val="333F48"/>
          <w:szCs w:val="22"/>
          <w:lang w:eastAsia="en-AU"/>
        </w:rPr>
        <w:t>.</w:t>
      </w:r>
    </w:p>
    <w:p w14:paraId="4CEF41B8" w14:textId="77777777" w:rsidR="00586A6E" w:rsidRPr="00CB687C" w:rsidRDefault="00586A6E" w:rsidP="00586A6E">
      <w:pPr>
        <w:pStyle w:val="Heading4"/>
      </w:pPr>
      <w:bookmarkStart w:id="44" w:name="_Toc144110851"/>
      <w:r>
        <w:t>International regulations</w:t>
      </w:r>
      <w:bookmarkEnd w:id="44"/>
    </w:p>
    <w:p w14:paraId="262E6A90" w14:textId="341A3357" w:rsidR="00586A6E" w:rsidRPr="00AC6F78" w:rsidRDefault="004A3ADB" w:rsidP="00EB1099">
      <w:pPr>
        <w:pStyle w:val="ListBullet"/>
        <w:numPr>
          <w:ilvl w:val="0"/>
          <w:numId w:val="83"/>
        </w:numPr>
        <w:rPr>
          <w:szCs w:val="22"/>
        </w:rPr>
      </w:pPr>
      <w:r>
        <w:rPr>
          <w:szCs w:val="22"/>
        </w:rPr>
        <w:t xml:space="preserve">Bilastine </w:t>
      </w:r>
      <w:r w:rsidRPr="004A3ADB">
        <w:rPr>
          <w:szCs w:val="22"/>
        </w:rPr>
        <w:t xml:space="preserve">is </w:t>
      </w:r>
      <w:r w:rsidR="00592FEE" w:rsidRPr="004A3ADB">
        <w:rPr>
          <w:szCs w:val="22"/>
        </w:rPr>
        <w:t xml:space="preserve">not found in the </w:t>
      </w:r>
      <w:hyperlink r:id="rId41" w:history="1">
        <w:r w:rsidR="00592FEE" w:rsidRPr="004A3ADB">
          <w:rPr>
            <w:rStyle w:val="Hyperlink"/>
            <w:rFonts w:asciiTheme="minorHAnsi" w:hAnsiTheme="minorHAnsi"/>
            <w:szCs w:val="22"/>
          </w:rPr>
          <w:t>US FDA database</w:t>
        </w:r>
      </w:hyperlink>
      <w:r w:rsidR="00EB1099" w:rsidRPr="004C7298">
        <w:rPr>
          <w:rStyle w:val="Hyperlink"/>
          <w:rFonts w:asciiTheme="minorHAnsi" w:hAnsiTheme="minorHAnsi"/>
          <w:color w:val="auto"/>
          <w:szCs w:val="22"/>
          <w:u w:val="none"/>
        </w:rPr>
        <w:t>.</w:t>
      </w:r>
      <w:r w:rsidR="00592FEE" w:rsidRPr="004A3ADB">
        <w:rPr>
          <w:szCs w:val="22"/>
        </w:rPr>
        <w:t xml:space="preserve"> </w:t>
      </w:r>
      <w:r w:rsidR="00EB1099">
        <w:rPr>
          <w:szCs w:val="22"/>
        </w:rPr>
        <w:t>H</w:t>
      </w:r>
      <w:r w:rsidR="00EB1099" w:rsidRPr="004A3ADB">
        <w:rPr>
          <w:szCs w:val="22"/>
        </w:rPr>
        <w:t>owever</w:t>
      </w:r>
      <w:r>
        <w:rPr>
          <w:szCs w:val="22"/>
        </w:rPr>
        <w:t xml:space="preserve">, </w:t>
      </w:r>
      <w:r w:rsidR="004C7298">
        <w:rPr>
          <w:szCs w:val="22"/>
        </w:rPr>
        <w:t xml:space="preserve">it </w:t>
      </w:r>
      <w:r>
        <w:rPr>
          <w:szCs w:val="22"/>
        </w:rPr>
        <w:t xml:space="preserve">is </w:t>
      </w:r>
      <w:r w:rsidR="004C7298">
        <w:rPr>
          <w:szCs w:val="22"/>
        </w:rPr>
        <w:t>listed</w:t>
      </w:r>
      <w:r>
        <w:rPr>
          <w:szCs w:val="22"/>
        </w:rPr>
        <w:t xml:space="preserve"> in the US </w:t>
      </w:r>
      <w:hyperlink r:id="rId42" w:history="1">
        <w:r w:rsidRPr="004A3ADB">
          <w:rPr>
            <w:rStyle w:val="Hyperlink"/>
            <w:rFonts w:asciiTheme="minorHAnsi" w:hAnsiTheme="minorHAnsi"/>
            <w:szCs w:val="22"/>
          </w:rPr>
          <w:t>Global Substance Registration System</w:t>
        </w:r>
      </w:hyperlink>
      <w:r>
        <w:rPr>
          <w:szCs w:val="22"/>
        </w:rPr>
        <w:t>.</w:t>
      </w:r>
    </w:p>
    <w:p w14:paraId="5DBACAEA" w14:textId="2B83387D" w:rsidR="00586A6E" w:rsidRPr="00592FEE" w:rsidRDefault="00592FEE" w:rsidP="00EB1099">
      <w:pPr>
        <w:pStyle w:val="ListBullet"/>
        <w:numPr>
          <w:ilvl w:val="0"/>
          <w:numId w:val="83"/>
        </w:numPr>
        <w:rPr>
          <w:u w:val="single"/>
        </w:rPr>
      </w:pPr>
      <w:r>
        <w:t xml:space="preserve">In the EU according to the </w:t>
      </w:r>
      <w:hyperlink r:id="rId43" w:history="1">
        <w:r w:rsidRPr="00592FEE">
          <w:rPr>
            <w:rStyle w:val="Hyperlink"/>
            <w:rFonts w:asciiTheme="minorHAnsi" w:hAnsiTheme="minorHAnsi"/>
            <w:szCs w:val="22"/>
          </w:rPr>
          <w:t>European Medicines Agency</w:t>
        </w:r>
      </w:hyperlink>
      <w:r w:rsidR="00D12920">
        <w:rPr>
          <w:rStyle w:val="Hyperlink"/>
          <w:rFonts w:asciiTheme="minorHAnsi" w:hAnsiTheme="minorHAnsi"/>
          <w:szCs w:val="22"/>
        </w:rPr>
        <w:t>,</w:t>
      </w:r>
      <w:r>
        <w:t xml:space="preserve"> bilastine is available in 20 mg preparations.</w:t>
      </w:r>
    </w:p>
    <w:p w14:paraId="44A42322" w14:textId="00382D1F" w:rsidR="00592FEE" w:rsidRPr="004A3ADB" w:rsidRDefault="00592FEE" w:rsidP="00EB1099">
      <w:pPr>
        <w:pStyle w:val="ListBullet"/>
        <w:numPr>
          <w:ilvl w:val="0"/>
          <w:numId w:val="83"/>
        </w:numPr>
        <w:rPr>
          <w:rStyle w:val="Hyperlink"/>
          <w:rFonts w:asciiTheme="minorHAnsi" w:eastAsiaTheme="minorHAnsi" w:hAnsiTheme="minorHAnsi" w:cstheme="minorBidi"/>
          <w:color w:val="auto"/>
          <w:szCs w:val="22"/>
        </w:rPr>
      </w:pPr>
      <w:r>
        <w:rPr>
          <w:rStyle w:val="Hyperlink"/>
          <w:rFonts w:asciiTheme="minorHAnsi" w:hAnsiTheme="minorHAnsi"/>
          <w:color w:val="auto"/>
          <w:szCs w:val="22"/>
          <w:u w:val="none"/>
        </w:rPr>
        <w:t xml:space="preserve">The </w:t>
      </w:r>
      <w:hyperlink r:id="rId44" w:history="1">
        <w:r w:rsidRPr="00592FEE">
          <w:rPr>
            <w:rStyle w:val="Hyperlink"/>
            <w:rFonts w:asciiTheme="minorHAnsi" w:hAnsiTheme="minorHAnsi"/>
            <w:szCs w:val="22"/>
          </w:rPr>
          <w:t>Ireland Health Products Regulation Authority</w:t>
        </w:r>
      </w:hyperlink>
      <w:r>
        <w:rPr>
          <w:rStyle w:val="Hyperlink"/>
          <w:rFonts w:asciiTheme="minorHAnsi" w:hAnsiTheme="minorHAnsi"/>
          <w:color w:val="auto"/>
          <w:szCs w:val="22"/>
          <w:u w:val="none"/>
        </w:rPr>
        <w:t xml:space="preserve"> has approved 6 products containing bilastine as an active ingredient. These products consist of 2.5 mg/</w:t>
      </w:r>
      <w:r w:rsidR="00EB1099">
        <w:rPr>
          <w:rStyle w:val="Hyperlink"/>
          <w:rFonts w:asciiTheme="minorHAnsi" w:hAnsiTheme="minorHAnsi"/>
          <w:color w:val="auto"/>
          <w:szCs w:val="22"/>
          <w:u w:val="none"/>
        </w:rPr>
        <w:t xml:space="preserve">mL </w:t>
      </w:r>
      <w:r>
        <w:rPr>
          <w:rStyle w:val="Hyperlink"/>
          <w:rFonts w:asciiTheme="minorHAnsi" w:hAnsiTheme="minorHAnsi"/>
          <w:color w:val="auto"/>
          <w:szCs w:val="22"/>
          <w:u w:val="none"/>
        </w:rPr>
        <w:t>oral solution, 6 mg/</w:t>
      </w:r>
      <w:r w:rsidR="00EB1099">
        <w:rPr>
          <w:rStyle w:val="Hyperlink"/>
          <w:rFonts w:asciiTheme="minorHAnsi" w:hAnsiTheme="minorHAnsi"/>
          <w:color w:val="auto"/>
          <w:szCs w:val="22"/>
          <w:u w:val="none"/>
        </w:rPr>
        <w:t xml:space="preserve">mL </w:t>
      </w:r>
      <w:r>
        <w:rPr>
          <w:rStyle w:val="Hyperlink"/>
          <w:rFonts w:asciiTheme="minorHAnsi" w:hAnsiTheme="minorHAnsi"/>
          <w:color w:val="auto"/>
          <w:szCs w:val="22"/>
          <w:u w:val="none"/>
        </w:rPr>
        <w:t>eye drop solution and 20 mg tablet preparations.</w:t>
      </w:r>
    </w:p>
    <w:p w14:paraId="2B9A4BD2" w14:textId="648DA03D" w:rsidR="004A3ADB" w:rsidRDefault="00A13E49" w:rsidP="00EB1099">
      <w:pPr>
        <w:pStyle w:val="ListBullet"/>
        <w:numPr>
          <w:ilvl w:val="0"/>
          <w:numId w:val="83"/>
        </w:numPr>
        <w:rPr>
          <w:rStyle w:val="Hyperlink"/>
          <w:rFonts w:asciiTheme="minorHAnsi" w:eastAsiaTheme="minorHAnsi" w:hAnsiTheme="minorHAnsi" w:cstheme="minorBidi"/>
          <w:color w:val="auto"/>
          <w:szCs w:val="22"/>
        </w:rPr>
      </w:pPr>
      <w:hyperlink r:id="rId45" w:history="1">
        <w:r w:rsidR="00EB1099">
          <w:rPr>
            <w:rStyle w:val="Hyperlink"/>
            <w:rFonts w:asciiTheme="minorHAnsi" w:hAnsiTheme="minorHAnsi"/>
            <w:szCs w:val="22"/>
          </w:rPr>
          <w:t>New Zealand Medicines and Medical Devices Safety Authority</w:t>
        </w:r>
      </w:hyperlink>
      <w:r w:rsidR="00EB1099" w:rsidRPr="00EB1099">
        <w:rPr>
          <w:rStyle w:val="Hyperlink"/>
          <w:rFonts w:asciiTheme="minorHAnsi" w:hAnsiTheme="minorHAnsi"/>
          <w:color w:val="auto"/>
          <w:szCs w:val="22"/>
          <w:u w:val="none"/>
        </w:rPr>
        <w:t xml:space="preserve"> (</w:t>
      </w:r>
      <w:proofErr w:type="spellStart"/>
      <w:r w:rsidR="00EB1099" w:rsidRPr="00EB1099">
        <w:rPr>
          <w:rStyle w:val="Hyperlink"/>
          <w:rFonts w:asciiTheme="minorHAnsi" w:hAnsiTheme="minorHAnsi"/>
          <w:color w:val="auto"/>
          <w:szCs w:val="22"/>
          <w:u w:val="none"/>
        </w:rPr>
        <w:t>MedSafe</w:t>
      </w:r>
      <w:proofErr w:type="spellEnd"/>
      <w:r w:rsidR="00EB1099" w:rsidRPr="00EB1099">
        <w:rPr>
          <w:rStyle w:val="Hyperlink"/>
          <w:rFonts w:asciiTheme="minorHAnsi" w:hAnsiTheme="minorHAnsi"/>
          <w:color w:val="auto"/>
          <w:szCs w:val="22"/>
          <w:u w:val="none"/>
        </w:rPr>
        <w:t>)</w:t>
      </w:r>
      <w:r w:rsidR="004A3ADB">
        <w:rPr>
          <w:rStyle w:val="Hyperlink"/>
          <w:rFonts w:asciiTheme="minorHAnsi" w:hAnsiTheme="minorHAnsi"/>
          <w:color w:val="auto"/>
          <w:szCs w:val="22"/>
          <w:u w:val="none"/>
        </w:rPr>
        <w:t xml:space="preserve"> list </w:t>
      </w:r>
      <w:proofErr w:type="spellStart"/>
      <w:r w:rsidR="004A3ADB">
        <w:rPr>
          <w:rStyle w:val="Hyperlink"/>
          <w:rFonts w:asciiTheme="minorHAnsi" w:hAnsiTheme="minorHAnsi"/>
          <w:color w:val="auto"/>
          <w:szCs w:val="22"/>
          <w:u w:val="none"/>
        </w:rPr>
        <w:t>bilastine</w:t>
      </w:r>
      <w:proofErr w:type="spellEnd"/>
      <w:r w:rsidR="004A3ADB">
        <w:rPr>
          <w:rStyle w:val="Hyperlink"/>
          <w:rFonts w:asciiTheme="minorHAnsi" w:hAnsiTheme="minorHAnsi"/>
          <w:color w:val="auto"/>
          <w:szCs w:val="22"/>
          <w:u w:val="none"/>
        </w:rPr>
        <w:t xml:space="preserve"> as a Prescription Only medicine, except when in divided solid dosage forms for oral use containing 20 mg or less for the treatment of allergic </w:t>
      </w:r>
      <w:r w:rsidR="000B01FC">
        <w:rPr>
          <w:rStyle w:val="Hyperlink"/>
          <w:rFonts w:asciiTheme="minorHAnsi" w:hAnsiTheme="minorHAnsi"/>
          <w:color w:val="auto"/>
          <w:szCs w:val="22"/>
          <w:u w:val="none"/>
        </w:rPr>
        <w:t>rhino-conjunctivitis</w:t>
      </w:r>
      <w:r w:rsidR="004A3ADB">
        <w:rPr>
          <w:rStyle w:val="Hyperlink"/>
          <w:rFonts w:asciiTheme="minorHAnsi" w:hAnsiTheme="minorHAnsi"/>
          <w:color w:val="auto"/>
          <w:szCs w:val="22"/>
          <w:u w:val="none"/>
        </w:rPr>
        <w:t xml:space="preserve"> (seasonal and perennial) and urticaria.</w:t>
      </w:r>
    </w:p>
    <w:p w14:paraId="5F88458F" w14:textId="4C8F5B08" w:rsidR="000B01FC" w:rsidRPr="000B01FC" w:rsidRDefault="000B01FC" w:rsidP="00EB1099">
      <w:pPr>
        <w:pStyle w:val="ListBullet"/>
        <w:numPr>
          <w:ilvl w:val="0"/>
          <w:numId w:val="83"/>
        </w:numPr>
        <w:rPr>
          <w:rStyle w:val="Hyperlink"/>
          <w:rFonts w:asciiTheme="minorHAnsi" w:eastAsiaTheme="minorHAnsi" w:hAnsiTheme="minorHAnsi" w:cstheme="minorBidi"/>
          <w:color w:val="auto"/>
          <w:szCs w:val="22"/>
        </w:rPr>
      </w:pPr>
      <w:r>
        <w:rPr>
          <w:rStyle w:val="Hyperlink"/>
          <w:rFonts w:asciiTheme="minorHAnsi" w:hAnsiTheme="minorHAnsi"/>
          <w:color w:val="auto"/>
          <w:szCs w:val="22"/>
          <w:u w:val="none"/>
        </w:rPr>
        <w:t xml:space="preserve">The </w:t>
      </w:r>
      <w:hyperlink r:id="rId46" w:history="1">
        <w:r w:rsidR="00EB1099">
          <w:rPr>
            <w:rStyle w:val="Hyperlink"/>
            <w:rFonts w:asciiTheme="minorHAnsi" w:hAnsiTheme="minorHAnsi"/>
            <w:szCs w:val="22"/>
          </w:rPr>
          <w:t>UK Electronic Medicines Compendium</w:t>
        </w:r>
      </w:hyperlink>
      <w:r w:rsidR="00EB1099" w:rsidRPr="00EB1099">
        <w:rPr>
          <w:rStyle w:val="Hyperlink"/>
          <w:rFonts w:asciiTheme="minorHAnsi" w:hAnsiTheme="minorHAnsi"/>
          <w:color w:val="auto"/>
          <w:szCs w:val="22"/>
          <w:u w:val="none"/>
        </w:rPr>
        <w:t xml:space="preserve"> (</w:t>
      </w:r>
      <w:proofErr w:type="spellStart"/>
      <w:r w:rsidR="00EB1099" w:rsidRPr="00EB1099">
        <w:rPr>
          <w:rStyle w:val="Hyperlink"/>
          <w:rFonts w:asciiTheme="minorHAnsi" w:hAnsiTheme="minorHAnsi"/>
          <w:color w:val="auto"/>
          <w:szCs w:val="22"/>
          <w:u w:val="none"/>
        </w:rPr>
        <w:t>emc</w:t>
      </w:r>
      <w:proofErr w:type="spellEnd"/>
      <w:r w:rsidR="00EB1099" w:rsidRPr="00EB1099">
        <w:rPr>
          <w:rStyle w:val="Hyperlink"/>
          <w:rFonts w:asciiTheme="minorHAnsi" w:hAnsiTheme="minorHAnsi"/>
          <w:color w:val="auto"/>
          <w:szCs w:val="22"/>
          <w:u w:val="none"/>
        </w:rPr>
        <w:t>)</w:t>
      </w:r>
      <w:r>
        <w:rPr>
          <w:rStyle w:val="Hyperlink"/>
          <w:rFonts w:asciiTheme="minorHAnsi" w:hAnsiTheme="minorHAnsi"/>
          <w:color w:val="auto"/>
          <w:szCs w:val="22"/>
          <w:u w:val="none"/>
        </w:rPr>
        <w:t xml:space="preserve"> has approved </w:t>
      </w:r>
      <w:proofErr w:type="spellStart"/>
      <w:r>
        <w:rPr>
          <w:rStyle w:val="Hyperlink"/>
          <w:rFonts w:asciiTheme="minorHAnsi" w:hAnsiTheme="minorHAnsi"/>
          <w:color w:val="auto"/>
          <w:szCs w:val="22"/>
          <w:u w:val="none"/>
        </w:rPr>
        <w:t>bilastine</w:t>
      </w:r>
      <w:proofErr w:type="spellEnd"/>
      <w:r>
        <w:rPr>
          <w:rStyle w:val="Hyperlink"/>
          <w:rFonts w:asciiTheme="minorHAnsi" w:hAnsiTheme="minorHAnsi"/>
          <w:color w:val="auto"/>
          <w:szCs w:val="22"/>
          <w:u w:val="none"/>
        </w:rPr>
        <w:t xml:space="preserve"> in 10 and 20 mg tablets for oral use to treat allergic rhino-conjunctivitis (seasonal and perennial) and urticaria, for adults and adolescents aged 12 years and over. </w:t>
      </w:r>
      <w:r w:rsidR="00E22509">
        <w:rPr>
          <w:rStyle w:val="Hyperlink"/>
          <w:rFonts w:asciiTheme="minorHAnsi" w:hAnsiTheme="minorHAnsi"/>
          <w:color w:val="auto"/>
          <w:szCs w:val="22"/>
          <w:u w:val="none"/>
        </w:rPr>
        <w:t>T</w:t>
      </w:r>
      <w:r w:rsidR="00E4433A">
        <w:rPr>
          <w:rStyle w:val="Hyperlink"/>
          <w:rFonts w:asciiTheme="minorHAnsi" w:hAnsiTheme="minorHAnsi"/>
          <w:color w:val="auto"/>
          <w:szCs w:val="22"/>
          <w:u w:val="none"/>
        </w:rPr>
        <w:t xml:space="preserve">he </w:t>
      </w:r>
      <w:proofErr w:type="spellStart"/>
      <w:r w:rsidR="00E22509">
        <w:rPr>
          <w:rStyle w:val="Hyperlink"/>
          <w:rFonts w:asciiTheme="minorHAnsi" w:hAnsiTheme="minorHAnsi"/>
          <w:color w:val="auto"/>
          <w:szCs w:val="22"/>
          <w:u w:val="none"/>
        </w:rPr>
        <w:t>emc</w:t>
      </w:r>
      <w:proofErr w:type="spellEnd"/>
      <w:r w:rsidR="00E4433A">
        <w:rPr>
          <w:rStyle w:val="Hyperlink"/>
          <w:rFonts w:asciiTheme="minorHAnsi" w:hAnsiTheme="minorHAnsi"/>
          <w:color w:val="auto"/>
          <w:szCs w:val="22"/>
          <w:u w:val="none"/>
        </w:rPr>
        <w:t xml:space="preserve"> </w:t>
      </w:r>
      <w:r w:rsidR="00E22509">
        <w:rPr>
          <w:rStyle w:val="Hyperlink"/>
          <w:rFonts w:asciiTheme="minorHAnsi" w:hAnsiTheme="minorHAnsi"/>
          <w:color w:val="auto"/>
          <w:szCs w:val="22"/>
          <w:u w:val="none"/>
        </w:rPr>
        <w:t xml:space="preserve">also </w:t>
      </w:r>
      <w:r w:rsidR="00E4433A">
        <w:rPr>
          <w:rStyle w:val="Hyperlink"/>
          <w:rFonts w:asciiTheme="minorHAnsi" w:hAnsiTheme="minorHAnsi"/>
          <w:color w:val="auto"/>
          <w:szCs w:val="22"/>
          <w:u w:val="none"/>
        </w:rPr>
        <w:t>lists a 2.5 mg/mL oral solution for the same indication for children aged 6-11 years of age, with a body weight of at least 20 kg.</w:t>
      </w:r>
    </w:p>
    <w:p w14:paraId="3B251820" w14:textId="0C7F4D98" w:rsidR="000B01FC" w:rsidRPr="00087545" w:rsidRDefault="00A13E49" w:rsidP="00EB1099">
      <w:pPr>
        <w:pStyle w:val="ListBullet"/>
        <w:numPr>
          <w:ilvl w:val="0"/>
          <w:numId w:val="83"/>
        </w:numPr>
        <w:rPr>
          <w:rStyle w:val="Hyperlink"/>
          <w:rFonts w:asciiTheme="minorHAnsi" w:eastAsiaTheme="minorHAnsi" w:hAnsiTheme="minorHAnsi" w:cstheme="minorBidi"/>
          <w:color w:val="auto"/>
          <w:szCs w:val="22"/>
        </w:rPr>
      </w:pPr>
      <w:hyperlink r:id="rId47" w:history="1">
        <w:r w:rsidR="000B01FC" w:rsidRPr="000B01FC">
          <w:rPr>
            <w:rStyle w:val="Hyperlink"/>
            <w:rFonts w:asciiTheme="minorHAnsi" w:hAnsiTheme="minorHAnsi"/>
            <w:szCs w:val="22"/>
          </w:rPr>
          <w:t>Health Canada</w:t>
        </w:r>
      </w:hyperlink>
      <w:r w:rsidR="000B01FC">
        <w:rPr>
          <w:rStyle w:val="Hyperlink"/>
          <w:rFonts w:asciiTheme="minorHAnsi" w:hAnsiTheme="minorHAnsi"/>
          <w:color w:val="auto"/>
          <w:szCs w:val="22"/>
          <w:u w:val="none"/>
        </w:rPr>
        <w:t xml:space="preserve"> has bilastine approved as a prescription only medicine</w:t>
      </w:r>
      <w:r w:rsidR="00E4433A">
        <w:rPr>
          <w:rStyle w:val="Hyperlink"/>
          <w:rFonts w:asciiTheme="minorHAnsi" w:hAnsiTheme="minorHAnsi"/>
          <w:color w:val="auto"/>
          <w:szCs w:val="22"/>
          <w:u w:val="none"/>
        </w:rPr>
        <w:t xml:space="preserve"> and has a 10 mg and 20 mg oral tablet preparation, and a 2.5 mg/</w:t>
      </w:r>
      <w:r w:rsidR="00EB1099">
        <w:rPr>
          <w:rStyle w:val="Hyperlink"/>
          <w:rFonts w:asciiTheme="minorHAnsi" w:hAnsiTheme="minorHAnsi"/>
          <w:color w:val="auto"/>
          <w:szCs w:val="22"/>
          <w:u w:val="none"/>
        </w:rPr>
        <w:t xml:space="preserve">mL </w:t>
      </w:r>
      <w:r w:rsidR="00E4433A">
        <w:rPr>
          <w:rStyle w:val="Hyperlink"/>
          <w:rFonts w:asciiTheme="minorHAnsi" w:hAnsiTheme="minorHAnsi"/>
          <w:color w:val="auto"/>
          <w:szCs w:val="22"/>
          <w:u w:val="none"/>
        </w:rPr>
        <w:t>oral solution.</w:t>
      </w:r>
    </w:p>
    <w:p w14:paraId="5F788CAA" w14:textId="77777777" w:rsidR="00571A6E" w:rsidRDefault="00571A6E">
      <w:pPr>
        <w:rPr>
          <w:rFonts w:ascii="Arial" w:eastAsia="Times New Roman" w:hAnsi="Arial" w:cs="Times New Roman"/>
          <w:b/>
          <w:bCs/>
          <w:color w:val="001871"/>
          <w:sz w:val="32"/>
          <w:szCs w:val="32"/>
        </w:rPr>
      </w:pPr>
      <w:r>
        <w:br w:type="page"/>
      </w:r>
    </w:p>
    <w:p w14:paraId="37A40293" w14:textId="292A868D" w:rsidR="000E7528" w:rsidRPr="009401F6" w:rsidRDefault="001D5CC5" w:rsidP="000E7528">
      <w:pPr>
        <w:pStyle w:val="Heading3"/>
        <w:ind w:left="576" w:hanging="576"/>
      </w:pPr>
      <w:bookmarkStart w:id="45" w:name="_Toc144110852"/>
      <w:r>
        <w:lastRenderedPageBreak/>
        <w:t>1.3</w:t>
      </w:r>
      <w:r>
        <w:tab/>
      </w:r>
      <w:r w:rsidR="000E7528">
        <w:t>BPC-157</w:t>
      </w:r>
      <w:bookmarkEnd w:id="45"/>
    </w:p>
    <w:p w14:paraId="2A03A043" w14:textId="77777777" w:rsidR="000E7528" w:rsidRDefault="000E7528" w:rsidP="000E7528">
      <w:pPr>
        <w:pStyle w:val="Heading4"/>
      </w:pPr>
      <w:bookmarkStart w:id="46" w:name="_Toc130227362"/>
      <w:bookmarkStart w:id="47" w:name="_Toc144110853"/>
      <w:r>
        <w:t>Proposal</w:t>
      </w:r>
      <w:bookmarkEnd w:id="46"/>
      <w:bookmarkEnd w:id="47"/>
    </w:p>
    <w:p w14:paraId="68280287" w14:textId="19A548A2" w:rsidR="000E7528" w:rsidRPr="00D75206" w:rsidRDefault="000E7528" w:rsidP="000E7528">
      <w:bookmarkStart w:id="48" w:name="_Hlk141450776"/>
      <w:r w:rsidRPr="003839B4">
        <w:t xml:space="preserve">The TGA is seeking public comment </w:t>
      </w:r>
      <w:r w:rsidR="00E22509">
        <w:t xml:space="preserve">regarding </w:t>
      </w:r>
      <w:r>
        <w:t>the creation of a Schedule 4 entry for BPC-157</w:t>
      </w:r>
      <w:r w:rsidR="00E22509">
        <w:t xml:space="preserve">, with </w:t>
      </w:r>
      <w:r>
        <w:t xml:space="preserve">an </w:t>
      </w:r>
      <w:r w:rsidR="00E22509">
        <w:t xml:space="preserve">additional entry </w:t>
      </w:r>
      <w:r>
        <w:t>Appendix D, clause 6 entry. The new entries would restrict access to BPC-157 to be a prescription-only medicine with possession of the substance without authority being illegal.</w:t>
      </w:r>
    </w:p>
    <w:p w14:paraId="61F5ED3A" w14:textId="46AD75AC" w:rsidR="000E7528" w:rsidRDefault="000E7528" w:rsidP="000E7528">
      <w:pPr>
        <w:pStyle w:val="Heading4"/>
      </w:pPr>
      <w:bookmarkStart w:id="49" w:name="_Toc130227363"/>
      <w:bookmarkStart w:id="50" w:name="_Toc144110854"/>
      <w:bookmarkEnd w:id="48"/>
      <w:r>
        <w:t>CAS number</w:t>
      </w:r>
      <w:bookmarkEnd w:id="49"/>
      <w:bookmarkEnd w:id="50"/>
    </w:p>
    <w:p w14:paraId="329AB166" w14:textId="77777777" w:rsidR="000E7528" w:rsidRDefault="000E7528" w:rsidP="000E7528">
      <w:r w:rsidRPr="00992D89">
        <w:t>137525-51-0</w:t>
      </w:r>
    </w:p>
    <w:p w14:paraId="73945C09" w14:textId="77777777" w:rsidR="000E7528" w:rsidRDefault="000E7528" w:rsidP="000E7528">
      <w:pPr>
        <w:pStyle w:val="Heading4"/>
      </w:pPr>
      <w:bookmarkStart w:id="51" w:name="_Toc130227364"/>
      <w:bookmarkStart w:id="52" w:name="_Toc144110855"/>
      <w:r>
        <w:t>Alternative names</w:t>
      </w:r>
      <w:bookmarkEnd w:id="51"/>
      <w:bookmarkEnd w:id="52"/>
    </w:p>
    <w:p w14:paraId="1D9BB823" w14:textId="37622022" w:rsidR="000E7528" w:rsidRPr="00573B5F" w:rsidRDefault="000E7528" w:rsidP="000E7528">
      <w:bookmarkStart w:id="53" w:name="_Toc130227365"/>
      <w:proofErr w:type="spellStart"/>
      <w:r>
        <w:t>Bepecin</w:t>
      </w:r>
      <w:proofErr w:type="spellEnd"/>
      <w:r>
        <w:t>, Bo</w:t>
      </w:r>
      <w:r w:rsidR="00A83E4F">
        <w:t>d</w:t>
      </w:r>
      <w:r>
        <w:t>y protection compound 15</w:t>
      </w:r>
      <w:r w:rsidR="00A83E4F">
        <w:t>7</w:t>
      </w:r>
      <w:r>
        <w:t xml:space="preserve">, </w:t>
      </w:r>
      <w:r w:rsidRPr="008E6483">
        <w:t>PL-10</w:t>
      </w:r>
      <w:r>
        <w:t xml:space="preserve">, </w:t>
      </w:r>
      <w:r w:rsidRPr="008E6483">
        <w:t>PL-14736</w:t>
      </w:r>
      <w:r>
        <w:t xml:space="preserve">, </w:t>
      </w:r>
      <w:r w:rsidRPr="008E6483">
        <w:t>PLD-116</w:t>
      </w:r>
    </w:p>
    <w:p w14:paraId="79F3DBB8" w14:textId="77777777" w:rsidR="000E7528" w:rsidRPr="002C1070" w:rsidRDefault="000E7528" w:rsidP="000E7528">
      <w:pPr>
        <w:pStyle w:val="Heading4"/>
      </w:pPr>
      <w:bookmarkStart w:id="54" w:name="_Toc144110856"/>
      <w:r>
        <w:t>Applicant</w:t>
      </w:r>
      <w:bookmarkEnd w:id="53"/>
      <w:bookmarkEnd w:id="54"/>
    </w:p>
    <w:p w14:paraId="1B412D37" w14:textId="77777777" w:rsidR="000E7528" w:rsidRDefault="000E7528" w:rsidP="00B638C9">
      <w:pPr>
        <w:rPr>
          <w:b/>
          <w:bCs/>
        </w:rPr>
      </w:pPr>
      <w:bookmarkStart w:id="55" w:name="_Toc130227366"/>
      <w:r w:rsidRPr="00F858A9">
        <w:t>Delegate of the Secretary of the Department of Health and Aged Care (Delegate-initiated proposal).</w:t>
      </w:r>
    </w:p>
    <w:p w14:paraId="2E7044C3" w14:textId="77777777" w:rsidR="000E7528" w:rsidRDefault="000E7528" w:rsidP="000E7528">
      <w:pPr>
        <w:pStyle w:val="Heading4"/>
      </w:pPr>
      <w:bookmarkStart w:id="56" w:name="_Toc144110857"/>
      <w:r>
        <w:t>Proposed Scheduling</w:t>
      </w:r>
      <w:bookmarkEnd w:id="55"/>
      <w:bookmarkEnd w:id="56"/>
    </w:p>
    <w:p w14:paraId="240AC602" w14:textId="77777777" w:rsidR="000E7528" w:rsidRPr="00DC3BC2" w:rsidRDefault="000E7528" w:rsidP="000E7528">
      <w:pPr>
        <w:rPr>
          <w:rFonts w:cstheme="minorHAnsi"/>
        </w:rPr>
      </w:pPr>
      <w:r w:rsidRPr="00EA0707">
        <w:rPr>
          <w:rFonts w:cstheme="minorHAnsi"/>
        </w:rPr>
        <w:t>BPC-157 is not currently listed on the Poisons Standard, nor is it regarded as a derivative of any listed substance on the Standard</w:t>
      </w:r>
      <w:r>
        <w:rPr>
          <w:rFonts w:cstheme="minorHAnsi"/>
        </w:rPr>
        <w:t>.</w:t>
      </w:r>
    </w:p>
    <w:p w14:paraId="4C5AF40C" w14:textId="7314AA9C" w:rsidR="000E7528" w:rsidRPr="00DC3BC2" w:rsidRDefault="000E7528" w:rsidP="000E7528">
      <w:pPr>
        <w:rPr>
          <w:bCs/>
        </w:rPr>
      </w:pPr>
      <w:r w:rsidRPr="00DC3BC2">
        <w:rPr>
          <w:bCs/>
        </w:rPr>
        <w:t xml:space="preserve">The </w:t>
      </w:r>
      <w:r>
        <w:rPr>
          <w:bCs/>
        </w:rPr>
        <w:t>Delegate’s</w:t>
      </w:r>
      <w:r w:rsidRPr="00DC3BC2">
        <w:rPr>
          <w:bCs/>
        </w:rPr>
        <w:t xml:space="preserve"> proposed amendments to the Poisons Standard are</w:t>
      </w:r>
      <w:r w:rsidR="00E22509">
        <w:rPr>
          <w:bCs/>
        </w:rPr>
        <w:t>:</w:t>
      </w:r>
      <w:r w:rsidRPr="00DC3BC2">
        <w:rPr>
          <w:rStyle w:val="FootnoteReference"/>
          <w:bCs/>
        </w:rPr>
        <w:footnoteReference w:id="3"/>
      </w:r>
    </w:p>
    <w:p w14:paraId="58514879" w14:textId="77777777" w:rsidR="000E7528" w:rsidRPr="00CD40FB" w:rsidRDefault="000E7528" w:rsidP="000E7528">
      <w:pPr>
        <w:ind w:left="426"/>
        <w:rPr>
          <w:b/>
        </w:rPr>
      </w:pPr>
      <w:r w:rsidRPr="00D054C5">
        <w:rPr>
          <w:b/>
        </w:rPr>
        <w:t xml:space="preserve">Schedule </w:t>
      </w:r>
      <w:r>
        <w:rPr>
          <w:b/>
        </w:rPr>
        <w:t>4</w:t>
      </w:r>
      <w:r w:rsidRPr="00D054C5">
        <w:rPr>
          <w:b/>
        </w:rPr>
        <w:t xml:space="preserve"> –</w:t>
      </w:r>
      <w:r>
        <w:rPr>
          <w:b/>
        </w:rPr>
        <w:t xml:space="preserve"> New</w:t>
      </w:r>
      <w:r w:rsidRPr="00D054C5">
        <w:rPr>
          <w:b/>
        </w:rPr>
        <w:t xml:space="preserve"> Entry</w:t>
      </w:r>
    </w:p>
    <w:p w14:paraId="41563B2D" w14:textId="5F41D31E" w:rsidR="000E7528" w:rsidRDefault="000E7528" w:rsidP="00D3329A">
      <w:pPr>
        <w:ind w:firstLine="720"/>
        <w:rPr>
          <w:rFonts w:cstheme="minorHAnsi"/>
          <w:color w:val="00B050"/>
          <w:u w:val="single"/>
        </w:rPr>
      </w:pPr>
      <w:bookmarkStart w:id="57" w:name="_Toc130227367"/>
      <w:r>
        <w:rPr>
          <w:rFonts w:cstheme="minorHAnsi"/>
          <w:color w:val="00B050"/>
          <w:u w:val="single"/>
        </w:rPr>
        <w:t>BPC-157</w:t>
      </w:r>
    </w:p>
    <w:p w14:paraId="7B4D1D7B" w14:textId="14A75B62" w:rsidR="005C1F31" w:rsidRPr="005C1F31" w:rsidRDefault="005C1F31" w:rsidP="005C1F31">
      <w:pPr>
        <w:ind w:firstLine="426"/>
        <w:rPr>
          <w:rFonts w:cstheme="minorHAnsi"/>
          <w:b/>
          <w:bCs/>
        </w:rPr>
      </w:pPr>
      <w:r w:rsidRPr="005C1F31">
        <w:rPr>
          <w:rFonts w:cstheme="minorHAnsi"/>
          <w:b/>
          <w:bCs/>
        </w:rPr>
        <w:t>Appendix D</w:t>
      </w:r>
      <w:r w:rsidR="00B21C87">
        <w:rPr>
          <w:rFonts w:cstheme="minorHAnsi"/>
          <w:b/>
          <w:bCs/>
        </w:rPr>
        <w:t>, clause 5</w:t>
      </w:r>
      <w:r w:rsidRPr="005C1F31">
        <w:rPr>
          <w:rFonts w:cstheme="minorHAnsi"/>
          <w:b/>
          <w:bCs/>
        </w:rPr>
        <w:t xml:space="preserve"> – New Entry</w:t>
      </w:r>
    </w:p>
    <w:tbl>
      <w:tblPr>
        <w:tblStyle w:val="TableTGAblue"/>
        <w:tblW w:w="2126" w:type="dxa"/>
        <w:tblInd w:w="699" w:type="dxa"/>
        <w:tblLook w:val="04A0" w:firstRow="1" w:lastRow="0" w:firstColumn="1" w:lastColumn="0" w:noHBand="0" w:noVBand="1"/>
      </w:tblPr>
      <w:tblGrid>
        <w:gridCol w:w="992"/>
        <w:gridCol w:w="1134"/>
      </w:tblGrid>
      <w:tr w:rsidR="005C1F31" w:rsidRPr="00C67045" w14:paraId="52411E39" w14:textId="77777777" w:rsidTr="00B2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D740B59" w14:textId="02E51905" w:rsidR="005C1F31" w:rsidRPr="00C67045" w:rsidRDefault="005C1F31" w:rsidP="005C1F31">
            <w:pPr>
              <w:spacing w:before="60" w:after="60"/>
              <w:rPr>
                <w:rFonts w:asciiTheme="minorHAnsi" w:hAnsiTheme="minorHAnsi" w:cstheme="minorHAnsi"/>
                <w:color w:val="FFFFFF" w:themeColor="background1"/>
                <w:sz w:val="20"/>
                <w:szCs w:val="20"/>
              </w:rPr>
            </w:pPr>
            <w:r w:rsidRPr="00C67045">
              <w:rPr>
                <w:rFonts w:asciiTheme="minorHAnsi" w:hAnsiTheme="minorHAnsi" w:cstheme="minorHAnsi"/>
                <w:color w:val="FFFFFF" w:themeColor="background1"/>
                <w:sz w:val="20"/>
                <w:szCs w:val="20"/>
              </w:rPr>
              <w:t>Item</w:t>
            </w:r>
          </w:p>
        </w:tc>
        <w:tc>
          <w:tcPr>
            <w:tcW w:w="1134" w:type="dxa"/>
          </w:tcPr>
          <w:p w14:paraId="07E40930" w14:textId="57E0FE44" w:rsidR="005C1F31" w:rsidRPr="00C67045" w:rsidRDefault="005C1F31" w:rsidP="005C1F31">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C67045">
              <w:rPr>
                <w:rFonts w:asciiTheme="minorHAnsi" w:hAnsiTheme="minorHAnsi" w:cstheme="minorHAnsi"/>
                <w:color w:val="FFFFFF" w:themeColor="background1"/>
                <w:sz w:val="20"/>
                <w:szCs w:val="20"/>
              </w:rPr>
              <w:t>Poison</w:t>
            </w:r>
          </w:p>
        </w:tc>
      </w:tr>
      <w:tr w:rsidR="005C1F31" w:rsidRPr="00C67045" w14:paraId="5B8EFD8A" w14:textId="77777777" w:rsidTr="00B21C87">
        <w:tc>
          <w:tcPr>
            <w:cnfStyle w:val="001000000000" w:firstRow="0" w:lastRow="0" w:firstColumn="1" w:lastColumn="0" w:oddVBand="0" w:evenVBand="0" w:oddHBand="0" w:evenHBand="0" w:firstRowFirstColumn="0" w:firstRowLastColumn="0" w:lastRowFirstColumn="0" w:lastRowLastColumn="0"/>
            <w:tcW w:w="992" w:type="dxa"/>
          </w:tcPr>
          <w:p w14:paraId="27315BDB" w14:textId="42BA52EB" w:rsidR="005C1F31" w:rsidRPr="00C67045" w:rsidRDefault="00A83E4F" w:rsidP="005C1F31">
            <w:pPr>
              <w:spacing w:before="60" w:after="60"/>
              <w:rPr>
                <w:rFonts w:asciiTheme="minorHAnsi" w:hAnsiTheme="minorHAnsi" w:cstheme="minorHAnsi"/>
                <w:color w:val="00B050"/>
                <w:sz w:val="20"/>
                <w:szCs w:val="20"/>
                <w:u w:val="single"/>
              </w:rPr>
            </w:pPr>
            <w:r>
              <w:rPr>
                <w:rFonts w:asciiTheme="minorHAnsi" w:hAnsiTheme="minorHAnsi" w:cstheme="minorHAnsi"/>
                <w:color w:val="00B050"/>
                <w:sz w:val="20"/>
                <w:szCs w:val="20"/>
                <w:u w:val="single"/>
              </w:rPr>
              <w:t>4a</w:t>
            </w:r>
          </w:p>
        </w:tc>
        <w:tc>
          <w:tcPr>
            <w:tcW w:w="1134" w:type="dxa"/>
          </w:tcPr>
          <w:p w14:paraId="2B9DB0A9" w14:textId="728A98E6" w:rsidR="005C1F31" w:rsidRPr="00C67045" w:rsidRDefault="005C1F31" w:rsidP="005C1F31">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0"/>
                <w:szCs w:val="20"/>
                <w:u w:val="single"/>
              </w:rPr>
            </w:pPr>
            <w:r w:rsidRPr="00C67045">
              <w:rPr>
                <w:rFonts w:asciiTheme="minorHAnsi" w:hAnsiTheme="minorHAnsi" w:cstheme="minorHAnsi"/>
                <w:color w:val="00B050"/>
                <w:sz w:val="20"/>
                <w:szCs w:val="20"/>
                <w:u w:val="single"/>
              </w:rPr>
              <w:t>BPC-157</w:t>
            </w:r>
          </w:p>
        </w:tc>
      </w:tr>
    </w:tbl>
    <w:p w14:paraId="2428F26F" w14:textId="77777777" w:rsidR="000E7528" w:rsidRPr="005C1F31" w:rsidRDefault="000E7528" w:rsidP="005C1F31">
      <w:pPr>
        <w:spacing w:before="120"/>
        <w:ind w:firstLine="425"/>
        <w:rPr>
          <w:rFonts w:cstheme="minorHAnsi"/>
          <w:b/>
          <w:bCs/>
        </w:rPr>
      </w:pPr>
      <w:r w:rsidRPr="005C1F31">
        <w:rPr>
          <w:rFonts w:cstheme="minorHAnsi"/>
          <w:b/>
          <w:bCs/>
        </w:rPr>
        <w:t>Index – New Entry</w:t>
      </w:r>
    </w:p>
    <w:p w14:paraId="51E951EF" w14:textId="77777777" w:rsidR="000E7528" w:rsidRDefault="000E7528" w:rsidP="000E7528">
      <w:pPr>
        <w:ind w:firstLine="720"/>
        <w:rPr>
          <w:rFonts w:cstheme="minorHAnsi"/>
          <w:b/>
          <w:bCs/>
          <w:color w:val="00B050"/>
          <w:u w:val="single"/>
        </w:rPr>
      </w:pPr>
      <w:r w:rsidRPr="00EE2CC3">
        <w:rPr>
          <w:rFonts w:cstheme="minorHAnsi"/>
          <w:b/>
          <w:bCs/>
          <w:color w:val="00B050"/>
          <w:u w:val="single"/>
        </w:rPr>
        <w:t>BPC-157</w:t>
      </w:r>
    </w:p>
    <w:p w14:paraId="7EF90DD8" w14:textId="3E1CA9DD" w:rsidR="000E7528" w:rsidRPr="00EE2CC3" w:rsidRDefault="000E7528" w:rsidP="000E7528">
      <w:pPr>
        <w:ind w:firstLine="720"/>
        <w:rPr>
          <w:rFonts w:cstheme="minorHAnsi"/>
          <w:color w:val="00B050"/>
          <w:u w:val="single"/>
        </w:rPr>
      </w:pPr>
      <w:r>
        <w:rPr>
          <w:rFonts w:cstheme="minorHAnsi"/>
          <w:color w:val="00B050"/>
          <w:u w:val="single"/>
        </w:rPr>
        <w:t>Schedule 4</w:t>
      </w:r>
      <w:r w:rsidR="005C1F31">
        <w:rPr>
          <w:rFonts w:cstheme="minorHAnsi"/>
          <w:color w:val="00B050"/>
          <w:u w:val="single"/>
        </w:rPr>
        <w:br/>
      </w:r>
      <w:r w:rsidR="005C1F31" w:rsidRPr="005C1F31">
        <w:rPr>
          <w:rFonts w:cstheme="minorHAnsi"/>
          <w:color w:val="00B050"/>
        </w:rPr>
        <w:tab/>
      </w:r>
      <w:r w:rsidR="005C1F31">
        <w:rPr>
          <w:rFonts w:cstheme="minorHAnsi"/>
          <w:color w:val="00B050"/>
          <w:u w:val="single"/>
        </w:rPr>
        <w:t>Appendix D, clause 5</w:t>
      </w:r>
    </w:p>
    <w:p w14:paraId="3395175F" w14:textId="77777777" w:rsidR="000E7528" w:rsidRDefault="000E7528" w:rsidP="000E7528">
      <w:pPr>
        <w:pStyle w:val="Heading4"/>
      </w:pPr>
      <w:bookmarkStart w:id="58" w:name="_Toc144110858"/>
      <w:bookmarkStart w:id="59" w:name="_Toc130227370"/>
      <w:bookmarkEnd w:id="57"/>
      <w:r>
        <w:t>Background</w:t>
      </w:r>
      <w:bookmarkEnd w:id="58"/>
    </w:p>
    <w:p w14:paraId="79AE73BF" w14:textId="66CE73AB" w:rsidR="000E7528" w:rsidRPr="00365FA5" w:rsidRDefault="000E7528" w:rsidP="000E7528">
      <w:pPr>
        <w:rPr>
          <w:rFonts w:cstheme="minorHAnsi"/>
        </w:rPr>
      </w:pPr>
      <w:bookmarkStart w:id="60" w:name="_Hlk141450899"/>
      <w:r>
        <w:t xml:space="preserve">BPC-157 is a synthetic </w:t>
      </w:r>
      <w:proofErr w:type="spellStart"/>
      <w:r w:rsidRPr="00265640">
        <w:t>pentadecapeptide</w:t>
      </w:r>
      <w:proofErr w:type="spellEnd"/>
      <w:r>
        <w:t xml:space="preserve"> with unsubstantiated claims for enhancement of human</w:t>
      </w:r>
      <w:r w:rsidRPr="009476AE">
        <w:t xml:space="preserve"> healing from injuries and </w:t>
      </w:r>
      <w:r>
        <w:t xml:space="preserve">organ damage </w:t>
      </w:r>
      <w:r w:rsidR="00471508">
        <w:t>(</w:t>
      </w:r>
      <w:r>
        <w:t xml:space="preserve">including </w:t>
      </w:r>
      <w:r w:rsidRPr="00FA244F">
        <w:t>bone or joint healing, stomach ulcers,</w:t>
      </w:r>
      <w:r>
        <w:t xml:space="preserve"> </w:t>
      </w:r>
      <w:r w:rsidR="00471508">
        <w:t xml:space="preserve">and </w:t>
      </w:r>
      <w:r w:rsidRPr="00FA244F">
        <w:t>organ damage</w:t>
      </w:r>
      <w:r w:rsidR="00471508">
        <w:t>)</w:t>
      </w:r>
      <w:r>
        <w:t xml:space="preserve"> and enhanced athletic performance. In January 2022</w:t>
      </w:r>
      <w:r w:rsidR="00471508">
        <w:t>,</w:t>
      </w:r>
      <w:r>
        <w:t xml:space="preserve"> BPC-157 was listed </w:t>
      </w:r>
      <w:r w:rsidR="00397354">
        <w:t xml:space="preserve">under the </w:t>
      </w:r>
      <w:r w:rsidR="00397354" w:rsidRPr="00397354">
        <w:t>S0</w:t>
      </w:r>
      <w:r w:rsidR="00397354">
        <w:t xml:space="preserve"> Non-Approved</w:t>
      </w:r>
      <w:r w:rsidR="00397354" w:rsidRPr="00397354">
        <w:t xml:space="preserve"> Substances category of the </w:t>
      </w:r>
      <w:hyperlink r:id="rId48" w:history="1">
        <w:r w:rsidRPr="000A63B2">
          <w:rPr>
            <w:rStyle w:val="Hyperlink"/>
            <w:rFonts w:asciiTheme="minorHAnsi" w:hAnsiTheme="minorHAnsi"/>
          </w:rPr>
          <w:t>World Anti-Doping Agency</w:t>
        </w:r>
      </w:hyperlink>
      <w:r>
        <w:t xml:space="preserve"> (WADA)</w:t>
      </w:r>
      <w:r w:rsidR="00397354">
        <w:t xml:space="preserve"> list</w:t>
      </w:r>
      <w:r w:rsidR="00B94718">
        <w:rPr>
          <w:rStyle w:val="FootnoteReference"/>
        </w:rPr>
        <w:footnoteReference w:id="4"/>
      </w:r>
      <w:r w:rsidR="00397354">
        <w:t xml:space="preserve"> and is prohibited for use in sports at all times (in and out of competition).</w:t>
      </w:r>
    </w:p>
    <w:p w14:paraId="349B573B" w14:textId="0A055FD6" w:rsidR="000E7528" w:rsidRDefault="000E7528" w:rsidP="000E7528">
      <w:pPr>
        <w:pStyle w:val="Heading4"/>
      </w:pPr>
      <w:bookmarkStart w:id="61" w:name="_Toc130227368"/>
      <w:bookmarkStart w:id="62" w:name="_Toc144110859"/>
      <w:bookmarkEnd w:id="60"/>
      <w:r>
        <w:lastRenderedPageBreak/>
        <w:t xml:space="preserve">Summary of </w:t>
      </w:r>
      <w:r w:rsidR="00571A6E">
        <w:t>the</w:t>
      </w:r>
      <w:r>
        <w:t xml:space="preserve"> reasons for the proposal</w:t>
      </w:r>
      <w:bookmarkEnd w:id="61"/>
      <w:bookmarkEnd w:id="62"/>
    </w:p>
    <w:p w14:paraId="466E3B30" w14:textId="77777777" w:rsidR="000E7528" w:rsidRPr="00E22509" w:rsidRDefault="000E7528" w:rsidP="00EB1099">
      <w:pPr>
        <w:pStyle w:val="ListBullet"/>
        <w:numPr>
          <w:ilvl w:val="0"/>
          <w:numId w:val="83"/>
        </w:numPr>
      </w:pPr>
      <w:bookmarkStart w:id="63" w:name="_Hlk141451104"/>
      <w:r w:rsidRPr="00E22509">
        <w:t>BPC-157 is acknowledged in open sources as an experimental therapy with no related clinical data in humans. The experimental nature of BPC-157 justifies medical professional oversight to monitor for potential side effects, especially for continued or repeated use.</w:t>
      </w:r>
    </w:p>
    <w:p w14:paraId="0DE18897" w14:textId="70D709AA" w:rsidR="000E7528" w:rsidRPr="00E22509" w:rsidRDefault="000E7528" w:rsidP="00EB1099">
      <w:pPr>
        <w:pStyle w:val="ListBullet"/>
        <w:numPr>
          <w:ilvl w:val="0"/>
          <w:numId w:val="83"/>
        </w:numPr>
        <w:rPr>
          <w:i/>
        </w:rPr>
      </w:pPr>
      <w:r w:rsidRPr="00E22509">
        <w:t xml:space="preserve">Group entries for growth hormone releasing hormones, peptides and secretagogues are included under Schedule 4 and Appendix D of the Act. Similar substances, such as THYMOSIN BETA-4, AOD-9604, CJC-1295, PRALMORELIN, GROWTH HORMONE RELEASING PEPTIDE 6, HEXARELIN, and IPAMORELIN have been included </w:t>
      </w:r>
      <w:r w:rsidR="00E22509">
        <w:t xml:space="preserve">in </w:t>
      </w:r>
      <w:r w:rsidRPr="00E22509">
        <w:t>Schedule 4 with additional Appendix D condition</w:t>
      </w:r>
      <w:r w:rsidR="00E22509">
        <w:t>s</w:t>
      </w:r>
      <w:r w:rsidRPr="00E22509">
        <w:t>.</w:t>
      </w:r>
    </w:p>
    <w:p w14:paraId="2041CEC4" w14:textId="77777777" w:rsidR="000E7528" w:rsidRPr="00E22509" w:rsidRDefault="000E7528" w:rsidP="00EB1099">
      <w:pPr>
        <w:pStyle w:val="ListBullet"/>
        <w:numPr>
          <w:ilvl w:val="0"/>
          <w:numId w:val="83"/>
        </w:numPr>
        <w:rPr>
          <w:i/>
        </w:rPr>
      </w:pPr>
      <w:r w:rsidRPr="00E22509">
        <w:t xml:space="preserve">The limited available research on the risks and benefits of use and associated toxicity, the experimental </w:t>
      </w:r>
      <w:r w:rsidRPr="00EE4793">
        <w:t>nature</w:t>
      </w:r>
      <w:r w:rsidRPr="00E22509">
        <w:t xml:space="preserve"> of the substances, and the potential for abuse given that the substances are used as performance enhancing drugs satisfy criteria for inclusion in Schedule 4 and Appendix D (Item 5) of the Act.</w:t>
      </w:r>
    </w:p>
    <w:p w14:paraId="17A5FABD" w14:textId="77777777" w:rsidR="000E7528" w:rsidRPr="00E22509" w:rsidRDefault="000E7528" w:rsidP="00EB1099">
      <w:pPr>
        <w:pStyle w:val="ListBullet"/>
        <w:numPr>
          <w:ilvl w:val="0"/>
          <w:numId w:val="83"/>
        </w:numPr>
        <w:rPr>
          <w:i/>
        </w:rPr>
      </w:pPr>
      <w:r w:rsidRPr="00E22509">
        <w:t>BPC-157 aligns with several Schedule 4 factors in the SPF, particularly:</w:t>
      </w:r>
    </w:p>
    <w:p w14:paraId="5590EDB7" w14:textId="77777777" w:rsidR="000E7528" w:rsidRPr="00E22509" w:rsidRDefault="000E7528" w:rsidP="000E7528">
      <w:pPr>
        <w:pStyle w:val="ListParagraph"/>
        <w:numPr>
          <w:ilvl w:val="0"/>
          <w:numId w:val="67"/>
        </w:numPr>
        <w:spacing w:before="0" w:after="0" w:line="276" w:lineRule="auto"/>
        <w:contextualSpacing w:val="0"/>
        <w:rPr>
          <w:rFonts w:asciiTheme="minorHAnsi" w:eastAsia="Times New Roman" w:hAnsiTheme="minorHAnsi" w:cstheme="minorHAnsi"/>
        </w:rPr>
      </w:pPr>
      <w:r w:rsidRPr="00E22509">
        <w:rPr>
          <w:rFonts w:asciiTheme="minorHAnsi" w:eastAsia="Times New Roman" w:hAnsiTheme="minorHAnsi" w:cstheme="minorHAnsi"/>
        </w:rPr>
        <w:t xml:space="preserve">The ailments or symptoms that the substance is used for </w:t>
      </w:r>
      <w:proofErr w:type="gramStart"/>
      <w:r w:rsidRPr="00E22509">
        <w:rPr>
          <w:rFonts w:asciiTheme="minorHAnsi" w:eastAsia="Times New Roman" w:hAnsiTheme="minorHAnsi" w:cstheme="minorHAnsi"/>
        </w:rPr>
        <w:t>require</w:t>
      </w:r>
      <w:proofErr w:type="gramEnd"/>
      <w:r w:rsidRPr="00E22509">
        <w:rPr>
          <w:rFonts w:asciiTheme="minorHAnsi" w:eastAsia="Times New Roman" w:hAnsiTheme="minorHAnsi" w:cstheme="minorHAnsi"/>
        </w:rPr>
        <w:t xml:space="preserve"> medical, veterinary or dental intervention,</w:t>
      </w:r>
    </w:p>
    <w:p w14:paraId="33FC6324" w14:textId="77777777" w:rsidR="000E7528" w:rsidRPr="00E22509" w:rsidRDefault="000E7528" w:rsidP="000E7528">
      <w:pPr>
        <w:pStyle w:val="ListParagraph"/>
        <w:numPr>
          <w:ilvl w:val="0"/>
          <w:numId w:val="67"/>
        </w:numPr>
        <w:spacing w:before="0" w:after="0" w:line="276" w:lineRule="auto"/>
        <w:contextualSpacing w:val="0"/>
        <w:rPr>
          <w:rFonts w:asciiTheme="minorHAnsi" w:eastAsia="Times New Roman" w:hAnsiTheme="minorHAnsi" w:cstheme="minorHAnsi"/>
        </w:rPr>
      </w:pPr>
      <w:r w:rsidRPr="00E22509">
        <w:rPr>
          <w:rFonts w:asciiTheme="minorHAnsi" w:eastAsia="Times New Roman" w:hAnsiTheme="minorHAnsi" w:cstheme="minorHAnsi"/>
        </w:rPr>
        <w:t>The use of the substance requires adjunctive therapy or evaluation or specialised handling for administration, and</w:t>
      </w:r>
    </w:p>
    <w:p w14:paraId="747437DD" w14:textId="77777777" w:rsidR="000E7528" w:rsidRPr="00E22509" w:rsidRDefault="000E7528" w:rsidP="000E7528">
      <w:pPr>
        <w:pStyle w:val="ListParagraph"/>
        <w:numPr>
          <w:ilvl w:val="0"/>
          <w:numId w:val="68"/>
        </w:numPr>
        <w:spacing w:before="0" w:after="160" w:line="276" w:lineRule="auto"/>
        <w:contextualSpacing w:val="0"/>
        <w:rPr>
          <w:rFonts w:asciiTheme="minorHAnsi" w:eastAsia="Times New Roman" w:hAnsiTheme="minorHAnsi" w:cstheme="minorHAnsi"/>
        </w:rPr>
      </w:pPr>
      <w:r w:rsidRPr="00E22509">
        <w:rPr>
          <w:rFonts w:asciiTheme="minorHAnsi" w:hAnsiTheme="minorHAnsi" w:cstheme="minorHAnsi"/>
        </w:rPr>
        <w:t>The experience of the use of the substance under normal clinical conditions is limited.</w:t>
      </w:r>
    </w:p>
    <w:p w14:paraId="299006AF" w14:textId="77777777" w:rsidR="000E7528" w:rsidRDefault="000E7528" w:rsidP="000E7528">
      <w:pPr>
        <w:pStyle w:val="Heading4"/>
      </w:pPr>
      <w:bookmarkStart w:id="64" w:name="_Toc130227369"/>
      <w:bookmarkStart w:id="65" w:name="_Toc144110860"/>
      <w:bookmarkEnd w:id="63"/>
      <w:r>
        <w:t xml:space="preserve">Key uses / expected </w:t>
      </w:r>
      <w:proofErr w:type="gramStart"/>
      <w:r>
        <w:t>use</w:t>
      </w:r>
      <w:bookmarkEnd w:id="64"/>
      <w:bookmarkEnd w:id="65"/>
      <w:proofErr w:type="gramEnd"/>
    </w:p>
    <w:p w14:paraId="155D228C" w14:textId="77777777" w:rsidR="000E7528" w:rsidRDefault="000E7528" w:rsidP="000E7528">
      <w:r w:rsidRPr="00DC4268">
        <w:t>Medicines</w:t>
      </w:r>
    </w:p>
    <w:p w14:paraId="31030677" w14:textId="77777777" w:rsidR="000E7528" w:rsidRDefault="000E7528" w:rsidP="000E7528">
      <w:pPr>
        <w:pStyle w:val="Heading4"/>
      </w:pPr>
      <w:bookmarkStart w:id="66" w:name="_Toc144110861"/>
      <w:r>
        <w:t>Australian regulations</w:t>
      </w:r>
      <w:bookmarkEnd w:id="59"/>
      <w:bookmarkEnd w:id="66"/>
    </w:p>
    <w:p w14:paraId="5C1BC025" w14:textId="25BDAD58" w:rsidR="000E7528" w:rsidRPr="00F75788" w:rsidRDefault="000E7528" w:rsidP="00EB1099">
      <w:pPr>
        <w:pStyle w:val="ListBullet"/>
        <w:numPr>
          <w:ilvl w:val="0"/>
          <w:numId w:val="83"/>
        </w:numPr>
      </w:pPr>
      <w:r>
        <w:t xml:space="preserve">BPC-157 is not a listed ingredient on </w:t>
      </w:r>
      <w:r w:rsidRPr="008007EB">
        <w:t xml:space="preserve">the </w:t>
      </w:r>
      <w:hyperlink r:id="rId49" w:history="1">
        <w:r w:rsidRPr="008007EB">
          <w:rPr>
            <w:rStyle w:val="Hyperlink"/>
            <w:rFonts w:asciiTheme="minorHAnsi" w:hAnsiTheme="minorHAnsi"/>
          </w:rPr>
          <w:t>TGA Ingredient Database</w:t>
        </w:r>
      </w:hyperlink>
      <w:r w:rsidR="00EE4793">
        <w:t>.</w:t>
      </w:r>
    </w:p>
    <w:p w14:paraId="2FA73F22" w14:textId="04C5B8E5" w:rsidR="000E7528" w:rsidRPr="008007EB" w:rsidRDefault="000E7528" w:rsidP="00EB1099">
      <w:pPr>
        <w:pStyle w:val="ListBullet"/>
        <w:numPr>
          <w:ilvl w:val="0"/>
          <w:numId w:val="83"/>
        </w:numPr>
      </w:pPr>
      <w:r w:rsidRPr="008007EB">
        <w:t xml:space="preserve">As of </w:t>
      </w:r>
      <w:r>
        <w:t>August 2023</w:t>
      </w:r>
      <w:r w:rsidRPr="008007EB">
        <w:t xml:space="preserve">, there were </w:t>
      </w:r>
      <w:r>
        <w:t>no</w:t>
      </w:r>
      <w:r w:rsidRPr="008007EB">
        <w:t xml:space="preserve"> medicines currently active on the </w:t>
      </w:r>
      <w:hyperlink r:id="rId50"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8007EB">
        <w:t xml:space="preserve"> that contain </w:t>
      </w:r>
      <w:r>
        <w:t>BPC-157</w:t>
      </w:r>
      <w:r w:rsidRPr="008007EB">
        <w:t xml:space="preserve"> as an active ingredient.</w:t>
      </w:r>
    </w:p>
    <w:p w14:paraId="3E2DC036" w14:textId="779A6A43" w:rsidR="000E7528" w:rsidRPr="008007EB" w:rsidRDefault="000E7528" w:rsidP="00EB1099">
      <w:pPr>
        <w:pStyle w:val="ListBullet"/>
        <w:numPr>
          <w:ilvl w:val="0"/>
          <w:numId w:val="83"/>
        </w:numPr>
      </w:pPr>
      <w:r>
        <w:t>BPC-157</w:t>
      </w:r>
      <w:r w:rsidRPr="008007EB">
        <w:t xml:space="preserve"> is not permitted to be included in listed medicines as it is not included in the </w:t>
      </w:r>
      <w:hyperlink r:id="rId51" w:history="1">
        <w:r w:rsidRPr="008007EB">
          <w:rPr>
            <w:rStyle w:val="Hyperlink"/>
            <w:rFonts w:asciiTheme="minorHAnsi" w:hAnsiTheme="minorHAnsi"/>
          </w:rPr>
          <w:t>Therapeutic Goods (Permissible Ingredients) Determination</w:t>
        </w:r>
      </w:hyperlink>
      <w:r w:rsidRPr="008007EB">
        <w:t xml:space="preserve"> No.</w:t>
      </w:r>
      <w:r>
        <w:t>3</w:t>
      </w:r>
      <w:r w:rsidRPr="008007EB">
        <w:t xml:space="preserve"> of 20</w:t>
      </w:r>
      <w:r>
        <w:t>23</w:t>
      </w:r>
      <w:r w:rsidRPr="008007EB">
        <w:t>.</w:t>
      </w:r>
    </w:p>
    <w:p w14:paraId="7C33AEAE" w14:textId="79EB839F" w:rsidR="000E7528" w:rsidRPr="008007EB" w:rsidRDefault="000E7528" w:rsidP="00EB1099">
      <w:pPr>
        <w:pStyle w:val="ListBullet"/>
        <w:numPr>
          <w:ilvl w:val="0"/>
          <w:numId w:val="83"/>
        </w:numPr>
      </w:pPr>
      <w:r w:rsidRPr="008007EB">
        <w:t xml:space="preserve">The </w:t>
      </w:r>
      <w:hyperlink r:id="rId52" w:history="1">
        <w:r w:rsidRPr="008007EB">
          <w:rPr>
            <w:rStyle w:val="Hyperlink"/>
            <w:rFonts w:asciiTheme="minorHAnsi" w:hAnsiTheme="minorHAnsi"/>
          </w:rPr>
          <w:t>TGA prescribing medicines in pregnancy database</w:t>
        </w:r>
      </w:hyperlink>
      <w:r w:rsidRPr="008007EB">
        <w:t xml:space="preserve"> </w:t>
      </w:r>
      <w:r>
        <w:t xml:space="preserve">does not include a </w:t>
      </w:r>
      <w:r w:rsidRPr="008007EB">
        <w:t>classif</w:t>
      </w:r>
      <w:r>
        <w:t>ication for BPC-157.</w:t>
      </w:r>
    </w:p>
    <w:p w14:paraId="65C14BF5" w14:textId="5B25718E" w:rsidR="000E7528" w:rsidRPr="0053500A" w:rsidRDefault="000E7528" w:rsidP="00EB1099">
      <w:pPr>
        <w:pStyle w:val="ListBullet"/>
        <w:numPr>
          <w:ilvl w:val="0"/>
          <w:numId w:val="83"/>
        </w:numPr>
      </w:pPr>
      <w:r w:rsidRPr="008007EB">
        <w:t xml:space="preserve">There are no warning statements pertaining to </w:t>
      </w:r>
      <w:r>
        <w:t>BPC-157</w:t>
      </w:r>
      <w:r w:rsidRPr="008007EB">
        <w:t xml:space="preserve"> in the </w:t>
      </w:r>
      <w:hyperlink r:id="rId53" w:history="1">
        <w:r w:rsidRPr="008007EB">
          <w:rPr>
            <w:rStyle w:val="Hyperlink"/>
            <w:rFonts w:asciiTheme="minorHAnsi" w:hAnsiTheme="minorHAnsi"/>
          </w:rPr>
          <w:t>Therapeutic Goods (Medicines Advisory Statements) Specification 2021</w:t>
        </w:r>
      </w:hyperlink>
      <w:r w:rsidR="00EE4793" w:rsidRPr="00EE4793">
        <w:rPr>
          <w:rStyle w:val="Hyperlink"/>
          <w:rFonts w:asciiTheme="minorHAnsi" w:hAnsiTheme="minorHAnsi"/>
          <w:color w:val="auto"/>
          <w:u w:val="none"/>
        </w:rPr>
        <w:t>.</w:t>
      </w:r>
    </w:p>
    <w:p w14:paraId="438BF4DC" w14:textId="27904629" w:rsidR="000E7528" w:rsidRPr="008007EB" w:rsidRDefault="000E7528" w:rsidP="00EB1099">
      <w:pPr>
        <w:pStyle w:val="ListBullet"/>
        <w:numPr>
          <w:ilvl w:val="0"/>
          <w:numId w:val="83"/>
        </w:numPr>
      </w:pPr>
      <w:r w:rsidRPr="008007EB">
        <w:t xml:space="preserve">As of </w:t>
      </w:r>
      <w:r>
        <w:t>August 2023</w:t>
      </w:r>
      <w:r w:rsidRPr="008007EB">
        <w:t>, there w</w:t>
      </w:r>
      <w:r>
        <w:t xml:space="preserve">as </w:t>
      </w:r>
      <w:r w:rsidR="00EE4793">
        <w:t>one</w:t>
      </w:r>
      <w:r w:rsidRPr="008007EB">
        <w:t xml:space="preserve"> report of </w:t>
      </w:r>
      <w:r w:rsidR="00B21C87">
        <w:t xml:space="preserve">an </w:t>
      </w:r>
      <w:r w:rsidRPr="008007EB">
        <w:t xml:space="preserve">adverse event for products containing </w:t>
      </w:r>
      <w:r>
        <w:t>BPC-157</w:t>
      </w:r>
      <w:r w:rsidRPr="008007EB">
        <w:t xml:space="preserve"> as an active ingredient on the </w:t>
      </w:r>
      <w:hyperlink r:id="rId54"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8007EB">
        <w:t xml:space="preserve">, with </w:t>
      </w:r>
      <w:r>
        <w:t>no</w:t>
      </w:r>
      <w:r w:rsidRPr="008007EB">
        <w:t xml:space="preserve"> reports where </w:t>
      </w:r>
      <w:r>
        <w:t>BPC-157</w:t>
      </w:r>
      <w:r w:rsidRPr="008007EB">
        <w:t xml:space="preserve"> was the single suspected medicine.</w:t>
      </w:r>
      <w:r w:rsidR="00B21C87">
        <w:t xml:space="preserve"> The report related to a hypersensitive reaction.</w:t>
      </w:r>
    </w:p>
    <w:p w14:paraId="6B3D6340" w14:textId="16B11CF9" w:rsidR="000E7528" w:rsidRPr="008007EB" w:rsidRDefault="000E7528" w:rsidP="00EB1099">
      <w:pPr>
        <w:pStyle w:val="ListBullet"/>
        <w:numPr>
          <w:ilvl w:val="0"/>
          <w:numId w:val="83"/>
        </w:numPr>
      </w:pPr>
      <w:r w:rsidRPr="008007EB">
        <w:t>As o</w:t>
      </w:r>
      <w:r w:rsidRPr="00183D61">
        <w:t>f August 2023, there were no products</w:t>
      </w:r>
      <w:r w:rsidRPr="008007EB">
        <w:t xml:space="preserve"> containing </w:t>
      </w:r>
      <w:r>
        <w:t>BPC-157</w:t>
      </w:r>
      <w:r w:rsidRPr="008007EB">
        <w:t xml:space="preserve"> as an active ingredient/constituent or scheduled substance listed on the </w:t>
      </w:r>
      <w:hyperlink r:id="rId55"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w:t>
      </w:r>
      <w:proofErr w:type="spellStart"/>
      <w:r w:rsidR="00EB1099" w:rsidRPr="00EB1099">
        <w:rPr>
          <w:rStyle w:val="Hyperlink"/>
          <w:rFonts w:asciiTheme="minorHAnsi" w:hAnsiTheme="minorHAnsi"/>
          <w:color w:val="auto"/>
          <w:u w:val="none"/>
        </w:rPr>
        <w:t>PubCRIS</w:t>
      </w:r>
      <w:proofErr w:type="spellEnd"/>
      <w:r w:rsidR="00EB1099" w:rsidRPr="00EB1099">
        <w:rPr>
          <w:rStyle w:val="Hyperlink"/>
          <w:rFonts w:asciiTheme="minorHAnsi" w:hAnsiTheme="minorHAnsi"/>
          <w:color w:val="auto"/>
          <w:u w:val="none"/>
        </w:rPr>
        <w:t>)</w:t>
      </w:r>
      <w:r w:rsidRPr="008007EB">
        <w:t>.</w:t>
      </w:r>
    </w:p>
    <w:p w14:paraId="2E93CF10" w14:textId="77777777" w:rsidR="000E7528" w:rsidRPr="00CB687C" w:rsidRDefault="000E7528" w:rsidP="000E7528">
      <w:pPr>
        <w:pStyle w:val="Heading4"/>
      </w:pPr>
      <w:bookmarkStart w:id="67" w:name="_Toc130227371"/>
      <w:bookmarkStart w:id="68" w:name="_Toc144110862"/>
      <w:r>
        <w:lastRenderedPageBreak/>
        <w:t>International regulations</w:t>
      </w:r>
      <w:bookmarkEnd w:id="67"/>
      <w:bookmarkEnd w:id="68"/>
    </w:p>
    <w:p w14:paraId="2911A609" w14:textId="0AE28449" w:rsidR="00087545" w:rsidRPr="009B313A" w:rsidRDefault="000E7528" w:rsidP="00EB1099">
      <w:pPr>
        <w:pStyle w:val="ListBullet"/>
        <w:numPr>
          <w:ilvl w:val="0"/>
          <w:numId w:val="83"/>
        </w:numPr>
        <w:rPr>
          <w:rStyle w:val="Hyperlink"/>
          <w:rFonts w:asciiTheme="minorHAnsi" w:hAnsiTheme="minorHAnsi" w:cs="Times New Roman"/>
          <w:b/>
          <w:bCs/>
          <w:color w:val="333F48"/>
          <w:sz w:val="28"/>
          <w:szCs w:val="22"/>
          <w:u w:val="none"/>
        </w:rPr>
      </w:pPr>
      <w:r>
        <w:t xml:space="preserve">BPC-157 is not registered with the </w:t>
      </w:r>
      <w:hyperlink r:id="rId56" w:history="1">
        <w:r w:rsidRPr="009441F8">
          <w:rPr>
            <w:rStyle w:val="Hyperlink"/>
            <w:rFonts w:asciiTheme="minorHAnsi" w:hAnsiTheme="minorHAnsi"/>
          </w:rPr>
          <w:t>United States Food and Drug Administration</w:t>
        </w:r>
      </w:hyperlink>
      <w:r>
        <w:t xml:space="preserve">, the European Commission database for information on </w:t>
      </w:r>
      <w:hyperlink r:id="rId57" w:history="1">
        <w:r w:rsidRPr="009441F8">
          <w:rPr>
            <w:rStyle w:val="Hyperlink"/>
            <w:rFonts w:asciiTheme="minorHAnsi" w:hAnsiTheme="minorHAnsi"/>
          </w:rPr>
          <w:t>cosmetic substances</w:t>
        </w:r>
      </w:hyperlink>
      <w:r>
        <w:t xml:space="preserve"> and ingredients or the European Commission Union Register of </w:t>
      </w:r>
      <w:hyperlink r:id="rId58" w:history="1">
        <w:r w:rsidRPr="009441F8">
          <w:rPr>
            <w:rStyle w:val="Hyperlink"/>
            <w:rFonts w:asciiTheme="minorHAnsi" w:hAnsiTheme="minorHAnsi"/>
          </w:rPr>
          <w:t>medicinal products</w:t>
        </w:r>
      </w:hyperlink>
      <w:r>
        <w:t>.</w:t>
      </w:r>
      <w:r w:rsidR="00F0481F">
        <w:t xml:space="preserve"> Similarly,</w:t>
      </w:r>
      <w:r>
        <w:t xml:space="preserve"> BPC-157 is not listed in the </w:t>
      </w:r>
      <w:hyperlink r:id="rId59" w:history="1">
        <w:r w:rsidR="00EB1099">
          <w:rPr>
            <w:rStyle w:val="Hyperlink"/>
            <w:rFonts w:asciiTheme="minorHAnsi" w:hAnsiTheme="minorHAnsi"/>
          </w:rPr>
          <w:t xml:space="preserve">New Zealand </w:t>
        </w:r>
        <w:proofErr w:type="spellStart"/>
        <w:r w:rsidR="00EB1099">
          <w:rPr>
            <w:rStyle w:val="Hyperlink"/>
            <w:rFonts w:asciiTheme="minorHAnsi" w:hAnsiTheme="minorHAnsi"/>
          </w:rPr>
          <w:t>MedSafe</w:t>
        </w:r>
        <w:proofErr w:type="spellEnd"/>
        <w:r w:rsidR="00EB1099">
          <w:rPr>
            <w:rStyle w:val="Hyperlink"/>
            <w:rFonts w:asciiTheme="minorHAnsi" w:hAnsiTheme="minorHAnsi"/>
          </w:rPr>
          <w:t xml:space="preserve"> database</w:t>
        </w:r>
      </w:hyperlink>
      <w:r>
        <w:t xml:space="preserve">, the </w:t>
      </w:r>
      <w:hyperlink r:id="rId60" w:history="1">
        <w:r w:rsidRPr="009C55B5">
          <w:rPr>
            <w:rStyle w:val="Hyperlink"/>
            <w:rFonts w:asciiTheme="minorHAnsi" w:hAnsiTheme="minorHAnsi"/>
          </w:rPr>
          <w:t>Canadian Drug Product Database</w:t>
        </w:r>
      </w:hyperlink>
      <w:r>
        <w:t xml:space="preserve">, the </w:t>
      </w:r>
      <w:hyperlink r:id="rId61" w:history="1">
        <w:r w:rsidRPr="009C55B5">
          <w:rPr>
            <w:rStyle w:val="Hyperlink"/>
            <w:rFonts w:asciiTheme="minorHAnsi" w:hAnsiTheme="minorHAnsi"/>
          </w:rPr>
          <w:t>United Kingdom MHRA database</w:t>
        </w:r>
      </w:hyperlink>
      <w:r>
        <w:t xml:space="preserve"> or the </w:t>
      </w:r>
      <w:hyperlink r:id="rId62" w:history="1">
        <w:r w:rsidRPr="009C55B5">
          <w:rPr>
            <w:rStyle w:val="Hyperlink"/>
            <w:rFonts w:asciiTheme="minorHAnsi" w:hAnsiTheme="minorHAnsi"/>
          </w:rPr>
          <w:t>HPRA of Ireland database</w:t>
        </w:r>
      </w:hyperlink>
      <w:r>
        <w:t>.</w:t>
      </w:r>
    </w:p>
    <w:p w14:paraId="595950A3" w14:textId="4BC09180" w:rsidR="00586A6E" w:rsidRPr="009401F6" w:rsidRDefault="001D5CC5" w:rsidP="00D63639">
      <w:pPr>
        <w:pStyle w:val="Heading3"/>
      </w:pPr>
      <w:bookmarkStart w:id="69" w:name="_Toc144110863"/>
      <w:r>
        <w:t>1.4</w:t>
      </w:r>
      <w:r>
        <w:tab/>
      </w:r>
      <w:r w:rsidR="00586A6E">
        <w:t>Glycopyrronium</w:t>
      </w:r>
      <w:bookmarkEnd w:id="69"/>
    </w:p>
    <w:p w14:paraId="527760A5" w14:textId="77777777" w:rsidR="00586A6E" w:rsidRDefault="00586A6E" w:rsidP="00586A6E">
      <w:pPr>
        <w:pStyle w:val="Heading4"/>
      </w:pPr>
      <w:bookmarkStart w:id="70" w:name="_Toc144110864"/>
      <w:r>
        <w:t>Proposal</w:t>
      </w:r>
      <w:bookmarkEnd w:id="70"/>
    </w:p>
    <w:p w14:paraId="48C37534" w14:textId="10639B73" w:rsidR="00586A6E" w:rsidRPr="00D75206" w:rsidRDefault="00B2729D" w:rsidP="00586A6E">
      <w:r>
        <w:rPr>
          <w:rStyle w:val="normaltextrun"/>
          <w:rFonts w:ascii="Calibri" w:hAnsi="Calibri" w:cs="Calibri"/>
          <w:color w:val="000000"/>
          <w:szCs w:val="22"/>
          <w:shd w:val="clear" w:color="auto" w:fill="FFFFFF"/>
        </w:rPr>
        <w:t xml:space="preserve">The applicant </w:t>
      </w:r>
      <w:r w:rsidR="00686370">
        <w:rPr>
          <w:rStyle w:val="normaltextrun"/>
          <w:rFonts w:ascii="Calibri" w:hAnsi="Calibri" w:cs="Calibri"/>
          <w:color w:val="000000"/>
          <w:szCs w:val="22"/>
          <w:shd w:val="clear" w:color="auto" w:fill="FFFFFF"/>
        </w:rPr>
        <w:t xml:space="preserve">has </w:t>
      </w:r>
      <w:r>
        <w:rPr>
          <w:rStyle w:val="normaltextrun"/>
          <w:rFonts w:ascii="Calibri" w:hAnsi="Calibri" w:cs="Calibri"/>
          <w:color w:val="000000"/>
          <w:szCs w:val="22"/>
          <w:shd w:val="clear" w:color="auto" w:fill="FFFFFF"/>
        </w:rPr>
        <w:t>proposed an Appendix H listing for glycopyrronium to allow the advertisement of</w:t>
      </w:r>
      <w:r w:rsidR="00D3329A">
        <w:rPr>
          <w:rStyle w:val="normaltextrun"/>
          <w:rFonts w:ascii="Calibri" w:hAnsi="Calibri" w:cs="Calibri"/>
          <w:color w:val="000000"/>
          <w:szCs w:val="22"/>
          <w:shd w:val="clear" w:color="auto" w:fill="FFFFFF"/>
        </w:rPr>
        <w:t xml:space="preserve"> Schedule 3 preparations containing</w:t>
      </w:r>
      <w:r>
        <w:rPr>
          <w:rStyle w:val="normaltextrun"/>
          <w:rFonts w:ascii="Calibri" w:hAnsi="Calibri" w:cs="Calibri"/>
          <w:color w:val="000000"/>
          <w:szCs w:val="22"/>
          <w:shd w:val="clear" w:color="auto" w:fill="FFFFFF"/>
        </w:rPr>
        <w:t xml:space="preserve"> this substance.</w:t>
      </w:r>
    </w:p>
    <w:p w14:paraId="0D742EE0" w14:textId="2EF99BE5" w:rsidR="00586A6E" w:rsidRDefault="00586A6E" w:rsidP="00586A6E">
      <w:pPr>
        <w:pStyle w:val="Heading4"/>
      </w:pPr>
      <w:bookmarkStart w:id="71" w:name="_Toc144110865"/>
      <w:r>
        <w:t>CAS number</w:t>
      </w:r>
      <w:bookmarkEnd w:id="71"/>
    </w:p>
    <w:p w14:paraId="32484884" w14:textId="12B4C8F7" w:rsidR="00B2729D" w:rsidRPr="00B2729D" w:rsidRDefault="00B2729D" w:rsidP="00B2729D">
      <w:pPr>
        <w:spacing w:after="0" w:line="240" w:lineRule="auto"/>
        <w:textAlignment w:val="baseline"/>
        <w:rPr>
          <w:rFonts w:ascii="Calibri" w:eastAsia="Times New Roman" w:hAnsi="Calibri" w:cs="Calibri"/>
          <w:szCs w:val="22"/>
          <w:lang w:eastAsia="en-AU"/>
        </w:rPr>
      </w:pPr>
      <w:r w:rsidRPr="00B2729D">
        <w:rPr>
          <w:rFonts w:ascii="Calibri" w:eastAsia="Times New Roman" w:hAnsi="Calibri" w:cs="Calibri"/>
          <w:szCs w:val="22"/>
          <w:lang w:eastAsia="en-AU"/>
        </w:rPr>
        <w:t>596-51-0</w:t>
      </w:r>
    </w:p>
    <w:p w14:paraId="00F4B25D" w14:textId="1B4CA687" w:rsidR="00586A6E" w:rsidRDefault="00586A6E" w:rsidP="00586A6E">
      <w:pPr>
        <w:pStyle w:val="Heading4"/>
      </w:pPr>
      <w:bookmarkStart w:id="72" w:name="_Toc144110866"/>
      <w:r>
        <w:t>Alternative names</w:t>
      </w:r>
      <w:bookmarkEnd w:id="72"/>
    </w:p>
    <w:p w14:paraId="5A37F21C" w14:textId="3381E596" w:rsidR="00B2729D" w:rsidRPr="007405F1" w:rsidRDefault="00B2729D" w:rsidP="0072362E">
      <w:pPr>
        <w:spacing w:line="240" w:lineRule="auto"/>
        <w:textAlignment w:val="baseline"/>
        <w:rPr>
          <w:rFonts w:ascii="Segoe UI" w:eastAsia="Times New Roman" w:hAnsi="Segoe UI" w:cs="Segoe UI"/>
          <w:sz w:val="18"/>
          <w:szCs w:val="18"/>
          <w:lang w:eastAsia="en-AU"/>
        </w:rPr>
      </w:pPr>
      <w:r w:rsidRPr="0072362E">
        <w:rPr>
          <w:rFonts w:ascii="Calibri" w:eastAsia="Times New Roman" w:hAnsi="Calibri" w:cs="Calibri"/>
          <w:szCs w:val="22"/>
          <w:lang w:eastAsia="en-AU"/>
        </w:rPr>
        <w:t>Glycopyrrolate</w:t>
      </w:r>
      <w:r w:rsidR="00C82500">
        <w:rPr>
          <w:rFonts w:ascii="Calibri" w:eastAsia="Times New Roman" w:hAnsi="Calibri" w:cs="Calibri"/>
          <w:szCs w:val="22"/>
          <w:lang w:eastAsia="en-AU"/>
        </w:rPr>
        <w:t xml:space="preserve">; </w:t>
      </w:r>
      <w:r w:rsidR="00C82500" w:rsidRPr="00C82500">
        <w:rPr>
          <w:rFonts w:ascii="Calibri" w:eastAsia="Times New Roman" w:hAnsi="Calibri" w:cs="Calibri"/>
          <w:szCs w:val="22"/>
          <w:lang w:eastAsia="en-AU"/>
        </w:rPr>
        <w:t>3-[2-Cyclopentyl(hydroxy)phenylacetoxy]-1,1-dimethylpyrrolidinium bromide</w:t>
      </w:r>
    </w:p>
    <w:p w14:paraId="1CDBFC63" w14:textId="77777777" w:rsidR="00586A6E" w:rsidRPr="002C1070" w:rsidRDefault="00586A6E" w:rsidP="00586A6E">
      <w:pPr>
        <w:pStyle w:val="Heading4"/>
      </w:pPr>
      <w:bookmarkStart w:id="73" w:name="_Toc144110867"/>
      <w:r>
        <w:t>Applicant</w:t>
      </w:r>
      <w:bookmarkEnd w:id="73"/>
    </w:p>
    <w:p w14:paraId="07C24233" w14:textId="41825C33" w:rsidR="008F2D16" w:rsidRPr="008F2D16" w:rsidRDefault="00586A6E" w:rsidP="008F2D16">
      <w:r w:rsidRPr="00B2729D">
        <w:t>Private</w:t>
      </w:r>
      <w:r w:rsidR="00571A6E">
        <w:t xml:space="preserve"> applicant</w:t>
      </w:r>
    </w:p>
    <w:p w14:paraId="6952D121" w14:textId="2B9001FF" w:rsidR="00AC5E26" w:rsidRPr="000F6508" w:rsidRDefault="00586A6E" w:rsidP="000F6508">
      <w:pPr>
        <w:pStyle w:val="Heading4"/>
      </w:pPr>
      <w:bookmarkStart w:id="74" w:name="_Toc144110868"/>
      <w:r>
        <w:t>Proposed Scheduling</w:t>
      </w:r>
      <w:bookmarkEnd w:id="74"/>
    </w:p>
    <w:p w14:paraId="7B088E73" w14:textId="1C469D3B" w:rsidR="00B2729D" w:rsidRDefault="000F6508" w:rsidP="00586A6E">
      <w:pPr>
        <w:rPr>
          <w:rStyle w:val="normaltextrun"/>
          <w:rFonts w:eastAsia="Cambria" w:cstheme="minorHAnsi"/>
          <w:color w:val="000000"/>
          <w:szCs w:val="22"/>
          <w:shd w:val="clear" w:color="auto" w:fill="FFFFFF"/>
        </w:rPr>
      </w:pPr>
      <w:bookmarkStart w:id="75" w:name="_Hlk141871130"/>
      <w:r w:rsidRPr="00B2729D">
        <w:rPr>
          <w:rStyle w:val="normaltextrun"/>
          <w:rFonts w:eastAsia="Cambria" w:cstheme="minorHAnsi"/>
          <w:color w:val="000000"/>
          <w:szCs w:val="22"/>
          <w:shd w:val="clear" w:color="auto" w:fill="FFFFFF"/>
        </w:rPr>
        <w:t>Glycopyrronium is currently listed in Schedules 3 and 4 of the Poisons Standard</w:t>
      </w:r>
      <w:r>
        <w:rPr>
          <w:rStyle w:val="normaltextrun"/>
          <w:rFonts w:eastAsia="Cambria" w:cstheme="minorHAnsi"/>
          <w:color w:val="000000"/>
          <w:szCs w:val="22"/>
          <w:shd w:val="clear" w:color="auto" w:fill="FFFFFF"/>
        </w:rPr>
        <w:t>.</w:t>
      </w:r>
    </w:p>
    <w:bookmarkEnd w:id="75"/>
    <w:p w14:paraId="1FD9BBDD" w14:textId="70B6995F" w:rsidR="00586A6E" w:rsidRPr="0072362E" w:rsidRDefault="00586A6E" w:rsidP="00586A6E">
      <w:r w:rsidRPr="0072362E">
        <w:t xml:space="preserve">The </w:t>
      </w:r>
      <w:r w:rsidRPr="008D4FF7">
        <w:t>applicant’s</w:t>
      </w:r>
      <w:r w:rsidRPr="0072362E">
        <w:t xml:space="preserve"> proposed amendments to the Poisons Standard are</w:t>
      </w:r>
      <w:r w:rsidR="008D4FF7" w:rsidRPr="008D4FF7">
        <w:t>:</w:t>
      </w:r>
      <w:r w:rsidR="008D4FF7">
        <w:rPr>
          <w:rStyle w:val="FootnoteReference"/>
        </w:rPr>
        <w:footnoteReference w:id="5"/>
      </w:r>
    </w:p>
    <w:p w14:paraId="4AAFDFE7" w14:textId="77777777" w:rsidR="0072362E" w:rsidRDefault="0072362E" w:rsidP="0072362E">
      <w:pPr>
        <w:ind w:left="426"/>
        <w:rPr>
          <w:b/>
        </w:rPr>
      </w:pPr>
      <w:bookmarkStart w:id="76" w:name="_Hlk142393637"/>
      <w:r w:rsidRPr="00D3329A">
        <w:rPr>
          <w:b/>
        </w:rPr>
        <w:t>Schedule 4 </w:t>
      </w:r>
    </w:p>
    <w:p w14:paraId="582D82C7" w14:textId="206C8872" w:rsidR="0072362E" w:rsidRPr="00D3329A" w:rsidRDefault="0072362E" w:rsidP="0072362E">
      <w:pPr>
        <w:ind w:firstLine="720"/>
        <w:rPr>
          <w:bCs/>
        </w:rPr>
      </w:pPr>
      <w:r w:rsidRPr="00D3329A">
        <w:rPr>
          <w:bCs/>
        </w:rPr>
        <w:t>GLYCOPYRRONIUM in preparations for injection.</w:t>
      </w:r>
    </w:p>
    <w:p w14:paraId="48D057AB" w14:textId="7BC0061F" w:rsidR="00D3329A" w:rsidRDefault="00AC5E26" w:rsidP="00D3329A">
      <w:pPr>
        <w:ind w:left="426"/>
        <w:rPr>
          <w:b/>
        </w:rPr>
      </w:pPr>
      <w:r w:rsidRPr="00D3329A">
        <w:rPr>
          <w:b/>
        </w:rPr>
        <w:t>Schedule 3</w:t>
      </w:r>
    </w:p>
    <w:p w14:paraId="6AA9F771" w14:textId="2AC90CD1" w:rsidR="00AC5E26" w:rsidRPr="00D3329A" w:rsidRDefault="00AC5E26" w:rsidP="00D3329A">
      <w:pPr>
        <w:ind w:left="426" w:firstLine="294"/>
        <w:rPr>
          <w:bCs/>
        </w:rPr>
      </w:pPr>
      <w:r w:rsidRPr="00D3329A">
        <w:rPr>
          <w:bCs/>
        </w:rPr>
        <w:t>GLYCOPYRRONIUM except when included in Schedule 4.</w:t>
      </w:r>
    </w:p>
    <w:p w14:paraId="1E93B759" w14:textId="77777777" w:rsidR="000F3020" w:rsidRDefault="00AC5E26" w:rsidP="0072362E">
      <w:pPr>
        <w:pStyle w:val="paragraph"/>
        <w:keepNext/>
        <w:spacing w:before="240" w:beforeAutospacing="0" w:after="240" w:afterAutospacing="0"/>
        <w:ind w:left="851" w:hanging="437"/>
        <w:rPr>
          <w:rFonts w:asciiTheme="minorHAnsi" w:eastAsia="Cambria" w:hAnsiTheme="minorHAnsi" w:cstheme="minorHAnsi"/>
          <w:b/>
          <w:bCs/>
          <w:sz w:val="22"/>
          <w:szCs w:val="22"/>
        </w:rPr>
      </w:pPr>
      <w:r w:rsidRPr="00B2729D">
        <w:rPr>
          <w:rFonts w:asciiTheme="minorHAnsi" w:eastAsia="Cambria" w:hAnsiTheme="minorHAnsi" w:cstheme="minorHAnsi"/>
          <w:b/>
          <w:bCs/>
          <w:sz w:val="22"/>
          <w:szCs w:val="22"/>
        </w:rPr>
        <w:t>Index </w:t>
      </w:r>
      <w:r w:rsidR="00A95B6F">
        <w:rPr>
          <w:rFonts w:asciiTheme="minorHAnsi" w:eastAsia="Cambria" w:hAnsiTheme="minorHAnsi" w:cstheme="minorHAnsi"/>
          <w:b/>
          <w:bCs/>
          <w:sz w:val="22"/>
          <w:szCs w:val="22"/>
        </w:rPr>
        <w:t xml:space="preserve">– Amend </w:t>
      </w:r>
      <w:proofErr w:type="gramStart"/>
      <w:r w:rsidR="00A95B6F">
        <w:rPr>
          <w:rFonts w:asciiTheme="minorHAnsi" w:eastAsia="Cambria" w:hAnsiTheme="minorHAnsi" w:cstheme="minorHAnsi"/>
          <w:b/>
          <w:bCs/>
          <w:sz w:val="22"/>
          <w:szCs w:val="22"/>
        </w:rPr>
        <w:t>entry</w:t>
      </w:r>
      <w:proofErr w:type="gramEnd"/>
    </w:p>
    <w:p w14:paraId="36CCA575" w14:textId="463E76CF" w:rsidR="00D3329A" w:rsidRDefault="00AC5E26" w:rsidP="00C41085">
      <w:pPr>
        <w:pStyle w:val="paragraph"/>
        <w:spacing w:before="240" w:beforeAutospacing="0" w:after="240" w:afterAutospacing="0"/>
        <w:ind w:left="709"/>
        <w:rPr>
          <w:rFonts w:asciiTheme="minorHAnsi" w:eastAsia="Cambria" w:hAnsiTheme="minorHAnsi" w:cstheme="minorHAnsi"/>
          <w:b/>
          <w:bCs/>
          <w:sz w:val="22"/>
          <w:szCs w:val="22"/>
        </w:rPr>
      </w:pPr>
      <w:r w:rsidRPr="00B2729D">
        <w:rPr>
          <w:rFonts w:asciiTheme="minorHAnsi" w:eastAsia="Cambria" w:hAnsiTheme="minorHAnsi" w:cstheme="minorHAnsi"/>
          <w:b/>
          <w:bCs/>
          <w:sz w:val="22"/>
          <w:szCs w:val="22"/>
        </w:rPr>
        <w:t>GLYCOPYRRONIUM</w:t>
      </w:r>
    </w:p>
    <w:p w14:paraId="65CEE45E" w14:textId="68770E07" w:rsidR="00AC5E26" w:rsidRPr="00D3329A" w:rsidRDefault="00AC5E26" w:rsidP="00D3329A">
      <w:pPr>
        <w:pStyle w:val="paragraph"/>
        <w:spacing w:before="240" w:beforeAutospacing="0" w:after="240" w:afterAutospacing="0"/>
        <w:ind w:left="709" w:firstLine="11"/>
        <w:rPr>
          <w:rFonts w:asciiTheme="minorHAnsi" w:eastAsia="Cambria" w:hAnsiTheme="minorHAnsi" w:cstheme="minorHAnsi"/>
          <w:b/>
          <w:bCs/>
          <w:sz w:val="22"/>
          <w:szCs w:val="22"/>
        </w:rPr>
      </w:pPr>
      <w:r w:rsidRPr="00B2729D">
        <w:rPr>
          <w:rFonts w:asciiTheme="minorHAnsi" w:eastAsia="Cambria" w:hAnsiTheme="minorHAnsi" w:cstheme="minorHAnsi"/>
          <w:sz w:val="22"/>
          <w:szCs w:val="22"/>
        </w:rPr>
        <w:t>Schedule 4</w:t>
      </w:r>
      <w:r w:rsidR="00D3329A">
        <w:rPr>
          <w:rFonts w:asciiTheme="minorHAnsi" w:eastAsia="Cambria" w:hAnsiTheme="minorHAnsi" w:cstheme="minorHAnsi"/>
          <w:b/>
          <w:bCs/>
          <w:sz w:val="22"/>
          <w:szCs w:val="22"/>
        </w:rPr>
        <w:br/>
      </w:r>
      <w:r w:rsidRPr="00B2729D">
        <w:rPr>
          <w:rFonts w:asciiTheme="minorHAnsi" w:eastAsia="Cambria" w:hAnsiTheme="minorHAnsi" w:cstheme="minorHAnsi"/>
          <w:sz w:val="22"/>
          <w:szCs w:val="22"/>
        </w:rPr>
        <w:t>Schedule 3</w:t>
      </w:r>
      <w:r>
        <w:rPr>
          <w:rFonts w:ascii="Calibri" w:eastAsia="Cambria" w:hAnsi="Calibri" w:cs="Calibri"/>
          <w:szCs w:val="22"/>
        </w:rPr>
        <w:br/>
      </w:r>
      <w:r w:rsidRPr="004246BD">
        <w:rPr>
          <w:rFonts w:asciiTheme="minorHAnsi" w:eastAsia="Cambria" w:hAnsiTheme="minorHAnsi" w:cstheme="minorHAnsi"/>
          <w:color w:val="00B050"/>
          <w:sz w:val="22"/>
          <w:szCs w:val="22"/>
          <w:u w:val="single"/>
        </w:rPr>
        <w:t xml:space="preserve">Appendix H, </w:t>
      </w:r>
      <w:r w:rsidR="00657EF9">
        <w:rPr>
          <w:rFonts w:asciiTheme="minorHAnsi" w:eastAsia="Cambria" w:hAnsiTheme="minorHAnsi" w:cstheme="minorHAnsi"/>
          <w:color w:val="00B050"/>
          <w:sz w:val="22"/>
          <w:szCs w:val="22"/>
          <w:u w:val="single"/>
        </w:rPr>
        <w:t>c</w:t>
      </w:r>
      <w:r w:rsidRPr="004246BD">
        <w:rPr>
          <w:rFonts w:asciiTheme="minorHAnsi" w:eastAsia="Cambria" w:hAnsiTheme="minorHAnsi" w:cstheme="minorHAnsi"/>
          <w:color w:val="00B050"/>
          <w:sz w:val="22"/>
          <w:szCs w:val="22"/>
          <w:u w:val="single"/>
        </w:rPr>
        <w:t>lause 1</w:t>
      </w:r>
    </w:p>
    <w:p w14:paraId="6F80380B" w14:textId="77777777" w:rsidR="00571A6E" w:rsidRDefault="00571A6E" w:rsidP="00AC7938">
      <w:pPr>
        <w:spacing w:before="240"/>
        <w:ind w:left="426"/>
        <w:rPr>
          <w:b/>
          <w:bCs/>
        </w:rPr>
      </w:pPr>
    </w:p>
    <w:p w14:paraId="4A3DB6BD" w14:textId="177E9E01" w:rsidR="00AC7938" w:rsidRPr="00AC7938" w:rsidRDefault="00AC5E26" w:rsidP="00AC7938">
      <w:pPr>
        <w:spacing w:before="240"/>
        <w:ind w:left="426"/>
        <w:rPr>
          <w:b/>
          <w:bCs/>
        </w:rPr>
      </w:pPr>
      <w:r w:rsidRPr="00AC7938">
        <w:rPr>
          <w:b/>
          <w:bCs/>
        </w:rPr>
        <w:lastRenderedPageBreak/>
        <w:t>Appendix H – New Entry</w:t>
      </w:r>
    </w:p>
    <w:tbl>
      <w:tblPr>
        <w:tblStyle w:val="TableTGAblue"/>
        <w:tblW w:w="0" w:type="auto"/>
        <w:tblInd w:w="699" w:type="dxa"/>
        <w:tblLook w:val="04A0" w:firstRow="1" w:lastRow="0" w:firstColumn="1" w:lastColumn="0" w:noHBand="0" w:noVBand="1"/>
      </w:tblPr>
      <w:tblGrid>
        <w:gridCol w:w="699"/>
        <w:gridCol w:w="1950"/>
      </w:tblGrid>
      <w:tr w:rsidR="00AC7938" w:rsidRPr="00C67045" w14:paraId="7D7C0334" w14:textId="77777777" w:rsidTr="00D33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3C985178" w14:textId="77777777" w:rsidR="00AC7938" w:rsidRPr="00C67045" w:rsidRDefault="00AC7938" w:rsidP="00D3329A">
            <w:pPr>
              <w:spacing w:before="60" w:after="60"/>
              <w:rPr>
                <w:rFonts w:asciiTheme="minorHAnsi" w:hAnsiTheme="minorHAnsi" w:cstheme="minorHAnsi"/>
                <w:sz w:val="20"/>
                <w:szCs w:val="20"/>
              </w:rPr>
            </w:pPr>
            <w:r w:rsidRPr="00C67045">
              <w:rPr>
                <w:rFonts w:asciiTheme="minorHAnsi" w:hAnsiTheme="minorHAnsi" w:cstheme="minorHAnsi"/>
                <w:sz w:val="20"/>
                <w:szCs w:val="20"/>
              </w:rPr>
              <w:t>Item</w:t>
            </w:r>
          </w:p>
        </w:tc>
        <w:tc>
          <w:tcPr>
            <w:tcW w:w="1950" w:type="dxa"/>
          </w:tcPr>
          <w:p w14:paraId="3A7A3625" w14:textId="77777777" w:rsidR="00AC7938" w:rsidRPr="00C67045" w:rsidRDefault="00AC7938" w:rsidP="00D3329A">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67045">
              <w:rPr>
                <w:rFonts w:asciiTheme="minorHAnsi" w:hAnsiTheme="minorHAnsi" w:cstheme="minorHAnsi"/>
                <w:sz w:val="20"/>
                <w:szCs w:val="20"/>
              </w:rPr>
              <w:t>Poison</w:t>
            </w:r>
          </w:p>
        </w:tc>
      </w:tr>
      <w:tr w:rsidR="00AC7938" w:rsidRPr="00C67045" w14:paraId="3D381BAD" w14:textId="77777777" w:rsidTr="00D3329A">
        <w:tc>
          <w:tcPr>
            <w:cnfStyle w:val="001000000000" w:firstRow="0" w:lastRow="0" w:firstColumn="1" w:lastColumn="0" w:oddVBand="0" w:evenVBand="0" w:oddHBand="0" w:evenHBand="0" w:firstRowFirstColumn="0" w:firstRowLastColumn="0" w:lastRowFirstColumn="0" w:lastRowLastColumn="0"/>
            <w:tcW w:w="699" w:type="dxa"/>
          </w:tcPr>
          <w:p w14:paraId="1993D2F6" w14:textId="535882FA" w:rsidR="00AC7938" w:rsidRPr="00C67045" w:rsidRDefault="00AC7938" w:rsidP="00D3329A">
            <w:pPr>
              <w:spacing w:before="60" w:after="60"/>
              <w:rPr>
                <w:rFonts w:asciiTheme="minorHAnsi" w:hAnsiTheme="minorHAnsi" w:cstheme="minorHAnsi"/>
                <w:color w:val="00B050"/>
                <w:sz w:val="20"/>
                <w:szCs w:val="20"/>
                <w:u w:val="single"/>
              </w:rPr>
            </w:pPr>
            <w:r w:rsidRPr="00C67045">
              <w:rPr>
                <w:rFonts w:asciiTheme="minorHAnsi" w:hAnsiTheme="minorHAnsi" w:cstheme="minorHAnsi"/>
                <w:color w:val="00B050"/>
                <w:sz w:val="20"/>
                <w:szCs w:val="20"/>
                <w:u w:val="single"/>
              </w:rPr>
              <w:t xml:space="preserve">19a </w:t>
            </w:r>
          </w:p>
        </w:tc>
        <w:tc>
          <w:tcPr>
            <w:tcW w:w="1950" w:type="dxa"/>
          </w:tcPr>
          <w:p w14:paraId="5710DE97" w14:textId="6A93B668" w:rsidR="00AC7938" w:rsidRPr="00C67045" w:rsidRDefault="00AC7938" w:rsidP="00D3329A">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0"/>
                <w:szCs w:val="20"/>
                <w:u w:val="single"/>
              </w:rPr>
            </w:pPr>
            <w:r w:rsidRPr="00C67045">
              <w:rPr>
                <w:rFonts w:asciiTheme="minorHAnsi" w:hAnsiTheme="minorHAnsi" w:cstheme="minorHAnsi"/>
                <w:color w:val="00B050"/>
                <w:sz w:val="20"/>
                <w:szCs w:val="20"/>
                <w:u w:val="single"/>
              </w:rPr>
              <w:t>GLYCOPYRRONIUM</w:t>
            </w:r>
          </w:p>
        </w:tc>
      </w:tr>
    </w:tbl>
    <w:p w14:paraId="15B3A4AD" w14:textId="3441E7CD" w:rsidR="00586A6E" w:rsidRDefault="00AC7938" w:rsidP="00586A6E">
      <w:pPr>
        <w:pStyle w:val="Heading4"/>
      </w:pPr>
      <w:bookmarkStart w:id="77" w:name="_Toc144110869"/>
      <w:bookmarkEnd w:id="76"/>
      <w:r>
        <w:t>B</w:t>
      </w:r>
      <w:r w:rsidR="00586A6E">
        <w:t>ackground</w:t>
      </w:r>
      <w:bookmarkEnd w:id="77"/>
    </w:p>
    <w:p w14:paraId="123CA9E3" w14:textId="709D9605" w:rsidR="004246BD" w:rsidRPr="00EB1099" w:rsidRDefault="004246BD" w:rsidP="006B2623">
      <w:pPr>
        <w:rPr>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Glycopyrronium is an anticholinergic medicine that is available for inhalation for the symptomatic relief in patients with chronic obstructive pulmonary disease (COPD)</w:t>
      </w:r>
      <w:r w:rsidR="00C41085">
        <w:rPr>
          <w:rStyle w:val="normaltextrun"/>
          <w:rFonts w:ascii="Calibri" w:hAnsi="Calibri" w:cs="Calibri"/>
          <w:color w:val="000000"/>
          <w:szCs w:val="22"/>
          <w:shd w:val="clear" w:color="auto" w:fill="FFFFFF"/>
        </w:rPr>
        <w:t>. It is also available in preparation</w:t>
      </w:r>
      <w:r w:rsidR="00686370">
        <w:rPr>
          <w:rStyle w:val="normaltextrun"/>
          <w:rFonts w:ascii="Calibri" w:hAnsi="Calibri" w:cs="Calibri"/>
          <w:color w:val="000000"/>
          <w:szCs w:val="22"/>
          <w:shd w:val="clear" w:color="auto" w:fill="FFFFFF"/>
        </w:rPr>
        <w:t>s</w:t>
      </w:r>
      <w:r w:rsidR="00C41085">
        <w:rPr>
          <w:rStyle w:val="normaltextrun"/>
          <w:rFonts w:ascii="Calibri" w:hAnsi="Calibri" w:cs="Calibri"/>
          <w:color w:val="000000"/>
          <w:szCs w:val="22"/>
          <w:shd w:val="clear" w:color="auto" w:fill="FFFFFF"/>
        </w:rPr>
        <w:t xml:space="preserve"> </w:t>
      </w:r>
      <w:r>
        <w:rPr>
          <w:rStyle w:val="normaltextrun"/>
          <w:rFonts w:ascii="Calibri" w:hAnsi="Calibri" w:cs="Calibri"/>
          <w:color w:val="000000"/>
          <w:szCs w:val="22"/>
          <w:shd w:val="clear" w:color="auto" w:fill="FFFFFF"/>
        </w:rPr>
        <w:t>for injection for the reduction of salivary and tracheobronchial secretions and the reversal of residual non-depolarising neuromuscular block.</w:t>
      </w:r>
      <w:r w:rsidR="006B2623">
        <w:rPr>
          <w:rStyle w:val="normaltextrun"/>
          <w:rFonts w:ascii="Calibri" w:hAnsi="Calibri" w:cs="Calibri"/>
          <w:color w:val="000000"/>
          <w:szCs w:val="22"/>
          <w:shd w:val="clear" w:color="auto" w:fill="FFFFFF"/>
        </w:rPr>
        <w:t xml:space="preserve"> </w:t>
      </w:r>
      <w:r w:rsidR="006B2623" w:rsidRPr="006B2623">
        <w:rPr>
          <w:rStyle w:val="normaltextrun"/>
          <w:rFonts w:ascii="Calibri" w:hAnsi="Calibri" w:cs="Calibri"/>
          <w:color w:val="000000"/>
          <w:szCs w:val="22"/>
          <w:shd w:val="clear" w:color="auto" w:fill="FFFFFF"/>
        </w:rPr>
        <w:t>Glycopyrronium</w:t>
      </w:r>
      <w:r w:rsidR="006B656B">
        <w:rPr>
          <w:rStyle w:val="normaltextrun"/>
          <w:rFonts w:ascii="Calibri" w:hAnsi="Calibri" w:cs="Calibri"/>
          <w:color w:val="000000"/>
          <w:szCs w:val="22"/>
          <w:shd w:val="clear" w:color="auto" w:fill="FFFFFF"/>
        </w:rPr>
        <w:t xml:space="preserve"> </w:t>
      </w:r>
      <w:r w:rsidR="006B2623" w:rsidRPr="006B2623">
        <w:rPr>
          <w:rStyle w:val="normaltextrun"/>
          <w:rFonts w:ascii="Calibri" w:hAnsi="Calibri" w:cs="Calibri"/>
          <w:color w:val="000000"/>
          <w:szCs w:val="22"/>
          <w:shd w:val="clear" w:color="auto" w:fill="FFFFFF"/>
        </w:rPr>
        <w:t>for topical use,</w:t>
      </w:r>
      <w:r w:rsidR="006B2623">
        <w:rPr>
          <w:rStyle w:val="normaltextrun"/>
          <w:rFonts w:ascii="Calibri" w:hAnsi="Calibri" w:cs="Calibri"/>
          <w:color w:val="000000"/>
          <w:szCs w:val="22"/>
          <w:shd w:val="clear" w:color="auto" w:fill="FFFFFF"/>
        </w:rPr>
        <w:t xml:space="preserve"> </w:t>
      </w:r>
      <w:r w:rsidR="006B656B">
        <w:rPr>
          <w:rStyle w:val="normaltextrun"/>
          <w:rFonts w:ascii="Calibri" w:hAnsi="Calibri" w:cs="Calibri"/>
          <w:color w:val="000000"/>
          <w:szCs w:val="22"/>
          <w:shd w:val="clear" w:color="auto" w:fill="FFFFFF"/>
        </w:rPr>
        <w:t>in</w:t>
      </w:r>
      <w:r w:rsidR="006B2623" w:rsidRPr="006B2623">
        <w:rPr>
          <w:rStyle w:val="normaltextrun"/>
          <w:rFonts w:ascii="Calibri" w:hAnsi="Calibri" w:cs="Calibri"/>
          <w:color w:val="000000"/>
          <w:szCs w:val="22"/>
          <w:shd w:val="clear" w:color="auto" w:fill="FFFFFF"/>
        </w:rPr>
        <w:t xml:space="preserve"> </w:t>
      </w:r>
      <w:r w:rsidR="006B656B">
        <w:rPr>
          <w:rStyle w:val="normaltextrun"/>
          <w:rFonts w:ascii="Calibri" w:hAnsi="Calibri" w:cs="Calibri"/>
          <w:color w:val="000000"/>
          <w:szCs w:val="22"/>
          <w:shd w:val="clear" w:color="auto" w:fill="FFFFFF"/>
        </w:rPr>
        <w:t xml:space="preserve">the </w:t>
      </w:r>
      <w:r w:rsidR="006B2623" w:rsidRPr="006B2623">
        <w:rPr>
          <w:rStyle w:val="normaltextrun"/>
          <w:rFonts w:ascii="Calibri" w:hAnsi="Calibri" w:cs="Calibri"/>
          <w:color w:val="000000"/>
          <w:szCs w:val="22"/>
          <w:shd w:val="clear" w:color="auto" w:fill="FFFFFF"/>
        </w:rPr>
        <w:t xml:space="preserve">treatment of </w:t>
      </w:r>
      <w:r w:rsidR="006B656B" w:rsidRPr="006B656B">
        <w:rPr>
          <w:rStyle w:val="normaltextrun"/>
          <w:rFonts w:ascii="Calibri" w:hAnsi="Calibri" w:cs="Calibri"/>
          <w:color w:val="000000"/>
          <w:szCs w:val="22"/>
          <w:shd w:val="clear" w:color="auto" w:fill="FFFFFF"/>
        </w:rPr>
        <w:t xml:space="preserve">excessive underarm sweating </w:t>
      </w:r>
      <w:r w:rsidR="006B656B">
        <w:rPr>
          <w:rStyle w:val="normaltextrun"/>
          <w:rFonts w:ascii="Calibri" w:hAnsi="Calibri" w:cs="Calibri"/>
          <w:color w:val="000000"/>
          <w:szCs w:val="22"/>
          <w:shd w:val="clear" w:color="auto" w:fill="FFFFFF"/>
        </w:rPr>
        <w:t>(</w:t>
      </w:r>
      <w:r w:rsidR="006B2623" w:rsidRPr="006B2623">
        <w:rPr>
          <w:rStyle w:val="normaltextrun"/>
          <w:rFonts w:ascii="Calibri" w:hAnsi="Calibri" w:cs="Calibri"/>
          <w:color w:val="000000"/>
          <w:szCs w:val="22"/>
          <w:shd w:val="clear" w:color="auto" w:fill="FFFFFF"/>
        </w:rPr>
        <w:t>primary axillary</w:t>
      </w:r>
      <w:r w:rsidR="006B2623">
        <w:rPr>
          <w:rStyle w:val="normaltextrun"/>
          <w:rFonts w:ascii="Calibri" w:hAnsi="Calibri" w:cs="Calibri"/>
          <w:color w:val="000000"/>
          <w:szCs w:val="22"/>
          <w:shd w:val="clear" w:color="auto" w:fill="FFFFFF"/>
        </w:rPr>
        <w:t xml:space="preserve"> </w:t>
      </w:r>
      <w:r w:rsidR="006B2623" w:rsidRPr="006B2623">
        <w:rPr>
          <w:rStyle w:val="normaltextrun"/>
          <w:rFonts w:ascii="Calibri" w:hAnsi="Calibri" w:cs="Calibri"/>
          <w:color w:val="000000"/>
          <w:szCs w:val="22"/>
          <w:shd w:val="clear" w:color="auto" w:fill="FFFFFF"/>
        </w:rPr>
        <w:t>hyperhidrosis</w:t>
      </w:r>
      <w:r w:rsidR="006B656B">
        <w:rPr>
          <w:rStyle w:val="normaltextrun"/>
          <w:rFonts w:ascii="Calibri" w:hAnsi="Calibri" w:cs="Calibri"/>
          <w:color w:val="000000"/>
          <w:szCs w:val="22"/>
          <w:shd w:val="clear" w:color="auto" w:fill="FFFFFF"/>
        </w:rPr>
        <w:t>)</w:t>
      </w:r>
      <w:r w:rsidR="006B2623" w:rsidRPr="006B2623">
        <w:rPr>
          <w:rStyle w:val="normaltextrun"/>
          <w:rFonts w:ascii="Calibri" w:hAnsi="Calibri" w:cs="Calibri"/>
          <w:color w:val="000000"/>
          <w:szCs w:val="22"/>
          <w:shd w:val="clear" w:color="auto" w:fill="FFFFFF"/>
        </w:rPr>
        <w:t xml:space="preserve"> in adult</w:t>
      </w:r>
      <w:r w:rsidR="006B656B">
        <w:rPr>
          <w:rStyle w:val="normaltextrun"/>
          <w:rFonts w:ascii="Calibri" w:hAnsi="Calibri" w:cs="Calibri"/>
          <w:color w:val="000000"/>
          <w:szCs w:val="22"/>
          <w:shd w:val="clear" w:color="auto" w:fill="FFFFFF"/>
        </w:rPr>
        <w:t xml:space="preserve">s and adolescents 9 years and older was first approved by the FDA in 2018 as a </w:t>
      </w:r>
      <w:hyperlink r:id="rId63" w:history="1">
        <w:r w:rsidR="006B656B" w:rsidRPr="00664349">
          <w:rPr>
            <w:rStyle w:val="Hyperlink"/>
            <w:rFonts w:ascii="Calibri" w:hAnsi="Calibri" w:cs="Calibri"/>
            <w:szCs w:val="22"/>
            <w:shd w:val="clear" w:color="auto" w:fill="FFFFFF"/>
          </w:rPr>
          <w:t>prescription medication</w:t>
        </w:r>
      </w:hyperlink>
      <w:r w:rsidR="006B656B">
        <w:rPr>
          <w:rStyle w:val="normaltextrun"/>
          <w:rFonts w:ascii="Calibri" w:hAnsi="Calibri" w:cs="Calibri"/>
          <w:color w:val="000000"/>
          <w:szCs w:val="22"/>
          <w:shd w:val="clear" w:color="auto" w:fill="FFFFFF"/>
        </w:rPr>
        <w:t>.</w:t>
      </w:r>
    </w:p>
    <w:p w14:paraId="3CD1356E" w14:textId="4051E9F4" w:rsidR="00586A6E" w:rsidRDefault="00586A6E" w:rsidP="00586A6E">
      <w:pPr>
        <w:pStyle w:val="Heading4"/>
      </w:pPr>
      <w:bookmarkStart w:id="78" w:name="_Toc144110870"/>
      <w:r>
        <w:t>Summary of applicant’s reasons for the proposal</w:t>
      </w:r>
      <w:bookmarkEnd w:id="78"/>
    </w:p>
    <w:p w14:paraId="21891819" w14:textId="2497F255" w:rsidR="004246BD" w:rsidRPr="004C7298" w:rsidRDefault="004246BD" w:rsidP="004C7298">
      <w:pPr>
        <w:pStyle w:val="ListParagraph"/>
        <w:numPr>
          <w:ilvl w:val="0"/>
          <w:numId w:val="44"/>
        </w:numPr>
        <w:spacing w:before="0" w:after="120" w:line="259" w:lineRule="auto"/>
        <w:ind w:left="419" w:hanging="357"/>
        <w:contextualSpacing w:val="0"/>
      </w:pPr>
      <w:r>
        <w:rPr>
          <w:rStyle w:val="normaltextrun"/>
          <w:rFonts w:ascii="Calibri" w:hAnsi="Calibri" w:cs="Calibri"/>
          <w:color w:val="000000"/>
          <w:szCs w:val="22"/>
          <w:shd w:val="clear" w:color="auto" w:fill="FFFFFF"/>
        </w:rPr>
        <w:t>The applicant is proposing to include glycopyrronium in Appendix H of the Poisons Standard to permit advertising of a proposed Schedule 3 (Pharmacist Only) product, a topical cream that contains glycopyrronium as an active ingredient, for the treatment of primary axillary hyperhidrosis in adults.</w:t>
      </w:r>
    </w:p>
    <w:p w14:paraId="167D187C" w14:textId="635A1615" w:rsidR="004246BD" w:rsidRPr="004246BD" w:rsidRDefault="004246BD" w:rsidP="004C7298">
      <w:pPr>
        <w:pStyle w:val="ListParagraph"/>
        <w:numPr>
          <w:ilvl w:val="0"/>
          <w:numId w:val="44"/>
        </w:numPr>
        <w:spacing w:before="0" w:after="120" w:line="259" w:lineRule="auto"/>
        <w:ind w:left="419" w:hanging="357"/>
        <w:contextualSpacing w:val="0"/>
        <w:rPr>
          <w:rStyle w:val="normaltextrun"/>
          <w:rFonts w:asciiTheme="minorHAnsi" w:eastAsiaTheme="minorHAnsi" w:hAnsiTheme="minorHAnsi" w:cstheme="minorBidi"/>
        </w:rPr>
      </w:pPr>
      <w:r>
        <w:rPr>
          <w:rStyle w:val="normaltextrun"/>
          <w:rFonts w:ascii="Calibri" w:hAnsi="Calibri" w:cs="Calibri"/>
          <w:color w:val="000000"/>
          <w:szCs w:val="22"/>
          <w:shd w:val="clear" w:color="auto" w:fill="FFFFFF"/>
        </w:rPr>
        <w:t xml:space="preserve">Primary hyperhidrosis is a stigmatising disease </w:t>
      </w:r>
      <w:r w:rsidR="00C41085">
        <w:rPr>
          <w:rStyle w:val="normaltextrun"/>
          <w:rFonts w:ascii="Calibri" w:hAnsi="Calibri" w:cs="Calibri"/>
          <w:color w:val="000000"/>
          <w:szCs w:val="22"/>
          <w:shd w:val="clear" w:color="auto" w:fill="FFFFFF"/>
        </w:rPr>
        <w:t>characterised by excessive perspiration. The</w:t>
      </w:r>
      <w:r>
        <w:rPr>
          <w:rStyle w:val="normaltextrun"/>
          <w:rFonts w:ascii="Calibri" w:hAnsi="Calibri" w:cs="Calibri"/>
          <w:color w:val="000000"/>
          <w:szCs w:val="22"/>
          <w:shd w:val="clear" w:color="auto" w:fill="FFFFFF"/>
        </w:rPr>
        <w:t xml:space="preserve"> physical and psychological symptoms affect</w:t>
      </w:r>
      <w:r w:rsidR="00C41085">
        <w:rPr>
          <w:rStyle w:val="normaltextrun"/>
          <w:rFonts w:ascii="Calibri" w:hAnsi="Calibri" w:cs="Calibri"/>
          <w:color w:val="000000"/>
          <w:szCs w:val="22"/>
          <w:shd w:val="clear" w:color="auto" w:fill="FFFFFF"/>
        </w:rPr>
        <w:t xml:space="preserve"> a</w:t>
      </w:r>
      <w:r>
        <w:rPr>
          <w:rStyle w:val="normaltextrun"/>
          <w:rFonts w:ascii="Calibri" w:hAnsi="Calibri" w:cs="Calibri"/>
          <w:color w:val="000000"/>
          <w:szCs w:val="22"/>
          <w:shd w:val="clear" w:color="auto" w:fill="FFFFFF"/>
        </w:rPr>
        <w:t xml:space="preserve"> patients’ quality of life</w:t>
      </w:r>
      <w:r w:rsidR="00C41085">
        <w:rPr>
          <w:rStyle w:val="normaltextrun"/>
          <w:rFonts w:ascii="Calibri" w:hAnsi="Calibri" w:cs="Calibri"/>
          <w:color w:val="000000"/>
          <w:szCs w:val="22"/>
          <w:shd w:val="clear" w:color="auto" w:fill="FFFFFF"/>
        </w:rPr>
        <w:t>,</w:t>
      </w:r>
      <w:r>
        <w:rPr>
          <w:rStyle w:val="normaltextrun"/>
          <w:rFonts w:ascii="Calibri" w:hAnsi="Calibri" w:cs="Calibri"/>
          <w:color w:val="000000"/>
          <w:szCs w:val="22"/>
          <w:shd w:val="clear" w:color="auto" w:fill="FFFFFF"/>
        </w:rPr>
        <w:t xml:space="preserve"> </w:t>
      </w:r>
      <w:r w:rsidR="00C41085">
        <w:rPr>
          <w:rStyle w:val="normaltextrun"/>
          <w:rFonts w:ascii="Calibri" w:hAnsi="Calibri" w:cs="Calibri"/>
          <w:color w:val="000000"/>
          <w:szCs w:val="22"/>
          <w:shd w:val="clear" w:color="auto" w:fill="FFFFFF"/>
        </w:rPr>
        <w:t xml:space="preserve">including </w:t>
      </w:r>
      <w:r>
        <w:rPr>
          <w:rStyle w:val="normaltextrun"/>
          <w:rFonts w:ascii="Calibri" w:hAnsi="Calibri" w:cs="Calibri"/>
          <w:color w:val="000000"/>
          <w:szCs w:val="22"/>
          <w:shd w:val="clear" w:color="auto" w:fill="FFFFFF"/>
        </w:rPr>
        <w:t>limitations to daily activities, social relationships, study and work life and emotional wellbeing.</w:t>
      </w:r>
    </w:p>
    <w:p w14:paraId="5A1A132C" w14:textId="4592A967" w:rsidR="004246BD" w:rsidRPr="004246BD" w:rsidRDefault="004246BD" w:rsidP="004C7298">
      <w:pPr>
        <w:pStyle w:val="ListParagraph"/>
        <w:numPr>
          <w:ilvl w:val="0"/>
          <w:numId w:val="44"/>
        </w:numPr>
        <w:spacing w:before="0" w:after="120" w:line="259" w:lineRule="auto"/>
        <w:ind w:left="419" w:hanging="357"/>
        <w:contextualSpacing w:val="0"/>
        <w:rPr>
          <w:rStyle w:val="normaltextrun"/>
          <w:rFonts w:asciiTheme="minorHAnsi" w:eastAsiaTheme="minorHAnsi" w:hAnsiTheme="minorHAnsi" w:cstheme="minorBidi"/>
        </w:rPr>
      </w:pPr>
      <w:r>
        <w:rPr>
          <w:rStyle w:val="normaltextrun"/>
          <w:rFonts w:ascii="Calibri" w:hAnsi="Calibri" w:cs="Calibri"/>
          <w:color w:val="000000"/>
          <w:szCs w:val="22"/>
          <w:shd w:val="clear" w:color="auto" w:fill="FFFFFF"/>
        </w:rPr>
        <w:t>A medical diagnosis is required to confirm primary hyperhidrosis and to rule out secondary hyperhidrosis (</w:t>
      </w:r>
      <w:r w:rsidR="00800740">
        <w:rPr>
          <w:rStyle w:val="normaltextrun"/>
          <w:rFonts w:ascii="Calibri" w:hAnsi="Calibri" w:cs="Calibri"/>
          <w:color w:val="000000"/>
          <w:szCs w:val="22"/>
          <w:shd w:val="clear" w:color="auto" w:fill="FFFFFF"/>
        </w:rPr>
        <w:t>i.e.,</w:t>
      </w:r>
      <w:r>
        <w:rPr>
          <w:rStyle w:val="normaltextrun"/>
          <w:rFonts w:ascii="Calibri" w:hAnsi="Calibri" w:cs="Calibri"/>
          <w:color w:val="000000"/>
          <w:szCs w:val="22"/>
          <w:shd w:val="clear" w:color="auto" w:fill="FFFFFF"/>
        </w:rPr>
        <w:t xml:space="preserve"> resulting from an underlying medical condition). </w:t>
      </w:r>
      <w:r w:rsidR="00FC34B2">
        <w:rPr>
          <w:rStyle w:val="normaltextrun"/>
          <w:rFonts w:ascii="Calibri" w:hAnsi="Calibri" w:cs="Calibri"/>
          <w:color w:val="000000"/>
          <w:szCs w:val="22"/>
          <w:shd w:val="clear" w:color="auto" w:fill="FFFFFF"/>
        </w:rPr>
        <w:t>However, f</w:t>
      </w:r>
      <w:r>
        <w:rPr>
          <w:rStyle w:val="normaltextrun"/>
          <w:rFonts w:ascii="Calibri" w:hAnsi="Calibri" w:cs="Calibri"/>
          <w:color w:val="000000"/>
          <w:szCs w:val="22"/>
          <w:shd w:val="clear" w:color="auto" w:fill="FFFFFF"/>
        </w:rPr>
        <w:t>ollowing initial medical diagnosis, primary hyperhidrosis is suitable for self-treatment and management by the patient</w:t>
      </w:r>
      <w:r w:rsidR="00FC34B2">
        <w:rPr>
          <w:rStyle w:val="normaltextrun"/>
          <w:rFonts w:ascii="Calibri" w:hAnsi="Calibri" w:cs="Calibri"/>
          <w:color w:val="000000"/>
          <w:szCs w:val="22"/>
          <w:shd w:val="clear" w:color="auto" w:fill="FFFFFF"/>
        </w:rPr>
        <w:t xml:space="preserve"> and does</w:t>
      </w:r>
      <w:r>
        <w:rPr>
          <w:rStyle w:val="normaltextrun"/>
          <w:rFonts w:ascii="Calibri" w:hAnsi="Calibri" w:cs="Calibri"/>
          <w:color w:val="000000"/>
          <w:szCs w:val="22"/>
          <w:shd w:val="clear" w:color="auto" w:fill="FFFFFF"/>
        </w:rPr>
        <w:t xml:space="preserve"> not requir</w:t>
      </w:r>
      <w:r w:rsidR="00FC34B2">
        <w:rPr>
          <w:rStyle w:val="normaltextrun"/>
          <w:rFonts w:ascii="Calibri" w:hAnsi="Calibri" w:cs="Calibri"/>
          <w:color w:val="000000"/>
          <w:szCs w:val="22"/>
          <w:shd w:val="clear" w:color="auto" w:fill="FFFFFF"/>
        </w:rPr>
        <w:t>e</w:t>
      </w:r>
      <w:r>
        <w:rPr>
          <w:rStyle w:val="normaltextrun"/>
          <w:rFonts w:ascii="Calibri" w:hAnsi="Calibri" w:cs="Calibri"/>
          <w:color w:val="000000"/>
          <w:szCs w:val="22"/>
          <w:shd w:val="clear" w:color="auto" w:fill="FFFFFF"/>
        </w:rPr>
        <w:t xml:space="preserve"> close medical management by a doctor. Being a Schedule 3 medicine, the availability of a pharmacist may also assist in the monitoring of safe ongoing use of the medicine following the initial diagnosis by a doctor.</w:t>
      </w:r>
    </w:p>
    <w:p w14:paraId="60EBD79F" w14:textId="4E613D4A" w:rsidR="004246BD" w:rsidRPr="004246BD" w:rsidRDefault="004246BD" w:rsidP="004C7298">
      <w:pPr>
        <w:pStyle w:val="ListParagraph"/>
        <w:numPr>
          <w:ilvl w:val="0"/>
          <w:numId w:val="44"/>
        </w:numPr>
        <w:spacing w:before="0" w:after="120" w:line="259" w:lineRule="auto"/>
        <w:ind w:left="419" w:hanging="357"/>
        <w:contextualSpacing w:val="0"/>
      </w:pPr>
      <w:r>
        <w:rPr>
          <w:rStyle w:val="normaltextrun"/>
          <w:rFonts w:ascii="Calibri" w:hAnsi="Calibri" w:cs="Calibri"/>
          <w:color w:val="000000"/>
          <w:szCs w:val="22"/>
          <w:shd w:val="clear" w:color="auto" w:fill="FFFFFF"/>
        </w:rPr>
        <w:t>Advertising of Schedule 3 glycopyrronium medicines will not exacerbate any potential issues that cannot be mitigated by pharmacist supervision and none that are of concern to public health. It will only serve to inform suffer</w:t>
      </w:r>
      <w:r w:rsidR="00FC34B2">
        <w:rPr>
          <w:rStyle w:val="normaltextrun"/>
          <w:rFonts w:ascii="Calibri" w:hAnsi="Calibri" w:cs="Calibri"/>
          <w:color w:val="000000"/>
          <w:szCs w:val="22"/>
          <w:shd w:val="clear" w:color="auto" w:fill="FFFFFF"/>
        </w:rPr>
        <w:t>er</w:t>
      </w:r>
      <w:r>
        <w:rPr>
          <w:rStyle w:val="normaltextrun"/>
          <w:rFonts w:ascii="Calibri" w:hAnsi="Calibri" w:cs="Calibri"/>
          <w:color w:val="000000"/>
          <w:szCs w:val="22"/>
          <w:shd w:val="clear" w:color="auto" w:fill="FFFFFF"/>
        </w:rPr>
        <w:t xml:space="preserve">s of primary axillary hyperhidrosis of the availability of a non-invasive, </w:t>
      </w:r>
      <w:proofErr w:type="gramStart"/>
      <w:r>
        <w:rPr>
          <w:rStyle w:val="normaltextrun"/>
          <w:rFonts w:ascii="Calibri" w:hAnsi="Calibri" w:cs="Calibri"/>
          <w:color w:val="000000"/>
          <w:szCs w:val="22"/>
          <w:shd w:val="clear" w:color="auto" w:fill="FFFFFF"/>
        </w:rPr>
        <w:t>efficacious</w:t>
      </w:r>
      <w:proofErr w:type="gramEnd"/>
      <w:r>
        <w:rPr>
          <w:rStyle w:val="normaltextrun"/>
          <w:rFonts w:ascii="Calibri" w:hAnsi="Calibri" w:cs="Calibri"/>
          <w:color w:val="000000"/>
          <w:szCs w:val="22"/>
          <w:shd w:val="clear" w:color="auto" w:fill="FFFFFF"/>
        </w:rPr>
        <w:t xml:space="preserve"> and generally well tolerated medicine for the treatment of their condition.</w:t>
      </w:r>
    </w:p>
    <w:p w14:paraId="0C6993FB" w14:textId="77777777" w:rsidR="00586A6E" w:rsidRDefault="00586A6E" w:rsidP="00586A6E">
      <w:pPr>
        <w:pStyle w:val="Heading4"/>
      </w:pPr>
      <w:bookmarkStart w:id="79" w:name="_Toc144110871"/>
      <w:r>
        <w:t xml:space="preserve">Key uses / expected </w:t>
      </w:r>
      <w:proofErr w:type="gramStart"/>
      <w:r>
        <w:t>use</w:t>
      </w:r>
      <w:bookmarkEnd w:id="79"/>
      <w:proofErr w:type="gramEnd"/>
    </w:p>
    <w:p w14:paraId="495EB975" w14:textId="7A3E5B86" w:rsidR="00586A6E" w:rsidRDefault="00586A6E" w:rsidP="00586A6E">
      <w:r w:rsidRPr="004246BD">
        <w:t>Medicines</w:t>
      </w:r>
    </w:p>
    <w:p w14:paraId="51FD9CF6" w14:textId="77777777" w:rsidR="00586A6E" w:rsidRDefault="00586A6E" w:rsidP="00586A6E">
      <w:pPr>
        <w:pStyle w:val="Heading4"/>
      </w:pPr>
      <w:bookmarkStart w:id="80" w:name="_Toc144110872"/>
      <w:r>
        <w:t>Australian regulations</w:t>
      </w:r>
      <w:bookmarkEnd w:id="80"/>
    </w:p>
    <w:p w14:paraId="64FA624C" w14:textId="2679B620" w:rsidR="00586A6E" w:rsidRPr="004246BD" w:rsidRDefault="00586A6E" w:rsidP="00EB1099">
      <w:pPr>
        <w:pStyle w:val="ListBullet"/>
        <w:numPr>
          <w:ilvl w:val="0"/>
          <w:numId w:val="83"/>
        </w:numPr>
      </w:pPr>
      <w:r w:rsidRPr="004246BD">
        <w:t xml:space="preserve">According to the </w:t>
      </w:r>
      <w:hyperlink r:id="rId64" w:history="1">
        <w:r w:rsidRPr="008007EB">
          <w:rPr>
            <w:rStyle w:val="Hyperlink"/>
            <w:rFonts w:asciiTheme="minorHAnsi" w:hAnsiTheme="minorHAnsi"/>
          </w:rPr>
          <w:t>TGA Ingredient Database</w:t>
        </w:r>
      </w:hyperlink>
      <w:r w:rsidRPr="004246BD">
        <w:t xml:space="preserve">, </w:t>
      </w:r>
      <w:r w:rsidR="004246BD" w:rsidRPr="004246BD">
        <w:t xml:space="preserve">glycopyrronium </w:t>
      </w:r>
      <w:r w:rsidRPr="004246BD">
        <w:t>is:</w:t>
      </w:r>
    </w:p>
    <w:p w14:paraId="74CD42C9" w14:textId="747DC5EE" w:rsidR="004246BD" w:rsidRPr="004246BD" w:rsidRDefault="004246BD" w:rsidP="00EB1099">
      <w:pPr>
        <w:pStyle w:val="ListBullet2"/>
        <w:numPr>
          <w:ilvl w:val="1"/>
          <w:numId w:val="83"/>
        </w:numPr>
        <w:ind w:left="782" w:hanging="425"/>
        <w:rPr>
          <w:rStyle w:val="eop"/>
          <w:rFonts w:eastAsiaTheme="minorHAnsi" w:cstheme="minorHAnsi"/>
          <w:color w:val="auto"/>
        </w:rPr>
      </w:pPr>
      <w:r w:rsidRPr="004246BD">
        <w:rPr>
          <w:rStyle w:val="normaltextrun"/>
          <w:rFonts w:cstheme="minorHAnsi"/>
          <w:color w:val="auto"/>
          <w:szCs w:val="22"/>
          <w:shd w:val="clear" w:color="auto" w:fill="FFFFFF"/>
        </w:rPr>
        <w:t>Available for use as an Active Ingredient in Export Only, Prescription Medicines</w:t>
      </w:r>
    </w:p>
    <w:p w14:paraId="5970DD82" w14:textId="425148D3" w:rsidR="004246BD" w:rsidRPr="004246BD" w:rsidRDefault="004246BD" w:rsidP="00EB1099">
      <w:pPr>
        <w:pStyle w:val="ListBullet2"/>
        <w:numPr>
          <w:ilvl w:val="1"/>
          <w:numId w:val="83"/>
        </w:numPr>
        <w:ind w:left="782" w:hanging="425"/>
        <w:rPr>
          <w:rFonts w:cstheme="minorHAnsi"/>
          <w:color w:val="auto"/>
          <w:lang w:eastAsia="en-AU"/>
        </w:rPr>
      </w:pPr>
      <w:r w:rsidRPr="004246BD">
        <w:rPr>
          <w:rFonts w:cstheme="minorHAnsi"/>
          <w:color w:val="auto"/>
          <w:lang w:eastAsia="en-AU"/>
        </w:rPr>
        <w:t>Not available as an Excipient Ingredient in any application</w:t>
      </w:r>
    </w:p>
    <w:p w14:paraId="2BA7F04E" w14:textId="589102FC" w:rsidR="004246BD" w:rsidRPr="004246BD" w:rsidRDefault="004246BD" w:rsidP="00EB1099">
      <w:pPr>
        <w:pStyle w:val="ListBullet2"/>
        <w:numPr>
          <w:ilvl w:val="1"/>
          <w:numId w:val="83"/>
        </w:numPr>
        <w:ind w:left="782" w:hanging="425"/>
        <w:rPr>
          <w:rFonts w:cstheme="minorHAnsi"/>
          <w:color w:val="auto"/>
          <w:lang w:eastAsia="en-AU"/>
        </w:rPr>
      </w:pPr>
      <w:r w:rsidRPr="004246BD">
        <w:rPr>
          <w:rFonts w:cstheme="minorHAnsi"/>
          <w:color w:val="auto"/>
          <w:lang w:eastAsia="en-AU"/>
        </w:rPr>
        <w:t>Not available as an Equivalent Ingredient in any application.</w:t>
      </w:r>
    </w:p>
    <w:p w14:paraId="7499F963" w14:textId="3964182E" w:rsidR="00586A6E" w:rsidRPr="008007EB" w:rsidRDefault="00586A6E" w:rsidP="00EB1099">
      <w:pPr>
        <w:pStyle w:val="ListBullet"/>
        <w:numPr>
          <w:ilvl w:val="0"/>
          <w:numId w:val="83"/>
        </w:numPr>
      </w:pPr>
      <w:r w:rsidRPr="004246BD">
        <w:lastRenderedPageBreak/>
        <w:t>As of</w:t>
      </w:r>
      <w:r w:rsidR="004246BD" w:rsidRPr="004246BD">
        <w:t xml:space="preserve"> July 2023</w:t>
      </w:r>
      <w:r w:rsidRPr="004246BD">
        <w:t xml:space="preserve">, there were </w:t>
      </w:r>
      <w:r w:rsidR="004246BD" w:rsidRPr="004246BD">
        <w:t>20</w:t>
      </w:r>
      <w:r w:rsidRPr="004246BD">
        <w:t xml:space="preserve"> medicines currently active on the </w:t>
      </w:r>
      <w:hyperlink r:id="rId65"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4246BD">
        <w:t xml:space="preserve"> that contain </w:t>
      </w:r>
      <w:r w:rsidR="004246BD" w:rsidRPr="004246BD">
        <w:t>glycopyrronium</w:t>
      </w:r>
      <w:r w:rsidRPr="004246BD">
        <w:t xml:space="preserve"> as an active ingredient. </w:t>
      </w:r>
      <w:r w:rsidR="004246BD" w:rsidRPr="004246BD">
        <w:t xml:space="preserve">All </w:t>
      </w:r>
      <w:r w:rsidR="00C41085">
        <w:t>we</w:t>
      </w:r>
      <w:r w:rsidR="004246BD" w:rsidRPr="004246BD">
        <w:t>re prescription</w:t>
      </w:r>
      <w:r w:rsidRPr="004246BD">
        <w:t xml:space="preserve"> medicines.</w:t>
      </w:r>
    </w:p>
    <w:p w14:paraId="45BFA151" w14:textId="50007653" w:rsidR="00586A6E" w:rsidRPr="008007EB" w:rsidRDefault="004246BD" w:rsidP="00EB1099">
      <w:pPr>
        <w:pStyle w:val="ListBullet"/>
        <w:numPr>
          <w:ilvl w:val="0"/>
          <w:numId w:val="83"/>
        </w:numPr>
      </w:pPr>
      <w:r w:rsidRPr="004246BD">
        <w:t>Glycopyrronium</w:t>
      </w:r>
      <w:r w:rsidR="00586A6E" w:rsidRPr="004246BD">
        <w:t xml:space="preserve"> is not permitted to be included in listed medicines as it is not included in the </w:t>
      </w:r>
      <w:hyperlink r:id="rId66" w:history="1">
        <w:r w:rsidR="00586A6E" w:rsidRPr="008007EB">
          <w:rPr>
            <w:rStyle w:val="Hyperlink"/>
            <w:rFonts w:asciiTheme="minorHAnsi" w:hAnsiTheme="minorHAnsi"/>
          </w:rPr>
          <w:t>Therapeutic Goods (Permissible Ingredients) Determination</w:t>
        </w:r>
      </w:hyperlink>
      <w:r w:rsidR="00586A6E" w:rsidRPr="004246BD">
        <w:t xml:space="preserve"> No.</w:t>
      </w:r>
      <w:r w:rsidRPr="004246BD">
        <w:t>3</w:t>
      </w:r>
      <w:r w:rsidR="00586A6E" w:rsidRPr="004246BD">
        <w:t xml:space="preserve"> of 20</w:t>
      </w:r>
      <w:r w:rsidRPr="004246BD">
        <w:t>23</w:t>
      </w:r>
      <w:r w:rsidR="00C41085">
        <w:t>.</w:t>
      </w:r>
    </w:p>
    <w:p w14:paraId="790F90B7" w14:textId="3CC83148" w:rsidR="00586A6E" w:rsidRPr="004246BD" w:rsidRDefault="00586A6E" w:rsidP="00EB1099">
      <w:pPr>
        <w:pStyle w:val="ListBullet"/>
        <w:numPr>
          <w:ilvl w:val="0"/>
          <w:numId w:val="83"/>
        </w:numPr>
      </w:pPr>
      <w:r w:rsidRPr="004246BD">
        <w:t xml:space="preserve">The </w:t>
      </w:r>
      <w:hyperlink r:id="rId67" w:history="1">
        <w:r w:rsidRPr="008007EB">
          <w:rPr>
            <w:rStyle w:val="Hyperlink"/>
            <w:rFonts w:asciiTheme="minorHAnsi" w:hAnsiTheme="minorHAnsi"/>
          </w:rPr>
          <w:t>TGA prescribing medicines in pregnancy database</w:t>
        </w:r>
      </w:hyperlink>
      <w:r w:rsidRPr="004246BD">
        <w:t xml:space="preserve"> classifies </w:t>
      </w:r>
      <w:r w:rsidR="004246BD" w:rsidRPr="004246BD">
        <w:t>glycopyrronium</w:t>
      </w:r>
      <w:r w:rsidRPr="004246BD">
        <w:t xml:space="preserve"> as:</w:t>
      </w:r>
    </w:p>
    <w:tbl>
      <w:tblPr>
        <w:tblStyle w:val="TableTGAblue"/>
        <w:tblW w:w="8670" w:type="dxa"/>
        <w:tblInd w:w="392" w:type="dxa"/>
        <w:tblLook w:val="04A0" w:firstRow="1" w:lastRow="0" w:firstColumn="1" w:lastColumn="0" w:noHBand="0" w:noVBand="1"/>
      </w:tblPr>
      <w:tblGrid>
        <w:gridCol w:w="2537"/>
        <w:gridCol w:w="1298"/>
        <w:gridCol w:w="1611"/>
        <w:gridCol w:w="1663"/>
        <w:gridCol w:w="1561"/>
      </w:tblGrid>
      <w:tr w:rsidR="00586A6E" w:rsidRPr="00C41085" w14:paraId="4A5F189F" w14:textId="77777777" w:rsidTr="00424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dxa"/>
          </w:tcPr>
          <w:p w14:paraId="652FAAB3" w14:textId="77777777" w:rsidR="00586A6E" w:rsidRPr="00C41085" w:rsidRDefault="00586A6E" w:rsidP="00C41085">
            <w:pPr>
              <w:keepLines/>
              <w:spacing w:before="60" w:after="60"/>
              <w:rPr>
                <w:rFonts w:asciiTheme="minorHAnsi" w:hAnsiTheme="minorHAnsi" w:cstheme="minorHAnsi"/>
                <w:sz w:val="20"/>
                <w:szCs w:val="20"/>
              </w:rPr>
            </w:pPr>
            <w:r w:rsidRPr="00C41085">
              <w:rPr>
                <w:rFonts w:asciiTheme="minorHAnsi" w:hAnsiTheme="minorHAnsi" w:cstheme="minorHAnsi"/>
                <w:sz w:val="20"/>
                <w:szCs w:val="20"/>
              </w:rPr>
              <w:t>Drug name</w:t>
            </w:r>
          </w:p>
        </w:tc>
        <w:tc>
          <w:tcPr>
            <w:tcW w:w="1298" w:type="dxa"/>
          </w:tcPr>
          <w:p w14:paraId="70B4765B" w14:textId="77777777" w:rsidR="00586A6E" w:rsidRPr="00C41085" w:rsidRDefault="00586A6E" w:rsidP="00C4108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Fonts w:asciiTheme="minorHAnsi" w:hAnsiTheme="minorHAnsi" w:cstheme="minorHAnsi"/>
                <w:sz w:val="20"/>
                <w:szCs w:val="20"/>
              </w:rPr>
              <w:t>Category</w:t>
            </w:r>
          </w:p>
        </w:tc>
        <w:tc>
          <w:tcPr>
            <w:tcW w:w="1611" w:type="dxa"/>
          </w:tcPr>
          <w:p w14:paraId="562D7F63" w14:textId="77777777" w:rsidR="00586A6E" w:rsidRPr="00C41085" w:rsidRDefault="00586A6E" w:rsidP="00C4108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Fonts w:asciiTheme="minorHAnsi" w:hAnsiTheme="minorHAnsi" w:cstheme="minorHAnsi"/>
                <w:sz w:val="20"/>
                <w:szCs w:val="20"/>
              </w:rPr>
              <w:t>Classification Level 1</w:t>
            </w:r>
          </w:p>
        </w:tc>
        <w:tc>
          <w:tcPr>
            <w:tcW w:w="1663" w:type="dxa"/>
          </w:tcPr>
          <w:p w14:paraId="2A7CDC65" w14:textId="77777777" w:rsidR="00586A6E" w:rsidRPr="00C41085" w:rsidRDefault="00586A6E" w:rsidP="00C4108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Fonts w:asciiTheme="minorHAnsi" w:hAnsiTheme="minorHAnsi" w:cstheme="minorHAnsi"/>
                <w:sz w:val="20"/>
                <w:szCs w:val="20"/>
              </w:rPr>
              <w:t>Classification Level 2</w:t>
            </w:r>
          </w:p>
        </w:tc>
        <w:tc>
          <w:tcPr>
            <w:tcW w:w="1561" w:type="dxa"/>
          </w:tcPr>
          <w:p w14:paraId="131FE9F5" w14:textId="77777777" w:rsidR="00586A6E" w:rsidRPr="00C41085" w:rsidRDefault="00586A6E" w:rsidP="00C4108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Fonts w:asciiTheme="minorHAnsi" w:hAnsiTheme="minorHAnsi" w:cstheme="minorHAnsi"/>
                <w:sz w:val="20"/>
                <w:szCs w:val="20"/>
              </w:rPr>
              <w:t>Classification Level 3</w:t>
            </w:r>
          </w:p>
        </w:tc>
      </w:tr>
      <w:tr w:rsidR="004246BD" w:rsidRPr="00C41085" w14:paraId="627A0E19"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3D406394" w14:textId="24519E81" w:rsidR="004246BD" w:rsidRPr="00C41085" w:rsidRDefault="00AC5E26" w:rsidP="00C41085">
            <w:pPr>
              <w:keepNext/>
              <w:keepLines/>
              <w:spacing w:before="60" w:after="60"/>
              <w:rPr>
                <w:rFonts w:asciiTheme="minorHAnsi" w:hAnsiTheme="minorHAnsi" w:cstheme="minorHAnsi"/>
                <w:sz w:val="20"/>
                <w:szCs w:val="20"/>
              </w:rPr>
            </w:pPr>
            <w:r w:rsidRPr="00C41085">
              <w:rPr>
                <w:rStyle w:val="normaltextrun"/>
                <w:rFonts w:ascii="Calibri" w:hAnsi="Calibri" w:cs="Calibri"/>
                <w:sz w:val="20"/>
                <w:szCs w:val="20"/>
              </w:rPr>
              <w:t>G</w:t>
            </w:r>
            <w:r w:rsidR="004246BD" w:rsidRPr="00C41085">
              <w:rPr>
                <w:rStyle w:val="normaltextrun"/>
                <w:rFonts w:ascii="Calibri" w:hAnsi="Calibri" w:cs="Calibri"/>
                <w:sz w:val="20"/>
                <w:szCs w:val="20"/>
              </w:rPr>
              <w:t>lycopyrronium bromide</w:t>
            </w:r>
          </w:p>
        </w:tc>
        <w:tc>
          <w:tcPr>
            <w:tcW w:w="1298" w:type="dxa"/>
          </w:tcPr>
          <w:p w14:paraId="6A38FA1B" w14:textId="4590FF2F"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Style w:val="normaltextrun"/>
                <w:rFonts w:ascii="Calibri" w:hAnsi="Calibri" w:cs="Calibri"/>
                <w:sz w:val="20"/>
                <w:szCs w:val="20"/>
              </w:rPr>
              <w:t>B2</w:t>
            </w:r>
          </w:p>
        </w:tc>
        <w:tc>
          <w:tcPr>
            <w:tcW w:w="1611" w:type="dxa"/>
          </w:tcPr>
          <w:p w14:paraId="26DFD9BE" w14:textId="4F53D1B2"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Style w:val="normaltextrun"/>
                <w:rFonts w:ascii="Calibri" w:hAnsi="Calibri" w:cs="Calibri"/>
                <w:sz w:val="20"/>
                <w:szCs w:val="20"/>
              </w:rPr>
              <w:t>Alimentary System</w:t>
            </w:r>
          </w:p>
        </w:tc>
        <w:tc>
          <w:tcPr>
            <w:tcW w:w="1663" w:type="dxa"/>
          </w:tcPr>
          <w:p w14:paraId="74B11221" w14:textId="4547CDD2"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1085">
              <w:rPr>
                <w:rStyle w:val="normaltextrun"/>
                <w:rFonts w:ascii="Calibri" w:hAnsi="Calibri" w:cs="Calibri"/>
                <w:sz w:val="20"/>
                <w:szCs w:val="20"/>
              </w:rPr>
              <w:t>Antispasmodics</w:t>
            </w:r>
          </w:p>
        </w:tc>
        <w:tc>
          <w:tcPr>
            <w:tcW w:w="1561" w:type="dxa"/>
          </w:tcPr>
          <w:p w14:paraId="48118076" w14:textId="15469F64"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4246BD" w:rsidRPr="00C41085" w14:paraId="4AB6F94B"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6D493E6E" w14:textId="62D1F5D2" w:rsidR="004246BD" w:rsidRPr="00C41085" w:rsidRDefault="00AC5E26" w:rsidP="00C41085">
            <w:pPr>
              <w:keepNext/>
              <w:keepLines/>
              <w:spacing w:before="60" w:after="60"/>
              <w:rPr>
                <w:rStyle w:val="normaltextrun"/>
                <w:rFonts w:ascii="Calibri" w:hAnsi="Calibri" w:cs="Calibri"/>
                <w:sz w:val="20"/>
                <w:szCs w:val="20"/>
              </w:rPr>
            </w:pPr>
            <w:r w:rsidRPr="00C41085">
              <w:rPr>
                <w:rStyle w:val="normaltextrun"/>
                <w:rFonts w:ascii="Calibri" w:hAnsi="Calibri" w:cs="Calibri"/>
                <w:sz w:val="20"/>
                <w:szCs w:val="20"/>
              </w:rPr>
              <w:t>G</w:t>
            </w:r>
            <w:r w:rsidR="004246BD" w:rsidRPr="00C41085">
              <w:rPr>
                <w:rStyle w:val="normaltextrun"/>
                <w:rFonts w:ascii="Calibri" w:hAnsi="Calibri" w:cs="Calibri"/>
                <w:sz w:val="20"/>
                <w:szCs w:val="20"/>
              </w:rPr>
              <w:t>lycopyrronium bromide</w:t>
            </w:r>
          </w:p>
        </w:tc>
        <w:tc>
          <w:tcPr>
            <w:tcW w:w="1298" w:type="dxa"/>
          </w:tcPr>
          <w:p w14:paraId="2DECF98C" w14:textId="2CF76C87"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B2</w:t>
            </w:r>
          </w:p>
        </w:tc>
        <w:tc>
          <w:tcPr>
            <w:tcW w:w="1611" w:type="dxa"/>
          </w:tcPr>
          <w:p w14:paraId="772E45CD" w14:textId="05CB2E60"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Cholinergic and Anticholinergic Agents</w:t>
            </w:r>
          </w:p>
        </w:tc>
        <w:tc>
          <w:tcPr>
            <w:tcW w:w="1663" w:type="dxa"/>
          </w:tcPr>
          <w:p w14:paraId="4538B06D" w14:textId="6FF1BFAC"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p>
        </w:tc>
        <w:tc>
          <w:tcPr>
            <w:tcW w:w="1561" w:type="dxa"/>
          </w:tcPr>
          <w:p w14:paraId="2AD50F41" w14:textId="7E251E01"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0"/>
                <w:szCs w:val="20"/>
              </w:rPr>
            </w:pPr>
          </w:p>
        </w:tc>
      </w:tr>
      <w:tr w:rsidR="004246BD" w:rsidRPr="00C41085" w14:paraId="071E49A5"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1F158462" w14:textId="6A6265AA" w:rsidR="004246BD" w:rsidRPr="00C41085" w:rsidRDefault="00AC5E26" w:rsidP="00C41085">
            <w:pPr>
              <w:keepNext/>
              <w:keepLines/>
              <w:spacing w:before="60" w:after="60"/>
              <w:rPr>
                <w:rStyle w:val="normaltextrun"/>
                <w:rFonts w:ascii="Calibri" w:hAnsi="Calibri" w:cs="Calibri"/>
                <w:sz w:val="20"/>
                <w:szCs w:val="20"/>
              </w:rPr>
            </w:pPr>
            <w:r w:rsidRPr="00C41085">
              <w:rPr>
                <w:rStyle w:val="normaltextrun"/>
                <w:rFonts w:ascii="Calibri" w:hAnsi="Calibri" w:cs="Calibri"/>
                <w:sz w:val="20"/>
                <w:szCs w:val="20"/>
              </w:rPr>
              <w:t>G</w:t>
            </w:r>
            <w:r w:rsidR="004246BD" w:rsidRPr="00C41085">
              <w:rPr>
                <w:rStyle w:val="normaltextrun"/>
                <w:rFonts w:ascii="Calibri" w:hAnsi="Calibri" w:cs="Calibri"/>
                <w:sz w:val="20"/>
                <w:szCs w:val="20"/>
              </w:rPr>
              <w:t>lycopyrronium bromide</w:t>
            </w:r>
          </w:p>
        </w:tc>
        <w:tc>
          <w:tcPr>
            <w:tcW w:w="1298" w:type="dxa"/>
          </w:tcPr>
          <w:p w14:paraId="17845BE0" w14:textId="0C48B227"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B3</w:t>
            </w:r>
          </w:p>
        </w:tc>
        <w:tc>
          <w:tcPr>
            <w:tcW w:w="1611" w:type="dxa"/>
          </w:tcPr>
          <w:p w14:paraId="4BC563A9" w14:textId="4BA7BA9C"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Respiratory System</w:t>
            </w:r>
          </w:p>
        </w:tc>
        <w:tc>
          <w:tcPr>
            <w:tcW w:w="1663" w:type="dxa"/>
          </w:tcPr>
          <w:p w14:paraId="6E8D2894" w14:textId="611C218E"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Inhalation agents</w:t>
            </w:r>
          </w:p>
        </w:tc>
        <w:tc>
          <w:tcPr>
            <w:tcW w:w="1561" w:type="dxa"/>
          </w:tcPr>
          <w:p w14:paraId="385A9BF8" w14:textId="71FE7B90"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0"/>
                <w:szCs w:val="20"/>
              </w:rPr>
            </w:pPr>
            <w:r w:rsidRPr="00C41085">
              <w:rPr>
                <w:rStyle w:val="normaltextrun"/>
                <w:rFonts w:ascii="Calibri" w:hAnsi="Calibri" w:cs="Calibri"/>
                <w:sz w:val="20"/>
                <w:szCs w:val="20"/>
              </w:rPr>
              <w:t>Bronchospasm relaxants</w:t>
            </w:r>
          </w:p>
        </w:tc>
      </w:tr>
      <w:tr w:rsidR="004246BD" w:rsidRPr="00C41085" w14:paraId="65571489"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4F2263D4" w14:textId="3E4D628A" w:rsidR="004246BD" w:rsidRPr="00C41085" w:rsidRDefault="00AC5E26" w:rsidP="00C41085">
            <w:pPr>
              <w:keepNext/>
              <w:keepLines/>
              <w:spacing w:before="60" w:after="60"/>
              <w:rPr>
                <w:rStyle w:val="normaltextrun"/>
                <w:rFonts w:ascii="Calibri" w:hAnsi="Calibri" w:cs="Calibri"/>
                <w:sz w:val="20"/>
                <w:szCs w:val="20"/>
              </w:rPr>
            </w:pPr>
            <w:r w:rsidRPr="00C41085">
              <w:rPr>
                <w:rStyle w:val="normaltextrun"/>
                <w:rFonts w:ascii="Calibri" w:hAnsi="Calibri" w:cs="Calibri"/>
                <w:sz w:val="20"/>
                <w:szCs w:val="20"/>
              </w:rPr>
              <w:t>G</w:t>
            </w:r>
            <w:r w:rsidR="004246BD" w:rsidRPr="00C41085">
              <w:rPr>
                <w:rStyle w:val="normaltextrun"/>
                <w:rFonts w:ascii="Calibri" w:hAnsi="Calibri" w:cs="Calibri"/>
                <w:sz w:val="20"/>
                <w:szCs w:val="20"/>
              </w:rPr>
              <w:t>lycopyrronium bromide / formoterol fumarate</w:t>
            </w:r>
          </w:p>
        </w:tc>
        <w:tc>
          <w:tcPr>
            <w:tcW w:w="1298" w:type="dxa"/>
          </w:tcPr>
          <w:p w14:paraId="755C8A50" w14:textId="32156967"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B3</w:t>
            </w:r>
          </w:p>
        </w:tc>
        <w:tc>
          <w:tcPr>
            <w:tcW w:w="1611" w:type="dxa"/>
          </w:tcPr>
          <w:p w14:paraId="7A331825" w14:textId="3B977122"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Respiratory System</w:t>
            </w:r>
          </w:p>
        </w:tc>
        <w:tc>
          <w:tcPr>
            <w:tcW w:w="1663" w:type="dxa"/>
          </w:tcPr>
          <w:p w14:paraId="153231AA" w14:textId="67B994EC"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Inhalation agents</w:t>
            </w:r>
          </w:p>
        </w:tc>
        <w:tc>
          <w:tcPr>
            <w:tcW w:w="1561" w:type="dxa"/>
          </w:tcPr>
          <w:p w14:paraId="41A801BA" w14:textId="727D4488"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0"/>
                <w:szCs w:val="20"/>
              </w:rPr>
            </w:pPr>
            <w:r w:rsidRPr="00C41085">
              <w:rPr>
                <w:rStyle w:val="eop"/>
                <w:rFonts w:ascii="Calibri" w:hAnsi="Calibri" w:cs="Calibri"/>
                <w:sz w:val="20"/>
                <w:szCs w:val="20"/>
              </w:rPr>
              <w:t> </w:t>
            </w:r>
          </w:p>
        </w:tc>
      </w:tr>
      <w:tr w:rsidR="004246BD" w:rsidRPr="00C41085" w14:paraId="4E485A24"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3835D145" w14:textId="4FC6F27D" w:rsidR="004246BD" w:rsidRPr="00C41085" w:rsidRDefault="004246BD" w:rsidP="00C41085">
            <w:pPr>
              <w:keepNext/>
              <w:keepLines/>
              <w:spacing w:before="60" w:after="60"/>
              <w:rPr>
                <w:rStyle w:val="normaltextrun"/>
                <w:rFonts w:ascii="Calibri" w:hAnsi="Calibri" w:cs="Calibri"/>
                <w:sz w:val="20"/>
                <w:szCs w:val="20"/>
              </w:rPr>
            </w:pPr>
            <w:r w:rsidRPr="00C41085">
              <w:rPr>
                <w:rStyle w:val="normaltextrun"/>
                <w:rFonts w:ascii="Calibri" w:hAnsi="Calibri" w:cs="Calibri"/>
                <w:sz w:val="20"/>
                <w:szCs w:val="20"/>
              </w:rPr>
              <w:t xml:space="preserve">indacaterol maleate / </w:t>
            </w:r>
            <w:r w:rsidR="00AC5E26" w:rsidRPr="00C41085">
              <w:rPr>
                <w:rStyle w:val="normaltextrun"/>
                <w:rFonts w:ascii="Calibri" w:hAnsi="Calibri" w:cs="Calibri"/>
                <w:sz w:val="20"/>
                <w:szCs w:val="20"/>
              </w:rPr>
              <w:t>G</w:t>
            </w:r>
            <w:r w:rsidRPr="00C41085">
              <w:rPr>
                <w:rStyle w:val="normaltextrun"/>
                <w:rFonts w:ascii="Calibri" w:hAnsi="Calibri" w:cs="Calibri"/>
                <w:sz w:val="20"/>
                <w:szCs w:val="20"/>
              </w:rPr>
              <w:t>lycopyrronium bromide</w:t>
            </w:r>
          </w:p>
        </w:tc>
        <w:tc>
          <w:tcPr>
            <w:tcW w:w="1298" w:type="dxa"/>
          </w:tcPr>
          <w:p w14:paraId="03AA1BE3" w14:textId="5E8EE150"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B3</w:t>
            </w:r>
          </w:p>
        </w:tc>
        <w:tc>
          <w:tcPr>
            <w:tcW w:w="1611" w:type="dxa"/>
          </w:tcPr>
          <w:p w14:paraId="2FFC8272" w14:textId="2A66AF41"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Respiratory System</w:t>
            </w:r>
          </w:p>
        </w:tc>
        <w:tc>
          <w:tcPr>
            <w:tcW w:w="1663" w:type="dxa"/>
          </w:tcPr>
          <w:p w14:paraId="052524FC" w14:textId="51AAE57B"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Inhalation agents</w:t>
            </w:r>
          </w:p>
        </w:tc>
        <w:tc>
          <w:tcPr>
            <w:tcW w:w="1561" w:type="dxa"/>
          </w:tcPr>
          <w:p w14:paraId="7D089BA7" w14:textId="412D6102"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0"/>
                <w:szCs w:val="20"/>
              </w:rPr>
            </w:pPr>
            <w:r w:rsidRPr="00C41085">
              <w:rPr>
                <w:rStyle w:val="eop"/>
                <w:rFonts w:ascii="Calibri" w:hAnsi="Calibri" w:cs="Calibri"/>
                <w:sz w:val="20"/>
                <w:szCs w:val="20"/>
              </w:rPr>
              <w:t> </w:t>
            </w:r>
          </w:p>
        </w:tc>
      </w:tr>
      <w:tr w:rsidR="004246BD" w:rsidRPr="00C41085" w14:paraId="574C1E01" w14:textId="77777777" w:rsidTr="004246BD">
        <w:tc>
          <w:tcPr>
            <w:cnfStyle w:val="001000000000" w:firstRow="0" w:lastRow="0" w:firstColumn="1" w:lastColumn="0" w:oddVBand="0" w:evenVBand="0" w:oddHBand="0" w:evenHBand="0" w:firstRowFirstColumn="0" w:firstRowLastColumn="0" w:lastRowFirstColumn="0" w:lastRowLastColumn="0"/>
            <w:tcW w:w="2537" w:type="dxa"/>
          </w:tcPr>
          <w:p w14:paraId="12E8744C" w14:textId="031B5DD5" w:rsidR="004246BD" w:rsidRPr="00C41085" w:rsidRDefault="00AC5E26" w:rsidP="00C41085">
            <w:pPr>
              <w:keepNext/>
              <w:keepLines/>
              <w:spacing w:before="60" w:after="60"/>
              <w:rPr>
                <w:rStyle w:val="normaltextrun"/>
                <w:rFonts w:ascii="Calibri" w:hAnsi="Calibri" w:cs="Calibri"/>
                <w:sz w:val="20"/>
                <w:szCs w:val="20"/>
              </w:rPr>
            </w:pPr>
            <w:r w:rsidRPr="00C41085">
              <w:rPr>
                <w:rStyle w:val="normaltextrun"/>
                <w:rFonts w:ascii="Calibri" w:hAnsi="Calibri" w:cs="Calibri"/>
                <w:sz w:val="20"/>
                <w:szCs w:val="20"/>
              </w:rPr>
              <w:t>I</w:t>
            </w:r>
            <w:r w:rsidR="004246BD" w:rsidRPr="00C41085">
              <w:rPr>
                <w:rStyle w:val="normaltextrun"/>
                <w:rFonts w:ascii="Calibri" w:hAnsi="Calibri" w:cs="Calibri"/>
                <w:sz w:val="20"/>
                <w:szCs w:val="20"/>
              </w:rPr>
              <w:t>ndacaterol/</w:t>
            </w:r>
            <w:r w:rsidRPr="00C41085">
              <w:rPr>
                <w:rStyle w:val="normaltextrun"/>
                <w:rFonts w:ascii="Calibri" w:hAnsi="Calibri" w:cs="Calibri"/>
                <w:sz w:val="20"/>
                <w:szCs w:val="20"/>
              </w:rPr>
              <w:t>G</w:t>
            </w:r>
            <w:r w:rsidR="004246BD" w:rsidRPr="00C41085">
              <w:rPr>
                <w:rStyle w:val="normaltextrun"/>
                <w:rFonts w:ascii="Calibri" w:hAnsi="Calibri" w:cs="Calibri"/>
                <w:sz w:val="20"/>
                <w:szCs w:val="20"/>
              </w:rPr>
              <w:t>lycopyrronium</w:t>
            </w:r>
          </w:p>
        </w:tc>
        <w:tc>
          <w:tcPr>
            <w:tcW w:w="1298" w:type="dxa"/>
          </w:tcPr>
          <w:p w14:paraId="7AC254B5" w14:textId="30E5AC76"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B3</w:t>
            </w:r>
          </w:p>
        </w:tc>
        <w:tc>
          <w:tcPr>
            <w:tcW w:w="1611" w:type="dxa"/>
          </w:tcPr>
          <w:p w14:paraId="0C38A070" w14:textId="75628791"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Respiratory System</w:t>
            </w:r>
          </w:p>
        </w:tc>
        <w:tc>
          <w:tcPr>
            <w:tcW w:w="1663" w:type="dxa"/>
          </w:tcPr>
          <w:p w14:paraId="736FA5C0" w14:textId="633E2E91"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0"/>
                <w:szCs w:val="20"/>
              </w:rPr>
            </w:pPr>
            <w:r w:rsidRPr="00C41085">
              <w:rPr>
                <w:rStyle w:val="normaltextrun"/>
                <w:rFonts w:ascii="Calibri" w:hAnsi="Calibri" w:cs="Calibri"/>
                <w:sz w:val="20"/>
                <w:szCs w:val="20"/>
              </w:rPr>
              <w:t>Inhalation agents</w:t>
            </w:r>
          </w:p>
        </w:tc>
        <w:tc>
          <w:tcPr>
            <w:tcW w:w="1561" w:type="dxa"/>
          </w:tcPr>
          <w:p w14:paraId="1D36B861" w14:textId="53C2115A" w:rsidR="004246BD" w:rsidRPr="00C41085" w:rsidRDefault="004246BD" w:rsidP="00C41085">
            <w:pPr>
              <w:keepNext/>
              <w:keepLines/>
              <w:spacing w:before="60" w:after="60"/>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0"/>
                <w:szCs w:val="20"/>
              </w:rPr>
            </w:pPr>
            <w:r w:rsidRPr="00C41085">
              <w:rPr>
                <w:rStyle w:val="normaltextrun"/>
                <w:rFonts w:ascii="Calibri" w:hAnsi="Calibri" w:cs="Calibri"/>
                <w:sz w:val="20"/>
                <w:szCs w:val="20"/>
              </w:rPr>
              <w:t>Bronchospasm relaxants</w:t>
            </w:r>
          </w:p>
        </w:tc>
      </w:tr>
      <w:tr w:rsidR="00586A6E" w:rsidRPr="00C41085" w14:paraId="0BBFF94E" w14:textId="77777777" w:rsidTr="00AC5E26">
        <w:tc>
          <w:tcPr>
            <w:cnfStyle w:val="001000000000" w:firstRow="0" w:lastRow="0" w:firstColumn="1" w:lastColumn="0" w:oddVBand="0" w:evenVBand="0" w:oddHBand="0" w:evenHBand="0" w:firstRowFirstColumn="0" w:firstRowLastColumn="0" w:lastRowFirstColumn="0" w:lastRowLastColumn="0"/>
            <w:tcW w:w="8670" w:type="dxa"/>
            <w:gridSpan w:val="5"/>
          </w:tcPr>
          <w:p w14:paraId="65D5AFE7" w14:textId="77777777" w:rsidR="00586A6E" w:rsidRPr="00C67045" w:rsidRDefault="00586A6E" w:rsidP="00C41085">
            <w:pPr>
              <w:keepNext/>
              <w:keepLines/>
              <w:spacing w:before="60" w:after="60"/>
              <w:rPr>
                <w:rFonts w:asciiTheme="minorHAnsi" w:hAnsiTheme="minorHAnsi" w:cstheme="minorHAnsi"/>
                <w:sz w:val="18"/>
                <w:szCs w:val="18"/>
              </w:rPr>
            </w:pPr>
            <w:r w:rsidRPr="00C67045">
              <w:rPr>
                <w:rFonts w:asciiTheme="minorHAnsi" w:hAnsiTheme="minorHAnsi" w:cstheme="minorHAnsi"/>
                <w:b/>
                <w:sz w:val="18"/>
                <w:szCs w:val="18"/>
              </w:rPr>
              <w:t>Category B2</w:t>
            </w:r>
            <w:r w:rsidRPr="00C67045">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51CA2BBA" w14:textId="77777777" w:rsidR="00586A6E" w:rsidRPr="00C67045" w:rsidRDefault="00586A6E" w:rsidP="00C41085">
            <w:pPr>
              <w:keepNext/>
              <w:keepLines/>
              <w:spacing w:before="60" w:after="60"/>
              <w:rPr>
                <w:rFonts w:asciiTheme="minorHAnsi" w:hAnsiTheme="minorHAnsi" w:cstheme="minorHAnsi"/>
                <w:sz w:val="18"/>
                <w:szCs w:val="18"/>
              </w:rPr>
            </w:pPr>
            <w:r w:rsidRPr="00C67045">
              <w:rPr>
                <w:rFonts w:asciiTheme="minorHAnsi" w:hAnsiTheme="minorHAnsi" w:cstheme="minorHAnsi"/>
                <w:sz w:val="18"/>
                <w:szCs w:val="18"/>
              </w:rPr>
              <w:t>Studies in animals are inadequate or may be lacking, but available data show no evidence of an increased occurrence of foetal damage.</w:t>
            </w:r>
          </w:p>
          <w:p w14:paraId="53FC4D3E" w14:textId="77777777" w:rsidR="00586A6E" w:rsidRPr="00C67045" w:rsidRDefault="00586A6E" w:rsidP="00C41085">
            <w:pPr>
              <w:keepNext/>
              <w:keepLines/>
              <w:spacing w:before="60" w:after="60"/>
              <w:rPr>
                <w:rFonts w:asciiTheme="minorHAnsi" w:hAnsiTheme="minorHAnsi" w:cstheme="minorHAnsi"/>
                <w:sz w:val="18"/>
                <w:szCs w:val="18"/>
              </w:rPr>
            </w:pPr>
            <w:r w:rsidRPr="00C67045">
              <w:rPr>
                <w:rFonts w:asciiTheme="minorHAnsi" w:hAnsiTheme="minorHAnsi" w:cstheme="minorHAnsi"/>
                <w:b/>
                <w:sz w:val="18"/>
                <w:szCs w:val="18"/>
              </w:rPr>
              <w:t>Category B3</w:t>
            </w:r>
            <w:r w:rsidRPr="00C67045">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76ED6170" w14:textId="290BFEFC" w:rsidR="00586A6E" w:rsidRPr="00C41085" w:rsidRDefault="00586A6E" w:rsidP="00C41085">
            <w:pPr>
              <w:keepNext/>
              <w:keepLines/>
              <w:spacing w:before="60" w:after="60"/>
              <w:rPr>
                <w:rFonts w:asciiTheme="minorHAnsi" w:hAnsiTheme="minorHAnsi" w:cstheme="minorHAnsi"/>
                <w:sz w:val="20"/>
                <w:szCs w:val="20"/>
              </w:rPr>
            </w:pPr>
            <w:r w:rsidRPr="00C67045">
              <w:rPr>
                <w:rFonts w:asciiTheme="minorHAnsi" w:hAnsiTheme="minorHAnsi" w:cstheme="minorHAnsi"/>
                <w:sz w:val="18"/>
                <w:szCs w:val="18"/>
              </w:rPr>
              <w:t>Studies in animals have shown evidence of an increased occurrence of foetal damage, the significance of which is considered uncertain in humans</w:t>
            </w:r>
            <w:r w:rsidRPr="00C41085">
              <w:rPr>
                <w:rFonts w:asciiTheme="minorHAnsi" w:hAnsiTheme="minorHAnsi" w:cstheme="minorHAnsi"/>
                <w:sz w:val="20"/>
                <w:szCs w:val="20"/>
              </w:rPr>
              <w:t>.</w:t>
            </w:r>
          </w:p>
        </w:tc>
      </w:tr>
    </w:tbl>
    <w:p w14:paraId="18A15529" w14:textId="67177CE8" w:rsidR="00586A6E" w:rsidRPr="008007EB" w:rsidRDefault="00586A6E" w:rsidP="00EB1099">
      <w:pPr>
        <w:pStyle w:val="ListBullet"/>
        <w:numPr>
          <w:ilvl w:val="0"/>
          <w:numId w:val="83"/>
        </w:numPr>
      </w:pPr>
      <w:r w:rsidRPr="004246BD">
        <w:t xml:space="preserve">There are no warning statements pertaining to </w:t>
      </w:r>
      <w:r w:rsidR="004246BD" w:rsidRPr="004246BD">
        <w:t>glycopyrronium</w:t>
      </w:r>
      <w:r w:rsidRPr="004246BD">
        <w:t xml:space="preserve"> in the </w:t>
      </w:r>
      <w:hyperlink r:id="rId68" w:history="1">
        <w:r w:rsidRPr="008007EB">
          <w:rPr>
            <w:rStyle w:val="Hyperlink"/>
            <w:rFonts w:asciiTheme="minorHAnsi" w:hAnsiTheme="minorHAnsi"/>
          </w:rPr>
          <w:t>Therapeutic Goods (Medicines Advisory Statements) Specification 2021</w:t>
        </w:r>
      </w:hyperlink>
      <w:r w:rsidR="004246BD">
        <w:rPr>
          <w:rStyle w:val="Hyperlink"/>
          <w:rFonts w:asciiTheme="minorHAnsi" w:hAnsiTheme="minorHAnsi"/>
        </w:rPr>
        <w:t>.</w:t>
      </w:r>
    </w:p>
    <w:p w14:paraId="2F155256" w14:textId="08E06335" w:rsidR="00586A6E" w:rsidRPr="00603580" w:rsidRDefault="004246BD" w:rsidP="00EB1099">
      <w:pPr>
        <w:pStyle w:val="ListBullet"/>
        <w:numPr>
          <w:ilvl w:val="0"/>
          <w:numId w:val="83"/>
        </w:numPr>
      </w:pPr>
      <w:r w:rsidRPr="00603580">
        <w:t>From July 2013 to July 2023</w:t>
      </w:r>
      <w:r w:rsidR="00586A6E" w:rsidRPr="00603580">
        <w:t xml:space="preserve">, there were </w:t>
      </w:r>
      <w:r w:rsidRPr="00603580">
        <w:t>130</w:t>
      </w:r>
      <w:r w:rsidR="00586A6E" w:rsidRPr="00603580">
        <w:t xml:space="preserve"> reports of adverse events for products containing </w:t>
      </w:r>
      <w:r w:rsidRPr="00603580">
        <w:t>glycopyrronium</w:t>
      </w:r>
      <w:r w:rsidR="00586A6E" w:rsidRPr="00603580">
        <w:t xml:space="preserve"> as an active ingredient on the </w:t>
      </w:r>
      <w:hyperlink r:id="rId69"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00586A6E" w:rsidRPr="008007EB">
        <w:t xml:space="preserve">, </w:t>
      </w:r>
      <w:r w:rsidR="00586A6E" w:rsidRPr="00603580">
        <w:t xml:space="preserve">with </w:t>
      </w:r>
      <w:r w:rsidRPr="00603580">
        <w:t>88</w:t>
      </w:r>
      <w:r w:rsidR="00586A6E" w:rsidRPr="00603580">
        <w:t xml:space="preserve"> reports where </w:t>
      </w:r>
      <w:r w:rsidRPr="00603580">
        <w:t>glycopyrronium</w:t>
      </w:r>
      <w:r w:rsidR="00586A6E" w:rsidRPr="00603580">
        <w:t xml:space="preserve"> was the single suspected medicine.</w:t>
      </w:r>
      <w:r w:rsidR="00AE7276" w:rsidRPr="00603580">
        <w:t xml:space="preserve"> The major of reports appear to be related to preparations for inhalation and involved pulmonary and cardiac disorders, including dyspnoea, </w:t>
      </w:r>
      <w:proofErr w:type="gramStart"/>
      <w:r w:rsidR="00AE7276" w:rsidRPr="00603580">
        <w:t>COPD</w:t>
      </w:r>
      <w:proofErr w:type="gramEnd"/>
      <w:r w:rsidR="00AE7276" w:rsidRPr="00603580">
        <w:t xml:space="preserve"> and bradycardia.</w:t>
      </w:r>
    </w:p>
    <w:p w14:paraId="07BFA190" w14:textId="1660E8EE" w:rsidR="00586A6E" w:rsidRPr="008007EB" w:rsidRDefault="00586A6E" w:rsidP="00EB1099">
      <w:pPr>
        <w:pStyle w:val="ListBullet"/>
        <w:numPr>
          <w:ilvl w:val="0"/>
          <w:numId w:val="83"/>
        </w:numPr>
      </w:pPr>
      <w:r w:rsidRPr="00603580">
        <w:t xml:space="preserve">As of </w:t>
      </w:r>
      <w:r w:rsidR="004246BD" w:rsidRPr="00603580">
        <w:t>July 2023</w:t>
      </w:r>
      <w:r w:rsidRPr="00603580">
        <w:t xml:space="preserve">, there were no products containing </w:t>
      </w:r>
      <w:r w:rsidR="004246BD" w:rsidRPr="00603580">
        <w:t>glycopyrronium</w:t>
      </w:r>
      <w:r w:rsidRPr="00603580">
        <w:t xml:space="preserve"> as an active ingredient/constituent or scheduled substance listed on the </w:t>
      </w:r>
      <w:hyperlink r:id="rId70"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w:t>
      </w:r>
      <w:proofErr w:type="spellStart"/>
      <w:r w:rsidR="00EB1099" w:rsidRPr="00EB1099">
        <w:rPr>
          <w:rStyle w:val="Hyperlink"/>
          <w:rFonts w:asciiTheme="minorHAnsi" w:hAnsiTheme="minorHAnsi"/>
          <w:color w:val="auto"/>
          <w:u w:val="none"/>
        </w:rPr>
        <w:t>PubCRIS</w:t>
      </w:r>
      <w:proofErr w:type="spellEnd"/>
      <w:r w:rsidR="00EB1099" w:rsidRPr="00EB1099">
        <w:rPr>
          <w:rStyle w:val="Hyperlink"/>
          <w:rFonts w:asciiTheme="minorHAnsi" w:hAnsiTheme="minorHAnsi"/>
          <w:color w:val="auto"/>
          <w:u w:val="none"/>
        </w:rPr>
        <w:t>)</w:t>
      </w:r>
      <w:r w:rsidRPr="008007EB">
        <w:t>.</w:t>
      </w:r>
    </w:p>
    <w:p w14:paraId="767C5BED" w14:textId="77777777" w:rsidR="00571A6E" w:rsidRDefault="00571A6E">
      <w:pPr>
        <w:rPr>
          <w:rFonts w:ascii="Arial" w:eastAsia="Cambria" w:hAnsi="Arial" w:cs="Times New Roman"/>
          <w:b/>
          <w:bCs/>
          <w:color w:val="001871"/>
          <w:sz w:val="28"/>
          <w:szCs w:val="26"/>
        </w:rPr>
      </w:pPr>
      <w:r>
        <w:br w:type="page"/>
      </w:r>
    </w:p>
    <w:p w14:paraId="3EC24BC5" w14:textId="20264045" w:rsidR="00586A6E" w:rsidRDefault="00586A6E" w:rsidP="00586A6E">
      <w:pPr>
        <w:pStyle w:val="Heading4"/>
      </w:pPr>
      <w:bookmarkStart w:id="81" w:name="_Toc144110873"/>
      <w:r>
        <w:lastRenderedPageBreak/>
        <w:t>International regulations</w:t>
      </w:r>
      <w:bookmarkEnd w:id="81"/>
    </w:p>
    <w:p w14:paraId="72EFCE1A" w14:textId="62E2B4EC" w:rsidR="004246BD" w:rsidRPr="004246BD" w:rsidRDefault="004246BD"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r w:rsidRPr="004246BD">
        <w:rPr>
          <w:rFonts w:ascii="Calibri" w:eastAsia="Times New Roman" w:hAnsi="Calibri" w:cs="Calibri"/>
          <w:szCs w:val="22"/>
          <w:lang w:eastAsia="en-AU"/>
        </w:rPr>
        <w:t xml:space="preserve">The </w:t>
      </w:r>
      <w:hyperlink r:id="rId71" w:tgtFrame="_blank" w:history="1">
        <w:r w:rsidRPr="004246BD">
          <w:rPr>
            <w:rFonts w:ascii="Calibri" w:eastAsia="Times New Roman" w:hAnsi="Calibri" w:cs="Calibri"/>
            <w:color w:val="0000FF"/>
            <w:szCs w:val="22"/>
            <w:u w:val="single"/>
            <w:lang w:eastAsia="en-AU"/>
          </w:rPr>
          <w:t>United States Food and Drug Administration Approved Drug Products Database</w:t>
        </w:r>
      </w:hyperlink>
      <w:r w:rsidRPr="004246BD">
        <w:rPr>
          <w:rFonts w:ascii="Calibri" w:eastAsia="Times New Roman" w:hAnsi="Calibri" w:cs="Calibri"/>
          <w:szCs w:val="22"/>
          <w:lang w:eastAsia="en-AU"/>
        </w:rPr>
        <w:t xml:space="preserve"> lists 45 active approved products containing glycopyrronium. </w:t>
      </w:r>
      <w:r w:rsidR="0005721D">
        <w:rPr>
          <w:rFonts w:ascii="Calibri" w:eastAsia="Times New Roman" w:hAnsi="Calibri" w:cs="Calibri"/>
          <w:szCs w:val="22"/>
          <w:lang w:eastAsia="en-AU"/>
        </w:rPr>
        <w:t xml:space="preserve">Of these </w:t>
      </w:r>
      <w:r w:rsidRPr="004246BD">
        <w:rPr>
          <w:rFonts w:ascii="Calibri" w:eastAsia="Times New Roman" w:hAnsi="Calibri" w:cs="Calibri"/>
          <w:szCs w:val="22"/>
          <w:lang w:eastAsia="en-AU"/>
        </w:rPr>
        <w:t xml:space="preserve">44 of these products are in the form of oral tablets, injections and inhalers that contain glycopyrrolate as an active ingredient, and 1 product contains glycopyrronium </w:t>
      </w:r>
      <w:proofErr w:type="spellStart"/>
      <w:r w:rsidRPr="004246BD">
        <w:rPr>
          <w:rFonts w:ascii="Calibri" w:eastAsia="Times New Roman" w:hAnsi="Calibri" w:cs="Calibri"/>
          <w:szCs w:val="22"/>
          <w:lang w:eastAsia="en-AU"/>
        </w:rPr>
        <w:t>tosylate</w:t>
      </w:r>
      <w:proofErr w:type="spellEnd"/>
      <w:r w:rsidRPr="004246BD">
        <w:rPr>
          <w:rFonts w:ascii="Calibri" w:eastAsia="Times New Roman" w:hAnsi="Calibri" w:cs="Calibri"/>
          <w:szCs w:val="22"/>
          <w:lang w:eastAsia="en-AU"/>
        </w:rPr>
        <w:t xml:space="preserve"> for topical use. All of these are available by prescription only.</w:t>
      </w:r>
    </w:p>
    <w:p w14:paraId="1F86D09E" w14:textId="141A19E9" w:rsidR="004246BD" w:rsidRPr="004246BD" w:rsidRDefault="004246BD"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r w:rsidRPr="004246BD">
        <w:rPr>
          <w:rFonts w:ascii="Calibri" w:eastAsia="Times New Roman" w:hAnsi="Calibri" w:cs="Calibri"/>
          <w:szCs w:val="22"/>
          <w:lang w:eastAsia="en-AU"/>
        </w:rPr>
        <w:t xml:space="preserve">The </w:t>
      </w:r>
      <w:hyperlink r:id="rId72" w:tgtFrame="_blank" w:history="1">
        <w:r w:rsidRPr="004246BD">
          <w:rPr>
            <w:rFonts w:ascii="Calibri" w:eastAsia="Times New Roman" w:hAnsi="Calibri" w:cs="Calibri"/>
            <w:color w:val="0000FF"/>
            <w:szCs w:val="22"/>
            <w:u w:val="single"/>
            <w:lang w:eastAsia="en-AU"/>
          </w:rPr>
          <w:t>European Commission Union Register of medical products</w:t>
        </w:r>
      </w:hyperlink>
      <w:r w:rsidRPr="004246BD">
        <w:rPr>
          <w:rFonts w:ascii="Calibri" w:eastAsia="Times New Roman" w:hAnsi="Calibri" w:cs="Calibri"/>
          <w:szCs w:val="22"/>
          <w:lang w:eastAsia="en-AU"/>
        </w:rPr>
        <w:t xml:space="preserve"> lists 15 approved products containing glycopyrronium. These products are available as inhalers and oral solution. Glycopyrronium cream is approved as a prescription only medicine in </w:t>
      </w:r>
      <w:hyperlink r:id="rId73" w:history="1">
        <w:r w:rsidRPr="004C751C">
          <w:rPr>
            <w:rStyle w:val="Hyperlink"/>
            <w:rFonts w:ascii="Calibri" w:eastAsia="Times New Roman" w:hAnsi="Calibri" w:cs="Calibri"/>
            <w:szCs w:val="22"/>
            <w:lang w:eastAsia="en-AU"/>
          </w:rPr>
          <w:t>Austria</w:t>
        </w:r>
      </w:hyperlink>
      <w:r w:rsidR="007F0D81">
        <w:rPr>
          <w:rFonts w:ascii="Calibri" w:eastAsia="Times New Roman" w:hAnsi="Calibri" w:cs="Calibri"/>
          <w:szCs w:val="22"/>
          <w:lang w:eastAsia="en-AU"/>
        </w:rPr>
        <w:t xml:space="preserve">, </w:t>
      </w:r>
      <w:hyperlink r:id="rId74" w:history="1">
        <w:r w:rsidRPr="004C751C">
          <w:rPr>
            <w:rStyle w:val="Hyperlink"/>
            <w:rFonts w:ascii="Calibri" w:eastAsia="Times New Roman" w:hAnsi="Calibri" w:cs="Calibri"/>
            <w:szCs w:val="22"/>
            <w:lang w:eastAsia="en-AU"/>
          </w:rPr>
          <w:t>Sweden</w:t>
        </w:r>
      </w:hyperlink>
      <w:r w:rsidRPr="004246BD">
        <w:rPr>
          <w:rFonts w:ascii="Calibri" w:eastAsia="Times New Roman" w:hAnsi="Calibri" w:cs="Calibri"/>
          <w:szCs w:val="22"/>
          <w:lang w:eastAsia="en-AU"/>
        </w:rPr>
        <w:t xml:space="preserve">, </w:t>
      </w:r>
      <w:hyperlink r:id="rId75" w:history="1">
        <w:r w:rsidRPr="004C751C">
          <w:rPr>
            <w:rStyle w:val="Hyperlink"/>
            <w:rFonts w:ascii="Calibri" w:eastAsia="Times New Roman" w:hAnsi="Calibri" w:cs="Calibri"/>
            <w:szCs w:val="22"/>
            <w:lang w:eastAsia="en-AU"/>
          </w:rPr>
          <w:t>Finland</w:t>
        </w:r>
      </w:hyperlink>
      <w:r w:rsidRPr="004246BD">
        <w:rPr>
          <w:rFonts w:ascii="Calibri" w:eastAsia="Times New Roman" w:hAnsi="Calibri" w:cs="Calibri"/>
          <w:szCs w:val="22"/>
          <w:lang w:eastAsia="en-AU"/>
        </w:rPr>
        <w:t xml:space="preserve"> and</w:t>
      </w:r>
      <w:r w:rsidR="00471508">
        <w:rPr>
          <w:rFonts w:ascii="Calibri" w:eastAsia="Times New Roman" w:hAnsi="Calibri" w:cs="Calibri"/>
          <w:szCs w:val="22"/>
          <w:lang w:eastAsia="en-AU"/>
        </w:rPr>
        <w:t xml:space="preserve"> the</w:t>
      </w:r>
      <w:r w:rsidRPr="004246BD">
        <w:rPr>
          <w:rFonts w:ascii="Calibri" w:eastAsia="Times New Roman" w:hAnsi="Calibri" w:cs="Calibri"/>
          <w:szCs w:val="22"/>
          <w:lang w:eastAsia="en-AU"/>
        </w:rPr>
        <w:t xml:space="preserve"> </w:t>
      </w:r>
      <w:hyperlink r:id="rId76" w:history="1">
        <w:r w:rsidR="00471508">
          <w:rPr>
            <w:rStyle w:val="Hyperlink"/>
            <w:rFonts w:ascii="Calibri" w:eastAsia="Times New Roman" w:hAnsi="Calibri" w:cs="Calibri"/>
            <w:szCs w:val="22"/>
            <w:lang w:eastAsia="en-AU"/>
          </w:rPr>
          <w:t>Netherlands</w:t>
        </w:r>
      </w:hyperlink>
      <w:r w:rsidRPr="004246BD">
        <w:rPr>
          <w:rFonts w:ascii="Calibri" w:eastAsia="Times New Roman" w:hAnsi="Calibri" w:cs="Calibri"/>
          <w:szCs w:val="22"/>
          <w:lang w:eastAsia="en-AU"/>
        </w:rPr>
        <w:t>.</w:t>
      </w:r>
    </w:p>
    <w:p w14:paraId="2FD8D9A9" w14:textId="395EB831" w:rsidR="004246BD" w:rsidRPr="004246BD" w:rsidRDefault="00A13E49"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hyperlink r:id="rId77" w:tgtFrame="_blank" w:history="1">
        <w:r w:rsidR="00471508">
          <w:rPr>
            <w:rFonts w:ascii="Calibri" w:eastAsia="Times New Roman" w:hAnsi="Calibri" w:cs="Calibri"/>
            <w:color w:val="0000FF"/>
            <w:szCs w:val="22"/>
            <w:u w:val="single"/>
            <w:lang w:eastAsia="en-AU"/>
          </w:rPr>
          <w:t>New Zealand Medicines and Medical Devices Safety Authority</w:t>
        </w:r>
      </w:hyperlink>
      <w:r w:rsidR="004246BD" w:rsidRPr="004246BD">
        <w:rPr>
          <w:rFonts w:ascii="Calibri" w:eastAsia="Times New Roman" w:hAnsi="Calibri" w:cs="Calibri"/>
          <w:szCs w:val="22"/>
          <w:lang w:eastAsia="en-AU"/>
        </w:rPr>
        <w:t xml:space="preserve"> </w:t>
      </w:r>
      <w:r w:rsidR="00471508" w:rsidRPr="00471508">
        <w:rPr>
          <w:rFonts w:ascii="Calibri" w:eastAsia="Times New Roman" w:hAnsi="Calibri" w:cs="Calibri"/>
          <w:szCs w:val="22"/>
          <w:lang w:eastAsia="en-AU"/>
        </w:rPr>
        <w:t>(</w:t>
      </w:r>
      <w:proofErr w:type="spellStart"/>
      <w:r w:rsidR="00471508" w:rsidRPr="00471508">
        <w:rPr>
          <w:rFonts w:ascii="Calibri" w:eastAsia="Times New Roman" w:hAnsi="Calibri" w:cs="Calibri"/>
          <w:szCs w:val="22"/>
          <w:lang w:eastAsia="en-AU"/>
        </w:rPr>
        <w:t>Medsafe</w:t>
      </w:r>
      <w:proofErr w:type="spellEnd"/>
      <w:r w:rsidR="00471508" w:rsidRPr="00471508">
        <w:rPr>
          <w:rFonts w:ascii="Calibri" w:eastAsia="Times New Roman" w:hAnsi="Calibri" w:cs="Calibri"/>
          <w:szCs w:val="22"/>
          <w:lang w:eastAsia="en-AU"/>
        </w:rPr>
        <w:t xml:space="preserve">) </w:t>
      </w:r>
      <w:r w:rsidR="004246BD" w:rsidRPr="004246BD">
        <w:rPr>
          <w:rFonts w:ascii="Calibri" w:eastAsia="Times New Roman" w:hAnsi="Calibri" w:cs="Calibri"/>
          <w:szCs w:val="22"/>
          <w:lang w:eastAsia="en-AU"/>
        </w:rPr>
        <w:t>lists glycopyrronium as prescription only.</w:t>
      </w:r>
    </w:p>
    <w:p w14:paraId="39FB8BBB" w14:textId="3115E011" w:rsidR="004246BD" w:rsidRPr="004246BD" w:rsidRDefault="00A13E49"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hyperlink r:id="rId78" w:tgtFrame="_blank" w:history="1">
        <w:r w:rsidR="004246BD" w:rsidRPr="004246BD">
          <w:rPr>
            <w:rFonts w:ascii="Calibri" w:eastAsia="Times New Roman" w:hAnsi="Calibri" w:cs="Calibri"/>
            <w:color w:val="0000FF"/>
            <w:szCs w:val="22"/>
            <w:u w:val="single"/>
            <w:lang w:eastAsia="en-AU"/>
          </w:rPr>
          <w:t>Canada’s Drug Product Database</w:t>
        </w:r>
      </w:hyperlink>
      <w:r w:rsidR="004246BD" w:rsidRPr="004246BD">
        <w:rPr>
          <w:rFonts w:ascii="Calibri" w:eastAsia="Times New Roman" w:hAnsi="Calibri" w:cs="Calibri"/>
          <w:szCs w:val="22"/>
          <w:lang w:eastAsia="en-AU"/>
        </w:rPr>
        <w:t xml:space="preserve"> lists 15 approved products containing glycopyrronium in the form of inhalers, oral solution and injectables. All of these products are listed as prescription only products except for injectables which are classified as ethical products.</w:t>
      </w:r>
    </w:p>
    <w:p w14:paraId="7B64E778" w14:textId="4A1D0C8A" w:rsidR="004246BD" w:rsidRPr="004246BD" w:rsidRDefault="004246BD"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r w:rsidRPr="004246BD">
        <w:rPr>
          <w:rFonts w:ascii="Calibri" w:eastAsia="Times New Roman" w:hAnsi="Calibri" w:cs="Calibri"/>
          <w:szCs w:val="22"/>
          <w:lang w:eastAsia="en-AU"/>
        </w:rPr>
        <w:t xml:space="preserve">The UK </w:t>
      </w:r>
      <w:hyperlink r:id="rId79" w:tgtFrame="_blank" w:history="1">
        <w:r w:rsidR="00471508">
          <w:rPr>
            <w:rFonts w:ascii="Calibri" w:eastAsia="Times New Roman" w:hAnsi="Calibri" w:cs="Calibri"/>
            <w:color w:val="0000FF"/>
            <w:szCs w:val="22"/>
            <w:u w:val="single"/>
            <w:lang w:eastAsia="en-AU"/>
          </w:rPr>
          <w:t>Electronic Medicines Compendium</w:t>
        </w:r>
      </w:hyperlink>
      <w:r w:rsidRPr="004246BD">
        <w:rPr>
          <w:rFonts w:ascii="Calibri" w:eastAsia="Times New Roman" w:hAnsi="Calibri" w:cs="Calibri"/>
          <w:szCs w:val="22"/>
          <w:lang w:eastAsia="en-AU"/>
        </w:rPr>
        <w:t xml:space="preserve"> </w:t>
      </w:r>
      <w:r w:rsidR="00471508" w:rsidRPr="00471508">
        <w:rPr>
          <w:rFonts w:ascii="Calibri" w:eastAsia="Times New Roman" w:hAnsi="Calibri" w:cs="Calibri"/>
          <w:szCs w:val="22"/>
          <w:lang w:eastAsia="en-AU"/>
        </w:rPr>
        <w:t>(</w:t>
      </w:r>
      <w:proofErr w:type="spellStart"/>
      <w:r w:rsidR="00471508" w:rsidRPr="00471508">
        <w:rPr>
          <w:rFonts w:ascii="Calibri" w:eastAsia="Times New Roman" w:hAnsi="Calibri" w:cs="Calibri"/>
          <w:szCs w:val="22"/>
          <w:lang w:eastAsia="en-AU"/>
        </w:rPr>
        <w:t>emc</w:t>
      </w:r>
      <w:proofErr w:type="spellEnd"/>
      <w:r w:rsidR="00471508" w:rsidRPr="00471508">
        <w:rPr>
          <w:rFonts w:ascii="Calibri" w:eastAsia="Times New Roman" w:hAnsi="Calibri" w:cs="Calibri"/>
          <w:szCs w:val="22"/>
          <w:lang w:eastAsia="en-AU"/>
        </w:rPr>
        <w:t xml:space="preserve">) </w:t>
      </w:r>
      <w:r w:rsidRPr="004246BD">
        <w:rPr>
          <w:rFonts w:ascii="Calibri" w:eastAsia="Times New Roman" w:hAnsi="Calibri" w:cs="Calibri"/>
          <w:szCs w:val="22"/>
          <w:lang w:eastAsia="en-AU"/>
        </w:rPr>
        <w:t xml:space="preserve">lists 22 approved products containing glycopyrronium. These products are present in the form of inhalers, oral tablets, oral </w:t>
      </w:r>
      <w:proofErr w:type="gramStart"/>
      <w:r w:rsidRPr="004246BD">
        <w:rPr>
          <w:rFonts w:ascii="Calibri" w:eastAsia="Times New Roman" w:hAnsi="Calibri" w:cs="Calibri"/>
          <w:szCs w:val="22"/>
          <w:lang w:eastAsia="en-AU"/>
        </w:rPr>
        <w:t>solution</w:t>
      </w:r>
      <w:proofErr w:type="gramEnd"/>
      <w:r w:rsidRPr="004246BD">
        <w:rPr>
          <w:rFonts w:ascii="Calibri" w:eastAsia="Times New Roman" w:hAnsi="Calibri" w:cs="Calibri"/>
          <w:szCs w:val="22"/>
          <w:lang w:eastAsia="en-AU"/>
        </w:rPr>
        <w:t xml:space="preserve"> and injections. All of these are available by prescription only.</w:t>
      </w:r>
    </w:p>
    <w:p w14:paraId="4B1E0BE8" w14:textId="254FBFC5" w:rsidR="004246BD" w:rsidRPr="00F318D9" w:rsidRDefault="004246BD" w:rsidP="004C7298">
      <w:pPr>
        <w:pStyle w:val="ListParagraph"/>
        <w:numPr>
          <w:ilvl w:val="0"/>
          <w:numId w:val="48"/>
        </w:numPr>
        <w:spacing w:before="0" w:after="120" w:line="259" w:lineRule="auto"/>
        <w:ind w:left="284" w:hanging="284"/>
        <w:contextualSpacing w:val="0"/>
        <w:textAlignment w:val="baseline"/>
        <w:rPr>
          <w:rFonts w:ascii="Calibri" w:eastAsia="Times New Roman" w:hAnsi="Calibri" w:cs="Calibri"/>
          <w:color w:val="333F48"/>
          <w:szCs w:val="22"/>
          <w:lang w:eastAsia="en-AU"/>
        </w:rPr>
      </w:pPr>
      <w:r w:rsidRPr="004246BD">
        <w:rPr>
          <w:rFonts w:ascii="Calibri" w:eastAsia="Times New Roman" w:hAnsi="Calibri" w:cs="Calibri"/>
          <w:szCs w:val="22"/>
          <w:lang w:eastAsia="en-AU"/>
        </w:rPr>
        <w:t xml:space="preserve">The </w:t>
      </w:r>
      <w:hyperlink r:id="rId80" w:tgtFrame="_blank" w:history="1">
        <w:r w:rsidRPr="004246BD">
          <w:rPr>
            <w:rFonts w:ascii="Calibri" w:eastAsia="Times New Roman" w:hAnsi="Calibri" w:cs="Calibri"/>
            <w:color w:val="0000FF"/>
            <w:szCs w:val="22"/>
            <w:u w:val="single"/>
            <w:lang w:eastAsia="en-AU"/>
          </w:rPr>
          <w:t>Ireland Health Products Regulation Authority</w:t>
        </w:r>
      </w:hyperlink>
      <w:r w:rsidRPr="004246BD">
        <w:rPr>
          <w:rFonts w:ascii="Calibri" w:eastAsia="Times New Roman" w:hAnsi="Calibri" w:cs="Calibri"/>
          <w:szCs w:val="22"/>
          <w:lang w:eastAsia="en-AU"/>
        </w:rPr>
        <w:t xml:space="preserve"> has 25 approved products containing glycopyrronium. These products are in the form of topical cream, inhaler, </w:t>
      </w:r>
      <w:proofErr w:type="gramStart"/>
      <w:r w:rsidRPr="004246BD">
        <w:rPr>
          <w:rFonts w:ascii="Calibri" w:eastAsia="Times New Roman" w:hAnsi="Calibri" w:cs="Calibri"/>
          <w:szCs w:val="22"/>
          <w:lang w:eastAsia="en-AU"/>
        </w:rPr>
        <w:t>injection</w:t>
      </w:r>
      <w:proofErr w:type="gramEnd"/>
      <w:r w:rsidRPr="004246BD">
        <w:rPr>
          <w:rFonts w:ascii="Calibri" w:eastAsia="Times New Roman" w:hAnsi="Calibri" w:cs="Calibri"/>
          <w:szCs w:val="22"/>
          <w:lang w:eastAsia="en-AU"/>
        </w:rPr>
        <w:t xml:space="preserve"> and oral solution. All are listed as prescription-only medicines.</w:t>
      </w:r>
    </w:p>
    <w:p w14:paraId="7FB46699" w14:textId="143B09B5" w:rsidR="00586A6E" w:rsidRPr="009401F6" w:rsidRDefault="001D5CC5" w:rsidP="00F2313E">
      <w:pPr>
        <w:pStyle w:val="Heading3"/>
      </w:pPr>
      <w:bookmarkStart w:id="82" w:name="_Toc144110874"/>
      <w:r>
        <w:t>1.5</w:t>
      </w:r>
      <w:r>
        <w:tab/>
      </w:r>
      <w:r w:rsidR="00586A6E">
        <w:t>Methenamine</w:t>
      </w:r>
      <w:bookmarkEnd w:id="82"/>
    </w:p>
    <w:p w14:paraId="46D0EBE6" w14:textId="77777777" w:rsidR="00586A6E" w:rsidRDefault="00586A6E" w:rsidP="00586A6E">
      <w:pPr>
        <w:pStyle w:val="Heading4"/>
      </w:pPr>
      <w:bookmarkStart w:id="83" w:name="_Toc144110875"/>
      <w:r>
        <w:t>Proposal</w:t>
      </w:r>
      <w:bookmarkEnd w:id="83"/>
    </w:p>
    <w:p w14:paraId="57F6BB2F" w14:textId="5D8CC408" w:rsidR="00586A6E" w:rsidRPr="00D75206" w:rsidRDefault="003B28D7" w:rsidP="00586A6E">
      <w:r>
        <w:t>The applicant has proposed to create a Schedule 2 entry for methenamine and its derivatives, in preparations for oral therapeutic use</w:t>
      </w:r>
      <w:r w:rsidR="00EA3F74">
        <w:t>. Methenamine</w:t>
      </w:r>
      <w:r w:rsidR="00817840">
        <w:t xml:space="preserve"> </w:t>
      </w:r>
      <w:r w:rsidR="00C41085">
        <w:t xml:space="preserve">is </w:t>
      </w:r>
      <w:r w:rsidR="00817840">
        <w:t xml:space="preserve">approved for </w:t>
      </w:r>
      <w:r w:rsidR="00EA3F74">
        <w:t xml:space="preserve">the </w:t>
      </w:r>
      <w:r w:rsidR="00817840">
        <w:t xml:space="preserve">suppression or elimination of bacteriuria associated with chronic or recurrent urinary tract infections (UTIs) and is currently available </w:t>
      </w:r>
      <w:r w:rsidR="00C41085">
        <w:t xml:space="preserve">for </w:t>
      </w:r>
      <w:r w:rsidR="00817840">
        <w:t>general sale.</w:t>
      </w:r>
      <w:r w:rsidR="00F729C6">
        <w:t xml:space="preserve"> </w:t>
      </w:r>
    </w:p>
    <w:p w14:paraId="2F77D1BE" w14:textId="7B9A3CB5" w:rsidR="00586A6E" w:rsidRDefault="00586A6E" w:rsidP="00586A6E">
      <w:pPr>
        <w:pStyle w:val="Heading4"/>
      </w:pPr>
      <w:bookmarkStart w:id="84" w:name="_Toc144110876"/>
      <w:r>
        <w:t>CAS number</w:t>
      </w:r>
      <w:bookmarkEnd w:id="84"/>
    </w:p>
    <w:p w14:paraId="22B62D6F" w14:textId="0AF51947" w:rsidR="00586A6E" w:rsidRDefault="00094EF3" w:rsidP="00586A6E">
      <w:r w:rsidRPr="00094EF3">
        <w:t>5714-73-8</w:t>
      </w:r>
    </w:p>
    <w:p w14:paraId="41F9B2C5" w14:textId="77777777" w:rsidR="00586A6E" w:rsidRDefault="00586A6E" w:rsidP="00586A6E">
      <w:pPr>
        <w:pStyle w:val="Heading4"/>
      </w:pPr>
      <w:bookmarkStart w:id="85" w:name="_Toc144110877"/>
      <w:r>
        <w:t>Alternative names</w:t>
      </w:r>
      <w:bookmarkEnd w:id="85"/>
    </w:p>
    <w:p w14:paraId="1A027AC5" w14:textId="7D4E86A0" w:rsidR="00094EF3" w:rsidRDefault="00094EF3" w:rsidP="00586A6E">
      <w:r>
        <w:t xml:space="preserve">Methenamine </w:t>
      </w:r>
      <w:r w:rsidR="00C41085">
        <w:t xml:space="preserve">hippurate; </w:t>
      </w:r>
      <w:r>
        <w:t xml:space="preserve">Hexamine </w:t>
      </w:r>
      <w:r w:rsidR="00C41085">
        <w:t>h</w:t>
      </w:r>
      <w:r>
        <w:t>ippurate</w:t>
      </w:r>
    </w:p>
    <w:p w14:paraId="39731109" w14:textId="77777777" w:rsidR="00586A6E" w:rsidRPr="002C1070" w:rsidRDefault="00586A6E" w:rsidP="00586A6E">
      <w:pPr>
        <w:pStyle w:val="Heading4"/>
      </w:pPr>
      <w:bookmarkStart w:id="86" w:name="_Toc144110878"/>
      <w:r>
        <w:t>Applicant</w:t>
      </w:r>
      <w:bookmarkEnd w:id="86"/>
    </w:p>
    <w:p w14:paraId="0E61685B" w14:textId="65C889BD" w:rsidR="00586A6E" w:rsidRPr="003639D9" w:rsidRDefault="00586A6E" w:rsidP="00586A6E">
      <w:r w:rsidRPr="00094EF3">
        <w:t>Private applicant</w:t>
      </w:r>
    </w:p>
    <w:p w14:paraId="5F2AE1E6" w14:textId="77777777" w:rsidR="00571A6E" w:rsidRDefault="00571A6E">
      <w:pPr>
        <w:rPr>
          <w:rFonts w:ascii="Arial" w:eastAsia="Cambria" w:hAnsi="Arial" w:cs="Times New Roman"/>
          <w:b/>
          <w:bCs/>
          <w:color w:val="001871"/>
          <w:sz w:val="28"/>
          <w:szCs w:val="26"/>
        </w:rPr>
      </w:pPr>
      <w:r>
        <w:br w:type="page"/>
      </w:r>
    </w:p>
    <w:p w14:paraId="49ED159E" w14:textId="4D876B44" w:rsidR="00586A6E" w:rsidRDefault="00586A6E" w:rsidP="00586A6E">
      <w:pPr>
        <w:pStyle w:val="Heading4"/>
      </w:pPr>
      <w:bookmarkStart w:id="87" w:name="_Toc144110879"/>
      <w:r>
        <w:lastRenderedPageBreak/>
        <w:t>Proposed Scheduling</w:t>
      </w:r>
      <w:bookmarkEnd w:id="87"/>
    </w:p>
    <w:p w14:paraId="58B7EA91" w14:textId="30A040B3" w:rsidR="000F6508" w:rsidRPr="00657EF9" w:rsidRDefault="000F6508" w:rsidP="000F6508">
      <w:r>
        <w:rPr>
          <w:rStyle w:val="normaltextrun"/>
          <w:rFonts w:eastAsia="Cambria" w:cstheme="minorHAnsi"/>
          <w:color w:val="000000"/>
          <w:szCs w:val="22"/>
          <w:shd w:val="clear" w:color="auto" w:fill="FFFFFF"/>
        </w:rPr>
        <w:t>Methenamine</w:t>
      </w:r>
      <w:r w:rsidRPr="00B2729D">
        <w:rPr>
          <w:rStyle w:val="normaltextrun"/>
          <w:rFonts w:eastAsia="Cambria" w:cstheme="minorHAnsi"/>
          <w:color w:val="000000"/>
          <w:szCs w:val="22"/>
          <w:shd w:val="clear" w:color="auto" w:fill="FFFFFF"/>
        </w:rPr>
        <w:t xml:space="preserve"> is currently listed </w:t>
      </w:r>
      <w:r>
        <w:rPr>
          <w:rStyle w:val="normaltextrun"/>
          <w:rFonts w:eastAsia="Cambria" w:cstheme="minorHAnsi"/>
          <w:color w:val="000000"/>
          <w:szCs w:val="22"/>
          <w:shd w:val="clear" w:color="auto" w:fill="FFFFFF"/>
        </w:rPr>
        <w:t>in Schedule 5 of the Poisons Standard.</w:t>
      </w:r>
    </w:p>
    <w:p w14:paraId="0EDC4F17" w14:textId="0700A0BC" w:rsidR="00586A6E" w:rsidRPr="0072362E" w:rsidRDefault="00586A6E" w:rsidP="00586A6E">
      <w:r w:rsidRPr="0072362E">
        <w:t>The applicant’s proposed amendments to the Poisons Standard are</w:t>
      </w:r>
      <w:r w:rsidR="00C41085">
        <w:t>:</w:t>
      </w:r>
      <w:r w:rsidR="008D4FF7">
        <w:rPr>
          <w:rStyle w:val="FootnoteReference"/>
        </w:rPr>
        <w:footnoteReference w:id="6"/>
      </w:r>
      <w:r w:rsidR="008D4FF7" w:rsidRPr="0072362E">
        <w:t xml:space="preserve"> </w:t>
      </w:r>
    </w:p>
    <w:p w14:paraId="4A408361" w14:textId="5E1AA8E9" w:rsidR="00E80E3F" w:rsidRPr="00E80E3F" w:rsidRDefault="00A95B6F" w:rsidP="00E80E3F">
      <w:pPr>
        <w:ind w:left="426"/>
        <w:rPr>
          <w:b/>
        </w:rPr>
      </w:pPr>
      <w:r>
        <w:rPr>
          <w:b/>
          <w:bCs/>
        </w:rPr>
        <w:t>Schedule</w:t>
      </w:r>
      <w:r w:rsidRPr="00E80E3F">
        <w:rPr>
          <w:b/>
          <w:bCs/>
        </w:rPr>
        <w:t xml:space="preserve"> </w:t>
      </w:r>
      <w:r w:rsidR="00E80E3F" w:rsidRPr="00E80E3F">
        <w:rPr>
          <w:b/>
          <w:bCs/>
        </w:rPr>
        <w:t>5</w:t>
      </w:r>
    </w:p>
    <w:p w14:paraId="27FCEA7E" w14:textId="5918226E" w:rsidR="00E80E3F" w:rsidRPr="00E80E3F" w:rsidRDefault="00E80E3F" w:rsidP="0072362E">
      <w:pPr>
        <w:ind w:left="720"/>
        <w:rPr>
          <w:bCs/>
        </w:rPr>
      </w:pPr>
      <w:r w:rsidRPr="00C41085">
        <w:rPr>
          <w:bCs/>
        </w:rPr>
        <w:t>METHENAMINE</w:t>
      </w:r>
      <w:r w:rsidRPr="00E80E3F">
        <w:rPr>
          <w:bCs/>
        </w:rPr>
        <w:t xml:space="preserve"> in cosmetic preparations, </w:t>
      </w:r>
      <w:r w:rsidRPr="00E80E3F">
        <w:rPr>
          <w:b/>
        </w:rPr>
        <w:t>except</w:t>
      </w:r>
      <w:r w:rsidRPr="00E80E3F">
        <w:rPr>
          <w:bCs/>
        </w:rPr>
        <w:t xml:space="preserve"> in preparations containing 0.15% or less of </w:t>
      </w:r>
      <w:proofErr w:type="gramStart"/>
      <w:r w:rsidRPr="00E80E3F">
        <w:rPr>
          <w:bCs/>
        </w:rPr>
        <w:t>methenamine</w:t>
      </w:r>
      <w:proofErr w:type="gramEnd"/>
    </w:p>
    <w:p w14:paraId="2CBCBDD7" w14:textId="3FCEE296" w:rsidR="00E80E3F" w:rsidRPr="0072362E" w:rsidRDefault="00A95B6F" w:rsidP="00E80E3F">
      <w:pPr>
        <w:ind w:left="426"/>
        <w:rPr>
          <w:b/>
          <w:bCs/>
        </w:rPr>
      </w:pPr>
      <w:r>
        <w:rPr>
          <w:b/>
          <w:bCs/>
        </w:rPr>
        <w:t>Schedule</w:t>
      </w:r>
      <w:r w:rsidRPr="0072362E">
        <w:rPr>
          <w:b/>
          <w:bCs/>
        </w:rPr>
        <w:t xml:space="preserve"> </w:t>
      </w:r>
      <w:r w:rsidR="00E80E3F" w:rsidRPr="0072362E">
        <w:rPr>
          <w:b/>
          <w:bCs/>
        </w:rPr>
        <w:t>2</w:t>
      </w:r>
      <w:r w:rsidR="004A5739" w:rsidRPr="0072362E">
        <w:rPr>
          <w:b/>
          <w:bCs/>
        </w:rPr>
        <w:t xml:space="preserve"> – New entry</w:t>
      </w:r>
    </w:p>
    <w:p w14:paraId="5FCBA151" w14:textId="48D3E986" w:rsidR="00E80E3F" w:rsidRPr="00E80E3F" w:rsidRDefault="00E80E3F" w:rsidP="0072362E">
      <w:pPr>
        <w:ind w:left="720"/>
        <w:rPr>
          <w:color w:val="00B050"/>
        </w:rPr>
      </w:pPr>
      <w:r w:rsidRPr="00E80E3F">
        <w:rPr>
          <w:color w:val="00B050"/>
          <w:u w:val="single"/>
        </w:rPr>
        <w:t>METHENAMINE and its derivatives in preparations for oral therapeutic use</w:t>
      </w:r>
    </w:p>
    <w:p w14:paraId="7C772DD0" w14:textId="79CA38A7" w:rsidR="00586A6E" w:rsidRDefault="00586A6E" w:rsidP="00586A6E">
      <w:pPr>
        <w:ind w:left="426"/>
        <w:rPr>
          <w:b/>
        </w:rPr>
      </w:pPr>
      <w:r w:rsidRPr="0072362E">
        <w:rPr>
          <w:b/>
        </w:rPr>
        <w:t>Index – Amend Entry</w:t>
      </w:r>
    </w:p>
    <w:p w14:paraId="56E7B250" w14:textId="6717E7C2" w:rsidR="004A5739" w:rsidRDefault="004A5739">
      <w:pPr>
        <w:ind w:left="720"/>
        <w:rPr>
          <w:rFonts w:cstheme="minorHAnsi"/>
        </w:rPr>
      </w:pPr>
      <w:r w:rsidRPr="0072362E">
        <w:rPr>
          <w:rFonts w:cstheme="minorHAnsi"/>
          <w:b/>
          <w:bCs/>
        </w:rPr>
        <w:t>METHENAMINE</w:t>
      </w:r>
      <w:r>
        <w:rPr>
          <w:rFonts w:cstheme="minorHAnsi"/>
        </w:rPr>
        <w:t xml:space="preserve"> </w:t>
      </w:r>
      <w:r>
        <w:rPr>
          <w:rFonts w:cstheme="minorHAnsi"/>
        </w:rPr>
        <w:br/>
      </w:r>
      <w:r w:rsidRPr="00094EF3">
        <w:rPr>
          <w:rFonts w:cstheme="minorHAnsi"/>
        </w:rPr>
        <w:t>cross reference: 1,3,5,7-</w:t>
      </w:r>
      <w:proofErr w:type="gramStart"/>
      <w:r w:rsidRPr="00094EF3">
        <w:rPr>
          <w:rFonts w:cstheme="minorHAnsi"/>
        </w:rPr>
        <w:t>TETRAAZATRICYLO</w:t>
      </w:r>
      <w:r w:rsidR="00B57EB5">
        <w:t>[</w:t>
      </w:r>
      <w:proofErr w:type="gramEnd"/>
      <w:r w:rsidR="00B57EB5">
        <w:t>3.3.1.1</w:t>
      </w:r>
      <w:r w:rsidR="00B57EB5">
        <w:rPr>
          <w:vertAlign w:val="superscript"/>
        </w:rPr>
        <w:t>3,7</w:t>
      </w:r>
      <w:r w:rsidR="00B57EB5">
        <w:t>]</w:t>
      </w:r>
      <w:r w:rsidRPr="00094EF3">
        <w:rPr>
          <w:rFonts w:cstheme="minorHAnsi"/>
        </w:rPr>
        <w:t xml:space="preserve"> DECANE, HEXAMINE, HEXAMETHYLENETETRAMINE</w:t>
      </w:r>
    </w:p>
    <w:p w14:paraId="03256CDE" w14:textId="49B7BC5A" w:rsidR="00586A6E" w:rsidRDefault="004A5739" w:rsidP="0072362E">
      <w:pPr>
        <w:ind w:left="720"/>
        <w:rPr>
          <w:rFonts w:cstheme="minorHAnsi"/>
        </w:rPr>
      </w:pPr>
      <w:r w:rsidRPr="00094EF3">
        <w:rPr>
          <w:rFonts w:cstheme="minorHAnsi"/>
        </w:rPr>
        <w:t>Schedule 5</w:t>
      </w:r>
      <w:r>
        <w:rPr>
          <w:rFonts w:cstheme="minorHAnsi"/>
        </w:rPr>
        <w:br/>
      </w:r>
      <w:r w:rsidRPr="004A5739">
        <w:rPr>
          <w:rFonts w:cstheme="minorHAnsi"/>
          <w:color w:val="00B050"/>
          <w:u w:val="single"/>
        </w:rPr>
        <w:t>Schedule 2</w:t>
      </w:r>
    </w:p>
    <w:p w14:paraId="371619C0" w14:textId="77777777" w:rsidR="00586A6E" w:rsidRDefault="00586A6E" w:rsidP="00586A6E">
      <w:pPr>
        <w:pStyle w:val="Heading4"/>
      </w:pPr>
      <w:bookmarkStart w:id="88" w:name="_Toc144110880"/>
      <w:r>
        <w:t>Background</w:t>
      </w:r>
      <w:bookmarkEnd w:id="88"/>
    </w:p>
    <w:p w14:paraId="1AB2DE7D" w14:textId="2BCD0DC1" w:rsidR="00C12EE3" w:rsidRDefault="00EA3F74" w:rsidP="00586A6E">
      <w:r>
        <w:t xml:space="preserve">Methenamine has several uses across the cosmetic, therapeutic, domestic, and industrial environments. </w:t>
      </w:r>
      <w:r w:rsidR="00817840">
        <w:t>Methenamine</w:t>
      </w:r>
      <w:r w:rsidR="00C12EE3">
        <w:t xml:space="preserve"> has not previously been considered for scheduling for therapeutic purposes but was placed in Schedule 5 for cosmetic </w:t>
      </w:r>
      <w:r w:rsidR="00817840">
        <w:t>uses</w:t>
      </w:r>
      <w:r w:rsidR="00C12EE3">
        <w:t xml:space="preserve"> in March 2014. </w:t>
      </w:r>
      <w:r w:rsidR="00C41085">
        <w:t>M</w:t>
      </w:r>
      <w:r w:rsidR="00C12EE3">
        <w:t xml:space="preserve">ethenamine hippurate has been supplied and sold in </w:t>
      </w:r>
      <w:r w:rsidR="00C41085">
        <w:t xml:space="preserve">therapeutic products in </w:t>
      </w:r>
      <w:r w:rsidR="00C12EE3">
        <w:t>Australia since 1991.</w:t>
      </w:r>
    </w:p>
    <w:p w14:paraId="5CD36BBC" w14:textId="77777777" w:rsidR="00586A6E" w:rsidRDefault="00586A6E" w:rsidP="00586A6E">
      <w:pPr>
        <w:pStyle w:val="Heading4"/>
      </w:pPr>
      <w:bookmarkStart w:id="89" w:name="_Toc144110881"/>
      <w:r>
        <w:t>Summary of applicant’s reasons for the proposal</w:t>
      </w:r>
      <w:bookmarkEnd w:id="89"/>
    </w:p>
    <w:p w14:paraId="13419760" w14:textId="1A3F003D" w:rsidR="00B57EB5" w:rsidRPr="00EA3F74" w:rsidRDefault="00EF335F" w:rsidP="004C7298">
      <w:pPr>
        <w:pStyle w:val="ListParagraph"/>
        <w:numPr>
          <w:ilvl w:val="0"/>
          <w:numId w:val="17"/>
        </w:numPr>
        <w:spacing w:before="0" w:after="120" w:line="259" w:lineRule="auto"/>
        <w:ind w:left="425" w:hanging="357"/>
        <w:rPr>
          <w:rFonts w:asciiTheme="minorHAnsi" w:hAnsiTheme="minorHAnsi" w:cstheme="minorHAnsi"/>
        </w:rPr>
      </w:pPr>
      <w:r w:rsidRPr="00EA3F74">
        <w:rPr>
          <w:rFonts w:asciiTheme="minorHAnsi" w:hAnsiTheme="minorHAnsi" w:cstheme="minorHAnsi"/>
        </w:rPr>
        <w:t>The applicant has proposed to create a Schedule 2 entry for therapeutic use of methenamine. This amendment would require all products currently available at the general sales level, to be sold in pharmacies only</w:t>
      </w:r>
      <w:r w:rsidR="00B57EB5">
        <w:rPr>
          <w:rFonts w:asciiTheme="minorHAnsi" w:hAnsiTheme="minorHAnsi" w:cstheme="minorHAnsi"/>
        </w:rPr>
        <w:t>.</w:t>
      </w:r>
    </w:p>
    <w:p w14:paraId="2E011B4C" w14:textId="1EA0DFAA" w:rsidR="00EF335F" w:rsidRPr="00EB1099" w:rsidRDefault="00EF335F" w:rsidP="004C7298">
      <w:pPr>
        <w:pStyle w:val="ListParagraph"/>
        <w:numPr>
          <w:ilvl w:val="0"/>
          <w:numId w:val="17"/>
        </w:numPr>
        <w:spacing w:before="0" w:after="120" w:line="259" w:lineRule="auto"/>
        <w:ind w:left="425" w:hanging="357"/>
        <w:rPr>
          <w:rFonts w:asciiTheme="minorHAnsi" w:hAnsiTheme="minorHAnsi" w:cstheme="minorHAnsi"/>
        </w:rPr>
      </w:pPr>
      <w:r w:rsidRPr="00EB1099">
        <w:rPr>
          <w:rFonts w:asciiTheme="minorHAnsi" w:hAnsiTheme="minorHAnsi" w:cstheme="minorHAnsi"/>
        </w:rPr>
        <w:t xml:space="preserve">The availability of methenamine to </w:t>
      </w:r>
      <w:r w:rsidR="00B57EB5" w:rsidRPr="00EB1099">
        <w:rPr>
          <w:rFonts w:asciiTheme="minorHAnsi" w:hAnsiTheme="minorHAnsi" w:cstheme="minorHAnsi"/>
        </w:rPr>
        <w:t xml:space="preserve">suppress or eliminate bacteriuria associated with chronic or recurrent urinary tract infection (UTI) </w:t>
      </w:r>
      <w:r w:rsidR="00EA3F74" w:rsidRPr="00EB1099">
        <w:rPr>
          <w:rFonts w:asciiTheme="minorHAnsi" w:hAnsiTheme="minorHAnsi" w:cstheme="minorHAnsi"/>
        </w:rPr>
        <w:t>poses a risk to public health as the indications could mask a more serious disease, ailment, or injury. Access to discussion with a pharmacist to ensure proper use of the substance is required.</w:t>
      </w:r>
    </w:p>
    <w:p w14:paraId="5EF1C216" w14:textId="2591876E" w:rsidR="00EA3F74" w:rsidRDefault="00EA3F74" w:rsidP="004C7298">
      <w:pPr>
        <w:pStyle w:val="ListParagraph"/>
        <w:numPr>
          <w:ilvl w:val="0"/>
          <w:numId w:val="17"/>
        </w:numPr>
        <w:spacing w:before="0" w:after="120" w:line="259" w:lineRule="auto"/>
        <w:ind w:left="425" w:hanging="357"/>
        <w:rPr>
          <w:rFonts w:asciiTheme="minorHAnsi" w:hAnsiTheme="minorHAnsi" w:cstheme="minorHAnsi"/>
        </w:rPr>
      </w:pPr>
      <w:r w:rsidRPr="000074BA">
        <w:rPr>
          <w:rFonts w:asciiTheme="minorHAnsi" w:hAnsiTheme="minorHAnsi" w:cstheme="minorHAnsi"/>
        </w:rPr>
        <w:t>The move to pharmacy only medicine (Schedule 2), would ensure that a pharmacist is available to assist patients who are new to the product that it is the correct treatment option for their condition</w:t>
      </w:r>
      <w:r w:rsidR="000074BA" w:rsidRPr="000074BA">
        <w:rPr>
          <w:rFonts w:asciiTheme="minorHAnsi" w:hAnsiTheme="minorHAnsi" w:cstheme="minorHAnsi"/>
        </w:rPr>
        <w:t xml:space="preserve"> and </w:t>
      </w:r>
      <w:r w:rsidR="000074BA" w:rsidRPr="00EB1099">
        <w:rPr>
          <w:rFonts w:asciiTheme="minorHAnsi" w:hAnsiTheme="minorHAnsi" w:cstheme="minorHAnsi"/>
        </w:rPr>
        <w:t xml:space="preserve">patients who are familiar with using the product </w:t>
      </w:r>
      <w:r w:rsidR="000074BA">
        <w:rPr>
          <w:rFonts w:asciiTheme="minorHAnsi" w:hAnsiTheme="minorHAnsi" w:cstheme="minorHAnsi"/>
        </w:rPr>
        <w:t xml:space="preserve">will continue to be able </w:t>
      </w:r>
      <w:r w:rsidR="0038013C">
        <w:rPr>
          <w:rFonts w:asciiTheme="minorHAnsi" w:hAnsiTheme="minorHAnsi" w:cstheme="minorHAnsi"/>
        </w:rPr>
        <w:t xml:space="preserve">to </w:t>
      </w:r>
      <w:r w:rsidR="0038013C" w:rsidRPr="0038013C">
        <w:rPr>
          <w:rFonts w:asciiTheme="minorHAnsi" w:hAnsiTheme="minorHAnsi" w:cstheme="minorHAnsi"/>
        </w:rPr>
        <w:t>access</w:t>
      </w:r>
      <w:r w:rsidR="000074BA" w:rsidRPr="00EB1099">
        <w:rPr>
          <w:rFonts w:asciiTheme="minorHAnsi" w:hAnsiTheme="minorHAnsi" w:cstheme="minorHAnsi"/>
        </w:rPr>
        <w:t xml:space="preserve"> it as needed over the counter in a pharmacy</w:t>
      </w:r>
      <w:r w:rsidR="000074BA">
        <w:rPr>
          <w:rFonts w:asciiTheme="minorHAnsi" w:hAnsiTheme="minorHAnsi" w:cstheme="minorHAnsi"/>
        </w:rPr>
        <w:t>.</w:t>
      </w:r>
    </w:p>
    <w:p w14:paraId="22E7C9DC" w14:textId="5BFC394B" w:rsidR="00EA3F74" w:rsidRPr="00EA3F74" w:rsidRDefault="00EA3F74" w:rsidP="004C7298">
      <w:pPr>
        <w:pStyle w:val="ListParagraph"/>
        <w:numPr>
          <w:ilvl w:val="0"/>
          <w:numId w:val="17"/>
        </w:numPr>
        <w:spacing w:before="0" w:after="120" w:line="259" w:lineRule="auto"/>
        <w:ind w:left="425" w:hanging="357"/>
        <w:rPr>
          <w:rFonts w:asciiTheme="minorHAnsi" w:hAnsiTheme="minorHAnsi" w:cstheme="minorHAnsi"/>
        </w:rPr>
      </w:pPr>
      <w:r>
        <w:rPr>
          <w:rFonts w:asciiTheme="minorHAnsi" w:hAnsiTheme="minorHAnsi" w:cstheme="minorHAnsi"/>
        </w:rPr>
        <w:t xml:space="preserve">Moving therapeutic use of methenamine to Schedule 2 will align with </w:t>
      </w:r>
      <w:r w:rsidR="008C5788">
        <w:rPr>
          <w:rFonts w:asciiTheme="minorHAnsi" w:hAnsiTheme="minorHAnsi" w:cstheme="minorHAnsi"/>
        </w:rPr>
        <w:t xml:space="preserve">the controls of </w:t>
      </w:r>
      <w:r>
        <w:rPr>
          <w:rFonts w:asciiTheme="minorHAnsi" w:hAnsiTheme="minorHAnsi" w:cstheme="minorHAnsi"/>
        </w:rPr>
        <w:t>other international regulatory bodies</w:t>
      </w:r>
      <w:r w:rsidR="008C5788">
        <w:rPr>
          <w:rFonts w:asciiTheme="minorHAnsi" w:hAnsiTheme="minorHAnsi" w:cstheme="minorHAnsi"/>
        </w:rPr>
        <w:t xml:space="preserve"> and the </w:t>
      </w:r>
      <w:hyperlink r:id="rId81" w:history="1">
        <w:r w:rsidR="008C5788" w:rsidRPr="008B4FA7">
          <w:rPr>
            <w:rStyle w:val="Hyperlink"/>
            <w:rFonts w:asciiTheme="minorHAnsi" w:hAnsiTheme="minorHAnsi" w:cstheme="minorHAnsi"/>
          </w:rPr>
          <w:t>scheduling factors</w:t>
        </w:r>
      </w:hyperlink>
      <w:r w:rsidR="008C5788">
        <w:rPr>
          <w:rFonts w:asciiTheme="minorHAnsi" w:hAnsiTheme="minorHAnsi" w:cstheme="minorHAnsi"/>
        </w:rPr>
        <w:t xml:space="preserve"> for pharmacy only medicines</w:t>
      </w:r>
      <w:r w:rsidR="0038013C">
        <w:rPr>
          <w:rFonts w:asciiTheme="minorHAnsi" w:hAnsiTheme="minorHAnsi" w:cstheme="minorHAnsi"/>
        </w:rPr>
        <w:t xml:space="preserve"> in Australia.</w:t>
      </w:r>
    </w:p>
    <w:p w14:paraId="200B5BB5" w14:textId="77777777" w:rsidR="00571A6E" w:rsidRDefault="00571A6E">
      <w:pPr>
        <w:rPr>
          <w:rFonts w:ascii="Arial" w:eastAsia="Cambria" w:hAnsi="Arial" w:cs="Times New Roman"/>
          <w:b/>
          <w:bCs/>
          <w:color w:val="001871"/>
          <w:sz w:val="28"/>
          <w:szCs w:val="26"/>
        </w:rPr>
      </w:pPr>
      <w:r>
        <w:br w:type="page"/>
      </w:r>
    </w:p>
    <w:p w14:paraId="6056594B" w14:textId="3B1497AB" w:rsidR="00586A6E" w:rsidRDefault="00586A6E" w:rsidP="00586A6E">
      <w:pPr>
        <w:pStyle w:val="Heading4"/>
      </w:pPr>
      <w:bookmarkStart w:id="90" w:name="_Toc144110882"/>
      <w:r>
        <w:lastRenderedPageBreak/>
        <w:t xml:space="preserve">Key uses / expected </w:t>
      </w:r>
      <w:proofErr w:type="gramStart"/>
      <w:r>
        <w:t>use</w:t>
      </w:r>
      <w:bookmarkEnd w:id="90"/>
      <w:proofErr w:type="gramEnd"/>
    </w:p>
    <w:p w14:paraId="6BAC8675" w14:textId="5CF55826" w:rsidR="00586A6E" w:rsidRDefault="00C41085" w:rsidP="00586A6E">
      <w:r>
        <w:t>M</w:t>
      </w:r>
      <w:r w:rsidR="00E32F16">
        <w:t>edicines</w:t>
      </w:r>
      <w:r>
        <w:t xml:space="preserve">, </w:t>
      </w:r>
      <w:r w:rsidR="00E32F16">
        <w:t>cosmetics, domestic use, industrial use</w:t>
      </w:r>
      <w:r>
        <w:t xml:space="preserve">, </w:t>
      </w:r>
      <w:r w:rsidR="00E32F16">
        <w:t xml:space="preserve">food </w:t>
      </w:r>
      <w:r>
        <w:t>(</w:t>
      </w:r>
      <w:r w:rsidR="00E32F16">
        <w:t>preservative)</w:t>
      </w:r>
    </w:p>
    <w:p w14:paraId="54AF2C24" w14:textId="77777777" w:rsidR="00586A6E" w:rsidRDefault="00586A6E" w:rsidP="00586A6E">
      <w:pPr>
        <w:pStyle w:val="Heading4"/>
      </w:pPr>
      <w:bookmarkStart w:id="91" w:name="_Toc144110883"/>
      <w:r>
        <w:t>Australian regulations</w:t>
      </w:r>
      <w:bookmarkEnd w:id="91"/>
    </w:p>
    <w:p w14:paraId="2F58AF9E" w14:textId="4239ABBE" w:rsidR="00586A6E" w:rsidRPr="00603580" w:rsidRDefault="00586A6E" w:rsidP="00EB1099">
      <w:pPr>
        <w:pStyle w:val="ListBullet"/>
        <w:numPr>
          <w:ilvl w:val="0"/>
          <w:numId w:val="83"/>
        </w:numPr>
      </w:pPr>
      <w:r w:rsidRPr="00603580">
        <w:t xml:space="preserve">According to the </w:t>
      </w:r>
      <w:hyperlink r:id="rId82" w:history="1">
        <w:r w:rsidRPr="008007EB">
          <w:rPr>
            <w:rStyle w:val="Hyperlink"/>
            <w:rFonts w:asciiTheme="minorHAnsi" w:hAnsiTheme="minorHAnsi"/>
          </w:rPr>
          <w:t>TGA Ingredient Database</w:t>
        </w:r>
      </w:hyperlink>
      <w:r w:rsidRPr="00603580">
        <w:t xml:space="preserve">, </w:t>
      </w:r>
      <w:r w:rsidR="00E32F16" w:rsidRPr="00603580">
        <w:t>methenamine</w:t>
      </w:r>
      <w:r w:rsidRPr="00603580">
        <w:t xml:space="preserve"> </w:t>
      </w:r>
      <w:r w:rsidR="009531B4" w:rsidRPr="00603580">
        <w:t xml:space="preserve">(hippurate) </w:t>
      </w:r>
      <w:r w:rsidRPr="00603580">
        <w:t>is:</w:t>
      </w:r>
    </w:p>
    <w:p w14:paraId="51D4F3BF" w14:textId="5301F8F2" w:rsidR="00E32F16" w:rsidRPr="00603580" w:rsidRDefault="00E32F16" w:rsidP="00EB1099">
      <w:pPr>
        <w:pStyle w:val="ListBullet"/>
        <w:numPr>
          <w:ilvl w:val="0"/>
          <w:numId w:val="53"/>
        </w:numPr>
        <w:ind w:left="714" w:hanging="357"/>
      </w:pPr>
      <w:r w:rsidRPr="00603580">
        <w:t>Available for use as an Active Ingredient in Biologicals</w:t>
      </w:r>
      <w:r w:rsidR="009531B4" w:rsidRPr="00603580">
        <w:t>, Export Only, Over the Counter</w:t>
      </w:r>
      <w:r w:rsidRPr="00603580">
        <w:t xml:space="preserve"> and Prescription Medicines.</w:t>
      </w:r>
    </w:p>
    <w:p w14:paraId="7B9926B0" w14:textId="6032F0B3" w:rsidR="00E32F16" w:rsidRPr="00603580" w:rsidRDefault="00E32F16" w:rsidP="00EB1099">
      <w:pPr>
        <w:pStyle w:val="ListBullet"/>
        <w:numPr>
          <w:ilvl w:val="0"/>
          <w:numId w:val="53"/>
        </w:numPr>
        <w:ind w:left="714" w:hanging="357"/>
      </w:pPr>
      <w:r w:rsidRPr="00603580">
        <w:t>Available for use as an Excipient ingredient in Biologicals, Devices and Prescription Medicines.</w:t>
      </w:r>
    </w:p>
    <w:p w14:paraId="425F5701" w14:textId="642637BA" w:rsidR="00E32F16" w:rsidRPr="00603580" w:rsidRDefault="00E32F16" w:rsidP="00EB1099">
      <w:pPr>
        <w:pStyle w:val="ListBullet"/>
        <w:numPr>
          <w:ilvl w:val="0"/>
          <w:numId w:val="53"/>
        </w:numPr>
        <w:ind w:left="714" w:hanging="357"/>
      </w:pPr>
      <w:r w:rsidRPr="00603580">
        <w:t>Not available as an Equivalent Ingredient in any application.</w:t>
      </w:r>
    </w:p>
    <w:p w14:paraId="78561D28" w14:textId="1DCA7B9E" w:rsidR="00586A6E" w:rsidRPr="00E32F16" w:rsidRDefault="00586A6E" w:rsidP="00EB1099">
      <w:pPr>
        <w:pStyle w:val="ListBullet"/>
        <w:numPr>
          <w:ilvl w:val="0"/>
          <w:numId w:val="83"/>
        </w:numPr>
      </w:pPr>
      <w:r w:rsidRPr="00603580">
        <w:t xml:space="preserve">As of </w:t>
      </w:r>
      <w:r w:rsidR="0076461D" w:rsidRPr="00603580">
        <w:t xml:space="preserve">July 2023, </w:t>
      </w:r>
      <w:r w:rsidRPr="00603580">
        <w:t xml:space="preserve">there were </w:t>
      </w:r>
      <w:r w:rsidR="009531B4" w:rsidRPr="00603580">
        <w:t>10</w:t>
      </w:r>
      <w:r w:rsidRPr="00603580">
        <w:t xml:space="preserve"> medicines currently active on the </w:t>
      </w:r>
      <w:hyperlink r:id="rId83"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8007EB">
        <w:t xml:space="preserve"> </w:t>
      </w:r>
      <w:r w:rsidRPr="00603580">
        <w:t xml:space="preserve">that contain </w:t>
      </w:r>
      <w:r w:rsidR="009531B4" w:rsidRPr="00603580">
        <w:t>methenamine (hippurate)</w:t>
      </w:r>
      <w:r w:rsidRPr="00603580">
        <w:t xml:space="preserve"> as an active ingredient</w:t>
      </w:r>
      <w:r w:rsidR="009531B4" w:rsidRPr="00603580">
        <w:t>, all of which are non-prescription products.</w:t>
      </w:r>
    </w:p>
    <w:p w14:paraId="0EB49E8E" w14:textId="59771100" w:rsidR="00586A6E" w:rsidRPr="0076461D" w:rsidRDefault="009531B4" w:rsidP="00EB1099">
      <w:pPr>
        <w:pStyle w:val="ListBullet"/>
        <w:numPr>
          <w:ilvl w:val="0"/>
          <w:numId w:val="83"/>
        </w:numPr>
      </w:pPr>
      <w:r>
        <w:t>Methenamine</w:t>
      </w:r>
      <w:r w:rsidR="00586A6E" w:rsidRPr="009531B4">
        <w:t xml:space="preserve"> is not permitted to be included in listed medicines as it is not included in the</w:t>
      </w:r>
      <w:r w:rsidR="009C26DB">
        <w:t xml:space="preserve"> </w:t>
      </w:r>
      <w:hyperlink r:id="rId84" w:history="1">
        <w:r w:rsidR="00586A6E" w:rsidRPr="008007EB">
          <w:rPr>
            <w:rStyle w:val="Hyperlink"/>
            <w:rFonts w:asciiTheme="minorHAnsi" w:hAnsiTheme="minorHAnsi"/>
          </w:rPr>
          <w:t>Therapeutic Goods (Permissible Ingredients) Determination</w:t>
        </w:r>
      </w:hyperlink>
      <w:r w:rsidR="00586A6E" w:rsidRPr="008007EB">
        <w:t xml:space="preserve"> </w:t>
      </w:r>
      <w:r w:rsidR="00586A6E" w:rsidRPr="009531B4">
        <w:t>No.</w:t>
      </w:r>
      <w:r>
        <w:t>3</w:t>
      </w:r>
      <w:r w:rsidR="00586A6E" w:rsidRPr="009531B4">
        <w:t xml:space="preserve"> of 20</w:t>
      </w:r>
      <w:r>
        <w:t>23.</w:t>
      </w:r>
    </w:p>
    <w:p w14:paraId="4A2E03C8" w14:textId="55AF7FF9" w:rsidR="00586A6E" w:rsidRPr="008007EB" w:rsidRDefault="00586A6E" w:rsidP="00EB1099">
      <w:pPr>
        <w:pStyle w:val="ListBullet"/>
        <w:numPr>
          <w:ilvl w:val="0"/>
          <w:numId w:val="83"/>
        </w:numPr>
      </w:pPr>
      <w:r w:rsidRPr="008007EB">
        <w:t xml:space="preserve">The </w:t>
      </w:r>
      <w:hyperlink r:id="rId85" w:history="1">
        <w:r w:rsidRPr="008007EB">
          <w:rPr>
            <w:rStyle w:val="Hyperlink"/>
            <w:rFonts w:asciiTheme="minorHAnsi" w:hAnsiTheme="minorHAnsi"/>
          </w:rPr>
          <w:t>TGA prescribing medicines in pregnancy database</w:t>
        </w:r>
      </w:hyperlink>
      <w:r w:rsidRPr="00D85AA6">
        <w:t xml:space="preserve"> classifies </w:t>
      </w:r>
      <w:r w:rsidR="00D85AA6" w:rsidRPr="00D85AA6">
        <w:t>methenamine</w:t>
      </w:r>
      <w:r w:rsidRPr="00D85AA6">
        <w:t xml:space="preserve"> as:</w:t>
      </w:r>
    </w:p>
    <w:tbl>
      <w:tblPr>
        <w:tblStyle w:val="TableTGAblue"/>
        <w:tblW w:w="8670" w:type="dxa"/>
        <w:tblInd w:w="392" w:type="dxa"/>
        <w:tblLook w:val="04A0" w:firstRow="1" w:lastRow="0" w:firstColumn="1" w:lastColumn="0" w:noHBand="0" w:noVBand="1"/>
      </w:tblPr>
      <w:tblGrid>
        <w:gridCol w:w="1607"/>
        <w:gridCol w:w="1535"/>
        <w:gridCol w:w="2835"/>
        <w:gridCol w:w="2693"/>
      </w:tblGrid>
      <w:tr w:rsidR="009C26DB" w:rsidRPr="008007EB" w14:paraId="1223002E" w14:textId="77777777" w:rsidTr="008D4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6253F76E" w14:textId="77777777" w:rsidR="009C26DB" w:rsidRPr="008007EB" w:rsidRDefault="009C26DB" w:rsidP="00C67045">
            <w:pPr>
              <w:keepLines/>
              <w:spacing w:before="60" w:after="60"/>
              <w:rPr>
                <w:rFonts w:asciiTheme="minorHAnsi" w:hAnsiTheme="minorHAnsi" w:cstheme="minorHAnsi"/>
                <w:sz w:val="20"/>
                <w:szCs w:val="20"/>
              </w:rPr>
            </w:pPr>
            <w:r w:rsidRPr="008007EB">
              <w:rPr>
                <w:rFonts w:asciiTheme="minorHAnsi" w:hAnsiTheme="minorHAnsi" w:cstheme="minorHAnsi"/>
                <w:sz w:val="20"/>
                <w:szCs w:val="20"/>
              </w:rPr>
              <w:t>Drug name</w:t>
            </w:r>
          </w:p>
        </w:tc>
        <w:tc>
          <w:tcPr>
            <w:tcW w:w="1535" w:type="dxa"/>
          </w:tcPr>
          <w:p w14:paraId="4A4826C1" w14:textId="77777777" w:rsidR="009C26DB" w:rsidRPr="008007EB" w:rsidRDefault="009C26DB" w:rsidP="00C6704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Category</w:t>
            </w:r>
          </w:p>
        </w:tc>
        <w:tc>
          <w:tcPr>
            <w:tcW w:w="2835" w:type="dxa"/>
          </w:tcPr>
          <w:p w14:paraId="4D039440" w14:textId="77777777" w:rsidR="009C26DB" w:rsidRPr="008007EB" w:rsidRDefault="009C26DB" w:rsidP="00C6704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Classification Level 1</w:t>
            </w:r>
          </w:p>
        </w:tc>
        <w:tc>
          <w:tcPr>
            <w:tcW w:w="2693" w:type="dxa"/>
          </w:tcPr>
          <w:p w14:paraId="1D5B48CC" w14:textId="77777777" w:rsidR="009C26DB" w:rsidRPr="008007EB" w:rsidRDefault="009C26DB" w:rsidP="00C67045">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Classification Level 2</w:t>
            </w:r>
          </w:p>
        </w:tc>
      </w:tr>
      <w:tr w:rsidR="009C26DB" w:rsidRPr="008007EB" w14:paraId="0CE80E9D" w14:textId="77777777" w:rsidTr="008D4FF7">
        <w:tc>
          <w:tcPr>
            <w:cnfStyle w:val="001000000000" w:firstRow="0" w:lastRow="0" w:firstColumn="1" w:lastColumn="0" w:oddVBand="0" w:evenVBand="0" w:oddHBand="0" w:evenHBand="0" w:firstRowFirstColumn="0" w:firstRowLastColumn="0" w:lastRowFirstColumn="0" w:lastRowLastColumn="0"/>
            <w:tcW w:w="1607" w:type="dxa"/>
          </w:tcPr>
          <w:p w14:paraId="63CAA260" w14:textId="4CB90658" w:rsidR="009C26DB" w:rsidRPr="008007EB" w:rsidRDefault="009C26DB" w:rsidP="00C67045">
            <w:pPr>
              <w:keepNext/>
              <w:keepLines/>
              <w:spacing w:before="60" w:after="60"/>
              <w:rPr>
                <w:rFonts w:asciiTheme="minorHAnsi" w:hAnsiTheme="minorHAnsi" w:cstheme="minorHAnsi"/>
                <w:sz w:val="20"/>
                <w:szCs w:val="20"/>
              </w:rPr>
            </w:pPr>
            <w:r>
              <w:rPr>
                <w:rFonts w:asciiTheme="minorHAnsi" w:hAnsiTheme="minorHAnsi" w:cstheme="minorHAnsi"/>
                <w:sz w:val="20"/>
                <w:szCs w:val="20"/>
              </w:rPr>
              <w:t>Methenamine</w:t>
            </w:r>
          </w:p>
        </w:tc>
        <w:tc>
          <w:tcPr>
            <w:tcW w:w="1535" w:type="dxa"/>
          </w:tcPr>
          <w:p w14:paraId="6FC42985" w14:textId="71352EE3" w:rsidR="009C26DB" w:rsidRPr="008007EB" w:rsidRDefault="009C26DB" w:rsidP="00C6704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A</w:t>
            </w:r>
          </w:p>
        </w:tc>
        <w:tc>
          <w:tcPr>
            <w:tcW w:w="2835" w:type="dxa"/>
          </w:tcPr>
          <w:p w14:paraId="5379BBB1" w14:textId="32F12422" w:rsidR="009C26DB" w:rsidRPr="008007EB" w:rsidRDefault="009C26DB" w:rsidP="00C6704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Genitourinary system</w:t>
            </w:r>
          </w:p>
        </w:tc>
        <w:tc>
          <w:tcPr>
            <w:tcW w:w="2693" w:type="dxa"/>
          </w:tcPr>
          <w:p w14:paraId="00225031" w14:textId="010B36C9" w:rsidR="009C26DB" w:rsidRPr="008007EB" w:rsidRDefault="009C26DB" w:rsidP="00C67045">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Urinary antiseptics</w:t>
            </w:r>
          </w:p>
        </w:tc>
      </w:tr>
      <w:tr w:rsidR="009C26DB" w:rsidRPr="00C67045" w14:paraId="2A45CB9D" w14:textId="77777777" w:rsidTr="008D4FF7">
        <w:tc>
          <w:tcPr>
            <w:cnfStyle w:val="001000000000" w:firstRow="0" w:lastRow="0" w:firstColumn="1" w:lastColumn="0" w:oddVBand="0" w:evenVBand="0" w:oddHBand="0" w:evenHBand="0" w:firstRowFirstColumn="0" w:firstRowLastColumn="0" w:lastRowFirstColumn="0" w:lastRowLastColumn="0"/>
            <w:tcW w:w="8670" w:type="dxa"/>
            <w:gridSpan w:val="4"/>
          </w:tcPr>
          <w:p w14:paraId="6A286208" w14:textId="08BC223F" w:rsidR="009C26DB" w:rsidRPr="00C67045" w:rsidRDefault="009C26DB" w:rsidP="00C67045">
            <w:pPr>
              <w:keepNext/>
              <w:keepLines/>
              <w:spacing w:before="60" w:after="60"/>
              <w:rPr>
                <w:rFonts w:cstheme="minorHAnsi"/>
                <w:sz w:val="18"/>
                <w:szCs w:val="18"/>
              </w:rPr>
            </w:pPr>
            <w:r w:rsidRPr="00C67045">
              <w:rPr>
                <w:rFonts w:asciiTheme="minorHAnsi" w:hAnsiTheme="minorHAnsi" w:cstheme="minorHAnsi"/>
                <w:b/>
                <w:sz w:val="18"/>
                <w:szCs w:val="18"/>
              </w:rPr>
              <w:t>Category A</w:t>
            </w:r>
            <w:r w:rsidRPr="00C67045">
              <w:rPr>
                <w:rFonts w:asciiTheme="minorHAnsi" w:hAnsiTheme="minorHAnsi" w:cstheme="minorHAnsi"/>
                <w:sz w:val="18"/>
                <w:szCs w:val="18"/>
              </w:rPr>
              <w:t xml:space="preserve"> – Drugs which have been taken by a large number of pregnant women and women of childbearing age without any proven increase in the frequency of malformations or other direct or indirect harmful effects on the foetus having been observed</w:t>
            </w:r>
          </w:p>
        </w:tc>
      </w:tr>
    </w:tbl>
    <w:p w14:paraId="2E7DD574" w14:textId="48CD613A" w:rsidR="00586A6E" w:rsidRPr="00D85AA6" w:rsidRDefault="00586A6E" w:rsidP="00EB1099">
      <w:pPr>
        <w:pStyle w:val="ListBullet"/>
        <w:numPr>
          <w:ilvl w:val="0"/>
          <w:numId w:val="83"/>
        </w:numPr>
      </w:pPr>
      <w:r w:rsidRPr="00D85AA6">
        <w:t xml:space="preserve">There are no warning statements pertaining to </w:t>
      </w:r>
      <w:r w:rsidR="00D85AA6">
        <w:t>methenamine</w:t>
      </w:r>
      <w:r w:rsidRPr="00D85AA6">
        <w:t xml:space="preserve"> in the </w:t>
      </w:r>
      <w:hyperlink r:id="rId86" w:history="1">
        <w:r w:rsidRPr="008007EB">
          <w:rPr>
            <w:rStyle w:val="Hyperlink"/>
            <w:rFonts w:asciiTheme="minorHAnsi" w:hAnsiTheme="minorHAnsi"/>
          </w:rPr>
          <w:t>Therapeutic Goods (Medicines Advisory Statements) Specification 2021</w:t>
        </w:r>
      </w:hyperlink>
      <w:r w:rsidR="00C67045" w:rsidRPr="00C67045">
        <w:rPr>
          <w:rStyle w:val="Hyperlink"/>
          <w:rFonts w:asciiTheme="minorHAnsi" w:hAnsiTheme="minorHAnsi"/>
          <w:color w:val="auto"/>
          <w:u w:val="none"/>
        </w:rPr>
        <w:t>.</w:t>
      </w:r>
    </w:p>
    <w:p w14:paraId="2C7290B1" w14:textId="1819D97B" w:rsidR="00586A6E" w:rsidRPr="007405F1" w:rsidRDefault="008D4FF7" w:rsidP="00EB1099">
      <w:pPr>
        <w:pStyle w:val="ListBullet"/>
        <w:numPr>
          <w:ilvl w:val="0"/>
          <w:numId w:val="83"/>
        </w:numPr>
      </w:pPr>
      <w:r w:rsidRPr="00603580">
        <w:t>Between July 2013 and</w:t>
      </w:r>
      <w:r w:rsidR="00586A6E" w:rsidRPr="00603580">
        <w:t xml:space="preserve"> </w:t>
      </w:r>
      <w:r w:rsidR="00F318D9" w:rsidRPr="00603580">
        <w:t>July 2023</w:t>
      </w:r>
      <w:r w:rsidR="00586A6E" w:rsidRPr="00603580">
        <w:t xml:space="preserve">, there were </w:t>
      </w:r>
      <w:r w:rsidRPr="00603580">
        <w:t>21</w:t>
      </w:r>
      <w:r w:rsidR="00586A6E" w:rsidRPr="00603580">
        <w:t xml:space="preserve"> reports of adverse events for products containing </w:t>
      </w:r>
      <w:r w:rsidR="00D85AA6" w:rsidRPr="00603580">
        <w:t>methenamine</w:t>
      </w:r>
      <w:r w:rsidR="00586A6E" w:rsidRPr="00603580">
        <w:t xml:space="preserve"> as an active ingredient on the </w:t>
      </w:r>
      <w:hyperlink r:id="rId87"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00586A6E" w:rsidRPr="007405F1">
        <w:t xml:space="preserve">, </w:t>
      </w:r>
      <w:r w:rsidR="00586A6E" w:rsidRPr="00603580">
        <w:t xml:space="preserve">with </w:t>
      </w:r>
      <w:r w:rsidRPr="00603580">
        <w:t>1</w:t>
      </w:r>
      <w:r w:rsidR="00D85AA6" w:rsidRPr="00603580">
        <w:t>7</w:t>
      </w:r>
      <w:r w:rsidR="00586A6E" w:rsidRPr="00603580">
        <w:t xml:space="preserve"> reports where </w:t>
      </w:r>
      <w:r w:rsidR="00D85AA6" w:rsidRPr="00603580">
        <w:t>methenamine</w:t>
      </w:r>
      <w:r w:rsidR="00586A6E" w:rsidRPr="00603580">
        <w:t xml:space="preserve"> was the single suspected medicine.</w:t>
      </w:r>
      <w:r w:rsidRPr="00603580">
        <w:t xml:space="preserve"> The reported events were diverse in nature.</w:t>
      </w:r>
    </w:p>
    <w:p w14:paraId="5BAC3393" w14:textId="19E8A952" w:rsidR="00586A6E" w:rsidRPr="008007EB" w:rsidRDefault="00586A6E" w:rsidP="00EB1099">
      <w:pPr>
        <w:pStyle w:val="ListBullet"/>
        <w:numPr>
          <w:ilvl w:val="0"/>
          <w:numId w:val="83"/>
        </w:numPr>
      </w:pPr>
      <w:r w:rsidRPr="00603580">
        <w:t xml:space="preserve">As of </w:t>
      </w:r>
      <w:r w:rsidR="00F318D9" w:rsidRPr="00603580">
        <w:t>July 2023</w:t>
      </w:r>
      <w:r w:rsidRPr="00603580">
        <w:t>, there were no</w:t>
      </w:r>
      <w:r w:rsidR="00D85AA6" w:rsidRPr="00603580">
        <w:t xml:space="preserve"> </w:t>
      </w:r>
      <w:r w:rsidRPr="00603580">
        <w:t xml:space="preserve">products containing </w:t>
      </w:r>
      <w:r w:rsidR="00D85AA6" w:rsidRPr="00603580">
        <w:t>methenamine</w:t>
      </w:r>
      <w:r w:rsidRPr="00603580">
        <w:t xml:space="preserve"> as an active ingredient/constituent or scheduled substance listed on the </w:t>
      </w:r>
      <w:hyperlink r:id="rId88"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w:t>
      </w:r>
      <w:proofErr w:type="spellStart"/>
      <w:r w:rsidR="00EB1099" w:rsidRPr="00EB1099">
        <w:rPr>
          <w:rStyle w:val="Hyperlink"/>
          <w:rFonts w:asciiTheme="minorHAnsi" w:hAnsiTheme="minorHAnsi"/>
          <w:color w:val="auto"/>
          <w:u w:val="none"/>
        </w:rPr>
        <w:t>PubCRIS</w:t>
      </w:r>
      <w:proofErr w:type="spellEnd"/>
      <w:r w:rsidR="00EB1099" w:rsidRPr="00EB1099">
        <w:rPr>
          <w:rStyle w:val="Hyperlink"/>
          <w:rFonts w:asciiTheme="minorHAnsi" w:hAnsiTheme="minorHAnsi"/>
          <w:color w:val="auto"/>
          <w:u w:val="none"/>
        </w:rPr>
        <w:t>)</w:t>
      </w:r>
      <w:r w:rsidRPr="008007EB">
        <w:t>.</w:t>
      </w:r>
    </w:p>
    <w:p w14:paraId="6124E3FB" w14:textId="77777777" w:rsidR="00586A6E" w:rsidRPr="00CB687C" w:rsidRDefault="00586A6E" w:rsidP="00586A6E">
      <w:pPr>
        <w:pStyle w:val="Heading4"/>
      </w:pPr>
      <w:bookmarkStart w:id="92" w:name="_Toc144110884"/>
      <w:r>
        <w:t>International regulations</w:t>
      </w:r>
      <w:bookmarkEnd w:id="92"/>
    </w:p>
    <w:p w14:paraId="4939051F" w14:textId="3EF2AF99" w:rsidR="00586A6E" w:rsidRPr="00D85AA6" w:rsidRDefault="00D85AA6" w:rsidP="00EB1099">
      <w:pPr>
        <w:pStyle w:val="ListBullet"/>
        <w:numPr>
          <w:ilvl w:val="0"/>
          <w:numId w:val="83"/>
        </w:numPr>
      </w:pPr>
      <w:r w:rsidRPr="00D85AA6">
        <w:t xml:space="preserve">The </w:t>
      </w:r>
      <w:hyperlink r:id="rId89" w:history="1">
        <w:r w:rsidRPr="00D85AA6">
          <w:rPr>
            <w:rStyle w:val="Hyperlink"/>
            <w:rFonts w:asciiTheme="minorHAnsi" w:hAnsiTheme="minorHAnsi"/>
            <w:szCs w:val="22"/>
          </w:rPr>
          <w:t>US Food and Drug Administration database</w:t>
        </w:r>
      </w:hyperlink>
      <w:r>
        <w:t xml:space="preserve"> </w:t>
      </w:r>
      <w:r w:rsidRPr="00D85AA6">
        <w:t>lists 4 products which contain methenamine. All products are prescription only medicines.</w:t>
      </w:r>
    </w:p>
    <w:p w14:paraId="136776A2" w14:textId="4AD7E97C" w:rsidR="00D85AA6" w:rsidRPr="00D85AA6" w:rsidRDefault="00D85AA6" w:rsidP="00EB1099">
      <w:pPr>
        <w:pStyle w:val="ListBullet"/>
        <w:numPr>
          <w:ilvl w:val="0"/>
          <w:numId w:val="83"/>
        </w:numPr>
        <w:rPr>
          <w:u w:val="single"/>
        </w:rPr>
      </w:pPr>
      <w:r w:rsidRPr="00D85AA6">
        <w:t xml:space="preserve">In 2022, the </w:t>
      </w:r>
      <w:hyperlink r:id="rId90" w:history="1">
        <w:r w:rsidRPr="00F01A56">
          <w:rPr>
            <w:rStyle w:val="Hyperlink"/>
            <w:rFonts w:asciiTheme="minorHAnsi" w:hAnsiTheme="minorHAnsi"/>
            <w:szCs w:val="22"/>
          </w:rPr>
          <w:t>New Zealand Medicines and Medical Devices Safety Authority</w:t>
        </w:r>
      </w:hyperlink>
      <w:r>
        <w:t xml:space="preserve"> (</w:t>
      </w:r>
      <w:proofErr w:type="spellStart"/>
      <w:r>
        <w:t>Medsafe</w:t>
      </w:r>
      <w:proofErr w:type="spellEnd"/>
      <w:r>
        <w:t>)</w:t>
      </w:r>
      <w:r w:rsidRPr="00D85AA6">
        <w:t xml:space="preserve"> announced that products containing methenamine will be </w:t>
      </w:r>
      <w:hyperlink r:id="rId91" w:history="1">
        <w:r w:rsidR="0037341B" w:rsidRPr="0037341B">
          <w:rPr>
            <w:rStyle w:val="Hyperlink"/>
            <w:rFonts w:asciiTheme="minorHAnsi" w:hAnsiTheme="minorHAnsi"/>
          </w:rPr>
          <w:t xml:space="preserve">reclassified </w:t>
        </w:r>
        <w:r w:rsidRPr="0037341B">
          <w:rPr>
            <w:rStyle w:val="Hyperlink"/>
            <w:rFonts w:asciiTheme="minorHAnsi" w:hAnsiTheme="minorHAnsi"/>
          </w:rPr>
          <w:t>from general sale to pharmacy only</w:t>
        </w:r>
      </w:hyperlink>
      <w:r w:rsidRPr="00D85AA6">
        <w:t xml:space="preserve"> medicines. The decision is due to be implemented in December 2023.</w:t>
      </w:r>
    </w:p>
    <w:p w14:paraId="2B8648D6" w14:textId="2D810DAB" w:rsidR="00586A6E" w:rsidRPr="00811E6C" w:rsidRDefault="00D85AA6" w:rsidP="00EB1099">
      <w:pPr>
        <w:pStyle w:val="ListBullet"/>
        <w:numPr>
          <w:ilvl w:val="0"/>
          <w:numId w:val="83"/>
        </w:numPr>
        <w:rPr>
          <w:u w:val="single"/>
        </w:rPr>
      </w:pPr>
      <w:r w:rsidRPr="00D85AA6">
        <w:t xml:space="preserve"> </w:t>
      </w:r>
      <w:r w:rsidR="00F01A56">
        <w:t xml:space="preserve">The </w:t>
      </w:r>
      <w:hyperlink r:id="rId92" w:history="1">
        <w:r w:rsidR="00F01A56" w:rsidRPr="00811E6C">
          <w:rPr>
            <w:rStyle w:val="Hyperlink"/>
            <w:rFonts w:asciiTheme="minorHAnsi" w:hAnsiTheme="minorHAnsi"/>
            <w:szCs w:val="22"/>
          </w:rPr>
          <w:t>UK’s Electronic Medicines Compendium</w:t>
        </w:r>
      </w:hyperlink>
      <w:r w:rsidR="00F01A56">
        <w:t xml:space="preserve"> (</w:t>
      </w:r>
      <w:proofErr w:type="spellStart"/>
      <w:r w:rsidR="00C67045">
        <w:t>emc</w:t>
      </w:r>
      <w:proofErr w:type="spellEnd"/>
      <w:r w:rsidR="00F01A56">
        <w:t>) lists 3 products containing methenamine</w:t>
      </w:r>
      <w:r w:rsidR="008343F6">
        <w:t xml:space="preserve">, </w:t>
      </w:r>
      <w:r w:rsidR="00494C70">
        <w:br/>
        <w:t xml:space="preserve"> </w:t>
      </w:r>
      <w:r w:rsidR="008343F6">
        <w:t xml:space="preserve">2 </w:t>
      </w:r>
      <w:proofErr w:type="gramStart"/>
      <w:r w:rsidR="00811E6C">
        <w:t>prescription</w:t>
      </w:r>
      <w:proofErr w:type="gramEnd"/>
      <w:r w:rsidR="00811E6C">
        <w:t xml:space="preserve"> only medicines and </w:t>
      </w:r>
      <w:r w:rsidR="008D4FF7">
        <w:t>one</w:t>
      </w:r>
      <w:r w:rsidR="00811E6C">
        <w:t xml:space="preserve"> pharmacy only medicine.</w:t>
      </w:r>
    </w:p>
    <w:p w14:paraId="59C8EE8F" w14:textId="62F70666" w:rsidR="00811E6C" w:rsidRPr="00811E6C" w:rsidRDefault="00811E6C" w:rsidP="00EB1099">
      <w:pPr>
        <w:pStyle w:val="ListBullet"/>
        <w:numPr>
          <w:ilvl w:val="0"/>
          <w:numId w:val="83"/>
        </w:numPr>
        <w:rPr>
          <w:rStyle w:val="Hyperlink"/>
          <w:rFonts w:asciiTheme="minorHAnsi" w:hAnsiTheme="minorHAnsi"/>
          <w:color w:val="auto"/>
          <w:szCs w:val="22"/>
        </w:rPr>
      </w:pPr>
      <w:r>
        <w:rPr>
          <w:rStyle w:val="Hyperlink"/>
          <w:rFonts w:asciiTheme="minorHAnsi" w:hAnsiTheme="minorHAnsi"/>
          <w:color w:val="auto"/>
          <w:szCs w:val="22"/>
          <w:u w:val="none"/>
        </w:rPr>
        <w:t xml:space="preserve">No products containing methenamine are listed in the </w:t>
      </w:r>
      <w:hyperlink r:id="rId93" w:history="1">
        <w:r w:rsidRPr="00811E6C">
          <w:rPr>
            <w:rStyle w:val="Hyperlink"/>
            <w:rFonts w:asciiTheme="minorHAnsi" w:hAnsiTheme="minorHAnsi"/>
            <w:szCs w:val="22"/>
          </w:rPr>
          <w:t>Ireland Health Product Regulation Authority</w:t>
        </w:r>
      </w:hyperlink>
      <w:r>
        <w:rPr>
          <w:rStyle w:val="Hyperlink"/>
          <w:rFonts w:asciiTheme="minorHAnsi" w:hAnsiTheme="minorHAnsi"/>
          <w:color w:val="auto"/>
          <w:szCs w:val="22"/>
          <w:u w:val="none"/>
        </w:rPr>
        <w:t xml:space="preserve"> database.</w:t>
      </w:r>
    </w:p>
    <w:p w14:paraId="0758DFC9" w14:textId="1E305BF9" w:rsidR="00BA2399" w:rsidRPr="00BA2399" w:rsidRDefault="00A13E49" w:rsidP="00EB1099">
      <w:pPr>
        <w:pStyle w:val="ListBullet"/>
        <w:numPr>
          <w:ilvl w:val="0"/>
          <w:numId w:val="83"/>
        </w:numPr>
        <w:rPr>
          <w:rStyle w:val="Hyperlink"/>
          <w:rFonts w:asciiTheme="minorHAnsi" w:eastAsiaTheme="minorHAnsi" w:hAnsiTheme="minorHAnsi" w:cstheme="minorBidi"/>
          <w:color w:val="auto"/>
          <w:szCs w:val="22"/>
        </w:rPr>
      </w:pPr>
      <w:hyperlink r:id="rId94" w:history="1">
        <w:r w:rsidR="00811E6C" w:rsidRPr="00811E6C">
          <w:rPr>
            <w:rStyle w:val="Hyperlink"/>
            <w:rFonts w:asciiTheme="minorHAnsi" w:hAnsiTheme="minorHAnsi"/>
            <w:szCs w:val="22"/>
          </w:rPr>
          <w:t>Health Products Canada</w:t>
        </w:r>
      </w:hyperlink>
      <w:r w:rsidR="00811E6C">
        <w:rPr>
          <w:rStyle w:val="Hyperlink"/>
          <w:rFonts w:asciiTheme="minorHAnsi" w:hAnsiTheme="minorHAnsi"/>
          <w:color w:val="auto"/>
          <w:szCs w:val="22"/>
          <w:u w:val="none"/>
        </w:rPr>
        <w:t xml:space="preserve"> lists </w:t>
      </w:r>
      <w:r w:rsidR="00A24B5A">
        <w:rPr>
          <w:rStyle w:val="Hyperlink"/>
          <w:rFonts w:asciiTheme="minorHAnsi" w:hAnsiTheme="minorHAnsi"/>
          <w:color w:val="auto"/>
          <w:szCs w:val="22"/>
          <w:u w:val="none"/>
        </w:rPr>
        <w:t xml:space="preserve">methenamine products as ethical and OTC products. </w:t>
      </w:r>
      <w:hyperlink r:id="rId95" w:history="1">
        <w:r w:rsidR="00A24B5A" w:rsidRPr="00C85610">
          <w:rPr>
            <w:rStyle w:val="Hyperlink"/>
            <w:rFonts w:asciiTheme="minorHAnsi" w:hAnsiTheme="minorHAnsi"/>
            <w:szCs w:val="22"/>
          </w:rPr>
          <w:t>Ethical products</w:t>
        </w:r>
      </w:hyperlink>
      <w:r w:rsidR="00A24B5A">
        <w:rPr>
          <w:rStyle w:val="Hyperlink"/>
          <w:rFonts w:asciiTheme="minorHAnsi" w:hAnsiTheme="minorHAnsi"/>
          <w:color w:val="auto"/>
          <w:szCs w:val="22"/>
          <w:u w:val="none"/>
        </w:rPr>
        <w:t xml:space="preserve"> do not require a prescription but are generally prescribed by a medical practitioner.</w:t>
      </w:r>
    </w:p>
    <w:p w14:paraId="5533101A" w14:textId="0A2E3783" w:rsidR="00BA2399" w:rsidRPr="009401F6" w:rsidRDefault="001D5CC5" w:rsidP="007E6B9E">
      <w:pPr>
        <w:pStyle w:val="Heading3"/>
        <w:ind w:left="578" w:hanging="578"/>
      </w:pPr>
      <w:bookmarkStart w:id="93" w:name="_Toc144110885"/>
      <w:r>
        <w:t>1.6</w:t>
      </w:r>
      <w:r>
        <w:tab/>
      </w:r>
      <w:r w:rsidR="00BA2399">
        <w:t>Naratriptan</w:t>
      </w:r>
      <w:bookmarkEnd w:id="93"/>
    </w:p>
    <w:p w14:paraId="22FD9894" w14:textId="77777777" w:rsidR="00BA2399" w:rsidRDefault="00BA2399" w:rsidP="00BA2399">
      <w:pPr>
        <w:pStyle w:val="Heading4"/>
      </w:pPr>
      <w:bookmarkStart w:id="94" w:name="_Toc144110886"/>
      <w:r>
        <w:t>Proposal</w:t>
      </w:r>
      <w:bookmarkEnd w:id="94"/>
    </w:p>
    <w:p w14:paraId="75D32527" w14:textId="5B731F4F" w:rsidR="00BA2399" w:rsidRPr="00D75206" w:rsidRDefault="00BA2399" w:rsidP="00BA2399">
      <w:r>
        <w:t xml:space="preserve">The applicant has proposed to create a new Schedule 3 entry for </w:t>
      </w:r>
      <w:r w:rsidR="00277240">
        <w:t xml:space="preserve">certain preparations of </w:t>
      </w:r>
      <w:r>
        <w:t xml:space="preserve">naratriptan </w:t>
      </w:r>
      <w:r>
        <w:rPr>
          <w:rStyle w:val="normaltextrun"/>
          <w:rFonts w:ascii="Calibri" w:hAnsi="Calibri" w:cs="Calibri"/>
          <w:color w:val="000000"/>
          <w:szCs w:val="22"/>
          <w:shd w:val="clear" w:color="auto" w:fill="FFFFFF"/>
        </w:rPr>
        <w:t xml:space="preserve">for the acute relief of migraine in patients who have a stable, </w:t>
      </w:r>
      <w:r w:rsidR="00E33CE4">
        <w:rPr>
          <w:rStyle w:val="normaltextrun"/>
          <w:rFonts w:ascii="Calibri" w:hAnsi="Calibri" w:cs="Calibri"/>
          <w:color w:val="000000"/>
          <w:szCs w:val="22"/>
          <w:shd w:val="clear" w:color="auto" w:fill="FFFFFF"/>
        </w:rPr>
        <w:t>well-established</w:t>
      </w:r>
      <w:r>
        <w:rPr>
          <w:rStyle w:val="normaltextrun"/>
          <w:rFonts w:ascii="Calibri" w:hAnsi="Calibri" w:cs="Calibri"/>
          <w:color w:val="000000"/>
          <w:szCs w:val="22"/>
          <w:shd w:val="clear" w:color="auto" w:fill="FFFFFF"/>
        </w:rPr>
        <w:t xml:space="preserve"> pattern of symptoms</w:t>
      </w:r>
      <w:r>
        <w:t xml:space="preserve">. </w:t>
      </w:r>
      <w:r>
        <w:rPr>
          <w:rStyle w:val="normaltextrun"/>
          <w:rFonts w:ascii="Calibri" w:hAnsi="Calibri" w:cs="Calibri"/>
          <w:color w:val="000000"/>
          <w:szCs w:val="22"/>
          <w:shd w:val="clear" w:color="auto" w:fill="FFFFFF"/>
        </w:rPr>
        <w:t xml:space="preserve">The proposal includes listing naratriptan in Appendix H to </w:t>
      </w:r>
      <w:r w:rsidR="00277240">
        <w:rPr>
          <w:rStyle w:val="normaltextrun"/>
          <w:rFonts w:ascii="Calibri" w:hAnsi="Calibri" w:cs="Calibri"/>
          <w:color w:val="000000"/>
          <w:szCs w:val="22"/>
          <w:shd w:val="clear" w:color="auto" w:fill="FFFFFF"/>
        </w:rPr>
        <w:t>permit advertising for Schedule 3 preparations</w:t>
      </w:r>
      <w:r>
        <w:rPr>
          <w:rStyle w:val="normaltextrun"/>
          <w:rFonts w:ascii="Calibri" w:hAnsi="Calibri" w:cs="Calibri"/>
          <w:color w:val="000000"/>
          <w:szCs w:val="22"/>
          <w:shd w:val="clear" w:color="auto" w:fill="FFFFFF"/>
        </w:rPr>
        <w:t xml:space="preserve">. The proposal would align the scheduling of </w:t>
      </w:r>
      <w:r w:rsidR="00277240">
        <w:rPr>
          <w:rStyle w:val="normaltextrun"/>
          <w:rFonts w:ascii="Calibri" w:hAnsi="Calibri" w:cs="Calibri"/>
          <w:color w:val="000000"/>
          <w:szCs w:val="22"/>
          <w:shd w:val="clear" w:color="auto" w:fill="FFFFFF"/>
        </w:rPr>
        <w:t xml:space="preserve">naratriptan with other substances in the triptan class, including </w:t>
      </w:r>
      <w:r>
        <w:rPr>
          <w:rStyle w:val="normaltextrun"/>
          <w:rFonts w:ascii="Calibri" w:hAnsi="Calibri" w:cs="Calibri"/>
          <w:color w:val="000000"/>
          <w:szCs w:val="22"/>
          <w:shd w:val="clear" w:color="auto" w:fill="FFFFFF"/>
        </w:rPr>
        <w:t xml:space="preserve">sumatriptan, zolmitriptan, </w:t>
      </w:r>
      <w:proofErr w:type="spellStart"/>
      <w:r>
        <w:rPr>
          <w:rStyle w:val="normaltextrun"/>
          <w:rFonts w:ascii="Calibri" w:hAnsi="Calibri" w:cs="Calibri"/>
          <w:color w:val="000000"/>
          <w:szCs w:val="22"/>
          <w:shd w:val="clear" w:color="auto" w:fill="FFFFFF"/>
        </w:rPr>
        <w:t>eletriptan</w:t>
      </w:r>
      <w:proofErr w:type="spellEnd"/>
      <w:r>
        <w:rPr>
          <w:rStyle w:val="normaltextrun"/>
          <w:rFonts w:ascii="Calibri" w:hAnsi="Calibri" w:cs="Calibri"/>
          <w:color w:val="000000"/>
          <w:szCs w:val="22"/>
          <w:shd w:val="clear" w:color="auto" w:fill="FFFFFF"/>
        </w:rPr>
        <w:t xml:space="preserve"> and rizatriptan.</w:t>
      </w:r>
    </w:p>
    <w:p w14:paraId="40453CA2" w14:textId="6A850F69" w:rsidR="00BA2399" w:rsidRDefault="00BA2399" w:rsidP="00BA2399">
      <w:pPr>
        <w:pStyle w:val="Heading4"/>
      </w:pPr>
      <w:bookmarkStart w:id="95" w:name="_Toc144110887"/>
      <w:r>
        <w:t>CAS number</w:t>
      </w:r>
      <w:bookmarkEnd w:id="95"/>
    </w:p>
    <w:p w14:paraId="3B33E93F" w14:textId="05CE054B" w:rsidR="00BA2399" w:rsidRDefault="00BA2399" w:rsidP="00BA2399">
      <w:r>
        <w:rPr>
          <w:rStyle w:val="normaltextrun"/>
          <w:rFonts w:ascii="Calibri" w:hAnsi="Calibri" w:cs="Calibri"/>
          <w:color w:val="252729"/>
          <w:szCs w:val="22"/>
          <w:shd w:val="clear" w:color="auto" w:fill="FFFFFF"/>
        </w:rPr>
        <w:t>121679-13-8</w:t>
      </w:r>
    </w:p>
    <w:p w14:paraId="5187D9EC" w14:textId="77777777" w:rsidR="00BA2399" w:rsidRDefault="00BA2399" w:rsidP="00BA2399">
      <w:r w:rsidRPr="000232E5">
        <w:t>143388-64-1</w:t>
      </w:r>
      <w:r>
        <w:t xml:space="preserve"> (as hydrochloride)</w:t>
      </w:r>
    </w:p>
    <w:p w14:paraId="63C009E0" w14:textId="77777777" w:rsidR="00BA2399" w:rsidRDefault="00BA2399" w:rsidP="00BA2399">
      <w:pPr>
        <w:pStyle w:val="Heading4"/>
      </w:pPr>
      <w:bookmarkStart w:id="96" w:name="_Toc144110888"/>
      <w:r>
        <w:t>Alternative names</w:t>
      </w:r>
      <w:bookmarkEnd w:id="96"/>
    </w:p>
    <w:p w14:paraId="73C6B326" w14:textId="2A85CF1E" w:rsidR="00747422" w:rsidRPr="008A22BC" w:rsidRDefault="00BA2399" w:rsidP="00BA2399">
      <w:r>
        <w:t>Naratriptan hydrochloride</w:t>
      </w:r>
      <w:r w:rsidR="00277240">
        <w:t xml:space="preserve">; </w:t>
      </w:r>
      <w:r w:rsidR="00747422" w:rsidRPr="00747422">
        <w:rPr>
          <w:i/>
          <w:iCs/>
        </w:rPr>
        <w:t>N</w:t>
      </w:r>
      <w:r w:rsidR="00747422" w:rsidRPr="00747422">
        <w:t>-Methyl-3-(1-methyl-4-piperidinyl)-1</w:t>
      </w:r>
      <w:r w:rsidR="00747422" w:rsidRPr="00747422">
        <w:rPr>
          <w:i/>
          <w:iCs/>
        </w:rPr>
        <w:t>H</w:t>
      </w:r>
      <w:r w:rsidR="00747422" w:rsidRPr="00747422">
        <w:t>-indole-5-ethanesulfonamide</w:t>
      </w:r>
    </w:p>
    <w:p w14:paraId="2FAD0F3B" w14:textId="77777777" w:rsidR="00BA2399" w:rsidRPr="002C1070" w:rsidRDefault="00BA2399" w:rsidP="00BA2399">
      <w:pPr>
        <w:pStyle w:val="Heading4"/>
      </w:pPr>
      <w:bookmarkStart w:id="97" w:name="_Toc144110889"/>
      <w:r>
        <w:t>Applicant</w:t>
      </w:r>
      <w:bookmarkEnd w:id="97"/>
    </w:p>
    <w:p w14:paraId="1D2E0B2D" w14:textId="14F382A2" w:rsidR="00BA2399" w:rsidRPr="003639D9" w:rsidRDefault="00BA2399" w:rsidP="00BA2399">
      <w:r w:rsidRPr="00812272">
        <w:t>Private applicant</w:t>
      </w:r>
    </w:p>
    <w:p w14:paraId="0A6F6E6E" w14:textId="77777777" w:rsidR="00BA2399" w:rsidRDefault="00BA2399" w:rsidP="00BA2399">
      <w:pPr>
        <w:pStyle w:val="Heading4"/>
      </w:pPr>
      <w:bookmarkStart w:id="98" w:name="_Toc144110890"/>
      <w:r>
        <w:t>Proposed Scheduling</w:t>
      </w:r>
      <w:bookmarkEnd w:id="98"/>
    </w:p>
    <w:p w14:paraId="6FEC2476" w14:textId="77B81B89" w:rsidR="00BA2399" w:rsidRDefault="00BA2399" w:rsidP="00BA2399">
      <w:pPr>
        <w:rPr>
          <w:rFonts w:cstheme="minorHAnsi"/>
        </w:rPr>
      </w:pPr>
      <w:r>
        <w:rPr>
          <w:rFonts w:cstheme="minorHAnsi"/>
        </w:rPr>
        <w:t>Naratriptan is currently listed in Schedule 4 of the Poisons Standard.</w:t>
      </w:r>
    </w:p>
    <w:p w14:paraId="513FAD0A" w14:textId="3B2560E2" w:rsidR="00BA2399" w:rsidRPr="00812272" w:rsidRDefault="00BA2399" w:rsidP="00BA2399">
      <w:pPr>
        <w:rPr>
          <w:bCs/>
        </w:rPr>
      </w:pPr>
      <w:r w:rsidRPr="00103206">
        <w:rPr>
          <w:bCs/>
        </w:rPr>
        <w:t>The applicant’s proposed amendments to the Poisons Standard are</w:t>
      </w:r>
      <w:r w:rsidR="0072362E">
        <w:rPr>
          <w:bCs/>
        </w:rPr>
        <w:t>:</w:t>
      </w:r>
      <w:r w:rsidRPr="00103206">
        <w:rPr>
          <w:rStyle w:val="FootnoteReference"/>
          <w:bCs/>
        </w:rPr>
        <w:footnoteReference w:id="7"/>
      </w:r>
    </w:p>
    <w:p w14:paraId="12DE4150" w14:textId="16743E59" w:rsidR="00BA2399" w:rsidRDefault="00BA2399" w:rsidP="00BA2399">
      <w:pPr>
        <w:ind w:left="426"/>
        <w:rPr>
          <w:b/>
        </w:rPr>
      </w:pPr>
      <w:r>
        <w:rPr>
          <w:b/>
        </w:rPr>
        <w:t xml:space="preserve">Schedule 4 </w:t>
      </w:r>
      <w:r w:rsidR="0072362E">
        <w:rPr>
          <w:b/>
        </w:rPr>
        <w:t>– Amend Entry</w:t>
      </w:r>
    </w:p>
    <w:p w14:paraId="737C4405" w14:textId="751802E4" w:rsidR="00BA2399" w:rsidRPr="00812272" w:rsidRDefault="00BA2399" w:rsidP="00BA2399">
      <w:pPr>
        <w:ind w:left="709"/>
        <w:rPr>
          <w:bCs/>
        </w:rPr>
      </w:pPr>
      <w:r>
        <w:rPr>
          <w:bCs/>
        </w:rPr>
        <w:t>NARATRIPTAN</w:t>
      </w:r>
      <w:r w:rsidR="0072362E">
        <w:rPr>
          <w:bCs/>
        </w:rPr>
        <w:t xml:space="preserve"> </w:t>
      </w:r>
      <w:r w:rsidR="0072362E" w:rsidRPr="0072362E">
        <w:rPr>
          <w:b/>
          <w:color w:val="00B050"/>
          <w:u w:val="single"/>
        </w:rPr>
        <w:t>except</w:t>
      </w:r>
      <w:r w:rsidR="0072362E" w:rsidRPr="0072362E">
        <w:rPr>
          <w:bCs/>
          <w:color w:val="00B050"/>
          <w:u w:val="single"/>
        </w:rPr>
        <w:t xml:space="preserve"> when included in Schedule 3</w:t>
      </w:r>
      <w:r w:rsidR="0072362E">
        <w:rPr>
          <w:bCs/>
        </w:rPr>
        <w:t>.</w:t>
      </w:r>
    </w:p>
    <w:p w14:paraId="014A693C" w14:textId="77777777" w:rsidR="00BA2399" w:rsidRPr="00CD40FB" w:rsidRDefault="00BA2399" w:rsidP="00BA2399">
      <w:pPr>
        <w:ind w:left="426"/>
        <w:rPr>
          <w:b/>
        </w:rPr>
      </w:pPr>
      <w:r w:rsidRPr="00CD40FB">
        <w:rPr>
          <w:b/>
        </w:rPr>
        <w:t xml:space="preserve">Schedule </w:t>
      </w:r>
      <w:r>
        <w:rPr>
          <w:b/>
        </w:rPr>
        <w:t>3</w:t>
      </w:r>
      <w:r w:rsidRPr="00CD40FB">
        <w:rPr>
          <w:b/>
        </w:rPr>
        <w:t xml:space="preserve"> – </w:t>
      </w:r>
      <w:r w:rsidRPr="00812272">
        <w:rPr>
          <w:b/>
        </w:rPr>
        <w:t>New Entry</w:t>
      </w:r>
    </w:p>
    <w:p w14:paraId="1EB3C830" w14:textId="41D26A7B" w:rsidR="00BA2399" w:rsidRPr="004C0AC3" w:rsidRDefault="00BA2399" w:rsidP="00BA2399">
      <w:pPr>
        <w:ind w:left="709"/>
        <w:rPr>
          <w:rFonts w:cstheme="minorHAnsi"/>
          <w:color w:val="00B050"/>
          <w:u w:val="single"/>
        </w:rPr>
      </w:pPr>
      <w:r w:rsidRPr="004C0AC3">
        <w:rPr>
          <w:rFonts w:cstheme="minorHAnsi"/>
          <w:color w:val="00B050"/>
          <w:u w:val="single"/>
        </w:rPr>
        <w:t>NARATRIPTAN</w:t>
      </w:r>
      <w:r w:rsidRPr="00812272">
        <w:rPr>
          <w:rFonts w:cstheme="minorHAnsi"/>
          <w:color w:val="00B050"/>
          <w:u w:val="single"/>
        </w:rPr>
        <w:t xml:space="preserve"> when in divided oral preparations containing 2.5 mg or less per dosage unit and when sold in a pack containing not more than 2 dosage units for the acute relief of migraine in patients who have a stable, well-established pattern of symptoms.</w:t>
      </w:r>
    </w:p>
    <w:p w14:paraId="7213A56A" w14:textId="77777777" w:rsidR="00BA2399" w:rsidRDefault="00BA2399" w:rsidP="00BA2399">
      <w:pPr>
        <w:spacing w:before="240"/>
        <w:ind w:left="426"/>
        <w:rPr>
          <w:b/>
        </w:rPr>
      </w:pPr>
      <w:r w:rsidRPr="00812272">
        <w:rPr>
          <w:b/>
        </w:rPr>
        <w:t>Index – Amend Entry</w:t>
      </w:r>
    </w:p>
    <w:p w14:paraId="350037BA" w14:textId="77777777" w:rsidR="00277240" w:rsidRPr="00277240" w:rsidRDefault="00BA2399" w:rsidP="00277240">
      <w:pPr>
        <w:ind w:left="709"/>
        <w:rPr>
          <w:rFonts w:cstheme="minorHAnsi"/>
          <w:b/>
          <w:bCs/>
        </w:rPr>
      </w:pPr>
      <w:r w:rsidRPr="00277240">
        <w:rPr>
          <w:rFonts w:cstheme="minorHAnsi"/>
          <w:b/>
          <w:bCs/>
        </w:rPr>
        <w:t>NARATRIPTAN</w:t>
      </w:r>
    </w:p>
    <w:p w14:paraId="76BDBFE3" w14:textId="502BA25A" w:rsidR="00BA2399" w:rsidRPr="00277240" w:rsidRDefault="00BA2399" w:rsidP="00277240">
      <w:pPr>
        <w:ind w:left="709"/>
        <w:rPr>
          <w:rFonts w:cstheme="minorHAnsi"/>
          <w:color w:val="00B050"/>
          <w:u w:val="single"/>
        </w:rPr>
      </w:pPr>
      <w:r w:rsidRPr="0072362E">
        <w:rPr>
          <w:rFonts w:cstheme="minorHAnsi"/>
        </w:rPr>
        <w:t>Schedule 4</w:t>
      </w:r>
      <w:r w:rsidR="00277240" w:rsidRPr="0072362E">
        <w:rPr>
          <w:rFonts w:cstheme="minorHAnsi"/>
        </w:rPr>
        <w:br/>
      </w:r>
      <w:r w:rsidR="00277240" w:rsidRPr="0072362E">
        <w:rPr>
          <w:rFonts w:cstheme="minorHAnsi"/>
          <w:color w:val="00B050"/>
          <w:u w:val="single"/>
        </w:rPr>
        <w:t>Schedule 3</w:t>
      </w:r>
      <w:r w:rsidRPr="004A6448">
        <w:rPr>
          <w:rFonts w:cstheme="minorHAnsi"/>
          <w:color w:val="00B050"/>
          <w:u w:val="single"/>
        </w:rPr>
        <w:br/>
        <w:t>Appendix H, clause 1</w:t>
      </w:r>
    </w:p>
    <w:p w14:paraId="6877711B" w14:textId="2C0A8E35" w:rsidR="00BA2399" w:rsidRPr="004C0AC3" w:rsidRDefault="00BA2399" w:rsidP="00277240">
      <w:pPr>
        <w:spacing w:before="240"/>
        <w:ind w:left="425"/>
        <w:rPr>
          <w:rFonts w:cstheme="minorHAnsi"/>
          <w:b/>
          <w:bCs/>
        </w:rPr>
      </w:pPr>
      <w:r w:rsidRPr="00812272">
        <w:rPr>
          <w:b/>
        </w:rPr>
        <w:lastRenderedPageBreak/>
        <w:t>Appendix H – New Entry</w:t>
      </w:r>
      <w:r>
        <w:rPr>
          <w:b/>
        </w:rPr>
        <w:t xml:space="preserve"> - </w:t>
      </w:r>
      <w:r w:rsidRPr="00DF0A9C">
        <w:rPr>
          <w:rFonts w:cstheme="minorHAnsi"/>
        </w:rPr>
        <w:t xml:space="preserve">Schedule 3 medicines permitted to be </w:t>
      </w:r>
      <w:r w:rsidR="009C55B5" w:rsidRPr="00DF0A9C">
        <w:rPr>
          <w:rFonts w:cstheme="minorHAnsi"/>
        </w:rPr>
        <w:t>advertised.</w:t>
      </w:r>
    </w:p>
    <w:tbl>
      <w:tblPr>
        <w:tblStyle w:val="TableTGAblue"/>
        <w:tblW w:w="0" w:type="auto"/>
        <w:tblInd w:w="699" w:type="dxa"/>
        <w:tblLook w:val="04A0" w:firstRow="1" w:lastRow="0" w:firstColumn="1" w:lastColumn="0" w:noHBand="0" w:noVBand="1"/>
      </w:tblPr>
      <w:tblGrid>
        <w:gridCol w:w="1254"/>
        <w:gridCol w:w="1559"/>
      </w:tblGrid>
      <w:tr w:rsidR="00BA2399" w:rsidRPr="00277240" w14:paraId="2D46BD61" w14:textId="77777777" w:rsidTr="0027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93B0C93" w14:textId="77777777" w:rsidR="00BA2399" w:rsidRPr="00277240" w:rsidRDefault="00BA2399" w:rsidP="00277240">
            <w:pPr>
              <w:spacing w:before="60" w:after="60"/>
              <w:rPr>
                <w:rFonts w:asciiTheme="minorHAnsi" w:hAnsiTheme="minorHAnsi" w:cstheme="minorHAnsi"/>
                <w:bCs/>
                <w:sz w:val="20"/>
                <w:szCs w:val="20"/>
              </w:rPr>
            </w:pPr>
            <w:r w:rsidRPr="00277240">
              <w:rPr>
                <w:rFonts w:asciiTheme="minorHAnsi" w:hAnsiTheme="minorHAnsi" w:cstheme="minorHAnsi"/>
                <w:bCs/>
                <w:sz w:val="20"/>
                <w:szCs w:val="20"/>
              </w:rPr>
              <w:t>Item</w:t>
            </w:r>
          </w:p>
        </w:tc>
        <w:tc>
          <w:tcPr>
            <w:tcW w:w="1559" w:type="dxa"/>
          </w:tcPr>
          <w:p w14:paraId="795E2F3A" w14:textId="77777777" w:rsidR="00BA2399" w:rsidRPr="00277240" w:rsidRDefault="00BA2399" w:rsidP="00277240">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277240">
              <w:rPr>
                <w:rFonts w:asciiTheme="minorHAnsi" w:hAnsiTheme="minorHAnsi" w:cstheme="minorHAnsi"/>
                <w:bCs/>
                <w:sz w:val="20"/>
                <w:szCs w:val="20"/>
              </w:rPr>
              <w:t xml:space="preserve">Poison </w:t>
            </w:r>
          </w:p>
        </w:tc>
      </w:tr>
      <w:tr w:rsidR="00BA2399" w:rsidRPr="00277240" w14:paraId="4E715834" w14:textId="77777777" w:rsidTr="00277240">
        <w:tc>
          <w:tcPr>
            <w:cnfStyle w:val="001000000000" w:firstRow="0" w:lastRow="0" w:firstColumn="1" w:lastColumn="0" w:oddVBand="0" w:evenVBand="0" w:oddHBand="0" w:evenHBand="0" w:firstRowFirstColumn="0" w:firstRowLastColumn="0" w:lastRowFirstColumn="0" w:lastRowLastColumn="0"/>
            <w:tcW w:w="1254" w:type="dxa"/>
          </w:tcPr>
          <w:p w14:paraId="0DDC0F14" w14:textId="77777777" w:rsidR="00BA2399" w:rsidRPr="00277240" w:rsidRDefault="00BA2399" w:rsidP="00277240">
            <w:pPr>
              <w:spacing w:before="60" w:after="60"/>
              <w:rPr>
                <w:rFonts w:asciiTheme="minorHAnsi" w:hAnsiTheme="minorHAnsi" w:cstheme="minorHAnsi"/>
                <w:bCs/>
                <w:color w:val="00B050"/>
                <w:sz w:val="20"/>
                <w:szCs w:val="20"/>
              </w:rPr>
            </w:pPr>
            <w:r w:rsidRPr="00277240">
              <w:rPr>
                <w:rFonts w:asciiTheme="minorHAnsi" w:hAnsiTheme="minorHAnsi" w:cstheme="minorHAnsi"/>
                <w:bCs/>
                <w:color w:val="00B050"/>
                <w:sz w:val="20"/>
                <w:szCs w:val="20"/>
              </w:rPr>
              <w:t>30a</w:t>
            </w:r>
          </w:p>
        </w:tc>
        <w:tc>
          <w:tcPr>
            <w:tcW w:w="1559" w:type="dxa"/>
          </w:tcPr>
          <w:p w14:paraId="4E3B27C4" w14:textId="77777777" w:rsidR="00BA2399" w:rsidRPr="00277240" w:rsidRDefault="00BA2399" w:rsidP="0027724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B050"/>
                <w:sz w:val="20"/>
                <w:szCs w:val="20"/>
              </w:rPr>
            </w:pPr>
            <w:r w:rsidRPr="00277240">
              <w:rPr>
                <w:rFonts w:asciiTheme="minorHAnsi" w:hAnsiTheme="minorHAnsi" w:cstheme="minorHAnsi"/>
                <w:bCs/>
                <w:color w:val="00B050"/>
                <w:sz w:val="20"/>
                <w:szCs w:val="20"/>
              </w:rPr>
              <w:t>NARATRIPTAN</w:t>
            </w:r>
          </w:p>
        </w:tc>
      </w:tr>
    </w:tbl>
    <w:p w14:paraId="6F77DDC9" w14:textId="77777777" w:rsidR="00BA2399" w:rsidRDefault="00BA2399" w:rsidP="00BA2399">
      <w:pPr>
        <w:pStyle w:val="Heading4"/>
      </w:pPr>
      <w:bookmarkStart w:id="99" w:name="_Toc144110891"/>
      <w:r>
        <w:t>Background</w:t>
      </w:r>
      <w:bookmarkEnd w:id="99"/>
    </w:p>
    <w:p w14:paraId="648447DA" w14:textId="42390ADB" w:rsidR="00BA2399" w:rsidRPr="00646BCA" w:rsidRDefault="00BA2399" w:rsidP="00BA2399">
      <w:pPr>
        <w:rPr>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 xml:space="preserve">Naratriptan </w:t>
      </w:r>
      <w:r w:rsidR="00FD6A98">
        <w:rPr>
          <w:rStyle w:val="normaltextrun"/>
          <w:rFonts w:ascii="Calibri" w:hAnsi="Calibri" w:cs="Calibri"/>
          <w:color w:val="000000"/>
          <w:szCs w:val="22"/>
          <w:shd w:val="clear" w:color="auto" w:fill="FFFFFF"/>
        </w:rPr>
        <w:t xml:space="preserve">belongs to a class of </w:t>
      </w:r>
      <w:r w:rsidR="00FD6A98" w:rsidRPr="00FD6A98">
        <w:rPr>
          <w:rStyle w:val="normaltextrun"/>
          <w:rFonts w:ascii="Calibri" w:hAnsi="Calibri" w:cs="Calibri"/>
          <w:color w:val="000000"/>
          <w:szCs w:val="22"/>
          <w:shd w:val="clear" w:color="auto" w:fill="FFFFFF"/>
        </w:rPr>
        <w:t>medicines known as 5HT1-receptor agonists</w:t>
      </w:r>
      <w:r w:rsidR="00FD6A98">
        <w:rPr>
          <w:rStyle w:val="normaltextrun"/>
          <w:rFonts w:ascii="Calibri" w:hAnsi="Calibri" w:cs="Calibri"/>
          <w:color w:val="000000"/>
          <w:szCs w:val="22"/>
          <w:shd w:val="clear" w:color="auto" w:fill="FFFFFF"/>
        </w:rPr>
        <w:t xml:space="preserve"> </w:t>
      </w:r>
      <w:r w:rsidR="00157963">
        <w:rPr>
          <w:rStyle w:val="normaltextrun"/>
          <w:rFonts w:ascii="Calibri" w:hAnsi="Calibri" w:cs="Calibri"/>
          <w:color w:val="000000"/>
          <w:szCs w:val="22"/>
          <w:shd w:val="clear" w:color="auto" w:fill="FFFFFF"/>
        </w:rPr>
        <w:t>(</w:t>
      </w:r>
      <w:r>
        <w:rPr>
          <w:rStyle w:val="normaltextrun"/>
          <w:rFonts w:ascii="Calibri" w:hAnsi="Calibri" w:cs="Calibri"/>
          <w:color w:val="000000"/>
          <w:szCs w:val="22"/>
          <w:shd w:val="clear" w:color="auto" w:fill="FFFFFF"/>
        </w:rPr>
        <w:t>selective serotonin agonist</w:t>
      </w:r>
      <w:r w:rsidR="00FD6A98">
        <w:rPr>
          <w:rStyle w:val="normaltextrun"/>
          <w:rFonts w:ascii="Calibri" w:hAnsi="Calibri" w:cs="Calibri"/>
          <w:color w:val="000000"/>
          <w:szCs w:val="22"/>
          <w:shd w:val="clear" w:color="auto" w:fill="FFFFFF"/>
        </w:rPr>
        <w:t>s</w:t>
      </w:r>
      <w:r w:rsidR="00157963">
        <w:rPr>
          <w:rStyle w:val="normaltextrun"/>
          <w:rFonts w:ascii="Calibri" w:hAnsi="Calibri" w:cs="Calibri"/>
          <w:color w:val="000000"/>
          <w:szCs w:val="22"/>
          <w:shd w:val="clear" w:color="auto" w:fill="FFFFFF"/>
        </w:rPr>
        <w:t>) or</w:t>
      </w:r>
      <w:r w:rsidR="00980379">
        <w:rPr>
          <w:rStyle w:val="normaltextrun"/>
          <w:rFonts w:ascii="Calibri" w:hAnsi="Calibri" w:cs="Calibri"/>
          <w:color w:val="000000"/>
          <w:szCs w:val="22"/>
          <w:shd w:val="clear" w:color="auto" w:fill="FFFFFF"/>
        </w:rPr>
        <w:t xml:space="preserve"> are</w:t>
      </w:r>
      <w:r w:rsidR="00157963">
        <w:rPr>
          <w:rStyle w:val="normaltextrun"/>
          <w:rFonts w:ascii="Calibri" w:hAnsi="Calibri" w:cs="Calibri"/>
          <w:color w:val="000000"/>
          <w:szCs w:val="22"/>
          <w:shd w:val="clear" w:color="auto" w:fill="FFFFFF"/>
        </w:rPr>
        <w:t xml:space="preserve"> known more </w:t>
      </w:r>
      <w:r w:rsidR="00861E03">
        <w:rPr>
          <w:rStyle w:val="normaltextrun"/>
          <w:rFonts w:ascii="Calibri" w:hAnsi="Calibri" w:cs="Calibri"/>
          <w:color w:val="000000"/>
          <w:szCs w:val="22"/>
          <w:shd w:val="clear" w:color="auto" w:fill="FFFFFF"/>
        </w:rPr>
        <w:t>commonly</w:t>
      </w:r>
      <w:r w:rsidR="00157963">
        <w:rPr>
          <w:rStyle w:val="normaltextrun"/>
          <w:rFonts w:ascii="Calibri" w:hAnsi="Calibri" w:cs="Calibri"/>
          <w:color w:val="000000"/>
          <w:szCs w:val="22"/>
          <w:shd w:val="clear" w:color="auto" w:fill="FFFFFF"/>
        </w:rPr>
        <w:t xml:space="preserve"> as </w:t>
      </w:r>
      <w:hyperlink r:id="rId96" w:history="1">
        <w:r w:rsidR="00FD6A98" w:rsidRPr="006478D3">
          <w:rPr>
            <w:rStyle w:val="Hyperlink"/>
            <w:rFonts w:ascii="Calibri" w:hAnsi="Calibri" w:cs="Calibri"/>
            <w:szCs w:val="22"/>
            <w:shd w:val="clear" w:color="auto" w:fill="FFFFFF"/>
          </w:rPr>
          <w:t>triptans</w:t>
        </w:r>
      </w:hyperlink>
      <w:r w:rsidR="00980379">
        <w:rPr>
          <w:rStyle w:val="normaltextrun"/>
          <w:rFonts w:ascii="Calibri" w:hAnsi="Calibri" w:cs="Calibri"/>
          <w:color w:val="000000"/>
          <w:szCs w:val="22"/>
          <w:shd w:val="clear" w:color="auto" w:fill="FFFFFF"/>
        </w:rPr>
        <w:t>.</w:t>
      </w:r>
      <w:r w:rsidR="00FD6A98">
        <w:rPr>
          <w:rStyle w:val="normaltextrun"/>
          <w:rFonts w:ascii="Calibri" w:hAnsi="Calibri" w:cs="Calibri"/>
          <w:color w:val="000000"/>
          <w:szCs w:val="22"/>
          <w:shd w:val="clear" w:color="auto" w:fill="FFFFFF"/>
        </w:rPr>
        <w:t xml:space="preserve"> </w:t>
      </w:r>
      <w:r w:rsidR="00980379">
        <w:rPr>
          <w:rStyle w:val="normaltextrun"/>
          <w:rFonts w:ascii="Calibri" w:hAnsi="Calibri" w:cs="Calibri"/>
          <w:color w:val="000000"/>
          <w:szCs w:val="22"/>
          <w:shd w:val="clear" w:color="auto" w:fill="FFFFFF"/>
        </w:rPr>
        <w:t xml:space="preserve">They are </w:t>
      </w:r>
      <w:r w:rsidR="002C6128">
        <w:rPr>
          <w:rStyle w:val="normaltextrun"/>
          <w:rFonts w:ascii="Calibri" w:hAnsi="Calibri" w:cs="Calibri"/>
          <w:color w:val="000000"/>
          <w:szCs w:val="22"/>
          <w:shd w:val="clear" w:color="auto" w:fill="FFFFFF"/>
        </w:rPr>
        <w:t>used for the treatment of acute migraine attacks with or without aura</w:t>
      </w:r>
      <w:r>
        <w:rPr>
          <w:rStyle w:val="normaltextrun"/>
          <w:rFonts w:ascii="Calibri" w:hAnsi="Calibri" w:cs="Calibri"/>
          <w:color w:val="000000"/>
          <w:szCs w:val="22"/>
          <w:shd w:val="clear" w:color="auto" w:fill="FFFFFF"/>
        </w:rPr>
        <w:t xml:space="preserve">. </w:t>
      </w:r>
      <w:r w:rsidR="00FD6A98" w:rsidRPr="00FD6A98">
        <w:rPr>
          <w:rStyle w:val="normaltextrun"/>
          <w:rFonts w:ascii="Calibri" w:hAnsi="Calibri" w:cs="Calibri"/>
          <w:color w:val="000000"/>
          <w:szCs w:val="22"/>
          <w:shd w:val="clear" w:color="auto" w:fill="FFFFFF"/>
        </w:rPr>
        <w:t>Triptans work by stimulating the</w:t>
      </w:r>
      <w:r w:rsidR="00FD6A98">
        <w:rPr>
          <w:rStyle w:val="normaltextrun"/>
          <w:rFonts w:ascii="Calibri" w:hAnsi="Calibri" w:cs="Calibri"/>
          <w:color w:val="000000"/>
          <w:szCs w:val="22"/>
          <w:shd w:val="clear" w:color="auto" w:fill="FFFFFF"/>
        </w:rPr>
        <w:t xml:space="preserve"> serotonin</w:t>
      </w:r>
      <w:r w:rsidR="00FD6A98" w:rsidRPr="00FD6A98">
        <w:rPr>
          <w:rStyle w:val="normaltextrun"/>
          <w:rFonts w:ascii="Calibri" w:hAnsi="Calibri" w:cs="Calibri"/>
          <w:color w:val="000000"/>
          <w:szCs w:val="22"/>
          <w:shd w:val="clear" w:color="auto" w:fill="FFFFFF"/>
        </w:rPr>
        <w:t xml:space="preserve"> receptors in the brain </w:t>
      </w:r>
      <w:r w:rsidR="00FD6A98">
        <w:rPr>
          <w:rStyle w:val="normaltextrun"/>
          <w:rFonts w:ascii="Calibri" w:hAnsi="Calibri" w:cs="Calibri"/>
          <w:color w:val="000000"/>
          <w:szCs w:val="22"/>
          <w:shd w:val="clear" w:color="auto" w:fill="FFFFFF"/>
        </w:rPr>
        <w:t>and t</w:t>
      </w:r>
      <w:r w:rsidR="00FD6A98" w:rsidRPr="00FD6A98">
        <w:rPr>
          <w:rStyle w:val="normaltextrun"/>
          <w:rFonts w:ascii="Calibri" w:hAnsi="Calibri" w:cs="Calibri"/>
          <w:color w:val="000000"/>
          <w:szCs w:val="22"/>
          <w:shd w:val="clear" w:color="auto" w:fill="FFFFFF"/>
        </w:rPr>
        <w:t>his eases the symptoms of migraine</w:t>
      </w:r>
      <w:r w:rsidR="00157963">
        <w:t>.</w:t>
      </w:r>
      <w:r w:rsidR="00980379" w:rsidRPr="00980379">
        <w:t xml:space="preserve"> </w:t>
      </w:r>
      <w:r w:rsidR="00980379">
        <w:t xml:space="preserve">They are </w:t>
      </w:r>
      <w:r w:rsidR="00980379" w:rsidRPr="00980379">
        <w:t>designed to stop a migraine attack as the attack begins</w:t>
      </w:r>
      <w:r w:rsidR="00980379">
        <w:t xml:space="preserve">. </w:t>
      </w:r>
      <w:r w:rsidR="002C6128">
        <w:rPr>
          <w:rStyle w:val="normaltextrun"/>
          <w:rFonts w:ascii="Calibri" w:hAnsi="Calibri" w:cs="Calibri"/>
          <w:color w:val="000000"/>
          <w:szCs w:val="22"/>
          <w:shd w:val="clear" w:color="auto" w:fill="FFFFFF"/>
        </w:rPr>
        <w:t>Naratriptan</w:t>
      </w:r>
      <w:r>
        <w:rPr>
          <w:rStyle w:val="normaltextrun"/>
          <w:rFonts w:ascii="Calibri" w:hAnsi="Calibri" w:cs="Calibri"/>
          <w:color w:val="000000"/>
          <w:szCs w:val="22"/>
          <w:shd w:val="clear" w:color="auto" w:fill="FFFFFF"/>
        </w:rPr>
        <w:t xml:space="preserve"> is </w:t>
      </w:r>
      <w:r w:rsidR="002C6128">
        <w:rPr>
          <w:rStyle w:val="normaltextrun"/>
          <w:rFonts w:ascii="Calibri" w:hAnsi="Calibri" w:cs="Calibri"/>
          <w:color w:val="000000"/>
          <w:szCs w:val="22"/>
          <w:shd w:val="clear" w:color="auto" w:fill="FFFFFF"/>
        </w:rPr>
        <w:t xml:space="preserve">currently </w:t>
      </w:r>
      <w:r>
        <w:rPr>
          <w:rStyle w:val="normaltextrun"/>
          <w:rFonts w:ascii="Calibri" w:hAnsi="Calibri" w:cs="Calibri"/>
          <w:color w:val="000000"/>
          <w:szCs w:val="22"/>
          <w:shd w:val="clear" w:color="auto" w:fill="FFFFFF"/>
        </w:rPr>
        <w:t xml:space="preserve">available as </w:t>
      </w:r>
      <w:r w:rsidR="002C6128">
        <w:rPr>
          <w:rStyle w:val="normaltextrun"/>
          <w:rFonts w:ascii="Calibri" w:hAnsi="Calibri" w:cs="Calibri"/>
          <w:color w:val="000000"/>
          <w:szCs w:val="22"/>
          <w:shd w:val="clear" w:color="auto" w:fill="FFFFFF"/>
        </w:rPr>
        <w:t xml:space="preserve">2.5 mg </w:t>
      </w:r>
      <w:r>
        <w:rPr>
          <w:rStyle w:val="normaltextrun"/>
          <w:rFonts w:ascii="Calibri" w:hAnsi="Calibri" w:cs="Calibri"/>
          <w:color w:val="000000"/>
          <w:szCs w:val="22"/>
          <w:shd w:val="clear" w:color="auto" w:fill="FFFFFF"/>
        </w:rPr>
        <w:t xml:space="preserve">oral tablets </w:t>
      </w:r>
      <w:r w:rsidR="00B206FD">
        <w:rPr>
          <w:rStyle w:val="normaltextrun"/>
          <w:rFonts w:ascii="Calibri" w:hAnsi="Calibri" w:cs="Calibri"/>
          <w:color w:val="000000"/>
          <w:szCs w:val="22"/>
          <w:shd w:val="clear" w:color="auto" w:fill="FFFFFF"/>
        </w:rPr>
        <w:t>by prescription only</w:t>
      </w:r>
      <w:r>
        <w:rPr>
          <w:rStyle w:val="normaltextrun"/>
          <w:rFonts w:ascii="Calibri" w:hAnsi="Calibri" w:cs="Calibri"/>
          <w:color w:val="000000"/>
          <w:szCs w:val="22"/>
          <w:shd w:val="clear" w:color="auto" w:fill="FFFFFF"/>
        </w:rPr>
        <w:t>.</w:t>
      </w:r>
      <w:r w:rsidR="00EB1099">
        <w:rPr>
          <w:rStyle w:val="normaltextrun"/>
          <w:rFonts w:ascii="Calibri" w:hAnsi="Calibri" w:cs="Calibri"/>
          <w:color w:val="000000"/>
          <w:szCs w:val="22"/>
          <w:shd w:val="clear" w:color="auto" w:fill="FFFFFF"/>
        </w:rPr>
        <w:t xml:space="preserve"> </w:t>
      </w:r>
      <w:r>
        <w:rPr>
          <w:rStyle w:val="eop"/>
          <w:rFonts w:ascii="Calibri" w:hAnsi="Calibri" w:cs="Calibri"/>
          <w:color w:val="000000"/>
          <w:szCs w:val="22"/>
          <w:shd w:val="clear" w:color="auto" w:fill="FFFFFF"/>
        </w:rPr>
        <w:t>Naratriptan was listed in the Poisons Standard in 1998</w:t>
      </w:r>
      <w:r w:rsidR="005E4412">
        <w:rPr>
          <w:rStyle w:val="eop"/>
          <w:rFonts w:ascii="Calibri" w:hAnsi="Calibri" w:cs="Calibri"/>
          <w:color w:val="000000"/>
          <w:szCs w:val="22"/>
          <w:shd w:val="clear" w:color="auto" w:fill="FFFFFF"/>
        </w:rPr>
        <w:t xml:space="preserve"> as a Schedule 4 substance</w:t>
      </w:r>
      <w:r>
        <w:rPr>
          <w:rStyle w:val="eop"/>
          <w:rFonts w:ascii="Calibri" w:hAnsi="Calibri" w:cs="Calibri"/>
          <w:color w:val="000000"/>
          <w:szCs w:val="22"/>
          <w:shd w:val="clear" w:color="auto" w:fill="FFFFFF"/>
        </w:rPr>
        <w:t xml:space="preserve"> and has not been considered since.</w:t>
      </w:r>
    </w:p>
    <w:p w14:paraId="41C55C53" w14:textId="77777777" w:rsidR="00BA2399" w:rsidRDefault="00BA2399" w:rsidP="00BA2399">
      <w:pPr>
        <w:pStyle w:val="Heading4"/>
      </w:pPr>
      <w:bookmarkStart w:id="100" w:name="_Toc144110892"/>
      <w:r>
        <w:t>Summary of applicant’s reasons for the proposal</w:t>
      </w:r>
      <w:bookmarkEnd w:id="100"/>
    </w:p>
    <w:p w14:paraId="72B37C17" w14:textId="1D32FA2A" w:rsidR="00BA2399" w:rsidRDefault="00130019" w:rsidP="00EB1099">
      <w:pPr>
        <w:pStyle w:val="ListBullet"/>
        <w:numPr>
          <w:ilvl w:val="0"/>
          <w:numId w:val="83"/>
        </w:numPr>
      </w:pPr>
      <w:r w:rsidRPr="00130019">
        <w:rPr>
          <w:rStyle w:val="normaltextrun"/>
        </w:rPr>
        <w:t xml:space="preserve">Migraine is a common and debilitating recurrent condition that affects </w:t>
      </w:r>
      <w:r w:rsidR="00FB27EC">
        <w:rPr>
          <w:rStyle w:val="normaltextrun"/>
        </w:rPr>
        <w:t>12-20%</w:t>
      </w:r>
      <w:r w:rsidRPr="00130019">
        <w:rPr>
          <w:rStyle w:val="normaltextrun"/>
        </w:rPr>
        <w:t xml:space="preserve"> of women and 6% of </w:t>
      </w:r>
      <w:r w:rsidRPr="00FB27EC">
        <w:rPr>
          <w:rStyle w:val="normaltextrun"/>
        </w:rPr>
        <w:t>men.</w:t>
      </w:r>
      <w:r w:rsidR="00FB27EC" w:rsidRPr="00FB27EC">
        <w:rPr>
          <w:rStyle w:val="normaltextrun"/>
        </w:rPr>
        <w:t xml:space="preserve"> In Australia, </w:t>
      </w:r>
      <w:r w:rsidR="00FB27EC" w:rsidRPr="00FB27EC">
        <w:t xml:space="preserve">approximately 2.3 million people could potentially require triptan medication </w:t>
      </w:r>
      <w:r w:rsidR="00FB27EC">
        <w:t>for the treatment of</w:t>
      </w:r>
      <w:r w:rsidR="00FB27EC" w:rsidRPr="00FB27EC">
        <w:t xml:space="preserve"> migraine.</w:t>
      </w:r>
    </w:p>
    <w:p w14:paraId="2F4F29C5" w14:textId="5369E585" w:rsidR="00F9259D" w:rsidRPr="00F9259D" w:rsidRDefault="00FB27EC" w:rsidP="00EB1099">
      <w:pPr>
        <w:pStyle w:val="ListBullet"/>
        <w:numPr>
          <w:ilvl w:val="0"/>
          <w:numId w:val="83"/>
        </w:numPr>
        <w:rPr>
          <w:rStyle w:val="normaltextrun"/>
          <w:color w:val="000000"/>
          <w:szCs w:val="22"/>
          <w:shd w:val="clear" w:color="auto" w:fill="FFFFFF"/>
        </w:rPr>
      </w:pPr>
      <w:r w:rsidRPr="00F9259D">
        <w:rPr>
          <w:rStyle w:val="normaltextrun"/>
          <w:color w:val="000000"/>
          <w:szCs w:val="22"/>
          <w:shd w:val="clear" w:color="auto" w:fill="FFFFFF"/>
        </w:rPr>
        <w:t>Naratriptan is currently available by prescription only and this</w:t>
      </w:r>
      <w:r w:rsidR="00BA2399" w:rsidRPr="00F9259D">
        <w:rPr>
          <w:rStyle w:val="normaltextrun"/>
          <w:color w:val="000000"/>
          <w:szCs w:val="22"/>
          <w:shd w:val="clear" w:color="auto" w:fill="FFFFFF"/>
        </w:rPr>
        <w:t xml:space="preserve"> restriction</w:t>
      </w:r>
      <w:r w:rsidR="0091057E" w:rsidRPr="00F9259D">
        <w:rPr>
          <w:rStyle w:val="normaltextrun"/>
          <w:color w:val="000000"/>
          <w:szCs w:val="22"/>
          <w:shd w:val="clear" w:color="auto" w:fill="FFFFFF"/>
        </w:rPr>
        <w:t xml:space="preserve"> may</w:t>
      </w:r>
      <w:r w:rsidR="00BA2399" w:rsidRPr="00F9259D">
        <w:rPr>
          <w:rStyle w:val="normaltextrun"/>
          <w:color w:val="000000"/>
          <w:szCs w:val="22"/>
          <w:shd w:val="clear" w:color="auto" w:fill="FFFFFF"/>
        </w:rPr>
        <w:t xml:space="preserve"> </w:t>
      </w:r>
      <w:r w:rsidR="0091057E" w:rsidRPr="00F9259D">
        <w:rPr>
          <w:rStyle w:val="normaltextrun"/>
          <w:color w:val="000000"/>
          <w:szCs w:val="22"/>
          <w:shd w:val="clear" w:color="auto" w:fill="FFFFFF"/>
        </w:rPr>
        <w:t>delay patients from receiving acute migraine relief</w:t>
      </w:r>
      <w:r w:rsidR="00761C77" w:rsidRPr="00F9259D">
        <w:rPr>
          <w:rStyle w:val="normaltextrun"/>
          <w:color w:val="000000"/>
          <w:szCs w:val="22"/>
          <w:shd w:val="clear" w:color="auto" w:fill="FFFFFF"/>
        </w:rPr>
        <w:t>.</w:t>
      </w:r>
      <w:r w:rsidR="0091057E" w:rsidRPr="00F9259D">
        <w:rPr>
          <w:rStyle w:val="normaltextrun"/>
          <w:color w:val="000000"/>
          <w:szCs w:val="22"/>
          <w:shd w:val="clear" w:color="auto" w:fill="FFFFFF"/>
        </w:rPr>
        <w:t xml:space="preserve"> </w:t>
      </w:r>
      <w:r w:rsidR="00F9259D">
        <w:rPr>
          <w:rStyle w:val="normaltextrun"/>
          <w:color w:val="000000"/>
          <w:szCs w:val="22"/>
          <w:shd w:val="clear" w:color="auto" w:fill="FFFFFF"/>
        </w:rPr>
        <w:t xml:space="preserve">A </w:t>
      </w:r>
      <w:r w:rsidR="00F9259D" w:rsidRPr="00F9259D">
        <w:rPr>
          <w:rStyle w:val="normaltextrun"/>
          <w:color w:val="000000"/>
          <w:szCs w:val="22"/>
          <w:shd w:val="clear" w:color="auto" w:fill="FFFFFF"/>
        </w:rPr>
        <w:t>fundamental requirement for the efficacy of triptans (5HT-1 agonists) in the acute</w:t>
      </w:r>
      <w:r w:rsidR="00F9259D">
        <w:rPr>
          <w:rStyle w:val="normaltextrun"/>
          <w:color w:val="000000"/>
          <w:szCs w:val="22"/>
          <w:shd w:val="clear" w:color="auto" w:fill="FFFFFF"/>
        </w:rPr>
        <w:t xml:space="preserve"> </w:t>
      </w:r>
      <w:r w:rsidR="00F9259D" w:rsidRPr="00F9259D">
        <w:rPr>
          <w:rStyle w:val="normaltextrun"/>
          <w:color w:val="000000"/>
          <w:szCs w:val="22"/>
          <w:shd w:val="clear" w:color="auto" w:fill="FFFFFF"/>
        </w:rPr>
        <w:t>treatment of migraine is to administer within one hour of the onset of migraine headache</w:t>
      </w:r>
      <w:r w:rsidR="00F9259D">
        <w:rPr>
          <w:rStyle w:val="normaltextrun"/>
          <w:color w:val="000000"/>
          <w:szCs w:val="22"/>
          <w:shd w:val="clear" w:color="auto" w:fill="FFFFFF"/>
        </w:rPr>
        <w:t>.</w:t>
      </w:r>
    </w:p>
    <w:p w14:paraId="4AE163B5" w14:textId="3777CE52" w:rsidR="00BA2399" w:rsidRPr="00761C77" w:rsidRDefault="00F9259D" w:rsidP="00EB1099">
      <w:pPr>
        <w:pStyle w:val="ListBullet"/>
        <w:numPr>
          <w:ilvl w:val="0"/>
          <w:numId w:val="83"/>
        </w:numPr>
        <w:rPr>
          <w:rFonts w:ascii="Calibri" w:hAnsi="Calibri" w:cs="Calibri"/>
          <w:color w:val="000000"/>
          <w:szCs w:val="22"/>
          <w:shd w:val="clear" w:color="auto" w:fill="FFFFFF"/>
        </w:rPr>
      </w:pPr>
      <w:r>
        <w:rPr>
          <w:rFonts w:ascii="Calibri" w:hAnsi="Calibri" w:cs="Calibri"/>
          <w:color w:val="000000"/>
          <w:szCs w:val="22"/>
          <w:shd w:val="clear" w:color="auto" w:fill="FFFFFF"/>
        </w:rPr>
        <w:t>Delay in treatment</w:t>
      </w:r>
      <w:r w:rsidR="00761C77">
        <w:rPr>
          <w:rFonts w:ascii="Calibri" w:hAnsi="Calibri" w:cs="Calibri"/>
          <w:color w:val="000000"/>
          <w:szCs w:val="22"/>
          <w:shd w:val="clear" w:color="auto" w:fill="FFFFFF"/>
        </w:rPr>
        <w:t xml:space="preserve"> </w:t>
      </w:r>
      <w:r w:rsidR="0091057E" w:rsidRPr="00761C77">
        <w:rPr>
          <w:rFonts w:ascii="Calibri" w:hAnsi="Calibri" w:cs="Calibri"/>
          <w:color w:val="000000"/>
          <w:szCs w:val="22"/>
          <w:shd w:val="clear" w:color="auto" w:fill="FFFFFF"/>
        </w:rPr>
        <w:t>increases the risk of more severe and prolonged headache pain, inappropriate simple analgesic use</w:t>
      </w:r>
      <w:r w:rsidR="00761C77">
        <w:rPr>
          <w:rFonts w:ascii="Calibri" w:hAnsi="Calibri" w:cs="Calibri"/>
          <w:color w:val="000000"/>
          <w:szCs w:val="22"/>
          <w:shd w:val="clear" w:color="auto" w:fill="FFFFFF"/>
        </w:rPr>
        <w:t xml:space="preserve">, </w:t>
      </w:r>
      <w:r w:rsidR="0091057E" w:rsidRPr="00761C77">
        <w:rPr>
          <w:rFonts w:ascii="Calibri" w:hAnsi="Calibri" w:cs="Calibri"/>
          <w:color w:val="000000"/>
          <w:szCs w:val="22"/>
          <w:shd w:val="clear" w:color="auto" w:fill="FFFFFF"/>
        </w:rPr>
        <w:t>medication overuse headache, chronic migraine, and increases the economic and productivity costs to Australia.</w:t>
      </w:r>
    </w:p>
    <w:p w14:paraId="2255A977" w14:textId="0312B6A9" w:rsidR="00130019" w:rsidRPr="00761C77" w:rsidRDefault="00BA2399" w:rsidP="00EB1099">
      <w:pPr>
        <w:pStyle w:val="ListBullet"/>
        <w:numPr>
          <w:ilvl w:val="0"/>
          <w:numId w:val="83"/>
        </w:numPr>
        <w:rPr>
          <w:color w:val="000000"/>
          <w:sz w:val="24"/>
          <w:szCs w:val="24"/>
          <w:shd w:val="clear" w:color="auto" w:fill="FFFFFF"/>
        </w:rPr>
      </w:pPr>
      <w:r w:rsidRPr="00BA2399">
        <w:rPr>
          <w:szCs w:val="22"/>
        </w:rPr>
        <w:t>The proposal aims to facilitate timely access to naratriptan through community pharmacy for patients diagnosed with migraine headaches, so that treatment may be initiated at the early stages of an attack.</w:t>
      </w:r>
      <w:r w:rsidR="00761C77">
        <w:rPr>
          <w:color w:val="000000"/>
          <w:sz w:val="24"/>
          <w:szCs w:val="24"/>
          <w:shd w:val="clear" w:color="auto" w:fill="FFFFFF"/>
        </w:rPr>
        <w:t xml:space="preserve"> </w:t>
      </w:r>
      <w:r w:rsidRPr="00761C77">
        <w:rPr>
          <w:szCs w:val="22"/>
        </w:rPr>
        <w:t>Pharmacists have appropriate skill</w:t>
      </w:r>
      <w:r w:rsidR="00945641" w:rsidRPr="00761C77">
        <w:rPr>
          <w:szCs w:val="22"/>
        </w:rPr>
        <w:t>s</w:t>
      </w:r>
      <w:r w:rsidRPr="00761C77">
        <w:rPr>
          <w:szCs w:val="22"/>
        </w:rPr>
        <w:t xml:space="preserve"> and knowledge to appropriately assess migraine</w:t>
      </w:r>
      <w:r w:rsidR="00BD4DFE" w:rsidRPr="00761C77">
        <w:rPr>
          <w:szCs w:val="22"/>
        </w:rPr>
        <w:t xml:space="preserve"> </w:t>
      </w:r>
      <w:r w:rsidRPr="00761C77">
        <w:rPr>
          <w:szCs w:val="22"/>
        </w:rPr>
        <w:t xml:space="preserve">symptoms and </w:t>
      </w:r>
      <w:r w:rsidR="00130019" w:rsidRPr="00761C77">
        <w:rPr>
          <w:szCs w:val="22"/>
        </w:rPr>
        <w:t xml:space="preserve">the medical </w:t>
      </w:r>
      <w:r w:rsidRPr="00761C77">
        <w:rPr>
          <w:szCs w:val="22"/>
        </w:rPr>
        <w:t>history of consumers.</w:t>
      </w:r>
    </w:p>
    <w:p w14:paraId="0B06E396" w14:textId="3EF632D4" w:rsidR="00130019" w:rsidRDefault="00130019" w:rsidP="00EB1099">
      <w:pPr>
        <w:pStyle w:val="ListBullet"/>
        <w:numPr>
          <w:ilvl w:val="0"/>
          <w:numId w:val="83"/>
        </w:numPr>
        <w:rPr>
          <w:szCs w:val="22"/>
        </w:rPr>
      </w:pPr>
      <w:r>
        <w:rPr>
          <w:szCs w:val="22"/>
        </w:rPr>
        <w:t xml:space="preserve">Other triptan medicines such as sumatriptan, zolmitriptan, </w:t>
      </w:r>
      <w:proofErr w:type="spellStart"/>
      <w:r>
        <w:rPr>
          <w:szCs w:val="22"/>
        </w:rPr>
        <w:t>eletriptan</w:t>
      </w:r>
      <w:proofErr w:type="spellEnd"/>
      <w:r>
        <w:rPr>
          <w:szCs w:val="22"/>
        </w:rPr>
        <w:t xml:space="preserve"> and rizatriptan were re-scheduled and </w:t>
      </w:r>
      <w:r w:rsidR="00761C77">
        <w:rPr>
          <w:szCs w:val="22"/>
        </w:rPr>
        <w:t>made</w:t>
      </w:r>
      <w:r w:rsidR="00FB27EC">
        <w:rPr>
          <w:szCs w:val="22"/>
        </w:rPr>
        <w:t xml:space="preserve"> </w:t>
      </w:r>
      <w:r>
        <w:rPr>
          <w:szCs w:val="22"/>
        </w:rPr>
        <w:t xml:space="preserve">available for Pharmacist Only sale </w:t>
      </w:r>
      <w:r w:rsidR="00761C77">
        <w:rPr>
          <w:szCs w:val="22"/>
        </w:rPr>
        <w:t xml:space="preserve">in </w:t>
      </w:r>
      <w:r>
        <w:rPr>
          <w:szCs w:val="22"/>
        </w:rPr>
        <w:t>2021.</w:t>
      </w:r>
    </w:p>
    <w:p w14:paraId="0608C9C2" w14:textId="22D62E67" w:rsidR="00F9259D" w:rsidRPr="00F9259D" w:rsidRDefault="00F9259D" w:rsidP="00EB1099">
      <w:pPr>
        <w:pStyle w:val="ListBullet"/>
        <w:numPr>
          <w:ilvl w:val="0"/>
          <w:numId w:val="83"/>
        </w:numPr>
        <w:rPr>
          <w:szCs w:val="22"/>
        </w:rPr>
      </w:pPr>
      <w:r w:rsidRPr="00F9259D">
        <w:rPr>
          <w:szCs w:val="22"/>
        </w:rPr>
        <w:t>Triptans are considered to have low abuse potential. Medication overuse headache (MOH) is considered the most likely unintended outcome associated with misuse or abuse of naratriptan. The prevalence of MOH is approximately 0.5–2.0% of the population.</w:t>
      </w:r>
    </w:p>
    <w:p w14:paraId="24951FD9" w14:textId="77777777" w:rsidR="00BA2399" w:rsidRDefault="00BA2399" w:rsidP="00BA2399">
      <w:pPr>
        <w:pStyle w:val="Heading4"/>
      </w:pPr>
      <w:bookmarkStart w:id="101" w:name="_Toc144110893"/>
      <w:r>
        <w:t xml:space="preserve">Key uses / expected </w:t>
      </w:r>
      <w:proofErr w:type="gramStart"/>
      <w:r>
        <w:t>use</w:t>
      </w:r>
      <w:bookmarkEnd w:id="101"/>
      <w:proofErr w:type="gramEnd"/>
    </w:p>
    <w:p w14:paraId="07F382BB" w14:textId="77777777" w:rsidR="00BA2399" w:rsidRPr="00D137F8" w:rsidRDefault="00BA2399" w:rsidP="00BA2399">
      <w:r w:rsidRPr="00D137F8">
        <w:t>Medicines</w:t>
      </w:r>
    </w:p>
    <w:p w14:paraId="23EAEA92" w14:textId="77777777" w:rsidR="00BA2399" w:rsidRDefault="00BA2399" w:rsidP="00BA2399">
      <w:pPr>
        <w:pStyle w:val="Heading4"/>
      </w:pPr>
      <w:bookmarkStart w:id="102" w:name="_Toc144110894"/>
      <w:r>
        <w:t>Australian regulations</w:t>
      </w:r>
      <w:bookmarkEnd w:id="102"/>
    </w:p>
    <w:p w14:paraId="0635A415" w14:textId="0A32F4D6" w:rsidR="00BA2399" w:rsidRPr="008007EB" w:rsidRDefault="00BA2399" w:rsidP="00BA2399">
      <w:pPr>
        <w:pStyle w:val="ListBullet"/>
        <w:numPr>
          <w:ilvl w:val="0"/>
          <w:numId w:val="65"/>
        </w:numPr>
      </w:pPr>
      <w:r w:rsidRPr="004C0AC3">
        <w:t xml:space="preserve">According to the </w:t>
      </w:r>
      <w:hyperlink r:id="rId97" w:history="1">
        <w:r w:rsidRPr="008007EB">
          <w:rPr>
            <w:rStyle w:val="Hyperlink"/>
            <w:rFonts w:asciiTheme="minorHAnsi" w:hAnsiTheme="minorHAnsi"/>
          </w:rPr>
          <w:t>TGA Ingredient Database</w:t>
        </w:r>
      </w:hyperlink>
      <w:r w:rsidRPr="008007EB">
        <w:t xml:space="preserve">, </w:t>
      </w:r>
      <w:r w:rsidRPr="004C0AC3">
        <w:t>naratriptan is:</w:t>
      </w:r>
    </w:p>
    <w:p w14:paraId="52E46037" w14:textId="4520FAB2" w:rsidR="00BA2399" w:rsidRPr="004C0AC3" w:rsidRDefault="00BA2399" w:rsidP="009C55B5">
      <w:pPr>
        <w:pStyle w:val="ListParagraph"/>
        <w:numPr>
          <w:ilvl w:val="0"/>
          <w:numId w:val="69"/>
        </w:numPr>
        <w:ind w:left="714" w:hanging="357"/>
        <w:contextualSpacing w:val="0"/>
        <w:rPr>
          <w:rFonts w:asciiTheme="minorHAnsi" w:hAnsiTheme="minorHAnsi" w:cstheme="minorHAnsi"/>
          <w:iCs/>
          <w:szCs w:val="22"/>
        </w:rPr>
      </w:pPr>
      <w:r w:rsidRPr="004C0AC3">
        <w:rPr>
          <w:rFonts w:asciiTheme="minorHAnsi" w:hAnsiTheme="minorHAnsi" w:cstheme="minorHAnsi"/>
          <w:iCs/>
          <w:szCs w:val="22"/>
        </w:rPr>
        <w:t>Available for use as an Active Ingredient in Biologicals</w:t>
      </w:r>
      <w:r w:rsidR="00761C77">
        <w:rPr>
          <w:rFonts w:asciiTheme="minorHAnsi" w:hAnsiTheme="minorHAnsi" w:cstheme="minorHAnsi"/>
          <w:iCs/>
          <w:szCs w:val="22"/>
        </w:rPr>
        <w:t xml:space="preserve"> and</w:t>
      </w:r>
      <w:r w:rsidRPr="004C0AC3">
        <w:rPr>
          <w:rFonts w:asciiTheme="minorHAnsi" w:hAnsiTheme="minorHAnsi" w:cstheme="minorHAnsi"/>
          <w:iCs/>
          <w:szCs w:val="22"/>
        </w:rPr>
        <w:t xml:space="preserve"> Prescription Medicines</w:t>
      </w:r>
      <w:r w:rsidR="00D137F8">
        <w:rPr>
          <w:rFonts w:asciiTheme="minorHAnsi" w:hAnsiTheme="minorHAnsi" w:cstheme="minorHAnsi"/>
          <w:iCs/>
          <w:szCs w:val="22"/>
        </w:rPr>
        <w:t>;</w:t>
      </w:r>
    </w:p>
    <w:p w14:paraId="1E4C0CBA" w14:textId="2473B76A" w:rsidR="00BA2399" w:rsidRPr="004C0AC3" w:rsidRDefault="00BA2399" w:rsidP="009C55B5">
      <w:pPr>
        <w:pStyle w:val="ListParagraph"/>
        <w:numPr>
          <w:ilvl w:val="0"/>
          <w:numId w:val="69"/>
        </w:numPr>
        <w:ind w:left="714" w:hanging="357"/>
        <w:contextualSpacing w:val="0"/>
        <w:rPr>
          <w:rFonts w:asciiTheme="minorHAnsi" w:hAnsiTheme="minorHAnsi" w:cstheme="minorHAnsi"/>
          <w:iCs/>
          <w:szCs w:val="22"/>
        </w:rPr>
      </w:pPr>
      <w:r w:rsidRPr="004C0AC3">
        <w:rPr>
          <w:rFonts w:asciiTheme="minorHAnsi" w:hAnsiTheme="minorHAnsi" w:cstheme="minorHAnsi"/>
          <w:iCs/>
          <w:szCs w:val="22"/>
        </w:rPr>
        <w:t xml:space="preserve">Available for use as an Excipient Ingredient in Biologicals, Devices </w:t>
      </w:r>
      <w:r w:rsidR="00761C77">
        <w:rPr>
          <w:rFonts w:asciiTheme="minorHAnsi" w:hAnsiTheme="minorHAnsi" w:cstheme="minorHAnsi"/>
          <w:iCs/>
          <w:szCs w:val="22"/>
        </w:rPr>
        <w:t xml:space="preserve">and </w:t>
      </w:r>
      <w:r w:rsidRPr="004C0AC3">
        <w:rPr>
          <w:rFonts w:asciiTheme="minorHAnsi" w:hAnsiTheme="minorHAnsi" w:cstheme="minorHAnsi"/>
          <w:iCs/>
          <w:szCs w:val="22"/>
        </w:rPr>
        <w:t>Prescription Medicines</w:t>
      </w:r>
      <w:r w:rsidR="00D137F8">
        <w:rPr>
          <w:rFonts w:asciiTheme="minorHAnsi" w:hAnsiTheme="minorHAnsi" w:cstheme="minorHAnsi"/>
          <w:iCs/>
          <w:szCs w:val="22"/>
        </w:rPr>
        <w:t>;</w:t>
      </w:r>
    </w:p>
    <w:p w14:paraId="669100E1" w14:textId="0650219F" w:rsidR="00BA2399" w:rsidRPr="004C0AC3" w:rsidRDefault="00BA2399" w:rsidP="009C55B5">
      <w:pPr>
        <w:pStyle w:val="ListParagraph"/>
        <w:numPr>
          <w:ilvl w:val="0"/>
          <w:numId w:val="69"/>
        </w:numPr>
        <w:ind w:left="714" w:hanging="357"/>
        <w:contextualSpacing w:val="0"/>
        <w:rPr>
          <w:rFonts w:asciiTheme="minorHAnsi" w:hAnsiTheme="minorHAnsi" w:cstheme="minorHAnsi"/>
          <w:iCs/>
          <w:szCs w:val="22"/>
        </w:rPr>
      </w:pPr>
      <w:r w:rsidRPr="004C0AC3">
        <w:rPr>
          <w:rFonts w:asciiTheme="minorHAnsi" w:hAnsiTheme="minorHAnsi" w:cstheme="minorHAnsi"/>
          <w:iCs/>
          <w:szCs w:val="22"/>
        </w:rPr>
        <w:lastRenderedPageBreak/>
        <w:t>Available for use as an equivalent Ingredient in Prescription Medicines</w:t>
      </w:r>
      <w:r w:rsidR="00D137F8">
        <w:rPr>
          <w:rFonts w:asciiTheme="minorHAnsi" w:hAnsiTheme="minorHAnsi" w:cstheme="minorHAnsi"/>
          <w:iCs/>
          <w:szCs w:val="22"/>
        </w:rPr>
        <w:t>.</w:t>
      </w:r>
    </w:p>
    <w:p w14:paraId="63DB9240" w14:textId="28B2DE22" w:rsidR="00BA2399" w:rsidRPr="008007EB" w:rsidRDefault="00BA2399" w:rsidP="00BA2399">
      <w:pPr>
        <w:pStyle w:val="ListBullet"/>
        <w:numPr>
          <w:ilvl w:val="0"/>
          <w:numId w:val="65"/>
        </w:numPr>
      </w:pPr>
      <w:r w:rsidRPr="004C0AC3">
        <w:t xml:space="preserve">As of </w:t>
      </w:r>
      <w:r>
        <w:t>August 2023</w:t>
      </w:r>
      <w:r w:rsidRPr="004C0AC3">
        <w:t xml:space="preserve">, there </w:t>
      </w:r>
      <w:r>
        <w:t xml:space="preserve">was </w:t>
      </w:r>
      <w:r w:rsidR="00761C77">
        <w:t>one</w:t>
      </w:r>
      <w:r w:rsidRPr="004C0AC3">
        <w:t xml:space="preserve"> medicine currently active on the </w:t>
      </w:r>
      <w:hyperlink r:id="rId98"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8007EB">
        <w:t xml:space="preserve"> </w:t>
      </w:r>
      <w:r w:rsidRPr="004C0AC3">
        <w:t>that contain</w:t>
      </w:r>
      <w:r w:rsidR="00761C77">
        <w:t>s</w:t>
      </w:r>
      <w:r w:rsidRPr="004C0AC3">
        <w:t xml:space="preserve"> </w:t>
      </w:r>
      <w:r>
        <w:t>naratriptan (as hydrochloride)</w:t>
      </w:r>
      <w:r w:rsidRPr="004C0AC3">
        <w:t xml:space="preserve"> as an active ingredient. </w:t>
      </w:r>
      <w:r>
        <w:t xml:space="preserve">The product is a prescription </w:t>
      </w:r>
      <w:r w:rsidR="00761C77">
        <w:t xml:space="preserve">only </w:t>
      </w:r>
      <w:r>
        <w:t>medicine.</w:t>
      </w:r>
    </w:p>
    <w:p w14:paraId="79868B45" w14:textId="30BC910B" w:rsidR="00BA2399" w:rsidRPr="008007EB" w:rsidRDefault="00BA2399" w:rsidP="00BA2399">
      <w:pPr>
        <w:pStyle w:val="ListBullet"/>
        <w:numPr>
          <w:ilvl w:val="0"/>
          <w:numId w:val="65"/>
        </w:numPr>
      </w:pPr>
      <w:r>
        <w:t>Naratrip</w:t>
      </w:r>
      <w:r w:rsidR="00761C77">
        <w:t>t</w:t>
      </w:r>
      <w:r>
        <w:t>an</w:t>
      </w:r>
      <w:r w:rsidRPr="00BF5883">
        <w:t xml:space="preserve"> is not permitted to be included in listed medicines as it is not included in the </w:t>
      </w:r>
      <w:hyperlink r:id="rId99" w:history="1">
        <w:r w:rsidRPr="008007EB">
          <w:rPr>
            <w:rStyle w:val="Hyperlink"/>
            <w:rFonts w:asciiTheme="minorHAnsi" w:hAnsiTheme="minorHAnsi"/>
          </w:rPr>
          <w:t>Therapeutic Goods (Permissible Ingredients) Determination</w:t>
        </w:r>
      </w:hyperlink>
      <w:r w:rsidRPr="008007EB">
        <w:t xml:space="preserve"> </w:t>
      </w:r>
      <w:r w:rsidRPr="00BF5883">
        <w:t>No.</w:t>
      </w:r>
      <w:r>
        <w:t>3</w:t>
      </w:r>
      <w:r w:rsidRPr="00BF5883">
        <w:t xml:space="preserve"> of 20</w:t>
      </w:r>
      <w:r>
        <w:t>23</w:t>
      </w:r>
      <w:r w:rsidRPr="00BF5883">
        <w:t>.</w:t>
      </w:r>
    </w:p>
    <w:p w14:paraId="3999D718" w14:textId="4D152F3B" w:rsidR="00BA2399" w:rsidRPr="008007EB" w:rsidRDefault="00BA2399" w:rsidP="00BA2399">
      <w:pPr>
        <w:pStyle w:val="ListBullet"/>
        <w:keepNext/>
        <w:keepLines/>
        <w:numPr>
          <w:ilvl w:val="0"/>
          <w:numId w:val="65"/>
        </w:numPr>
      </w:pPr>
      <w:r w:rsidRPr="00A34B74">
        <w:t xml:space="preserve">The </w:t>
      </w:r>
      <w:hyperlink r:id="rId100" w:history="1">
        <w:r w:rsidRPr="008007EB">
          <w:rPr>
            <w:rStyle w:val="Hyperlink"/>
            <w:rFonts w:asciiTheme="minorHAnsi" w:hAnsiTheme="minorHAnsi"/>
          </w:rPr>
          <w:t>TGA prescribing medicines in pregnancy database</w:t>
        </w:r>
      </w:hyperlink>
      <w:r w:rsidRPr="008007EB">
        <w:t xml:space="preserve"> </w:t>
      </w:r>
      <w:r w:rsidRPr="00A34B74">
        <w:t>classifies naratriptan as:</w:t>
      </w:r>
    </w:p>
    <w:tbl>
      <w:tblPr>
        <w:tblStyle w:val="TableTGAblue"/>
        <w:tblW w:w="8670" w:type="dxa"/>
        <w:tblInd w:w="392" w:type="dxa"/>
        <w:tblLook w:val="04A0" w:firstRow="1" w:lastRow="0" w:firstColumn="1" w:lastColumn="0" w:noHBand="0" w:noVBand="1"/>
      </w:tblPr>
      <w:tblGrid>
        <w:gridCol w:w="1607"/>
        <w:gridCol w:w="1110"/>
        <w:gridCol w:w="1984"/>
        <w:gridCol w:w="1985"/>
        <w:gridCol w:w="1984"/>
      </w:tblGrid>
      <w:tr w:rsidR="00BA2399" w:rsidRPr="008007EB" w14:paraId="727ACC7E" w14:textId="77777777" w:rsidTr="00761C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5DDD8577" w14:textId="77777777" w:rsidR="00BA2399" w:rsidRPr="008007EB" w:rsidRDefault="00BA2399" w:rsidP="00761C77">
            <w:pPr>
              <w:keepLines/>
              <w:spacing w:before="60" w:after="60"/>
              <w:rPr>
                <w:rFonts w:asciiTheme="minorHAnsi" w:hAnsiTheme="minorHAnsi" w:cstheme="minorHAnsi"/>
                <w:sz w:val="20"/>
                <w:szCs w:val="20"/>
              </w:rPr>
            </w:pPr>
            <w:r w:rsidRPr="008007EB">
              <w:rPr>
                <w:rFonts w:asciiTheme="minorHAnsi" w:hAnsiTheme="minorHAnsi" w:cstheme="minorHAnsi"/>
                <w:sz w:val="20"/>
                <w:szCs w:val="20"/>
              </w:rPr>
              <w:t>Drug name</w:t>
            </w:r>
          </w:p>
        </w:tc>
        <w:tc>
          <w:tcPr>
            <w:tcW w:w="1110" w:type="dxa"/>
          </w:tcPr>
          <w:p w14:paraId="16560697" w14:textId="77777777" w:rsidR="00BA2399" w:rsidRPr="008007EB" w:rsidRDefault="00BA2399" w:rsidP="00761C77">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Category</w:t>
            </w:r>
          </w:p>
        </w:tc>
        <w:tc>
          <w:tcPr>
            <w:tcW w:w="1984" w:type="dxa"/>
          </w:tcPr>
          <w:p w14:paraId="7D4798F5" w14:textId="77777777" w:rsidR="00BA2399" w:rsidRPr="008007EB" w:rsidRDefault="00BA2399" w:rsidP="00761C77">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Classification Level 1</w:t>
            </w:r>
          </w:p>
        </w:tc>
        <w:tc>
          <w:tcPr>
            <w:tcW w:w="1985" w:type="dxa"/>
          </w:tcPr>
          <w:p w14:paraId="3EC3E17F" w14:textId="77777777" w:rsidR="00BA2399" w:rsidRPr="008007EB" w:rsidRDefault="00BA2399" w:rsidP="00761C77">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Classification Level 2</w:t>
            </w:r>
          </w:p>
        </w:tc>
        <w:tc>
          <w:tcPr>
            <w:tcW w:w="1984" w:type="dxa"/>
          </w:tcPr>
          <w:p w14:paraId="7BAE8D97" w14:textId="77777777" w:rsidR="00BA2399" w:rsidRPr="008007EB" w:rsidRDefault="00BA2399" w:rsidP="00761C77">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07EB">
              <w:rPr>
                <w:rFonts w:asciiTheme="minorHAnsi" w:hAnsiTheme="minorHAnsi" w:cstheme="minorHAnsi"/>
                <w:sz w:val="20"/>
                <w:szCs w:val="20"/>
              </w:rPr>
              <w:t>Classification Level 3</w:t>
            </w:r>
          </w:p>
        </w:tc>
      </w:tr>
      <w:tr w:rsidR="00BA2399" w:rsidRPr="008007EB" w14:paraId="6C1DD61B" w14:textId="77777777" w:rsidTr="00761C77">
        <w:tc>
          <w:tcPr>
            <w:cnfStyle w:val="001000000000" w:firstRow="0" w:lastRow="0" w:firstColumn="1" w:lastColumn="0" w:oddVBand="0" w:evenVBand="0" w:oddHBand="0" w:evenHBand="0" w:firstRowFirstColumn="0" w:firstRowLastColumn="0" w:lastRowFirstColumn="0" w:lastRowLastColumn="0"/>
            <w:tcW w:w="1607" w:type="dxa"/>
          </w:tcPr>
          <w:p w14:paraId="6C03FAAD" w14:textId="77777777" w:rsidR="00BA2399" w:rsidRPr="008007EB" w:rsidRDefault="00BA2399" w:rsidP="00761C77">
            <w:pPr>
              <w:keepNext/>
              <w:keepLines/>
              <w:spacing w:before="60" w:after="60"/>
              <w:rPr>
                <w:rFonts w:asciiTheme="minorHAnsi" w:hAnsiTheme="minorHAnsi" w:cstheme="minorHAnsi"/>
                <w:sz w:val="20"/>
                <w:szCs w:val="20"/>
              </w:rPr>
            </w:pPr>
            <w:r>
              <w:rPr>
                <w:rFonts w:asciiTheme="minorHAnsi" w:hAnsiTheme="minorHAnsi" w:cstheme="minorHAnsi"/>
                <w:sz w:val="20"/>
                <w:szCs w:val="20"/>
              </w:rPr>
              <w:t>Naratriptan</w:t>
            </w:r>
          </w:p>
        </w:tc>
        <w:tc>
          <w:tcPr>
            <w:tcW w:w="1110" w:type="dxa"/>
          </w:tcPr>
          <w:p w14:paraId="6FB4B741" w14:textId="77777777" w:rsidR="00BA2399" w:rsidRPr="008007EB" w:rsidRDefault="00BA2399" w:rsidP="00761C77">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B3</w:t>
            </w:r>
          </w:p>
        </w:tc>
        <w:tc>
          <w:tcPr>
            <w:tcW w:w="1984" w:type="dxa"/>
          </w:tcPr>
          <w:p w14:paraId="02E734EC" w14:textId="77777777" w:rsidR="00BA2399" w:rsidRPr="008007EB" w:rsidRDefault="00BA2399" w:rsidP="00761C77">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Cardiovascular system</w:t>
            </w:r>
          </w:p>
        </w:tc>
        <w:tc>
          <w:tcPr>
            <w:tcW w:w="1985" w:type="dxa"/>
          </w:tcPr>
          <w:p w14:paraId="7AE60265" w14:textId="77777777" w:rsidR="00BA2399" w:rsidRPr="008007EB" w:rsidRDefault="00BA2399" w:rsidP="00761C77">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Antimigraine preparations </w:t>
            </w:r>
          </w:p>
        </w:tc>
        <w:tc>
          <w:tcPr>
            <w:tcW w:w="1984" w:type="dxa"/>
          </w:tcPr>
          <w:p w14:paraId="64F6D387" w14:textId="77777777" w:rsidR="00BA2399" w:rsidRPr="008007EB" w:rsidRDefault="00BA2399" w:rsidP="00761C77">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BA2399" w:rsidRPr="008007EB" w14:paraId="08C5B10E" w14:textId="77777777" w:rsidTr="00A70EEE">
        <w:tc>
          <w:tcPr>
            <w:cnfStyle w:val="001000000000" w:firstRow="0" w:lastRow="0" w:firstColumn="1" w:lastColumn="0" w:oddVBand="0" w:evenVBand="0" w:oddHBand="0" w:evenHBand="0" w:firstRowFirstColumn="0" w:firstRowLastColumn="0" w:lastRowFirstColumn="0" w:lastRowLastColumn="0"/>
            <w:tcW w:w="8670" w:type="dxa"/>
            <w:gridSpan w:val="5"/>
          </w:tcPr>
          <w:p w14:paraId="4FABB182" w14:textId="77777777" w:rsidR="00BA2399" w:rsidRPr="00A34B74" w:rsidRDefault="00BA2399" w:rsidP="00761C77">
            <w:pPr>
              <w:keepNext/>
              <w:keepLines/>
              <w:spacing w:before="60" w:after="60"/>
              <w:rPr>
                <w:rFonts w:asciiTheme="minorHAnsi" w:hAnsiTheme="minorHAnsi" w:cstheme="minorHAnsi"/>
                <w:sz w:val="16"/>
                <w:szCs w:val="16"/>
              </w:rPr>
            </w:pPr>
            <w:r w:rsidRPr="00761C77">
              <w:rPr>
                <w:rFonts w:asciiTheme="minorHAnsi" w:hAnsiTheme="minorHAnsi" w:cstheme="minorHAnsi"/>
                <w:b/>
                <w:sz w:val="18"/>
                <w:szCs w:val="18"/>
              </w:rPr>
              <w:t>Category B3</w:t>
            </w:r>
            <w:r w:rsidRPr="00761C77">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 Studies in animals have shown evidence of an increased occurrence of foetal damage, the significance of which is considered uncertain in humans.</w:t>
            </w:r>
          </w:p>
        </w:tc>
      </w:tr>
    </w:tbl>
    <w:p w14:paraId="0859135C" w14:textId="6805FB65" w:rsidR="00BA2399" w:rsidRPr="00D137F8" w:rsidRDefault="00BA2399" w:rsidP="00BA2399">
      <w:pPr>
        <w:pStyle w:val="ListBullet"/>
        <w:numPr>
          <w:ilvl w:val="0"/>
          <w:numId w:val="65"/>
        </w:numPr>
      </w:pPr>
      <w:r w:rsidRPr="00D137F8">
        <w:t xml:space="preserve">There are no warning statements pertaining specifically to naratriptan in the </w:t>
      </w:r>
      <w:hyperlink r:id="rId101" w:history="1">
        <w:r w:rsidRPr="008007EB">
          <w:rPr>
            <w:rStyle w:val="Hyperlink"/>
            <w:rFonts w:asciiTheme="minorHAnsi" w:hAnsiTheme="minorHAnsi"/>
          </w:rPr>
          <w:t>Therapeutic Goods (Medicines Advisory Statements) Specification 2021</w:t>
        </w:r>
      </w:hyperlink>
      <w:r w:rsidR="00D137F8" w:rsidRPr="00D137F8">
        <w:rPr>
          <w:rStyle w:val="Hyperlink"/>
          <w:rFonts w:asciiTheme="minorHAnsi" w:hAnsiTheme="minorHAnsi"/>
          <w:color w:val="auto"/>
        </w:rPr>
        <w:t>.</w:t>
      </w:r>
      <w:r w:rsidR="00D137F8" w:rsidRPr="00D137F8">
        <w:rPr>
          <w:rStyle w:val="Hyperlink"/>
          <w:rFonts w:asciiTheme="minorHAnsi" w:hAnsiTheme="minorHAnsi"/>
          <w:color w:val="auto"/>
          <w:u w:val="none"/>
        </w:rPr>
        <w:t xml:space="preserve"> H</w:t>
      </w:r>
      <w:r w:rsidRPr="00D137F8">
        <w:rPr>
          <w:rStyle w:val="Hyperlink"/>
          <w:rFonts w:asciiTheme="minorHAnsi" w:hAnsiTheme="minorHAnsi"/>
          <w:color w:val="auto"/>
          <w:u w:val="none"/>
        </w:rPr>
        <w:t xml:space="preserve">owever, there are specific warning statements required for </w:t>
      </w:r>
      <w:proofErr w:type="spellStart"/>
      <w:r w:rsidRPr="00D137F8">
        <w:rPr>
          <w:rStyle w:val="Hyperlink"/>
          <w:rFonts w:asciiTheme="minorHAnsi" w:hAnsiTheme="minorHAnsi"/>
          <w:color w:val="auto"/>
          <w:u w:val="none"/>
        </w:rPr>
        <w:t>eletriptan</w:t>
      </w:r>
      <w:proofErr w:type="spellEnd"/>
      <w:r w:rsidRPr="00D137F8">
        <w:rPr>
          <w:rStyle w:val="Hyperlink"/>
          <w:rFonts w:asciiTheme="minorHAnsi" w:hAnsiTheme="minorHAnsi"/>
          <w:color w:val="auto"/>
          <w:u w:val="none"/>
        </w:rPr>
        <w:t>, rizatriptan, sumatriptan and zolmitriptan.</w:t>
      </w:r>
    </w:p>
    <w:p w14:paraId="5C48567C" w14:textId="19D878CA" w:rsidR="00BA2399" w:rsidRPr="00D137F8" w:rsidRDefault="0037341B" w:rsidP="00BA2399">
      <w:pPr>
        <w:pStyle w:val="ListBullet"/>
        <w:numPr>
          <w:ilvl w:val="0"/>
          <w:numId w:val="65"/>
        </w:numPr>
      </w:pPr>
      <w:r>
        <w:t>Between July 2013 and July 2023</w:t>
      </w:r>
      <w:r w:rsidR="00BA2399" w:rsidRPr="00D137F8">
        <w:t xml:space="preserve">, there were </w:t>
      </w:r>
      <w:r>
        <w:t>4</w:t>
      </w:r>
      <w:r w:rsidR="00BA2399" w:rsidRPr="00D137F8">
        <w:t xml:space="preserve"> reports of adverse events for products containing naratriptan as an active ingredient on the </w:t>
      </w:r>
      <w:hyperlink r:id="rId102"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00BA2399" w:rsidRPr="008007EB">
        <w:t>,</w:t>
      </w:r>
      <w:r w:rsidR="00BA2399" w:rsidRPr="00D137F8">
        <w:t xml:space="preserve"> with </w:t>
      </w:r>
      <w:r>
        <w:t>no</w:t>
      </w:r>
      <w:r w:rsidR="00BA2399" w:rsidRPr="00D137F8">
        <w:t xml:space="preserve"> reports where naratriptan was the single suspected medicine.</w:t>
      </w:r>
    </w:p>
    <w:p w14:paraId="5E2AB760" w14:textId="163357A5" w:rsidR="00BA2399" w:rsidRPr="008007EB" w:rsidRDefault="00BA2399" w:rsidP="00BA2399">
      <w:pPr>
        <w:pStyle w:val="ListBullet"/>
        <w:numPr>
          <w:ilvl w:val="0"/>
          <w:numId w:val="65"/>
        </w:numPr>
      </w:pPr>
      <w:r w:rsidRPr="00D137F8">
        <w:t xml:space="preserve">As of August 2023, there were no products containing naratriptan as an active ingredient/constituent or scheduled substance listed on the </w:t>
      </w:r>
      <w:hyperlink r:id="rId103"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w:t>
      </w:r>
      <w:proofErr w:type="spellStart"/>
      <w:r w:rsidR="00EB1099" w:rsidRPr="00EB1099">
        <w:rPr>
          <w:rStyle w:val="Hyperlink"/>
          <w:rFonts w:asciiTheme="minorHAnsi" w:hAnsiTheme="minorHAnsi"/>
          <w:color w:val="auto"/>
          <w:u w:val="none"/>
        </w:rPr>
        <w:t>PubCRIS</w:t>
      </w:r>
      <w:proofErr w:type="spellEnd"/>
      <w:r w:rsidR="00EB1099" w:rsidRPr="00EB1099">
        <w:rPr>
          <w:rStyle w:val="Hyperlink"/>
          <w:rFonts w:asciiTheme="minorHAnsi" w:hAnsiTheme="minorHAnsi"/>
          <w:color w:val="auto"/>
          <w:u w:val="none"/>
        </w:rPr>
        <w:t>)</w:t>
      </w:r>
      <w:r w:rsidRPr="008007EB">
        <w:t>.</w:t>
      </w:r>
    </w:p>
    <w:p w14:paraId="27C9C008" w14:textId="77777777" w:rsidR="00BA2399" w:rsidRPr="00CB687C" w:rsidRDefault="00BA2399" w:rsidP="00BA2399">
      <w:pPr>
        <w:pStyle w:val="Heading4"/>
      </w:pPr>
      <w:bookmarkStart w:id="103" w:name="_Toc144110895"/>
      <w:r>
        <w:t>International regulations</w:t>
      </w:r>
      <w:bookmarkEnd w:id="103"/>
    </w:p>
    <w:p w14:paraId="01D8CACD" w14:textId="3FE83E50" w:rsidR="00BA2399" w:rsidRPr="00180A31" w:rsidRDefault="00BA2399" w:rsidP="00BA2399">
      <w:pPr>
        <w:pStyle w:val="ListBullet"/>
        <w:numPr>
          <w:ilvl w:val="0"/>
          <w:numId w:val="65"/>
        </w:numPr>
        <w:rPr>
          <w:szCs w:val="22"/>
        </w:rPr>
      </w:pPr>
      <w:r>
        <w:rPr>
          <w:szCs w:val="22"/>
        </w:rPr>
        <w:t xml:space="preserve">The </w:t>
      </w:r>
      <w:hyperlink r:id="rId104" w:history="1">
        <w:r w:rsidRPr="00E441E0">
          <w:rPr>
            <w:rStyle w:val="Hyperlink"/>
            <w:rFonts w:asciiTheme="minorHAnsi" w:hAnsiTheme="minorHAnsi"/>
            <w:szCs w:val="22"/>
          </w:rPr>
          <w:t>US FDA database</w:t>
        </w:r>
      </w:hyperlink>
      <w:r>
        <w:rPr>
          <w:szCs w:val="22"/>
        </w:rPr>
        <w:t xml:space="preserve"> of approved drugs contains 6 products with naratriptan as an active ingredient, all of which are prescription only medicines.</w:t>
      </w:r>
    </w:p>
    <w:p w14:paraId="74E8D06B" w14:textId="55055365" w:rsidR="00BA2399" w:rsidRPr="00AD65AB" w:rsidRDefault="00A13E49" w:rsidP="00BA2399">
      <w:pPr>
        <w:pStyle w:val="ListBullet"/>
        <w:numPr>
          <w:ilvl w:val="0"/>
          <w:numId w:val="65"/>
        </w:numPr>
        <w:rPr>
          <w:szCs w:val="22"/>
          <w:u w:val="single"/>
        </w:rPr>
      </w:pPr>
      <w:hyperlink r:id="rId105" w:history="1">
        <w:proofErr w:type="spellStart"/>
        <w:r w:rsidR="00BA2399" w:rsidRPr="00222693">
          <w:rPr>
            <w:rStyle w:val="Hyperlink"/>
            <w:rFonts w:asciiTheme="minorHAnsi" w:hAnsiTheme="minorHAnsi"/>
            <w:szCs w:val="22"/>
          </w:rPr>
          <w:t>MedSafe</w:t>
        </w:r>
        <w:proofErr w:type="spellEnd"/>
        <w:r w:rsidR="00BA2399" w:rsidRPr="00222693">
          <w:rPr>
            <w:rStyle w:val="Hyperlink"/>
            <w:rFonts w:asciiTheme="minorHAnsi" w:hAnsiTheme="minorHAnsi"/>
            <w:szCs w:val="22"/>
          </w:rPr>
          <w:t xml:space="preserve"> New Zealand</w:t>
        </w:r>
      </w:hyperlink>
      <w:r w:rsidR="00BA2399">
        <w:rPr>
          <w:szCs w:val="22"/>
        </w:rPr>
        <w:t xml:space="preserve"> list</w:t>
      </w:r>
      <w:r w:rsidR="00D137F8">
        <w:rPr>
          <w:szCs w:val="22"/>
        </w:rPr>
        <w:t>s</w:t>
      </w:r>
      <w:r w:rsidR="00BA2399">
        <w:rPr>
          <w:szCs w:val="22"/>
        </w:rPr>
        <w:t xml:space="preserve"> </w:t>
      </w:r>
      <w:r w:rsidR="00761C77">
        <w:rPr>
          <w:szCs w:val="22"/>
        </w:rPr>
        <w:t>one</w:t>
      </w:r>
      <w:r w:rsidR="00BA2399">
        <w:rPr>
          <w:szCs w:val="22"/>
        </w:rPr>
        <w:t xml:space="preserve"> product containing naratriptan which was previously marketed as a prescription only medicine. The approval status now denotes “Approval lapsed” indicating that the product may no longer be marketed in New Zealand.</w:t>
      </w:r>
    </w:p>
    <w:p w14:paraId="229090B0" w14:textId="34007703" w:rsidR="00BA2399" w:rsidRDefault="00BA2399" w:rsidP="00BA2399">
      <w:pPr>
        <w:pStyle w:val="ListBullet"/>
        <w:numPr>
          <w:ilvl w:val="0"/>
          <w:numId w:val="65"/>
        </w:numPr>
        <w:rPr>
          <w:rStyle w:val="Hyperlink"/>
          <w:rFonts w:asciiTheme="minorHAnsi" w:hAnsiTheme="minorHAnsi"/>
          <w:color w:val="auto"/>
          <w:szCs w:val="22"/>
        </w:rPr>
      </w:pPr>
      <w:r>
        <w:rPr>
          <w:rStyle w:val="Hyperlink"/>
          <w:rFonts w:asciiTheme="minorHAnsi" w:hAnsiTheme="minorHAnsi"/>
          <w:color w:val="auto"/>
          <w:szCs w:val="22"/>
          <w:u w:val="none"/>
        </w:rPr>
        <w:t xml:space="preserve">The </w:t>
      </w:r>
      <w:hyperlink r:id="rId106" w:history="1">
        <w:r w:rsidRPr="00FF7A06">
          <w:rPr>
            <w:rStyle w:val="Hyperlink"/>
            <w:rFonts w:asciiTheme="minorHAnsi" w:hAnsiTheme="minorHAnsi"/>
            <w:szCs w:val="22"/>
          </w:rPr>
          <w:t>Health Products Regulatory Authority of Ireland</w:t>
        </w:r>
      </w:hyperlink>
      <w:r>
        <w:rPr>
          <w:rStyle w:val="Hyperlink"/>
          <w:rFonts w:asciiTheme="minorHAnsi" w:hAnsiTheme="minorHAnsi"/>
          <w:color w:val="auto"/>
          <w:szCs w:val="22"/>
          <w:u w:val="none"/>
        </w:rPr>
        <w:t xml:space="preserve"> database contains </w:t>
      </w:r>
      <w:r w:rsidR="00761C77">
        <w:rPr>
          <w:rStyle w:val="Hyperlink"/>
          <w:rFonts w:asciiTheme="minorHAnsi" w:hAnsiTheme="minorHAnsi"/>
          <w:color w:val="auto"/>
          <w:szCs w:val="22"/>
          <w:u w:val="none"/>
        </w:rPr>
        <w:t>one</w:t>
      </w:r>
      <w:r>
        <w:rPr>
          <w:rStyle w:val="Hyperlink"/>
          <w:rFonts w:asciiTheme="minorHAnsi" w:hAnsiTheme="minorHAnsi"/>
          <w:color w:val="auto"/>
          <w:szCs w:val="22"/>
          <w:u w:val="none"/>
        </w:rPr>
        <w:t xml:space="preserve"> product containing naratriptan as an active ingredient. The product is a prescription only medicine and is authorised to be advertised to health professionals only.</w:t>
      </w:r>
    </w:p>
    <w:p w14:paraId="1F0B6510" w14:textId="10E27F51" w:rsidR="00BA2399" w:rsidRPr="00C31398" w:rsidRDefault="00BA2399" w:rsidP="00BA2399">
      <w:pPr>
        <w:pStyle w:val="ListBullet"/>
        <w:numPr>
          <w:ilvl w:val="0"/>
          <w:numId w:val="65"/>
        </w:numPr>
        <w:rPr>
          <w:rStyle w:val="Hyperlink"/>
          <w:rFonts w:asciiTheme="minorHAnsi" w:hAnsiTheme="minorHAnsi"/>
          <w:color w:val="auto"/>
          <w:szCs w:val="22"/>
        </w:rPr>
      </w:pPr>
      <w:r>
        <w:rPr>
          <w:rStyle w:val="Hyperlink"/>
          <w:rFonts w:asciiTheme="minorHAnsi" w:hAnsiTheme="minorHAnsi"/>
          <w:color w:val="auto"/>
          <w:szCs w:val="22"/>
          <w:u w:val="none"/>
        </w:rPr>
        <w:t xml:space="preserve">The </w:t>
      </w:r>
      <w:hyperlink r:id="rId107" w:history="1">
        <w:r w:rsidRPr="002F669F">
          <w:rPr>
            <w:rStyle w:val="Hyperlink"/>
            <w:rFonts w:asciiTheme="minorHAnsi" w:hAnsiTheme="minorHAnsi"/>
            <w:szCs w:val="22"/>
          </w:rPr>
          <w:t>Electronic Medicines Compendium</w:t>
        </w:r>
      </w:hyperlink>
      <w:r>
        <w:rPr>
          <w:rStyle w:val="Hyperlink"/>
          <w:rFonts w:asciiTheme="minorHAnsi" w:hAnsiTheme="minorHAnsi"/>
          <w:color w:val="auto"/>
          <w:szCs w:val="22"/>
          <w:u w:val="none"/>
        </w:rPr>
        <w:t xml:space="preserve"> (UK) </w:t>
      </w:r>
      <w:r w:rsidR="00761C77">
        <w:rPr>
          <w:rStyle w:val="Hyperlink"/>
          <w:rFonts w:asciiTheme="minorHAnsi" w:hAnsiTheme="minorHAnsi"/>
          <w:color w:val="auto"/>
          <w:szCs w:val="22"/>
          <w:u w:val="none"/>
        </w:rPr>
        <w:t>includes one</w:t>
      </w:r>
      <w:r>
        <w:rPr>
          <w:rStyle w:val="Hyperlink"/>
          <w:rFonts w:asciiTheme="minorHAnsi" w:hAnsiTheme="minorHAnsi"/>
          <w:color w:val="auto"/>
          <w:szCs w:val="22"/>
          <w:u w:val="none"/>
        </w:rPr>
        <w:t xml:space="preserve"> product with naratriptan as an active ingredient. The product is a prescription only medicine.</w:t>
      </w:r>
    </w:p>
    <w:p w14:paraId="1330E856" w14:textId="5C3AF601" w:rsidR="00BA2399" w:rsidRPr="00023A28" w:rsidRDefault="00BA2399" w:rsidP="00BA2399">
      <w:pPr>
        <w:pStyle w:val="ListBullet"/>
        <w:numPr>
          <w:ilvl w:val="0"/>
          <w:numId w:val="65"/>
        </w:numPr>
        <w:rPr>
          <w:rStyle w:val="Hyperlink"/>
          <w:rFonts w:asciiTheme="minorHAnsi" w:hAnsiTheme="minorHAnsi"/>
          <w:color w:val="auto"/>
          <w:szCs w:val="22"/>
        </w:rPr>
      </w:pPr>
      <w:r>
        <w:rPr>
          <w:rStyle w:val="Hyperlink"/>
          <w:rFonts w:asciiTheme="minorHAnsi" w:hAnsiTheme="minorHAnsi"/>
          <w:color w:val="auto"/>
          <w:szCs w:val="22"/>
          <w:u w:val="none"/>
        </w:rPr>
        <w:t xml:space="preserve">The </w:t>
      </w:r>
      <w:hyperlink r:id="rId108" w:history="1">
        <w:r w:rsidRPr="009525D0">
          <w:rPr>
            <w:rStyle w:val="Hyperlink"/>
            <w:rFonts w:asciiTheme="minorHAnsi" w:hAnsiTheme="minorHAnsi"/>
            <w:szCs w:val="22"/>
          </w:rPr>
          <w:t>European Medicines Agency</w:t>
        </w:r>
      </w:hyperlink>
      <w:r>
        <w:rPr>
          <w:rStyle w:val="Hyperlink"/>
          <w:rFonts w:asciiTheme="minorHAnsi" w:hAnsiTheme="minorHAnsi"/>
          <w:color w:val="auto"/>
          <w:szCs w:val="22"/>
          <w:u w:val="none"/>
        </w:rPr>
        <w:t xml:space="preserve"> lists naratriptan as being available in several European countries at a dose of 2.5 mg.</w:t>
      </w:r>
    </w:p>
    <w:p w14:paraId="564DF6B2" w14:textId="00395D5B" w:rsidR="00BA2399" w:rsidRPr="00C31398" w:rsidRDefault="00BA2399" w:rsidP="00BA2399">
      <w:pPr>
        <w:pStyle w:val="ListBullet"/>
        <w:numPr>
          <w:ilvl w:val="0"/>
          <w:numId w:val="65"/>
        </w:numPr>
        <w:rPr>
          <w:rStyle w:val="Hyperlink"/>
          <w:rFonts w:asciiTheme="minorHAnsi" w:hAnsiTheme="minorHAnsi"/>
          <w:color w:val="auto"/>
          <w:szCs w:val="22"/>
        </w:rPr>
      </w:pPr>
      <w:r>
        <w:rPr>
          <w:rStyle w:val="Hyperlink"/>
          <w:rFonts w:asciiTheme="minorHAnsi" w:hAnsiTheme="minorHAnsi"/>
          <w:color w:val="auto"/>
          <w:szCs w:val="22"/>
          <w:u w:val="none"/>
        </w:rPr>
        <w:t xml:space="preserve">The </w:t>
      </w:r>
      <w:hyperlink r:id="rId109" w:history="1">
        <w:r w:rsidRPr="00332870">
          <w:rPr>
            <w:rStyle w:val="Hyperlink"/>
            <w:rFonts w:asciiTheme="minorHAnsi" w:hAnsiTheme="minorHAnsi"/>
            <w:szCs w:val="22"/>
          </w:rPr>
          <w:t>Drug and Health Product Database of Canada</w:t>
        </w:r>
      </w:hyperlink>
      <w:r>
        <w:rPr>
          <w:rStyle w:val="Hyperlink"/>
          <w:rFonts w:asciiTheme="minorHAnsi" w:hAnsiTheme="minorHAnsi"/>
          <w:color w:val="auto"/>
          <w:szCs w:val="22"/>
          <w:u w:val="none"/>
        </w:rPr>
        <w:t xml:space="preserve"> lists 5 products containing naratriptan as an active ingredient, all of which are prescription only medicines.</w:t>
      </w:r>
    </w:p>
    <w:p w14:paraId="47064928" w14:textId="2C5DC052" w:rsidR="00B12BF7" w:rsidRPr="00B12BF7" w:rsidRDefault="001D5CC5" w:rsidP="00F2313E">
      <w:pPr>
        <w:pStyle w:val="Heading3"/>
      </w:pPr>
      <w:bookmarkStart w:id="104" w:name="_Toc144110896"/>
      <w:r>
        <w:lastRenderedPageBreak/>
        <w:t>1.7</w:t>
      </w:r>
      <w:r>
        <w:tab/>
      </w:r>
      <w:r w:rsidR="00586A6E">
        <w:t>Paracetamol</w:t>
      </w:r>
      <w:bookmarkEnd w:id="104"/>
    </w:p>
    <w:p w14:paraId="14B8B654" w14:textId="77777777" w:rsidR="00586A6E" w:rsidRDefault="00586A6E" w:rsidP="00586A6E">
      <w:pPr>
        <w:pStyle w:val="Heading4"/>
      </w:pPr>
      <w:bookmarkStart w:id="105" w:name="_Toc144110897"/>
      <w:r>
        <w:t>Proposal</w:t>
      </w:r>
      <w:bookmarkEnd w:id="105"/>
    </w:p>
    <w:p w14:paraId="6488DBFE" w14:textId="03045229" w:rsidR="00E14342" w:rsidRDefault="00E14342" w:rsidP="00E14342">
      <w:pPr>
        <w:tabs>
          <w:tab w:val="right" w:pos="8505"/>
        </w:tabs>
        <w:autoSpaceDE w:val="0"/>
        <w:autoSpaceDN w:val="0"/>
        <w:adjustRightInd w:val="0"/>
        <w:spacing w:line="240" w:lineRule="auto"/>
        <w:rPr>
          <w:rFonts w:ascii="Calibri" w:hAnsi="Calibri" w:cs="Calibri"/>
          <w:szCs w:val="22"/>
        </w:rPr>
      </w:pPr>
      <w:r>
        <w:rPr>
          <w:rFonts w:ascii="Calibri" w:hAnsi="Calibri" w:cs="Calibri"/>
          <w:szCs w:val="22"/>
        </w:rPr>
        <w:t xml:space="preserve">The applicant has proposed to amend the entry under Schedule 2 to create an exception for effervescent paracetamol preparations of 16 tablets or less packed in a container with a child-resistant closure (instead of blister or strip packaging) and made available for general sale. </w:t>
      </w:r>
    </w:p>
    <w:p w14:paraId="2204C84B" w14:textId="5483DB49" w:rsidR="00586A6E" w:rsidRDefault="00586A6E" w:rsidP="00586A6E">
      <w:pPr>
        <w:pStyle w:val="Heading4"/>
      </w:pPr>
      <w:bookmarkStart w:id="106" w:name="_Toc144110898"/>
      <w:r>
        <w:t>CAS number</w:t>
      </w:r>
      <w:bookmarkEnd w:id="106"/>
    </w:p>
    <w:p w14:paraId="2C849D5E" w14:textId="206D7847" w:rsidR="00586A6E" w:rsidRDefault="00A51FE1" w:rsidP="00586A6E">
      <w:r>
        <w:t>103-90-2</w:t>
      </w:r>
    </w:p>
    <w:p w14:paraId="7695FADC" w14:textId="77777777" w:rsidR="00586A6E" w:rsidRDefault="00586A6E" w:rsidP="00586A6E">
      <w:pPr>
        <w:pStyle w:val="Heading4"/>
      </w:pPr>
      <w:bookmarkStart w:id="107" w:name="_Toc144110899"/>
      <w:r>
        <w:t>Alternative names</w:t>
      </w:r>
      <w:bookmarkEnd w:id="107"/>
    </w:p>
    <w:p w14:paraId="3A65ABF6" w14:textId="77777777" w:rsidR="00A51FE1" w:rsidRDefault="00A51FE1" w:rsidP="00A51FE1">
      <w:r>
        <w:t xml:space="preserve">Acetaminophen, 4-Acetamidophenol and </w:t>
      </w:r>
      <w:r w:rsidRPr="00E14342">
        <w:rPr>
          <w:i/>
          <w:iCs/>
        </w:rPr>
        <w:t>N</w:t>
      </w:r>
      <w:r>
        <w:t>-(4-Hydroxyphenyl) acetamide</w:t>
      </w:r>
    </w:p>
    <w:p w14:paraId="7CA64E32" w14:textId="77777777" w:rsidR="00E14342" w:rsidRPr="002C1070" w:rsidRDefault="00E14342" w:rsidP="00E14342">
      <w:pPr>
        <w:pStyle w:val="Heading4"/>
      </w:pPr>
      <w:bookmarkStart w:id="108" w:name="_Toc113959593"/>
      <w:bookmarkStart w:id="109" w:name="_Toc144110900"/>
      <w:r>
        <w:t>Applicant</w:t>
      </w:r>
    </w:p>
    <w:p w14:paraId="1312D21F" w14:textId="77777777" w:rsidR="00E14342" w:rsidRPr="003639D9" w:rsidRDefault="00E14342" w:rsidP="00E14342">
      <w:r w:rsidRPr="00812272">
        <w:t>Private applicant</w:t>
      </w:r>
    </w:p>
    <w:p w14:paraId="0C1BCE74" w14:textId="77777777" w:rsidR="00B85375" w:rsidRDefault="00B85375" w:rsidP="00B85375">
      <w:pPr>
        <w:pStyle w:val="Heading4"/>
      </w:pPr>
      <w:r w:rsidRPr="004C3767">
        <w:t xml:space="preserve">Proposed </w:t>
      </w:r>
      <w:proofErr w:type="gramStart"/>
      <w:r w:rsidRPr="004C3767">
        <w:t>scheduling</w:t>
      </w:r>
      <w:bookmarkEnd w:id="108"/>
      <w:bookmarkEnd w:id="109"/>
      <w:proofErr w:type="gramEnd"/>
    </w:p>
    <w:p w14:paraId="021BEE1F" w14:textId="33E11AD3" w:rsidR="00571A6E" w:rsidRDefault="00571A6E" w:rsidP="00571A6E">
      <w:pPr>
        <w:rPr>
          <w:rFonts w:cstheme="minorHAnsi"/>
        </w:rPr>
      </w:pPr>
      <w:r>
        <w:rPr>
          <w:rFonts w:cstheme="minorHAnsi"/>
        </w:rPr>
        <w:t xml:space="preserve">Paracetamol is currently listed in Schedules 2, 3 and 4, and Appendix F, Part </w:t>
      </w:r>
      <w:proofErr w:type="gramStart"/>
      <w:r>
        <w:rPr>
          <w:rFonts w:cstheme="minorHAnsi"/>
        </w:rPr>
        <w:t>3</w:t>
      </w:r>
      <w:proofErr w:type="gramEnd"/>
      <w:r>
        <w:rPr>
          <w:rFonts w:cstheme="minorHAnsi"/>
        </w:rPr>
        <w:t xml:space="preserve"> and H, of the Poisons Standard.</w:t>
      </w:r>
    </w:p>
    <w:p w14:paraId="71B0B944" w14:textId="51C0AE0E" w:rsidR="00883C24" w:rsidRPr="00883C24" w:rsidRDefault="00883C24" w:rsidP="0072362E">
      <w:r w:rsidRPr="00DC3A7C">
        <w:t xml:space="preserve">The </w:t>
      </w:r>
      <w:r w:rsidRPr="00C67045">
        <w:t>applicant</w:t>
      </w:r>
      <w:r w:rsidR="00571A6E">
        <w:t xml:space="preserve"> has </w:t>
      </w:r>
      <w:r w:rsidRPr="00DC3A7C">
        <w:t xml:space="preserve">proposed amendments </w:t>
      </w:r>
      <w:r w:rsidR="00E14342">
        <w:t>to the paracetamol entry under Schedule 2</w:t>
      </w:r>
      <w:r w:rsidR="00C67045">
        <w:t>:</w:t>
      </w:r>
      <w:r w:rsidR="0072362E">
        <w:rPr>
          <w:rStyle w:val="FootnoteReference"/>
        </w:rPr>
        <w:footnoteReference w:id="8"/>
      </w:r>
    </w:p>
    <w:p w14:paraId="21CBF715" w14:textId="77777777" w:rsidR="00B85375" w:rsidRPr="00694553" w:rsidRDefault="00B85375" w:rsidP="00B85375">
      <w:pPr>
        <w:ind w:left="426"/>
        <w:rPr>
          <w:b/>
          <w:bCs/>
        </w:rPr>
      </w:pPr>
      <w:bookmarkStart w:id="110" w:name="_Hlk141430824"/>
      <w:r w:rsidRPr="00694553">
        <w:rPr>
          <w:b/>
          <w:bCs/>
        </w:rPr>
        <w:t>Schedule 4</w:t>
      </w:r>
    </w:p>
    <w:p w14:paraId="28D2AA49" w14:textId="77777777" w:rsidR="00B85375" w:rsidRPr="00694553" w:rsidRDefault="00B85375" w:rsidP="00B85375">
      <w:pPr>
        <w:ind w:left="720"/>
      </w:pPr>
      <w:r w:rsidRPr="00694553">
        <w:t>PARACETAMOL:</w:t>
      </w:r>
    </w:p>
    <w:p w14:paraId="34DB7B33" w14:textId="77777777" w:rsidR="00B85375" w:rsidRPr="00E41640" w:rsidRDefault="00B85375" w:rsidP="00EE4793">
      <w:pPr>
        <w:pStyle w:val="ListBulleta"/>
        <w:numPr>
          <w:ilvl w:val="0"/>
          <w:numId w:val="26"/>
        </w:numPr>
      </w:pPr>
      <w:r w:rsidRPr="00E41640">
        <w:t xml:space="preserve">when combined with aspirin or salicylamide or any derivative of these substances </w:t>
      </w:r>
      <w:r w:rsidRPr="00EE4793">
        <w:rPr>
          <w:b/>
          <w:bCs/>
        </w:rPr>
        <w:t xml:space="preserve">except </w:t>
      </w:r>
      <w:r w:rsidRPr="00E41640">
        <w:t>when separately specified in these Schedules; or</w:t>
      </w:r>
    </w:p>
    <w:p w14:paraId="631234B5" w14:textId="77777777" w:rsidR="00B85375" w:rsidRPr="00E41640" w:rsidRDefault="00B85375" w:rsidP="00EE4793">
      <w:pPr>
        <w:pStyle w:val="ListBulleta"/>
      </w:pPr>
      <w:r w:rsidRPr="00E41640">
        <w:t>when combined with ibuprofen in a primary pack containing more than 30 dosage units; or</w:t>
      </w:r>
    </w:p>
    <w:p w14:paraId="4C7CF425" w14:textId="77777777" w:rsidR="00B85375" w:rsidRPr="00E41640" w:rsidRDefault="00B85375" w:rsidP="00EE4793">
      <w:pPr>
        <w:pStyle w:val="ListBulleta"/>
      </w:pPr>
      <w:r w:rsidRPr="00E41640">
        <w:t>in modified release tablets or capsules containing more than 665 mg paracetamol; or</w:t>
      </w:r>
    </w:p>
    <w:p w14:paraId="70AF1AF6" w14:textId="77777777" w:rsidR="00B85375" w:rsidRPr="00E41640" w:rsidRDefault="00B85375" w:rsidP="00EE4793">
      <w:pPr>
        <w:pStyle w:val="ListBulleta"/>
      </w:pPr>
      <w:r w:rsidRPr="00E41640">
        <w:t>in non-modified release tablets or capsules containing more than 500 mg paracetamol; or</w:t>
      </w:r>
    </w:p>
    <w:p w14:paraId="08AA4250" w14:textId="77777777" w:rsidR="00B85375" w:rsidRPr="00E41640" w:rsidRDefault="00B85375" w:rsidP="00EE4793">
      <w:pPr>
        <w:pStyle w:val="ListBulleta"/>
      </w:pPr>
      <w:r w:rsidRPr="00E41640">
        <w:t>in individually wrapped powders or sachets of granules each containing more than 1000 mg paracetamol; or</w:t>
      </w:r>
    </w:p>
    <w:p w14:paraId="06BE9CC1" w14:textId="77777777" w:rsidR="00B85375" w:rsidRPr="00E41640" w:rsidRDefault="00B85375" w:rsidP="00EE4793">
      <w:pPr>
        <w:pStyle w:val="ListBulleta"/>
      </w:pPr>
      <w:r w:rsidRPr="00E41640">
        <w:t xml:space="preserve">in tablets or capsules enclosed in a primary pack containing more than 100 tablets or capsules </w:t>
      </w:r>
      <w:r w:rsidRPr="00E41640">
        <w:rPr>
          <w:b/>
          <w:bCs/>
        </w:rPr>
        <w:t>except</w:t>
      </w:r>
      <w:r w:rsidRPr="00E41640">
        <w:t xml:space="preserve"> in </w:t>
      </w:r>
      <w:r w:rsidRPr="00E14342">
        <w:t xml:space="preserve">Schedule 2 or </w:t>
      </w:r>
      <w:r w:rsidRPr="00E41640">
        <w:t>Schedule 3; or</w:t>
      </w:r>
    </w:p>
    <w:p w14:paraId="59905999" w14:textId="40899ECF" w:rsidR="00B85375" w:rsidRPr="00E41640" w:rsidRDefault="00B85375" w:rsidP="00EE4793">
      <w:pPr>
        <w:pStyle w:val="ListBulleta"/>
      </w:pPr>
      <w:r w:rsidRPr="00E41640">
        <w:t>in individually wrapped powders or sachets of granules enclosed in a primary pack containing more than 50 wrapped powders or sachets of granules</w:t>
      </w:r>
      <w:r w:rsidRPr="00E41640">
        <w:rPr>
          <w:b/>
          <w:bCs/>
          <w:color w:val="00B050"/>
        </w:rPr>
        <w:t xml:space="preserve"> </w:t>
      </w:r>
      <w:r w:rsidRPr="00E41640">
        <w:rPr>
          <w:b/>
          <w:bCs/>
        </w:rPr>
        <w:t>except</w:t>
      </w:r>
      <w:r w:rsidRPr="00E41640">
        <w:t xml:space="preserve"> when included in Schedule </w:t>
      </w:r>
      <w:r w:rsidRPr="00E14342">
        <w:t>2</w:t>
      </w:r>
      <w:r w:rsidRPr="00E41640">
        <w:t>; or</w:t>
      </w:r>
    </w:p>
    <w:p w14:paraId="11CA3959" w14:textId="77777777" w:rsidR="00B85375" w:rsidRPr="00E41640" w:rsidRDefault="00B85375" w:rsidP="00EE4793">
      <w:pPr>
        <w:pStyle w:val="ListBulleta"/>
      </w:pPr>
      <w:r w:rsidRPr="00E41640">
        <w:lastRenderedPageBreak/>
        <w:t>for injection; or</w:t>
      </w:r>
    </w:p>
    <w:p w14:paraId="1606BAFD" w14:textId="77777777" w:rsidR="00B85375" w:rsidRPr="00E41640" w:rsidRDefault="00B85375" w:rsidP="00EE4793">
      <w:pPr>
        <w:pStyle w:val="ListBulleta"/>
      </w:pPr>
      <w:r w:rsidRPr="00E41640">
        <w:t>for the treatment of animals.</w:t>
      </w:r>
    </w:p>
    <w:p w14:paraId="1B404378" w14:textId="77777777" w:rsidR="00B85375" w:rsidRPr="00694553" w:rsidRDefault="00B85375" w:rsidP="00B85375">
      <w:pPr>
        <w:ind w:left="426"/>
        <w:rPr>
          <w:b/>
          <w:bCs/>
        </w:rPr>
      </w:pPr>
      <w:r w:rsidRPr="00694553">
        <w:rPr>
          <w:b/>
          <w:bCs/>
        </w:rPr>
        <w:t>Schedule 3</w:t>
      </w:r>
    </w:p>
    <w:p w14:paraId="0B6917FB" w14:textId="77777777" w:rsidR="00B85375" w:rsidRPr="00694553" w:rsidRDefault="00B85375" w:rsidP="00B85375">
      <w:pPr>
        <w:ind w:left="720"/>
      </w:pPr>
      <w:r w:rsidRPr="00694553">
        <w:t>PARACETAMOL:</w:t>
      </w:r>
    </w:p>
    <w:p w14:paraId="59C9B34D" w14:textId="77777777" w:rsidR="00B85375" w:rsidRPr="00E41640" w:rsidRDefault="00B85375" w:rsidP="00EE4793">
      <w:pPr>
        <w:pStyle w:val="ListBulleta"/>
        <w:numPr>
          <w:ilvl w:val="0"/>
          <w:numId w:val="27"/>
        </w:numPr>
      </w:pPr>
      <w:r w:rsidRPr="00E41640">
        <w:t xml:space="preserve">when combined with ibuprofen in a primary pack containing 30 dosage units or less </w:t>
      </w:r>
      <w:r w:rsidRPr="00EE4793">
        <w:rPr>
          <w:b/>
          <w:bCs/>
        </w:rPr>
        <w:t>except</w:t>
      </w:r>
      <w:r w:rsidRPr="00E41640">
        <w:t xml:space="preserve"> when included in Schedule 2; or</w:t>
      </w:r>
    </w:p>
    <w:p w14:paraId="29F076E0" w14:textId="77777777" w:rsidR="00B85375" w:rsidRPr="00E41640" w:rsidRDefault="00B85375" w:rsidP="00EE4793">
      <w:pPr>
        <w:pStyle w:val="ListBulleta"/>
      </w:pPr>
      <w:r w:rsidRPr="00E41640">
        <w:t>in modified release tablets or capsules containing 665 mg or less paracetamol enclosed in a primary pack containing not more than 100 tablets or capsules; or</w:t>
      </w:r>
    </w:p>
    <w:p w14:paraId="090D4A6B" w14:textId="77777777" w:rsidR="00B85375" w:rsidRPr="00E41640" w:rsidRDefault="00B85375" w:rsidP="00EE4793">
      <w:pPr>
        <w:pStyle w:val="ListBulleta"/>
      </w:pPr>
      <w:r w:rsidRPr="00E41640">
        <w:t>in modified release</w:t>
      </w:r>
      <w:r w:rsidRPr="00E41640">
        <w:rPr>
          <w:strike/>
        </w:rPr>
        <w:t xml:space="preserve"> </w:t>
      </w:r>
      <w:r w:rsidRPr="00E41640">
        <w:t>tablets or capsules containing 665 mg or less paracetamol enclosed in a primary pack containing more than 100 tablets or capsules intended only as a bulk medicine and labelled ‘For dispensing only’ and ‘This pack is not to be supplied to a patient’; or</w:t>
      </w:r>
    </w:p>
    <w:p w14:paraId="41334F6D" w14:textId="77777777" w:rsidR="00B85375" w:rsidRPr="00E41640" w:rsidRDefault="00B85375" w:rsidP="00EE4793">
      <w:pPr>
        <w:pStyle w:val="ListBulleta"/>
      </w:pPr>
      <w:r w:rsidRPr="00E41640">
        <w:t xml:space="preserve">in liquid preparations for oral use </w:t>
      </w:r>
      <w:r w:rsidRPr="00E41640">
        <w:rPr>
          <w:b/>
          <w:bCs/>
        </w:rPr>
        <w:t>except</w:t>
      </w:r>
      <w:r w:rsidRPr="00E41640">
        <w:t xml:space="preserve"> when in Schedule 2.</w:t>
      </w:r>
    </w:p>
    <w:p w14:paraId="687AE116" w14:textId="77777777" w:rsidR="00B85375" w:rsidRPr="00694553" w:rsidRDefault="00B85375" w:rsidP="00B85375">
      <w:pPr>
        <w:ind w:left="426"/>
        <w:rPr>
          <w:b/>
          <w:bCs/>
        </w:rPr>
      </w:pPr>
      <w:r w:rsidRPr="00694553">
        <w:rPr>
          <w:b/>
          <w:bCs/>
        </w:rPr>
        <w:t>Schedule 2</w:t>
      </w:r>
    </w:p>
    <w:p w14:paraId="4D19F6B0" w14:textId="77777777" w:rsidR="00B85375" w:rsidRPr="00694553" w:rsidRDefault="00B85375" w:rsidP="00B85375">
      <w:pPr>
        <w:ind w:left="720"/>
      </w:pPr>
      <w:r w:rsidRPr="00694553">
        <w:t>PARACETAMOL for therapeutic use:</w:t>
      </w:r>
    </w:p>
    <w:p w14:paraId="781994C7" w14:textId="77777777" w:rsidR="00B85375" w:rsidRPr="00E41640" w:rsidRDefault="00B85375" w:rsidP="00EB1099">
      <w:pPr>
        <w:pStyle w:val="ListBulleta"/>
        <w:numPr>
          <w:ilvl w:val="0"/>
          <w:numId w:val="28"/>
        </w:numPr>
        <w:ind w:left="1145" w:hanging="357"/>
      </w:pPr>
      <w:r w:rsidRPr="00E41640">
        <w:t>in liquid preparations for oral use containing a maximum of 10 g of paracetamol per container; or</w:t>
      </w:r>
    </w:p>
    <w:p w14:paraId="086D8424" w14:textId="77777777" w:rsidR="00B85375" w:rsidRPr="00E41640" w:rsidRDefault="00B85375" w:rsidP="00EB1099">
      <w:pPr>
        <w:pStyle w:val="ListBulleta"/>
        <w:ind w:left="1145" w:hanging="357"/>
      </w:pPr>
      <w:r w:rsidRPr="00E41640">
        <w:t>when combined with ibuprofen in preparations for oral use when labelled with a recommended daily dose of 1200 mg or less of ibuprofen in divided doses in a primary pack containing no more than 12 dosage units per pack; or</w:t>
      </w:r>
    </w:p>
    <w:p w14:paraId="6C7317A4" w14:textId="135FDA99" w:rsidR="00B85375" w:rsidRPr="00E41640" w:rsidRDefault="00B85375" w:rsidP="00EB1099">
      <w:pPr>
        <w:pStyle w:val="ListBulleta"/>
        <w:ind w:left="1145" w:hanging="357"/>
      </w:pPr>
      <w:r w:rsidRPr="00E41640">
        <w:t xml:space="preserve">in tablets or capsules enclosed in a primary pack containing not more than </w:t>
      </w:r>
      <w:r w:rsidRPr="00E14342">
        <w:t>100</w:t>
      </w:r>
      <w:r w:rsidRPr="00E41640">
        <w:t xml:space="preserve"> tablets or capsules; or</w:t>
      </w:r>
    </w:p>
    <w:p w14:paraId="165EE21F" w14:textId="77777777" w:rsidR="00B85375" w:rsidRPr="00E14342" w:rsidRDefault="00B85375" w:rsidP="00EB1099">
      <w:pPr>
        <w:pStyle w:val="ListBulleta"/>
        <w:ind w:left="1145" w:hanging="357"/>
      </w:pPr>
      <w:r w:rsidRPr="00E14342">
        <w:t>in tablets or capsules enclosed in a primary pack containing more than 100 tablets or capsules intended only as a bulk medicine pack and labelled ‘For dispensing only’ and ‘This pack is not to be supplied to a patient’; or</w:t>
      </w:r>
    </w:p>
    <w:p w14:paraId="51157655" w14:textId="46C12F02" w:rsidR="00B85375" w:rsidRPr="00E41640" w:rsidRDefault="00B85375" w:rsidP="00EB1099">
      <w:pPr>
        <w:pStyle w:val="ListBulleta"/>
        <w:ind w:left="1145" w:hanging="357"/>
      </w:pPr>
      <w:r w:rsidRPr="00E41640">
        <w:t xml:space="preserve">in individually wrapped powders or sachets of granules enclosed in a primary pack containing not more than </w:t>
      </w:r>
      <w:r w:rsidRPr="00E14342">
        <w:t>50</w:t>
      </w:r>
      <w:r w:rsidRPr="00E41640">
        <w:t xml:space="preserve"> wrapped powders or sachets of granules; or</w:t>
      </w:r>
    </w:p>
    <w:p w14:paraId="3F698820" w14:textId="77777777" w:rsidR="00B85375" w:rsidRPr="00E14342" w:rsidRDefault="00B85375" w:rsidP="00EB1099">
      <w:pPr>
        <w:pStyle w:val="ListBulleta"/>
        <w:ind w:left="1145" w:hanging="357"/>
      </w:pPr>
      <w:r w:rsidRPr="00E14342">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4E980705" w14:textId="77777777" w:rsidR="00B85375" w:rsidRPr="00E41640" w:rsidRDefault="00B85375" w:rsidP="00EB1099">
      <w:pPr>
        <w:pStyle w:val="ListBulleta"/>
        <w:ind w:left="1145" w:hanging="357"/>
      </w:pPr>
      <w:r w:rsidRPr="00E41640">
        <w:t>in other preparations</w:t>
      </w:r>
      <w:r w:rsidRPr="00E41640">
        <w:rPr>
          <w:b/>
          <w:bCs/>
        </w:rPr>
        <w:t xml:space="preserve"> except</w:t>
      </w:r>
      <w:r w:rsidRPr="00E41640">
        <w:t>:</w:t>
      </w:r>
    </w:p>
    <w:p w14:paraId="39522B06" w14:textId="77777777" w:rsidR="00B85375" w:rsidRPr="00E41640" w:rsidRDefault="00B85375" w:rsidP="00EB1099">
      <w:pPr>
        <w:pStyle w:val="ListBulleti"/>
        <w:numPr>
          <w:ilvl w:val="0"/>
          <w:numId w:val="29"/>
        </w:numPr>
        <w:ind w:left="1502" w:hanging="357"/>
      </w:pPr>
      <w:r w:rsidRPr="00E41640">
        <w:t>when included in Schedule 3 or 4; or</w:t>
      </w:r>
    </w:p>
    <w:p w14:paraId="204967B6" w14:textId="77777777" w:rsidR="00B85375" w:rsidRPr="00E41640" w:rsidRDefault="00B85375" w:rsidP="00E73FB7">
      <w:pPr>
        <w:pStyle w:val="ListBulleti"/>
        <w:ind w:left="1502" w:hanging="357"/>
      </w:pPr>
      <w:r w:rsidRPr="00E41640">
        <w:t>in individually wrapped powders or sachets of granules each containing 1000 mg or less of paracetamol as the only therapeutically active constituent (other than caffeine, phenylephrine and/or guaifenesin or when combined with effervescent agents) when:</w:t>
      </w:r>
    </w:p>
    <w:p w14:paraId="3B1C857D" w14:textId="77777777" w:rsidR="00B85375" w:rsidRPr="00E41640" w:rsidRDefault="00B85375" w:rsidP="00E73FB7">
      <w:pPr>
        <w:pStyle w:val="ListBulleta"/>
        <w:numPr>
          <w:ilvl w:val="1"/>
          <w:numId w:val="14"/>
        </w:numPr>
        <w:ind w:left="1775" w:hanging="357"/>
      </w:pPr>
      <w:bookmarkStart w:id="111" w:name="_Hlk143613242"/>
      <w:r w:rsidRPr="00E41640">
        <w:t>enclosed in a primary pack that contains not more than 10 such powders or sachets of granules,</w:t>
      </w:r>
    </w:p>
    <w:p w14:paraId="5039D41E" w14:textId="77777777" w:rsidR="00B85375" w:rsidRPr="00E41640" w:rsidRDefault="00B85375" w:rsidP="00E73FB7">
      <w:pPr>
        <w:pStyle w:val="ListBulleta"/>
        <w:numPr>
          <w:ilvl w:val="1"/>
          <w:numId w:val="14"/>
        </w:numPr>
        <w:ind w:left="1775" w:hanging="357"/>
      </w:pPr>
      <w:r w:rsidRPr="00E41640">
        <w:lastRenderedPageBreak/>
        <w:t>compliant with the requirements of the Required Advisory Statements for Medicine Labels,</w:t>
      </w:r>
    </w:p>
    <w:p w14:paraId="558B5638" w14:textId="01299034" w:rsidR="00B85375" w:rsidRDefault="00B85375" w:rsidP="00E73FB7">
      <w:pPr>
        <w:pStyle w:val="ListBulleta"/>
        <w:numPr>
          <w:ilvl w:val="1"/>
          <w:numId w:val="14"/>
        </w:numPr>
        <w:ind w:left="1775" w:hanging="357"/>
      </w:pPr>
      <w:r w:rsidRPr="00E41640">
        <w:t>not labelled for the treatment of children 6 years or age or less, and</w:t>
      </w:r>
    </w:p>
    <w:p w14:paraId="3BA45219" w14:textId="793A08BB" w:rsidR="00736132" w:rsidRPr="001F3814" w:rsidRDefault="00736132" w:rsidP="00E73FB7">
      <w:pPr>
        <w:pStyle w:val="ListBulleta"/>
        <w:numPr>
          <w:ilvl w:val="1"/>
          <w:numId w:val="14"/>
        </w:numPr>
        <w:ind w:left="1775" w:hanging="357"/>
      </w:pPr>
      <w:r w:rsidRPr="00736132">
        <w:t>not labelled for the treatment of children under 12 years of age when combined with caffeine, phenylephrine and/or guaifenesin; or</w:t>
      </w:r>
    </w:p>
    <w:p w14:paraId="265C4BA9" w14:textId="250359C5" w:rsidR="00741833" w:rsidRPr="009377DC" w:rsidRDefault="00B85375" w:rsidP="00E14342">
      <w:pPr>
        <w:pStyle w:val="ListBulleti"/>
        <w:rPr>
          <w:color w:val="00B050"/>
          <w:u w:val="single"/>
        </w:rPr>
      </w:pPr>
      <w:bookmarkStart w:id="112" w:name="_Hlk143611970"/>
      <w:bookmarkEnd w:id="111"/>
      <w:r w:rsidRPr="009377DC">
        <w:rPr>
          <w:color w:val="00B050"/>
          <w:u w:val="single"/>
        </w:rPr>
        <w:t>in effervescent tablets containing 500mg or less of paracetamol as the only therapeutically active constituent (other than caffeine, phenylephrine and/or guaifenesin) when:</w:t>
      </w:r>
    </w:p>
    <w:p w14:paraId="22F48D37" w14:textId="1326FB04" w:rsidR="00741833" w:rsidRPr="009377DC" w:rsidRDefault="00741833" w:rsidP="00E14342">
      <w:pPr>
        <w:pStyle w:val="ListBulleti"/>
        <w:numPr>
          <w:ilvl w:val="0"/>
          <w:numId w:val="78"/>
        </w:numPr>
        <w:rPr>
          <w:color w:val="00B050"/>
          <w:u w:val="single"/>
        </w:rPr>
      </w:pPr>
      <w:r w:rsidRPr="009377DC">
        <w:rPr>
          <w:color w:val="00B050"/>
          <w:u w:val="single"/>
        </w:rPr>
        <w:t>packed in a container with a child-resistant closure that contains not more than 16 tablets</w:t>
      </w:r>
      <w:r w:rsidR="005049D2">
        <w:rPr>
          <w:color w:val="00B050"/>
          <w:u w:val="single"/>
        </w:rPr>
        <w:t>,</w:t>
      </w:r>
    </w:p>
    <w:p w14:paraId="296422A3" w14:textId="01919AD7" w:rsidR="00741833" w:rsidRPr="009377DC" w:rsidRDefault="00741833" w:rsidP="00E14342">
      <w:pPr>
        <w:pStyle w:val="ListBulleti"/>
        <w:numPr>
          <w:ilvl w:val="0"/>
          <w:numId w:val="78"/>
        </w:numPr>
        <w:rPr>
          <w:color w:val="00B050"/>
          <w:u w:val="single"/>
        </w:rPr>
      </w:pPr>
      <w:r w:rsidRPr="009377DC">
        <w:rPr>
          <w:color w:val="00B050"/>
          <w:u w:val="single"/>
        </w:rPr>
        <w:t>compliant with the requirements of the Required Advisory Statements for Medicine Labels,</w:t>
      </w:r>
    </w:p>
    <w:p w14:paraId="44165D11" w14:textId="59AF6451" w:rsidR="00741833" w:rsidRPr="009377DC" w:rsidRDefault="00741833" w:rsidP="00E14342">
      <w:pPr>
        <w:pStyle w:val="ListBulleti"/>
        <w:numPr>
          <w:ilvl w:val="0"/>
          <w:numId w:val="78"/>
        </w:numPr>
        <w:rPr>
          <w:color w:val="00B050"/>
          <w:u w:val="single"/>
        </w:rPr>
      </w:pPr>
      <w:r w:rsidRPr="009377DC">
        <w:rPr>
          <w:color w:val="00B050"/>
          <w:u w:val="single"/>
        </w:rPr>
        <w:t xml:space="preserve">not labelled for the treatment of children 6 years of age or less, and </w:t>
      </w:r>
    </w:p>
    <w:p w14:paraId="38A8540A" w14:textId="4417EE3E" w:rsidR="00741833" w:rsidRPr="009377DC" w:rsidRDefault="00741833" w:rsidP="00E14342">
      <w:pPr>
        <w:pStyle w:val="ListBulleti"/>
        <w:numPr>
          <w:ilvl w:val="0"/>
          <w:numId w:val="78"/>
        </w:numPr>
        <w:rPr>
          <w:color w:val="00B050"/>
          <w:u w:val="single"/>
        </w:rPr>
      </w:pPr>
      <w:r w:rsidRPr="009377DC">
        <w:rPr>
          <w:color w:val="00B050"/>
          <w:u w:val="single"/>
        </w:rPr>
        <w:t xml:space="preserve">not labelled for the treatment of children 12 years of age when combined with caffeine, phenylephrine and/or guaifenesin; or  </w:t>
      </w:r>
    </w:p>
    <w:bookmarkEnd w:id="112"/>
    <w:p w14:paraId="54A12F3D" w14:textId="06964706" w:rsidR="005049D2" w:rsidRDefault="00B85375" w:rsidP="005049D2">
      <w:pPr>
        <w:pStyle w:val="ListBulleti"/>
      </w:pPr>
      <w:r w:rsidRPr="00E73FB7">
        <w:t xml:space="preserve">in tablets or capsules each containing 500 mg or less of paracetamol as the only therapeutically active constituent (other than caffeine, phenylephrine and/or guaifenesin or </w:t>
      </w:r>
      <w:r w:rsidRPr="00E14342">
        <w:rPr>
          <w:strike/>
          <w:color w:val="FF0000"/>
        </w:rPr>
        <w:t>when combined with effervescent agents)</w:t>
      </w:r>
      <w:r w:rsidRPr="00E73FB7">
        <w:t xml:space="preserve"> when:</w:t>
      </w:r>
    </w:p>
    <w:p w14:paraId="1BA9CFBF" w14:textId="025C7B5D" w:rsidR="005049D2" w:rsidRDefault="005049D2" w:rsidP="005049D2">
      <w:pPr>
        <w:pStyle w:val="ListBulleti"/>
        <w:numPr>
          <w:ilvl w:val="0"/>
          <w:numId w:val="81"/>
        </w:numPr>
      </w:pPr>
      <w:r>
        <w:t xml:space="preserve">packed in blister or strip packaging </w:t>
      </w:r>
      <w:r w:rsidRPr="00E14342">
        <w:rPr>
          <w:strike/>
          <w:color w:val="FF0000"/>
        </w:rPr>
        <w:t>or in a container with a child-resistant closure</w:t>
      </w:r>
      <w:r w:rsidRPr="004C7298">
        <w:rPr>
          <w:color w:val="000000" w:themeColor="text1"/>
        </w:rPr>
        <w:t>,</w:t>
      </w:r>
    </w:p>
    <w:p w14:paraId="5C9392AC" w14:textId="735AF20A" w:rsidR="005049D2" w:rsidRDefault="005049D2" w:rsidP="005049D2">
      <w:pPr>
        <w:pStyle w:val="ListBulleti"/>
        <w:numPr>
          <w:ilvl w:val="0"/>
          <w:numId w:val="81"/>
        </w:numPr>
      </w:pPr>
      <w:r>
        <w:t xml:space="preserve">in a primary pack containing not more than </w:t>
      </w:r>
      <w:r w:rsidRPr="00E14342">
        <w:t>20</w:t>
      </w:r>
      <w:r>
        <w:t xml:space="preserve"> tablets or capsules,</w:t>
      </w:r>
    </w:p>
    <w:p w14:paraId="246ECAD8" w14:textId="447D26DA" w:rsidR="005049D2" w:rsidRDefault="005049D2" w:rsidP="005049D2">
      <w:pPr>
        <w:pStyle w:val="ListBulleti"/>
        <w:numPr>
          <w:ilvl w:val="0"/>
          <w:numId w:val="81"/>
        </w:numPr>
      </w:pPr>
      <w:r>
        <w:t>compliant with the requirements of the Required Advisory Statements for Medicine Labels,</w:t>
      </w:r>
    </w:p>
    <w:p w14:paraId="724726D2" w14:textId="2EA94AB0" w:rsidR="005049D2" w:rsidRDefault="005049D2" w:rsidP="005049D2">
      <w:pPr>
        <w:pStyle w:val="ListBulleti"/>
        <w:numPr>
          <w:ilvl w:val="0"/>
          <w:numId w:val="81"/>
        </w:numPr>
      </w:pPr>
      <w:r>
        <w:t xml:space="preserve">not labelled for the treatment of children 6 years of age or less, </w:t>
      </w:r>
    </w:p>
    <w:p w14:paraId="7F6F678E" w14:textId="6144CC0C" w:rsidR="005049D2" w:rsidRDefault="005049D2" w:rsidP="005049D2">
      <w:pPr>
        <w:pStyle w:val="ListBulleti"/>
        <w:numPr>
          <w:ilvl w:val="0"/>
          <w:numId w:val="81"/>
        </w:numPr>
      </w:pPr>
      <w:r>
        <w:t>and not labelled for the treatment of children under 12 years of age when   combined with caffeine, phenylephrine and/or guaifenesin.</w:t>
      </w:r>
    </w:p>
    <w:p w14:paraId="3CA16EE7" w14:textId="06261E91" w:rsidR="00B85375" w:rsidRPr="005049D2" w:rsidRDefault="00B85375" w:rsidP="005049D2">
      <w:pPr>
        <w:pStyle w:val="ListBulleti"/>
        <w:numPr>
          <w:ilvl w:val="0"/>
          <w:numId w:val="0"/>
        </w:numPr>
        <w:ind w:firstLine="709"/>
      </w:pPr>
      <w:r>
        <w:rPr>
          <w:b/>
          <w:bCs/>
        </w:rPr>
        <w:t>Index</w:t>
      </w:r>
    </w:p>
    <w:p w14:paraId="18285F26" w14:textId="77777777" w:rsidR="00B85375" w:rsidRDefault="00B85375" w:rsidP="0072362E">
      <w:pPr>
        <w:ind w:left="709"/>
      </w:pPr>
      <w:r w:rsidRPr="0072362E">
        <w:rPr>
          <w:b/>
          <w:bCs/>
        </w:rPr>
        <w:t>PARACETAMOL</w:t>
      </w:r>
      <w:r>
        <w:br/>
      </w:r>
      <w:r w:rsidRPr="00333358">
        <w:t>cross reference: ASPIRIN, IBUPROFEN, METOCLOPRAMIDE, SALICYLAMIDE, CAFFEINE</w:t>
      </w:r>
    </w:p>
    <w:p w14:paraId="69D47207" w14:textId="084A6EBA" w:rsidR="00B85375" w:rsidRDefault="00B85375" w:rsidP="0072362E">
      <w:pPr>
        <w:ind w:left="709"/>
        <w:contextualSpacing/>
      </w:pPr>
      <w:r w:rsidRPr="00333358">
        <w:t>Schedule 4</w:t>
      </w:r>
      <w:r w:rsidRPr="00333358">
        <w:br/>
        <w:t>Schedule 3</w:t>
      </w:r>
      <w:r w:rsidRPr="00333358">
        <w:br/>
        <w:t>Schedule 2</w:t>
      </w:r>
      <w:bookmarkEnd w:id="110"/>
    </w:p>
    <w:p w14:paraId="71A5A7F7" w14:textId="77777777" w:rsidR="00772A25" w:rsidRDefault="00772A25" w:rsidP="0072362E">
      <w:pPr>
        <w:ind w:left="709"/>
        <w:contextualSpacing/>
      </w:pPr>
      <w:r>
        <w:t>Appendix F, clause 4</w:t>
      </w:r>
    </w:p>
    <w:p w14:paraId="2A868394" w14:textId="0BE52ABF" w:rsidR="00772A25" w:rsidRPr="003639D9" w:rsidRDefault="00772A25" w:rsidP="0072362E">
      <w:pPr>
        <w:ind w:left="709"/>
        <w:contextualSpacing/>
      </w:pPr>
      <w:r>
        <w:t>Appendix H, clause 1</w:t>
      </w:r>
    </w:p>
    <w:p w14:paraId="6572FC7B" w14:textId="77777777" w:rsidR="00586A6E" w:rsidRDefault="00586A6E" w:rsidP="00586A6E">
      <w:pPr>
        <w:pStyle w:val="Heading4"/>
      </w:pPr>
      <w:bookmarkStart w:id="113" w:name="_Toc144110901"/>
      <w:r>
        <w:t>Background</w:t>
      </w:r>
      <w:bookmarkEnd w:id="113"/>
    </w:p>
    <w:p w14:paraId="51F89A8E" w14:textId="76F7CB9A" w:rsidR="00B85375" w:rsidRPr="00ED776D" w:rsidRDefault="00B85375" w:rsidP="0072362E">
      <w:pPr>
        <w:pStyle w:val="ListBullet"/>
        <w:numPr>
          <w:ilvl w:val="0"/>
          <w:numId w:val="0"/>
        </w:numPr>
      </w:pPr>
      <w:r w:rsidRPr="00ED776D">
        <w:t>Paracetamol is the most widely used over the counter (OTC) analgesic agent in the world. While paracetamol has well</w:t>
      </w:r>
      <w:r w:rsidR="00971F88">
        <w:t>-</w:t>
      </w:r>
      <w:r w:rsidRPr="00ED776D">
        <w:t>established favourable safety and toxicity profiles, the wide use is paralleled by a high prevalence of accidental paracetamol poisoning in the community in both adults and children.</w:t>
      </w:r>
    </w:p>
    <w:p w14:paraId="494E1A51" w14:textId="1A82BA47" w:rsidR="00B85375" w:rsidRPr="00ED776D" w:rsidRDefault="00B85375" w:rsidP="0072362E">
      <w:pPr>
        <w:pStyle w:val="ListBullet"/>
        <w:numPr>
          <w:ilvl w:val="0"/>
          <w:numId w:val="0"/>
        </w:numPr>
      </w:pPr>
      <w:r w:rsidRPr="00ED776D">
        <w:lastRenderedPageBreak/>
        <w:t>The TGA has been aware of concerns, particularly of families of affected consumers of paracetamol, regarding the number of poisonings and deliberate overdoses from paracetamol obtained from general retail outlets without restrictions to children and adolescents.</w:t>
      </w:r>
    </w:p>
    <w:p w14:paraId="5454825F" w14:textId="5E783959" w:rsidR="00B85375" w:rsidRPr="0072362E" w:rsidRDefault="00B85375" w:rsidP="0072362E">
      <w:pPr>
        <w:pStyle w:val="ListBullet"/>
        <w:numPr>
          <w:ilvl w:val="0"/>
          <w:numId w:val="0"/>
        </w:numPr>
      </w:pPr>
      <w:r w:rsidRPr="0072362E">
        <w:t xml:space="preserve">The TGA </w:t>
      </w:r>
      <w:r w:rsidR="00EB7EBF">
        <w:t>published</w:t>
      </w:r>
      <w:r w:rsidRPr="0072362E">
        <w:t xml:space="preserve"> a </w:t>
      </w:r>
      <w:hyperlink r:id="rId110" w:history="1">
        <w:r w:rsidRPr="00B85375">
          <w:rPr>
            <w:rStyle w:val="Hyperlink"/>
            <w:rFonts w:asciiTheme="minorHAnsi" w:hAnsiTheme="minorHAnsi"/>
          </w:rPr>
          <w:t>final decision</w:t>
        </w:r>
      </w:hyperlink>
      <w:r w:rsidRPr="00B85375">
        <w:t xml:space="preserve"> </w:t>
      </w:r>
      <w:r w:rsidRPr="0072362E">
        <w:t>on 3 May 2023</w:t>
      </w:r>
      <w:r w:rsidR="00A2365B">
        <w:t xml:space="preserve"> (with an implementation date of 1 February 2025)</w:t>
      </w:r>
      <w:r w:rsidRPr="0072362E">
        <w:t xml:space="preserve"> to </w:t>
      </w:r>
      <w:r w:rsidR="0037341B">
        <w:t>increase regulatory controls on</w:t>
      </w:r>
      <w:r w:rsidRPr="0072362E">
        <w:t xml:space="preserve"> paracetamol</w:t>
      </w:r>
      <w:r w:rsidR="00611EE2">
        <w:t>, which included requirements for blister strip packaging and smaller pack sizes for general sale</w:t>
      </w:r>
      <w:r w:rsidRPr="0072362E">
        <w:t>.</w:t>
      </w:r>
    </w:p>
    <w:p w14:paraId="2B595525" w14:textId="4FB4891F" w:rsidR="00586A6E" w:rsidRDefault="00586A6E" w:rsidP="00586A6E">
      <w:pPr>
        <w:pStyle w:val="Heading4"/>
      </w:pPr>
      <w:bookmarkStart w:id="114" w:name="_Toc144110902"/>
      <w:r>
        <w:t>Summary of applicant’s reasons for the proposal</w:t>
      </w:r>
      <w:bookmarkEnd w:id="114"/>
    </w:p>
    <w:p w14:paraId="0F25B384" w14:textId="1549F959" w:rsidR="00EB7EBF" w:rsidRPr="00EB1099" w:rsidRDefault="003F3DD2" w:rsidP="004C7298">
      <w:pPr>
        <w:pStyle w:val="ListParagraph"/>
        <w:numPr>
          <w:ilvl w:val="0"/>
          <w:numId w:val="49"/>
        </w:numPr>
        <w:spacing w:before="0" w:after="120" w:line="259" w:lineRule="auto"/>
        <w:ind w:left="425" w:hanging="357"/>
        <w:contextualSpacing w:val="0"/>
        <w:rPr>
          <w:rFonts w:cstheme="minorHAnsi"/>
        </w:rPr>
      </w:pPr>
      <w:r>
        <w:rPr>
          <w:rFonts w:asciiTheme="minorHAnsi" w:hAnsiTheme="minorHAnsi" w:cstheme="minorHAnsi"/>
        </w:rPr>
        <w:t>E</w:t>
      </w:r>
      <w:r w:rsidR="008B0FEB" w:rsidRPr="008B0FEB">
        <w:rPr>
          <w:rFonts w:asciiTheme="minorHAnsi" w:hAnsiTheme="minorHAnsi" w:cstheme="minorHAnsi"/>
        </w:rPr>
        <w:t>ffervescent tablets</w:t>
      </w:r>
      <w:r>
        <w:rPr>
          <w:rFonts w:asciiTheme="minorHAnsi" w:hAnsiTheme="minorHAnsi" w:cstheme="minorHAnsi"/>
        </w:rPr>
        <w:t xml:space="preserve"> are more difficult to dry swallow</w:t>
      </w:r>
      <w:r w:rsidR="008B0FEB" w:rsidRPr="008B0FEB">
        <w:rPr>
          <w:rFonts w:asciiTheme="minorHAnsi" w:hAnsiTheme="minorHAnsi" w:cstheme="minorHAnsi"/>
        </w:rPr>
        <w:t xml:space="preserve"> </w:t>
      </w:r>
      <w:r>
        <w:rPr>
          <w:rFonts w:asciiTheme="minorHAnsi" w:hAnsiTheme="minorHAnsi" w:cstheme="minorHAnsi"/>
        </w:rPr>
        <w:t xml:space="preserve">compared to conventional tablets due to the difference in size, </w:t>
      </w:r>
      <w:r w:rsidR="008B0FEB" w:rsidRPr="008B0FEB">
        <w:rPr>
          <w:rFonts w:asciiTheme="minorHAnsi" w:hAnsiTheme="minorHAnsi" w:cstheme="minorHAnsi"/>
        </w:rPr>
        <w:t xml:space="preserve">and the preparation required </w:t>
      </w:r>
      <w:r>
        <w:rPr>
          <w:rFonts w:asciiTheme="minorHAnsi" w:hAnsiTheme="minorHAnsi" w:cstheme="minorHAnsi"/>
        </w:rPr>
        <w:t xml:space="preserve">for consuming multiple tablets at once </w:t>
      </w:r>
      <w:r w:rsidR="008B0FEB" w:rsidRPr="008B0FEB">
        <w:rPr>
          <w:rFonts w:asciiTheme="minorHAnsi" w:hAnsiTheme="minorHAnsi" w:cstheme="minorHAnsi"/>
        </w:rPr>
        <w:t>is arduous and time consuming</w:t>
      </w:r>
      <w:r>
        <w:rPr>
          <w:rFonts w:asciiTheme="minorHAnsi" w:hAnsiTheme="minorHAnsi" w:cstheme="minorHAnsi"/>
        </w:rPr>
        <w:t>.</w:t>
      </w:r>
    </w:p>
    <w:p w14:paraId="797949A7" w14:textId="08C9FC57" w:rsidR="00EB7EBF" w:rsidRPr="00EB1099" w:rsidRDefault="00571A6E" w:rsidP="004C7298">
      <w:pPr>
        <w:pStyle w:val="ListParagraph"/>
        <w:numPr>
          <w:ilvl w:val="0"/>
          <w:numId w:val="49"/>
        </w:numPr>
        <w:spacing w:before="0" w:after="120" w:line="259" w:lineRule="auto"/>
        <w:ind w:left="425" w:hanging="357"/>
        <w:contextualSpacing w:val="0"/>
        <w:rPr>
          <w:rFonts w:cstheme="minorHAnsi"/>
        </w:rPr>
      </w:pPr>
      <w:r>
        <w:rPr>
          <w:rFonts w:asciiTheme="minorHAnsi" w:hAnsiTheme="minorHAnsi" w:cstheme="minorHAnsi"/>
        </w:rPr>
        <w:t>The t</w:t>
      </w:r>
      <w:r w:rsidR="00EB7EBF">
        <w:rPr>
          <w:rFonts w:asciiTheme="minorHAnsi" w:hAnsiTheme="minorHAnsi" w:cstheme="minorHAnsi"/>
        </w:rPr>
        <w:t xml:space="preserve">ime taken to dissolve </w:t>
      </w:r>
      <w:r>
        <w:rPr>
          <w:rFonts w:asciiTheme="minorHAnsi" w:hAnsiTheme="minorHAnsi" w:cstheme="minorHAnsi"/>
        </w:rPr>
        <w:t xml:space="preserve">tablets </w:t>
      </w:r>
      <w:r w:rsidR="00EB7EBF">
        <w:rPr>
          <w:rFonts w:asciiTheme="minorHAnsi" w:hAnsiTheme="minorHAnsi" w:cstheme="minorHAnsi"/>
        </w:rPr>
        <w:t>(up to 5 minute</w:t>
      </w:r>
      <w:r>
        <w:rPr>
          <w:rFonts w:asciiTheme="minorHAnsi" w:hAnsiTheme="minorHAnsi" w:cstheme="minorHAnsi"/>
        </w:rPr>
        <w:t>s</w:t>
      </w:r>
      <w:r w:rsidR="00EB7EBF">
        <w:rPr>
          <w:rFonts w:asciiTheme="minorHAnsi" w:hAnsiTheme="minorHAnsi" w:cstheme="minorHAnsi"/>
        </w:rPr>
        <w:t xml:space="preserve">) </w:t>
      </w:r>
      <w:r w:rsidR="008B0FEB" w:rsidRPr="008B0FEB">
        <w:rPr>
          <w:rFonts w:asciiTheme="minorHAnsi" w:hAnsiTheme="minorHAnsi" w:cstheme="minorHAnsi"/>
        </w:rPr>
        <w:t xml:space="preserve">presents </w:t>
      </w:r>
      <w:r w:rsidR="003F3DD2">
        <w:rPr>
          <w:rFonts w:asciiTheme="minorHAnsi" w:hAnsiTheme="minorHAnsi" w:cstheme="minorHAnsi"/>
        </w:rPr>
        <w:t xml:space="preserve">an </w:t>
      </w:r>
      <w:r w:rsidR="008B0FEB" w:rsidRPr="008B0FEB">
        <w:rPr>
          <w:rFonts w:asciiTheme="minorHAnsi" w:hAnsiTheme="minorHAnsi" w:cstheme="minorHAnsi"/>
        </w:rPr>
        <w:t>interruption to the consumer that would impede or discourage intentional paracetamol overdose</w:t>
      </w:r>
      <w:r w:rsidR="003F3DD2">
        <w:rPr>
          <w:rFonts w:asciiTheme="minorHAnsi" w:hAnsiTheme="minorHAnsi" w:cstheme="minorHAnsi"/>
        </w:rPr>
        <w:t xml:space="preserve"> using these preparations, similar to that intended to be presented by the packaging changes in the recent scheduling on paracetamol</w:t>
      </w:r>
      <w:r w:rsidR="008B0FEB" w:rsidRPr="008B0FEB">
        <w:rPr>
          <w:rFonts w:asciiTheme="minorHAnsi" w:hAnsiTheme="minorHAnsi" w:cstheme="minorHAnsi"/>
        </w:rPr>
        <w:t>.</w:t>
      </w:r>
    </w:p>
    <w:p w14:paraId="6DEFEC78" w14:textId="48CE3693" w:rsidR="009058AB" w:rsidRPr="00EB1099" w:rsidRDefault="00EB7EBF" w:rsidP="004C7298">
      <w:pPr>
        <w:pStyle w:val="ListParagraph"/>
        <w:numPr>
          <w:ilvl w:val="0"/>
          <w:numId w:val="49"/>
        </w:numPr>
        <w:spacing w:before="0" w:after="120" w:line="259" w:lineRule="auto"/>
        <w:ind w:left="425" w:hanging="357"/>
        <w:contextualSpacing w:val="0"/>
        <w:rPr>
          <w:rFonts w:cstheme="minorHAnsi"/>
        </w:rPr>
      </w:pPr>
      <w:r w:rsidRPr="00EB7EBF">
        <w:rPr>
          <w:rFonts w:asciiTheme="minorHAnsi" w:hAnsiTheme="minorHAnsi" w:cstheme="minorHAnsi"/>
        </w:rPr>
        <w:t>One primary pack of 16 effervescent tablets contains the same total amount of paracetamol contained in one primary pack of ‘</w:t>
      </w:r>
      <w:proofErr w:type="spellStart"/>
      <w:r w:rsidRPr="00EB7EBF">
        <w:rPr>
          <w:rFonts w:asciiTheme="minorHAnsi" w:hAnsiTheme="minorHAnsi" w:cstheme="minorHAnsi"/>
        </w:rPr>
        <w:t>Lemsip</w:t>
      </w:r>
      <w:proofErr w:type="spellEnd"/>
      <w:r w:rsidRPr="00EB7EBF">
        <w:rPr>
          <w:rFonts w:asciiTheme="minorHAnsi" w:hAnsiTheme="minorHAnsi" w:cstheme="minorHAnsi"/>
        </w:rPr>
        <w:t xml:space="preserve"> Hot Drink Oral Powder Sachet’ sold in grocery stores.</w:t>
      </w:r>
    </w:p>
    <w:p w14:paraId="3D85A9E9" w14:textId="51E7B348" w:rsidR="009058AB" w:rsidRPr="008B0FEB" w:rsidRDefault="0053650B" w:rsidP="004C7298">
      <w:pPr>
        <w:pStyle w:val="ListParagraph"/>
        <w:numPr>
          <w:ilvl w:val="0"/>
          <w:numId w:val="49"/>
        </w:numPr>
        <w:spacing w:before="0" w:after="120" w:line="259" w:lineRule="auto"/>
        <w:ind w:left="425" w:hanging="357"/>
        <w:contextualSpacing w:val="0"/>
        <w:rPr>
          <w:rFonts w:asciiTheme="minorHAnsi" w:hAnsiTheme="minorHAnsi" w:cstheme="minorHAnsi"/>
        </w:rPr>
      </w:pPr>
      <w:r>
        <w:rPr>
          <w:rFonts w:asciiTheme="minorHAnsi" w:hAnsiTheme="minorHAnsi" w:cstheme="minorHAnsi"/>
        </w:rPr>
        <w:t xml:space="preserve">Taking account </w:t>
      </w:r>
      <w:r w:rsidR="009058AB">
        <w:rPr>
          <w:rFonts w:asciiTheme="minorHAnsi" w:hAnsiTheme="minorHAnsi" w:cstheme="minorHAnsi"/>
        </w:rPr>
        <w:t xml:space="preserve">of the above factors, the applicant has requested that </w:t>
      </w:r>
      <w:r w:rsidR="009058AB" w:rsidRPr="009058AB">
        <w:rPr>
          <w:rFonts w:asciiTheme="minorHAnsi" w:hAnsiTheme="minorHAnsi" w:cstheme="minorHAnsi"/>
        </w:rPr>
        <w:t xml:space="preserve">the Delegate consider amending </w:t>
      </w:r>
      <w:r w:rsidR="009058AB">
        <w:rPr>
          <w:rFonts w:asciiTheme="minorHAnsi" w:hAnsiTheme="minorHAnsi" w:cstheme="minorHAnsi"/>
        </w:rPr>
        <w:t xml:space="preserve">the </w:t>
      </w:r>
      <w:r w:rsidR="009058AB" w:rsidRPr="009058AB">
        <w:rPr>
          <w:rFonts w:asciiTheme="minorHAnsi" w:hAnsiTheme="minorHAnsi" w:cstheme="minorHAnsi"/>
        </w:rPr>
        <w:t xml:space="preserve">Schedule 2 </w:t>
      </w:r>
      <w:r w:rsidR="009058AB">
        <w:rPr>
          <w:rFonts w:asciiTheme="minorHAnsi" w:hAnsiTheme="minorHAnsi" w:cstheme="minorHAnsi"/>
        </w:rPr>
        <w:t xml:space="preserve">entry </w:t>
      </w:r>
      <w:r w:rsidR="009058AB" w:rsidRPr="009058AB">
        <w:rPr>
          <w:rFonts w:asciiTheme="minorHAnsi" w:hAnsiTheme="minorHAnsi" w:cstheme="minorHAnsi"/>
        </w:rPr>
        <w:t>to exempt from scheduling</w:t>
      </w:r>
      <w:r w:rsidR="009058AB">
        <w:rPr>
          <w:rFonts w:asciiTheme="minorHAnsi" w:hAnsiTheme="minorHAnsi" w:cstheme="minorHAnsi"/>
        </w:rPr>
        <w:t>,</w:t>
      </w:r>
      <w:r w:rsidR="009058AB" w:rsidRPr="009058AB">
        <w:rPr>
          <w:rFonts w:asciiTheme="minorHAnsi" w:hAnsiTheme="minorHAnsi" w:cstheme="minorHAnsi"/>
        </w:rPr>
        <w:t xml:space="preserve"> packs of 16 or less effervescent tablets containing 500 mg or less of paracetamol </w:t>
      </w:r>
      <w:r w:rsidR="009058AB">
        <w:rPr>
          <w:rFonts w:asciiTheme="minorHAnsi" w:hAnsiTheme="minorHAnsi" w:cstheme="minorHAnsi"/>
        </w:rPr>
        <w:t xml:space="preserve">when </w:t>
      </w:r>
      <w:r w:rsidR="009058AB" w:rsidRPr="009058AB">
        <w:rPr>
          <w:rFonts w:asciiTheme="minorHAnsi" w:hAnsiTheme="minorHAnsi" w:cstheme="minorHAnsi"/>
        </w:rPr>
        <w:t>packed in a container with a child-resistant closure.</w:t>
      </w:r>
    </w:p>
    <w:p w14:paraId="100B7379" w14:textId="77777777" w:rsidR="00586A6E" w:rsidRDefault="00586A6E" w:rsidP="00586A6E">
      <w:pPr>
        <w:pStyle w:val="Heading4"/>
      </w:pPr>
      <w:bookmarkStart w:id="115" w:name="_Toc144110903"/>
      <w:r>
        <w:t xml:space="preserve">Key uses / expected </w:t>
      </w:r>
      <w:proofErr w:type="gramStart"/>
      <w:r>
        <w:t>use</w:t>
      </w:r>
      <w:bookmarkEnd w:id="115"/>
      <w:proofErr w:type="gramEnd"/>
    </w:p>
    <w:p w14:paraId="61128B1E" w14:textId="77777777" w:rsidR="00B85375" w:rsidRDefault="00B85375" w:rsidP="00B85375">
      <w:r>
        <w:t>Medicines</w:t>
      </w:r>
    </w:p>
    <w:p w14:paraId="6625F9B7" w14:textId="77777777" w:rsidR="00586A6E" w:rsidRDefault="00586A6E" w:rsidP="00586A6E">
      <w:pPr>
        <w:pStyle w:val="Heading4"/>
      </w:pPr>
      <w:bookmarkStart w:id="116" w:name="_Toc144110904"/>
      <w:r>
        <w:t>Australian regulations</w:t>
      </w:r>
      <w:bookmarkEnd w:id="116"/>
    </w:p>
    <w:p w14:paraId="1A114425" w14:textId="5CB75CB9" w:rsidR="00B85375" w:rsidRPr="00B85375" w:rsidRDefault="00B85375" w:rsidP="00EB1099">
      <w:pPr>
        <w:pStyle w:val="ListBullet"/>
        <w:numPr>
          <w:ilvl w:val="0"/>
          <w:numId w:val="83"/>
        </w:numPr>
        <w:ind w:left="357" w:hanging="357"/>
      </w:pPr>
      <w:r w:rsidRPr="00163F51">
        <w:t xml:space="preserve">According to the </w:t>
      </w:r>
      <w:hyperlink r:id="rId111" w:history="1">
        <w:r w:rsidRPr="00B85375">
          <w:rPr>
            <w:rStyle w:val="Hyperlink"/>
            <w:rFonts w:asciiTheme="minorHAnsi" w:hAnsiTheme="minorHAnsi"/>
          </w:rPr>
          <w:t>TGA Ingredient Database</w:t>
        </w:r>
      </w:hyperlink>
      <w:r w:rsidRPr="00163F51">
        <w:t>, paracetamol is:</w:t>
      </w:r>
    </w:p>
    <w:p w14:paraId="236FFC83" w14:textId="2A1085D6" w:rsidR="00B85375" w:rsidRPr="00EB1099" w:rsidRDefault="002234D4" w:rsidP="00EB1099">
      <w:pPr>
        <w:pStyle w:val="ListBullet2"/>
        <w:numPr>
          <w:ilvl w:val="1"/>
          <w:numId w:val="83"/>
        </w:numPr>
        <w:ind w:left="782" w:hanging="425"/>
        <w:rPr>
          <w:color w:val="auto"/>
        </w:rPr>
      </w:pPr>
      <w:r w:rsidRPr="00EB1099">
        <w:rPr>
          <w:color w:val="auto"/>
        </w:rPr>
        <w:t>A</w:t>
      </w:r>
      <w:r w:rsidR="00B85375" w:rsidRPr="00EB1099">
        <w:rPr>
          <w:color w:val="auto"/>
        </w:rPr>
        <w:t>vailable for use as an Active Ingredient in Biologicals, Export Only, Over the Counter and Prescription Medicines</w:t>
      </w:r>
    </w:p>
    <w:p w14:paraId="1A36E27E" w14:textId="7C09BB74" w:rsidR="00B85375" w:rsidRPr="00EB1099" w:rsidRDefault="002234D4" w:rsidP="00EB1099">
      <w:pPr>
        <w:pStyle w:val="ListBullet2"/>
        <w:numPr>
          <w:ilvl w:val="1"/>
          <w:numId w:val="83"/>
        </w:numPr>
        <w:ind w:left="782" w:hanging="425"/>
        <w:rPr>
          <w:color w:val="auto"/>
        </w:rPr>
      </w:pPr>
      <w:r w:rsidRPr="00EB1099">
        <w:rPr>
          <w:color w:val="auto"/>
        </w:rPr>
        <w:t>A</w:t>
      </w:r>
      <w:r w:rsidR="00B85375" w:rsidRPr="00EB1099">
        <w:rPr>
          <w:color w:val="auto"/>
        </w:rPr>
        <w:t>vailable for use as an Excipient Ingredient in Biologicals, Devices and Prescription Medicines</w:t>
      </w:r>
    </w:p>
    <w:p w14:paraId="469BB864" w14:textId="3D98A72C" w:rsidR="00B85375" w:rsidRPr="00EB1099" w:rsidRDefault="002234D4" w:rsidP="00EB1099">
      <w:pPr>
        <w:pStyle w:val="ListBullet2"/>
        <w:numPr>
          <w:ilvl w:val="1"/>
          <w:numId w:val="83"/>
        </w:numPr>
        <w:ind w:left="782" w:hanging="425"/>
        <w:rPr>
          <w:color w:val="auto"/>
        </w:rPr>
      </w:pPr>
      <w:r w:rsidRPr="00EB1099">
        <w:rPr>
          <w:color w:val="auto"/>
        </w:rPr>
        <w:t>A</w:t>
      </w:r>
      <w:r w:rsidR="00B85375" w:rsidRPr="00EB1099">
        <w:rPr>
          <w:color w:val="auto"/>
        </w:rPr>
        <w:t>vailable as an equivalent ingredient in Export Only, Over the Counter and Prescription Medicines.</w:t>
      </w:r>
    </w:p>
    <w:p w14:paraId="5EFDAC24" w14:textId="196D2938" w:rsidR="00B85375" w:rsidRPr="00163F51" w:rsidRDefault="00B85375" w:rsidP="00EB1099">
      <w:pPr>
        <w:pStyle w:val="ListBullet"/>
        <w:numPr>
          <w:ilvl w:val="0"/>
          <w:numId w:val="83"/>
        </w:numPr>
      </w:pPr>
      <w:r w:rsidRPr="00163F51">
        <w:t xml:space="preserve">As of July 2023, there were 634 medicines currently active on the </w:t>
      </w:r>
      <w:hyperlink r:id="rId112"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163F51">
        <w:t xml:space="preserve"> that contain paracetamol as an active ingredient. These include:</w:t>
      </w:r>
    </w:p>
    <w:p w14:paraId="44C1DCC9" w14:textId="4278921D" w:rsidR="00B85375" w:rsidRPr="00EB1099" w:rsidRDefault="00B85375" w:rsidP="00EB1099">
      <w:pPr>
        <w:pStyle w:val="ListBullet2"/>
        <w:numPr>
          <w:ilvl w:val="1"/>
          <w:numId w:val="83"/>
        </w:numPr>
        <w:ind w:left="782" w:hanging="425"/>
        <w:rPr>
          <w:color w:val="auto"/>
        </w:rPr>
      </w:pPr>
      <w:r w:rsidRPr="00EB1099">
        <w:rPr>
          <w:color w:val="auto"/>
        </w:rPr>
        <w:t xml:space="preserve">78 </w:t>
      </w:r>
      <w:proofErr w:type="gramStart"/>
      <w:r w:rsidRPr="00EB1099">
        <w:rPr>
          <w:color w:val="auto"/>
        </w:rPr>
        <w:t>prescription</w:t>
      </w:r>
      <w:proofErr w:type="gramEnd"/>
      <w:r w:rsidRPr="00EB1099">
        <w:rPr>
          <w:color w:val="auto"/>
        </w:rPr>
        <w:t xml:space="preserve"> only medicines</w:t>
      </w:r>
    </w:p>
    <w:p w14:paraId="5C3FE096" w14:textId="268A3987" w:rsidR="00B85375" w:rsidRPr="00EB1099" w:rsidRDefault="00B85375" w:rsidP="00EB1099">
      <w:pPr>
        <w:pStyle w:val="ListBullet2"/>
        <w:numPr>
          <w:ilvl w:val="1"/>
          <w:numId w:val="83"/>
        </w:numPr>
        <w:ind w:left="782" w:hanging="425"/>
        <w:rPr>
          <w:color w:val="auto"/>
        </w:rPr>
      </w:pPr>
      <w:r w:rsidRPr="00EB1099">
        <w:rPr>
          <w:color w:val="auto"/>
        </w:rPr>
        <w:t>544 over the counter medicines</w:t>
      </w:r>
    </w:p>
    <w:p w14:paraId="1997C4F8" w14:textId="77777777" w:rsidR="00B85375" w:rsidRPr="00EB1099" w:rsidRDefault="00B85375" w:rsidP="00EB1099">
      <w:pPr>
        <w:pStyle w:val="ListBullet2"/>
        <w:numPr>
          <w:ilvl w:val="1"/>
          <w:numId w:val="83"/>
        </w:numPr>
        <w:ind w:left="782" w:hanging="425"/>
        <w:rPr>
          <w:color w:val="auto"/>
        </w:rPr>
      </w:pPr>
      <w:r w:rsidRPr="00EB1099">
        <w:rPr>
          <w:color w:val="auto"/>
        </w:rPr>
        <w:t>12 export only medicines.</w:t>
      </w:r>
    </w:p>
    <w:p w14:paraId="6E6C15D7" w14:textId="19A638B6" w:rsidR="00B85375" w:rsidRPr="00B85375" w:rsidRDefault="00B85375" w:rsidP="00EB1099">
      <w:pPr>
        <w:pStyle w:val="ListBullet"/>
        <w:numPr>
          <w:ilvl w:val="0"/>
          <w:numId w:val="83"/>
        </w:numPr>
      </w:pPr>
      <w:r w:rsidRPr="00163F51">
        <w:t xml:space="preserve">Paracetamol is not permitted to be included in listed medicines as it is not included in the </w:t>
      </w:r>
      <w:hyperlink r:id="rId113" w:history="1">
        <w:r w:rsidRPr="00B85375">
          <w:rPr>
            <w:rStyle w:val="Hyperlink"/>
            <w:rFonts w:asciiTheme="minorHAnsi" w:hAnsiTheme="minorHAnsi"/>
          </w:rPr>
          <w:t>Therapeutic Goods (Permissible Ingredients) Determination</w:t>
        </w:r>
      </w:hyperlink>
      <w:r w:rsidRPr="00163F51">
        <w:t xml:space="preserve"> No. 3 of 2023.</w:t>
      </w:r>
    </w:p>
    <w:p w14:paraId="438EB857" w14:textId="397BC77A" w:rsidR="00B85375" w:rsidRPr="00B85375" w:rsidRDefault="00B85375" w:rsidP="00EB1099">
      <w:pPr>
        <w:pStyle w:val="ListBullet"/>
        <w:numPr>
          <w:ilvl w:val="0"/>
          <w:numId w:val="83"/>
        </w:numPr>
      </w:pPr>
      <w:r w:rsidRPr="00163F51">
        <w:t>The</w:t>
      </w:r>
      <w:r w:rsidRPr="00B85375">
        <w:t xml:space="preserve"> </w:t>
      </w:r>
      <w:hyperlink r:id="rId114" w:history="1">
        <w:r w:rsidRPr="00B85375">
          <w:rPr>
            <w:rStyle w:val="Hyperlink"/>
            <w:rFonts w:asciiTheme="minorHAnsi" w:hAnsiTheme="minorHAnsi"/>
          </w:rPr>
          <w:t>TGA prescribing medicines in pregnancy database</w:t>
        </w:r>
      </w:hyperlink>
      <w:r w:rsidRPr="00163F51">
        <w:t xml:space="preserve"> classifies paracetamol as:</w:t>
      </w:r>
    </w:p>
    <w:tbl>
      <w:tblPr>
        <w:tblStyle w:val="TableTGAblue"/>
        <w:tblW w:w="8670" w:type="dxa"/>
        <w:tblInd w:w="392" w:type="dxa"/>
        <w:tblLook w:val="04A0" w:firstRow="1" w:lastRow="0" w:firstColumn="1" w:lastColumn="0" w:noHBand="0" w:noVBand="1"/>
      </w:tblPr>
      <w:tblGrid>
        <w:gridCol w:w="1846"/>
        <w:gridCol w:w="1799"/>
        <w:gridCol w:w="1858"/>
        <w:gridCol w:w="1860"/>
        <w:gridCol w:w="1307"/>
      </w:tblGrid>
      <w:tr w:rsidR="00B85375" w:rsidRPr="00611EE2" w14:paraId="5A63D9CC" w14:textId="77777777" w:rsidTr="00AC5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5542B659" w14:textId="77777777" w:rsidR="00B85375" w:rsidRPr="00611EE2" w:rsidRDefault="00B85375" w:rsidP="00611EE2">
            <w:pPr>
              <w:spacing w:before="60" w:after="60"/>
              <w:rPr>
                <w:rFonts w:asciiTheme="minorHAnsi" w:hAnsiTheme="minorHAnsi" w:cstheme="minorHAnsi"/>
                <w:sz w:val="20"/>
                <w:szCs w:val="20"/>
              </w:rPr>
            </w:pPr>
            <w:r w:rsidRPr="00611EE2">
              <w:rPr>
                <w:rFonts w:asciiTheme="minorHAnsi" w:hAnsiTheme="minorHAnsi" w:cstheme="minorHAnsi"/>
                <w:sz w:val="20"/>
                <w:szCs w:val="20"/>
              </w:rPr>
              <w:lastRenderedPageBreak/>
              <w:t>Drug name</w:t>
            </w:r>
          </w:p>
        </w:tc>
        <w:tc>
          <w:tcPr>
            <w:tcW w:w="1971" w:type="dxa"/>
            <w:hideMark/>
          </w:tcPr>
          <w:p w14:paraId="7B5A5EE0" w14:textId="77777777" w:rsidR="00B85375" w:rsidRPr="00611EE2" w:rsidRDefault="00B85375" w:rsidP="00611EE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Category</w:t>
            </w:r>
          </w:p>
        </w:tc>
        <w:tc>
          <w:tcPr>
            <w:tcW w:w="1971" w:type="dxa"/>
            <w:hideMark/>
          </w:tcPr>
          <w:p w14:paraId="54F6C2D1" w14:textId="77777777" w:rsidR="00B85375" w:rsidRPr="00611EE2" w:rsidRDefault="00B85375" w:rsidP="00611EE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Classification Level 1</w:t>
            </w:r>
          </w:p>
        </w:tc>
        <w:tc>
          <w:tcPr>
            <w:tcW w:w="1971" w:type="dxa"/>
            <w:hideMark/>
          </w:tcPr>
          <w:p w14:paraId="199CA71E" w14:textId="77777777" w:rsidR="00B85375" w:rsidRPr="00611EE2" w:rsidRDefault="00B85375" w:rsidP="00611EE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Classification Level 2</w:t>
            </w:r>
          </w:p>
        </w:tc>
        <w:tc>
          <w:tcPr>
            <w:tcW w:w="787" w:type="dxa"/>
            <w:hideMark/>
          </w:tcPr>
          <w:p w14:paraId="29C3DF8C" w14:textId="77777777" w:rsidR="00B85375" w:rsidRPr="00611EE2" w:rsidRDefault="00B85375" w:rsidP="00611EE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Classification Level 3</w:t>
            </w:r>
          </w:p>
        </w:tc>
      </w:tr>
      <w:tr w:rsidR="00B85375" w:rsidRPr="00611EE2" w14:paraId="4C8B0559" w14:textId="77777777" w:rsidTr="00AC5E26">
        <w:tc>
          <w:tcPr>
            <w:cnfStyle w:val="001000000000" w:firstRow="0" w:lastRow="0" w:firstColumn="1" w:lastColumn="0" w:oddVBand="0" w:evenVBand="0" w:oddHBand="0" w:evenHBand="0" w:firstRowFirstColumn="0" w:firstRowLastColumn="0" w:lastRowFirstColumn="0" w:lastRowLastColumn="0"/>
            <w:tcW w:w="1970" w:type="dxa"/>
            <w:tcBorders>
              <w:top w:val="single" w:sz="8" w:space="0" w:color="002C47"/>
              <w:left w:val="single" w:sz="8" w:space="0" w:color="002C47"/>
              <w:bottom w:val="single" w:sz="8" w:space="0" w:color="002C47"/>
              <w:right w:val="single" w:sz="8" w:space="0" w:color="002C47"/>
            </w:tcBorders>
            <w:hideMark/>
          </w:tcPr>
          <w:p w14:paraId="43A73C14" w14:textId="77777777" w:rsidR="00B85375" w:rsidRPr="00611EE2" w:rsidRDefault="00B85375" w:rsidP="00611EE2">
            <w:pPr>
              <w:spacing w:before="60" w:after="60"/>
              <w:rPr>
                <w:rFonts w:asciiTheme="minorHAnsi" w:hAnsiTheme="minorHAnsi" w:cstheme="minorHAnsi"/>
                <w:sz w:val="20"/>
                <w:szCs w:val="20"/>
              </w:rPr>
            </w:pPr>
            <w:r w:rsidRPr="00611EE2">
              <w:rPr>
                <w:rFonts w:asciiTheme="minorHAnsi" w:hAnsiTheme="minorHAnsi" w:cstheme="minorHAnsi"/>
                <w:sz w:val="20"/>
                <w:szCs w:val="20"/>
              </w:rPr>
              <w:t>Paracetamol</w:t>
            </w:r>
          </w:p>
        </w:tc>
        <w:tc>
          <w:tcPr>
            <w:tcW w:w="1971" w:type="dxa"/>
            <w:tcBorders>
              <w:top w:val="single" w:sz="8" w:space="0" w:color="002C47"/>
              <w:left w:val="single" w:sz="8" w:space="0" w:color="002C47"/>
              <w:bottom w:val="single" w:sz="8" w:space="0" w:color="002C47"/>
              <w:right w:val="single" w:sz="8" w:space="0" w:color="002C47"/>
            </w:tcBorders>
            <w:hideMark/>
          </w:tcPr>
          <w:p w14:paraId="01B8A45C" w14:textId="77777777" w:rsidR="00B85375" w:rsidRPr="00611EE2" w:rsidRDefault="00B85375" w:rsidP="00611EE2">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A</w:t>
            </w:r>
          </w:p>
        </w:tc>
        <w:tc>
          <w:tcPr>
            <w:tcW w:w="1971" w:type="dxa"/>
            <w:tcBorders>
              <w:top w:val="single" w:sz="8" w:space="0" w:color="002C47"/>
              <w:left w:val="single" w:sz="8" w:space="0" w:color="002C47"/>
              <w:bottom w:val="single" w:sz="8" w:space="0" w:color="002C47"/>
              <w:right w:val="single" w:sz="8" w:space="0" w:color="002C47"/>
            </w:tcBorders>
            <w:hideMark/>
          </w:tcPr>
          <w:p w14:paraId="23860FC7" w14:textId="77777777" w:rsidR="00B85375" w:rsidRPr="00611EE2" w:rsidRDefault="00B85375" w:rsidP="00611EE2">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 xml:space="preserve">Central Nervous System </w:t>
            </w:r>
          </w:p>
        </w:tc>
        <w:tc>
          <w:tcPr>
            <w:tcW w:w="1971" w:type="dxa"/>
            <w:tcBorders>
              <w:top w:val="single" w:sz="8" w:space="0" w:color="002C47"/>
              <w:left w:val="single" w:sz="8" w:space="0" w:color="002C47"/>
              <w:bottom w:val="single" w:sz="8" w:space="0" w:color="002C47"/>
              <w:right w:val="single" w:sz="8" w:space="0" w:color="002C47"/>
            </w:tcBorders>
            <w:hideMark/>
          </w:tcPr>
          <w:p w14:paraId="6917FB2B" w14:textId="77777777" w:rsidR="00B85375" w:rsidRPr="00611EE2" w:rsidRDefault="00B85375" w:rsidP="00611EE2">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Analgesics and Antipyretics (see also non-steroidal anti-inflammatory agents)</w:t>
            </w:r>
          </w:p>
        </w:tc>
        <w:tc>
          <w:tcPr>
            <w:tcW w:w="787" w:type="dxa"/>
            <w:tcBorders>
              <w:top w:val="single" w:sz="8" w:space="0" w:color="002C47"/>
              <w:left w:val="single" w:sz="8" w:space="0" w:color="002C47"/>
              <w:bottom w:val="single" w:sz="8" w:space="0" w:color="002C47"/>
              <w:right w:val="single" w:sz="8" w:space="0" w:color="002C47"/>
            </w:tcBorders>
          </w:tcPr>
          <w:p w14:paraId="580B821A" w14:textId="77777777" w:rsidR="00B85375" w:rsidRPr="00611EE2" w:rsidRDefault="00B85375" w:rsidP="00611EE2">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B85375" w:rsidRPr="00611EE2" w14:paraId="4DBCC496" w14:textId="77777777" w:rsidTr="00AC5E26">
        <w:tc>
          <w:tcPr>
            <w:cnfStyle w:val="001000000000" w:firstRow="0" w:lastRow="0" w:firstColumn="1" w:lastColumn="0" w:oddVBand="0" w:evenVBand="0" w:oddHBand="0" w:evenHBand="0" w:firstRowFirstColumn="0" w:firstRowLastColumn="0" w:lastRowFirstColumn="0" w:lastRowLastColumn="0"/>
            <w:tcW w:w="8670" w:type="dxa"/>
            <w:gridSpan w:val="5"/>
            <w:tcBorders>
              <w:top w:val="single" w:sz="8" w:space="0" w:color="002C47"/>
              <w:left w:val="single" w:sz="8" w:space="0" w:color="002C47"/>
              <w:bottom w:val="single" w:sz="8" w:space="0" w:color="002C47"/>
              <w:right w:val="single" w:sz="8" w:space="0" w:color="002C47"/>
            </w:tcBorders>
            <w:hideMark/>
          </w:tcPr>
          <w:p w14:paraId="0C590260" w14:textId="77777777" w:rsidR="00B85375" w:rsidRPr="00611EE2" w:rsidRDefault="00B85375" w:rsidP="00611EE2">
            <w:pPr>
              <w:spacing w:before="60" w:after="60"/>
              <w:rPr>
                <w:rFonts w:asciiTheme="minorHAnsi" w:hAnsiTheme="minorHAnsi" w:cstheme="minorHAnsi"/>
                <w:sz w:val="20"/>
                <w:szCs w:val="20"/>
              </w:rPr>
            </w:pPr>
            <w:r w:rsidRPr="00611EE2">
              <w:rPr>
                <w:rFonts w:asciiTheme="minorHAnsi" w:hAnsiTheme="minorHAnsi" w:cstheme="minorHAnsi"/>
                <w:b/>
                <w:sz w:val="18"/>
                <w:szCs w:val="18"/>
              </w:rPr>
              <w:t>Category A</w:t>
            </w:r>
            <w:r w:rsidRPr="00611EE2">
              <w:rPr>
                <w:rFonts w:asciiTheme="minorHAnsi" w:hAnsiTheme="minorHAnsi" w:cstheme="minorHAnsi"/>
                <w:sz w:val="18"/>
                <w:szCs w:val="18"/>
              </w:rPr>
              <w:t xml:space="preserve"> – Drugs which have been taken by a large number of pregnant women and women of childbearing age without any proven increase in the frequency of malformations or other direct or indirect harmful effects on the </w:t>
            </w:r>
            <w:proofErr w:type="spellStart"/>
            <w:r w:rsidRPr="00611EE2">
              <w:rPr>
                <w:rFonts w:asciiTheme="minorHAnsi" w:hAnsiTheme="minorHAnsi" w:cstheme="minorHAnsi"/>
                <w:sz w:val="18"/>
                <w:szCs w:val="18"/>
              </w:rPr>
              <w:t>fetus</w:t>
            </w:r>
            <w:proofErr w:type="spellEnd"/>
            <w:r w:rsidRPr="00611EE2">
              <w:rPr>
                <w:rFonts w:asciiTheme="minorHAnsi" w:hAnsiTheme="minorHAnsi" w:cstheme="minorHAnsi"/>
                <w:sz w:val="18"/>
                <w:szCs w:val="18"/>
              </w:rPr>
              <w:t xml:space="preserve"> having been observed. </w:t>
            </w:r>
          </w:p>
        </w:tc>
      </w:tr>
    </w:tbl>
    <w:p w14:paraId="39F9E5EF" w14:textId="5CA06B82" w:rsidR="00E332F8" w:rsidRPr="00EA07D8" w:rsidRDefault="00B85375" w:rsidP="00EB1099">
      <w:pPr>
        <w:pStyle w:val="ListBullet"/>
        <w:numPr>
          <w:ilvl w:val="0"/>
          <w:numId w:val="83"/>
        </w:numPr>
        <w:rPr>
          <w:rStyle w:val="Hyperlink"/>
          <w:rFonts w:asciiTheme="minorHAnsi" w:eastAsiaTheme="minorHAnsi" w:hAnsiTheme="minorHAnsi" w:cstheme="minorBidi"/>
        </w:rPr>
      </w:pPr>
      <w:r w:rsidRPr="00163F51">
        <w:t xml:space="preserve">There are three warning statements pertaining to paracetamol in the </w:t>
      </w:r>
      <w:hyperlink r:id="rId115" w:history="1">
        <w:r w:rsidRPr="00B85375">
          <w:rPr>
            <w:rStyle w:val="Hyperlink"/>
            <w:rFonts w:asciiTheme="minorHAnsi" w:hAnsiTheme="minorHAnsi"/>
          </w:rPr>
          <w:t>Therapeutic Goods (Medicines Advisory Statements) Specification 2021</w:t>
        </w:r>
      </w:hyperlink>
      <w:r w:rsidRPr="004C7298">
        <w:rPr>
          <w:rStyle w:val="Hyperlink"/>
          <w:rFonts w:asciiTheme="minorHAnsi" w:hAnsiTheme="minorHAnsi"/>
          <w:color w:val="auto"/>
          <w:u w:val="none"/>
        </w:rPr>
        <w:t>.</w:t>
      </w:r>
    </w:p>
    <w:tbl>
      <w:tblPr>
        <w:tblStyle w:val="TableTGAblue"/>
        <w:tblW w:w="0" w:type="auto"/>
        <w:tblInd w:w="416" w:type="dxa"/>
        <w:tblLook w:val="04A0" w:firstRow="1" w:lastRow="0" w:firstColumn="1" w:lastColumn="0" w:noHBand="0" w:noVBand="1"/>
      </w:tblPr>
      <w:tblGrid>
        <w:gridCol w:w="1270"/>
        <w:gridCol w:w="1557"/>
        <w:gridCol w:w="1700"/>
        <w:gridCol w:w="4063"/>
      </w:tblGrid>
      <w:tr w:rsidR="00611EE2" w:rsidRPr="007C0C83" w14:paraId="79CC97C8" w14:textId="77777777" w:rsidTr="00611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hideMark/>
          </w:tcPr>
          <w:p w14:paraId="4A046D86" w14:textId="77777777" w:rsidR="00B85375" w:rsidRPr="0072362E" w:rsidRDefault="00B85375" w:rsidP="00611EE2">
            <w:pPr>
              <w:pStyle w:val="ListBullet"/>
              <w:numPr>
                <w:ilvl w:val="0"/>
                <w:numId w:val="0"/>
              </w:numPr>
              <w:ind w:left="164" w:hanging="164"/>
              <w:rPr>
                <w:rFonts w:asciiTheme="minorHAnsi" w:hAnsiTheme="minorHAnsi"/>
                <w:color w:val="FFFFFF" w:themeColor="background1"/>
                <w:sz w:val="20"/>
                <w:szCs w:val="20"/>
              </w:rPr>
            </w:pPr>
            <w:r w:rsidRPr="0072362E">
              <w:rPr>
                <w:rFonts w:asciiTheme="minorHAnsi" w:hAnsiTheme="minorHAnsi"/>
                <w:color w:val="FFFFFF" w:themeColor="background1"/>
                <w:sz w:val="20"/>
              </w:rPr>
              <w:t>Item</w:t>
            </w:r>
          </w:p>
        </w:tc>
        <w:tc>
          <w:tcPr>
            <w:tcW w:w="1557" w:type="dxa"/>
            <w:hideMark/>
          </w:tcPr>
          <w:p w14:paraId="0E9FE804" w14:textId="77777777" w:rsidR="00B85375" w:rsidRPr="0072362E" w:rsidRDefault="00B85375"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2362E">
              <w:rPr>
                <w:rFonts w:asciiTheme="minorHAnsi" w:hAnsiTheme="minorHAnsi"/>
                <w:color w:val="FFFFFF" w:themeColor="background1"/>
                <w:sz w:val="20"/>
              </w:rPr>
              <w:t>Substance</w:t>
            </w:r>
          </w:p>
        </w:tc>
        <w:tc>
          <w:tcPr>
            <w:tcW w:w="1700" w:type="dxa"/>
            <w:hideMark/>
          </w:tcPr>
          <w:p w14:paraId="0D1BFDDD" w14:textId="77777777" w:rsidR="00B85375" w:rsidRPr="0072362E" w:rsidRDefault="00B85375"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2362E">
              <w:rPr>
                <w:rFonts w:asciiTheme="minorHAnsi" w:hAnsiTheme="minorHAnsi"/>
                <w:color w:val="FFFFFF" w:themeColor="background1"/>
                <w:sz w:val="20"/>
              </w:rPr>
              <w:t>Circumstances</w:t>
            </w:r>
          </w:p>
        </w:tc>
        <w:tc>
          <w:tcPr>
            <w:tcW w:w="4063" w:type="dxa"/>
            <w:hideMark/>
          </w:tcPr>
          <w:p w14:paraId="029719FC" w14:textId="77777777" w:rsidR="00B85375" w:rsidRPr="0072362E" w:rsidRDefault="00B85375"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2362E">
              <w:rPr>
                <w:rFonts w:asciiTheme="minorHAnsi" w:hAnsiTheme="minorHAnsi"/>
                <w:color w:val="FFFFFF" w:themeColor="background1"/>
                <w:sz w:val="20"/>
              </w:rPr>
              <w:t>Required Statements</w:t>
            </w:r>
          </w:p>
        </w:tc>
      </w:tr>
      <w:tr w:rsidR="00B85375" w:rsidRPr="007C0C83" w14:paraId="7A7D09A2" w14:textId="77777777" w:rsidTr="00611EE2">
        <w:tc>
          <w:tcPr>
            <w:cnfStyle w:val="001000000000" w:firstRow="0" w:lastRow="0" w:firstColumn="1" w:lastColumn="0" w:oddVBand="0" w:evenVBand="0" w:oddHBand="0" w:evenHBand="0" w:firstRowFirstColumn="0" w:firstRowLastColumn="0" w:lastRowFirstColumn="0" w:lastRowLastColumn="0"/>
            <w:tcW w:w="1270" w:type="dxa"/>
            <w:hideMark/>
          </w:tcPr>
          <w:p w14:paraId="38E7DF8D" w14:textId="77777777" w:rsidR="00B85375" w:rsidRPr="0072362E" w:rsidRDefault="00B85375" w:rsidP="00EE4793">
            <w:pPr>
              <w:pStyle w:val="ListBullet"/>
              <w:numPr>
                <w:ilvl w:val="0"/>
                <w:numId w:val="0"/>
              </w:numPr>
              <w:rPr>
                <w:rFonts w:asciiTheme="minorHAnsi" w:hAnsiTheme="minorHAnsi"/>
                <w:sz w:val="20"/>
                <w:szCs w:val="20"/>
              </w:rPr>
            </w:pPr>
            <w:r w:rsidRPr="0072362E">
              <w:rPr>
                <w:rFonts w:asciiTheme="minorHAnsi" w:hAnsiTheme="minorHAnsi"/>
                <w:sz w:val="20"/>
              </w:rPr>
              <w:t>191</w:t>
            </w:r>
          </w:p>
        </w:tc>
        <w:tc>
          <w:tcPr>
            <w:tcW w:w="1557" w:type="dxa"/>
            <w:hideMark/>
          </w:tcPr>
          <w:p w14:paraId="3277F36C"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Paracetamol</w:t>
            </w:r>
          </w:p>
          <w:p w14:paraId="3EC24FD9"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(Entry 1 of 3)</w:t>
            </w:r>
          </w:p>
        </w:tc>
        <w:tc>
          <w:tcPr>
            <w:tcW w:w="1700" w:type="dxa"/>
            <w:hideMark/>
          </w:tcPr>
          <w:p w14:paraId="3F7E1AF6"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For the purpose of exclusion from the schedules to the current Poisons Standard</w:t>
            </w:r>
          </w:p>
        </w:tc>
        <w:tc>
          <w:tcPr>
            <w:tcW w:w="4063" w:type="dxa"/>
            <w:hideMark/>
          </w:tcPr>
          <w:p w14:paraId="63DD351E"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Adults: Keep to the recommended dose.  Do not take this medicine for longer than a few days at a time unless advised to by a doctor.</w:t>
            </w:r>
          </w:p>
          <w:p w14:paraId="384BB35D"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Children and adolescents: Keep to the recommended dose. Do not give this medicine for longer than 48 hours at a time unless advised to by a doctor.</w:t>
            </w:r>
          </w:p>
          <w:p w14:paraId="4B2CCD1A"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If an overdose is taken or suspected, ring the Poisons Information Centre (Australia 13 11 26, New Zealand 0800 764 766</w:t>
            </w:r>
            <w:proofErr w:type="gramStart"/>
            <w:r w:rsidRPr="0072362E">
              <w:rPr>
                <w:rFonts w:asciiTheme="minorHAnsi" w:hAnsiTheme="minorHAnsi"/>
                <w:sz w:val="20"/>
              </w:rPr>
              <w:t>)</w:t>
            </w:r>
            <w:proofErr w:type="gramEnd"/>
            <w:r w:rsidRPr="0072362E">
              <w:rPr>
                <w:rFonts w:asciiTheme="minorHAnsi" w:hAnsiTheme="minorHAnsi"/>
                <w:sz w:val="20"/>
              </w:rPr>
              <w:t xml:space="preserve"> or go to hospital straight away even if you feel well because of the risk of delayed, serious liver damage.</w:t>
            </w:r>
          </w:p>
          <w:p w14:paraId="10C541E1"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take with other products containing paracetamol, unless advised to do so by a doctor or pharmacist.</w:t>
            </w:r>
          </w:p>
        </w:tc>
      </w:tr>
      <w:tr w:rsidR="00B85375" w:rsidRPr="007C0C83" w14:paraId="2C20B766" w14:textId="77777777" w:rsidTr="00611EE2">
        <w:tc>
          <w:tcPr>
            <w:cnfStyle w:val="001000000000" w:firstRow="0" w:lastRow="0" w:firstColumn="1" w:lastColumn="0" w:oddVBand="0" w:evenVBand="0" w:oddHBand="0" w:evenHBand="0" w:firstRowFirstColumn="0" w:firstRowLastColumn="0" w:lastRowFirstColumn="0" w:lastRowLastColumn="0"/>
            <w:tcW w:w="1270" w:type="dxa"/>
            <w:hideMark/>
          </w:tcPr>
          <w:p w14:paraId="29E79532" w14:textId="045152A6" w:rsidR="00E332F8" w:rsidRPr="0072362E" w:rsidRDefault="00B85375" w:rsidP="00EE4793">
            <w:pPr>
              <w:pStyle w:val="ListBullet"/>
              <w:numPr>
                <w:ilvl w:val="0"/>
                <w:numId w:val="0"/>
              </w:numPr>
              <w:rPr>
                <w:rFonts w:asciiTheme="minorHAnsi" w:hAnsiTheme="minorHAnsi"/>
                <w:sz w:val="20"/>
                <w:szCs w:val="20"/>
              </w:rPr>
            </w:pPr>
            <w:r w:rsidRPr="0072362E">
              <w:rPr>
                <w:rFonts w:asciiTheme="minorHAnsi" w:hAnsiTheme="minorHAnsi"/>
                <w:sz w:val="20"/>
              </w:rPr>
              <w:t>192</w:t>
            </w:r>
          </w:p>
        </w:tc>
        <w:tc>
          <w:tcPr>
            <w:tcW w:w="1557" w:type="dxa"/>
            <w:hideMark/>
          </w:tcPr>
          <w:p w14:paraId="3453770E"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Paracetamol</w:t>
            </w:r>
          </w:p>
          <w:p w14:paraId="010B3067"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(Entry 2 of 3)</w:t>
            </w:r>
          </w:p>
        </w:tc>
        <w:tc>
          <w:tcPr>
            <w:tcW w:w="1700" w:type="dxa"/>
            <w:hideMark/>
          </w:tcPr>
          <w:p w14:paraId="254C8A81"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In Schedule 2 or 3 to the current Poisons Standard</w:t>
            </w:r>
          </w:p>
        </w:tc>
        <w:tc>
          <w:tcPr>
            <w:tcW w:w="4063" w:type="dxa"/>
            <w:hideMark/>
          </w:tcPr>
          <w:p w14:paraId="046A3B5A"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either or both</w:t>
            </w:r>
          </w:p>
          <w:p w14:paraId="7A73AB6B" w14:textId="77777777" w:rsidR="00B85375" w:rsidRPr="0072362E" w:rsidRDefault="00B85375" w:rsidP="00EE4793">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        Adults: Keep to the recommended dose.  Do not take this medicine for longer than a few days at a time unless advised to by a doctor.</w:t>
            </w:r>
          </w:p>
          <w:p w14:paraId="42842783" w14:textId="77777777" w:rsidR="00B85375" w:rsidRPr="0072362E" w:rsidRDefault="00B85375" w:rsidP="00EE4793">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        Children and adolescents: Keep to the recommended dose.  Do not give this medicine for longer than 48 hours at a time unless advised to by a doctor.</w:t>
            </w:r>
          </w:p>
          <w:p w14:paraId="62ECA394"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If an overdose is taken or suspected, ring the Poisons Information Centre (Australia 13 11 26, New Zealand 0800 764 766</w:t>
            </w:r>
            <w:proofErr w:type="gramStart"/>
            <w:r w:rsidRPr="0072362E">
              <w:rPr>
                <w:rFonts w:asciiTheme="minorHAnsi" w:hAnsiTheme="minorHAnsi"/>
                <w:sz w:val="20"/>
              </w:rPr>
              <w:t>)</w:t>
            </w:r>
            <w:proofErr w:type="gramEnd"/>
            <w:r w:rsidRPr="0072362E">
              <w:rPr>
                <w:rFonts w:asciiTheme="minorHAnsi" w:hAnsiTheme="minorHAnsi"/>
                <w:sz w:val="20"/>
              </w:rPr>
              <w:t xml:space="preserve"> or go to hospital straight away even if you feel well because of the risk of delayed, serious liver damage.</w:t>
            </w:r>
          </w:p>
          <w:p w14:paraId="2B4C608C" w14:textId="2B89A36C" w:rsidR="00E332F8" w:rsidRPr="00E332F8" w:rsidRDefault="00B85375" w:rsidP="00E332F8">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take with other products containing paracetamol, unless advised to do so by a doctor or pharmacist.</w:t>
            </w:r>
          </w:p>
        </w:tc>
      </w:tr>
      <w:tr w:rsidR="00B85375" w:rsidRPr="007C0C83" w14:paraId="6DBD027D" w14:textId="77777777" w:rsidTr="00611EE2">
        <w:tc>
          <w:tcPr>
            <w:cnfStyle w:val="001000000000" w:firstRow="0" w:lastRow="0" w:firstColumn="1" w:lastColumn="0" w:oddVBand="0" w:evenVBand="0" w:oddHBand="0" w:evenHBand="0" w:firstRowFirstColumn="0" w:firstRowLastColumn="0" w:lastRowFirstColumn="0" w:lastRowLastColumn="0"/>
            <w:tcW w:w="1270" w:type="dxa"/>
            <w:hideMark/>
          </w:tcPr>
          <w:p w14:paraId="7E28840A" w14:textId="77777777" w:rsidR="00B85375" w:rsidRPr="0072362E" w:rsidRDefault="00B85375" w:rsidP="00EE4793">
            <w:pPr>
              <w:pStyle w:val="ListBullet"/>
              <w:numPr>
                <w:ilvl w:val="0"/>
                <w:numId w:val="0"/>
              </w:numPr>
              <w:rPr>
                <w:rFonts w:asciiTheme="minorHAnsi" w:hAnsiTheme="minorHAnsi"/>
                <w:sz w:val="20"/>
                <w:szCs w:val="20"/>
              </w:rPr>
            </w:pPr>
            <w:r w:rsidRPr="0072362E">
              <w:rPr>
                <w:rFonts w:asciiTheme="minorHAnsi" w:hAnsiTheme="minorHAnsi"/>
                <w:sz w:val="20"/>
              </w:rPr>
              <w:t>193</w:t>
            </w:r>
          </w:p>
        </w:tc>
        <w:tc>
          <w:tcPr>
            <w:tcW w:w="1557" w:type="dxa"/>
            <w:hideMark/>
          </w:tcPr>
          <w:p w14:paraId="735E787A"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 xml:space="preserve">Paracetamol </w:t>
            </w:r>
          </w:p>
          <w:p w14:paraId="0A40E279"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(Entry 3 of 3)</w:t>
            </w:r>
          </w:p>
        </w:tc>
        <w:tc>
          <w:tcPr>
            <w:tcW w:w="1700" w:type="dxa"/>
            <w:hideMark/>
          </w:tcPr>
          <w:p w14:paraId="763D0310" w14:textId="77777777" w:rsidR="00B85375" w:rsidRPr="0072362E" w:rsidRDefault="00B85375" w:rsidP="00EE479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In combination with ibuprofen, in medicines for oral use</w:t>
            </w:r>
          </w:p>
        </w:tc>
        <w:tc>
          <w:tcPr>
            <w:tcW w:w="4063" w:type="dxa"/>
            <w:hideMark/>
          </w:tcPr>
          <w:p w14:paraId="1DAB651D"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give to children under 12 years of age.</w:t>
            </w:r>
          </w:p>
          <w:p w14:paraId="5352DD61"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Adults: Keep to the recommended dose.  Do not take this medicine for longer than a few days at a time unless advised to by a doctor.</w:t>
            </w:r>
          </w:p>
          <w:p w14:paraId="2D03B5E5"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Children and adolescents: Keep to the recommended dose. Do not give this medicine for longer than 48 hours at a time unless advised to by a doctor.</w:t>
            </w:r>
          </w:p>
          <w:p w14:paraId="0265DC00"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 xml:space="preserve">Excessive use can be harmful and increase the risk of heart attack, </w:t>
            </w:r>
            <w:proofErr w:type="gramStart"/>
            <w:r w:rsidRPr="0072362E">
              <w:rPr>
                <w:rFonts w:asciiTheme="minorHAnsi" w:hAnsiTheme="minorHAnsi"/>
                <w:sz w:val="20"/>
              </w:rPr>
              <w:t>stroke</w:t>
            </w:r>
            <w:proofErr w:type="gramEnd"/>
            <w:r w:rsidRPr="0072362E">
              <w:rPr>
                <w:rFonts w:asciiTheme="minorHAnsi" w:hAnsiTheme="minorHAnsi"/>
                <w:sz w:val="20"/>
              </w:rPr>
              <w:t xml:space="preserve"> or liver damage.</w:t>
            </w:r>
          </w:p>
          <w:p w14:paraId="18B59C42"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use if pregnant or trying to become pregnant.</w:t>
            </w:r>
          </w:p>
          <w:p w14:paraId="0A38428F"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use if you have a stomach ulcer.</w:t>
            </w:r>
          </w:p>
          <w:p w14:paraId="2B5E235E"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use if you have impaired kidney function.</w:t>
            </w:r>
          </w:p>
          <w:p w14:paraId="557FA88F"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use if you have heart failure.</w:t>
            </w:r>
          </w:p>
          <w:p w14:paraId="1D7266DE"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Do not use if you are allergic to ibuprofen or other anti-inflammatory medicines.</w:t>
            </w:r>
          </w:p>
          <w:p w14:paraId="48E12239"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If you get an allergic reaction, stop taking and see your doctor immediately.</w:t>
            </w:r>
          </w:p>
          <w:p w14:paraId="7FEABACC"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Unless a doctor has told you to, do not use if you have asthma.</w:t>
            </w:r>
          </w:p>
          <w:p w14:paraId="6B0D18FF"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Unless a doctor has told you to, do not use if you are aged 65 years or over.</w:t>
            </w:r>
          </w:p>
          <w:p w14:paraId="7084D643" w14:textId="77777777" w:rsidR="00B85375" w:rsidRPr="0072362E" w:rsidRDefault="00B85375" w:rsidP="00EE4793">
            <w:pPr>
              <w:pStyle w:val="ListBulle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 xml:space="preserve">Do not take with other products containing paracetamol, ibuprofen, </w:t>
            </w:r>
            <w:proofErr w:type="gramStart"/>
            <w:r w:rsidRPr="0072362E">
              <w:rPr>
                <w:rFonts w:asciiTheme="minorHAnsi" w:hAnsiTheme="minorHAnsi"/>
                <w:sz w:val="20"/>
              </w:rPr>
              <w:t>aspirin</w:t>
            </w:r>
            <w:proofErr w:type="gramEnd"/>
            <w:r w:rsidRPr="0072362E">
              <w:rPr>
                <w:rFonts w:asciiTheme="minorHAnsi" w:hAnsiTheme="minorHAnsi"/>
                <w:sz w:val="20"/>
              </w:rPr>
              <w:t xml:space="preserve"> or other anti-inflammatory medicines or with medicines that you are taking regularly, unless advised to do so by a doctor or pharmacist.</w:t>
            </w:r>
          </w:p>
          <w:p w14:paraId="331CAA46" w14:textId="77777777" w:rsidR="00B85375" w:rsidRPr="0072362E" w:rsidRDefault="00B85375" w:rsidP="00EE4793">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2362E">
              <w:rPr>
                <w:rFonts w:asciiTheme="minorHAnsi" w:hAnsiTheme="minorHAnsi"/>
                <w:sz w:val="20"/>
              </w:rPr>
              <w:t>If an overdose is taken or suspected, ring the Poisons Information Centre (Australia 13 11 26, New Zealand 0800 764 766</w:t>
            </w:r>
            <w:proofErr w:type="gramStart"/>
            <w:r w:rsidRPr="0072362E">
              <w:rPr>
                <w:rFonts w:asciiTheme="minorHAnsi" w:hAnsiTheme="minorHAnsi"/>
                <w:sz w:val="20"/>
              </w:rPr>
              <w:t>)</w:t>
            </w:r>
            <w:proofErr w:type="gramEnd"/>
            <w:r w:rsidRPr="0072362E">
              <w:rPr>
                <w:rFonts w:asciiTheme="minorHAnsi" w:hAnsiTheme="minorHAnsi"/>
                <w:sz w:val="20"/>
              </w:rPr>
              <w:t xml:space="preserve"> or go to hospital straight away even if you feel well because of the risk of delayed, serious liver damage.</w:t>
            </w:r>
          </w:p>
        </w:tc>
      </w:tr>
    </w:tbl>
    <w:p w14:paraId="0715650F" w14:textId="72F6A404" w:rsidR="00B85375" w:rsidRPr="00B85375" w:rsidRDefault="00B85375" w:rsidP="00EB1099">
      <w:pPr>
        <w:pStyle w:val="ListBullet"/>
        <w:numPr>
          <w:ilvl w:val="0"/>
          <w:numId w:val="83"/>
        </w:numPr>
      </w:pPr>
      <w:r w:rsidRPr="00163F51">
        <w:t xml:space="preserve">As of July 2023, there were 5,204 reports of adverse events for products containing paracetamol as an active ingredient on the </w:t>
      </w:r>
      <w:hyperlink r:id="rId116"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4C7298">
        <w:rPr>
          <w:rStyle w:val="Hyperlink"/>
          <w:rFonts w:asciiTheme="minorHAnsi" w:hAnsiTheme="minorHAnsi"/>
          <w:color w:val="auto"/>
          <w:u w:val="none"/>
        </w:rPr>
        <w:t>,</w:t>
      </w:r>
      <w:r w:rsidRPr="00163F51">
        <w:t xml:space="preserve"> with 2,348 reports where paracetamol was the single suspected medicine. There were 333 reports of deaths associated with paracetamol use. The recorded adverse events were widely varied in nature.</w:t>
      </w:r>
    </w:p>
    <w:p w14:paraId="5295A131" w14:textId="2722D3FF" w:rsidR="00586A6E" w:rsidRDefault="00586A6E" w:rsidP="00586A6E">
      <w:pPr>
        <w:pStyle w:val="Heading4"/>
      </w:pPr>
      <w:bookmarkStart w:id="117" w:name="_Toc144110905"/>
      <w:r>
        <w:t>International regulations</w:t>
      </w:r>
      <w:bookmarkEnd w:id="117"/>
    </w:p>
    <w:p w14:paraId="68D2528D" w14:textId="65945997" w:rsidR="00B85375" w:rsidRPr="00603580" w:rsidRDefault="00B85375" w:rsidP="00EB1099">
      <w:pPr>
        <w:pStyle w:val="ListBullet"/>
        <w:numPr>
          <w:ilvl w:val="0"/>
          <w:numId w:val="30"/>
        </w:numPr>
        <w:ind w:left="357" w:hanging="357"/>
      </w:pPr>
      <w:r w:rsidRPr="00603580">
        <w:t>The scheduling of paracetamol varies considerably within the Organisation for Economic Co-operation and Development (OECD) countries, with respect to immediate release and modified release formulations</w:t>
      </w:r>
      <w:r w:rsidR="00B8496C">
        <w:t xml:space="preserve"> (MR)</w:t>
      </w:r>
      <w:r w:rsidRPr="00603580">
        <w:t>, sales outside of pharmacies and maximum pack sizes available.</w:t>
      </w:r>
    </w:p>
    <w:p w14:paraId="67B5C9DB" w14:textId="47247C71" w:rsidR="00B85375" w:rsidRPr="00603580" w:rsidRDefault="00B85375" w:rsidP="00EB1099">
      <w:pPr>
        <w:pStyle w:val="ListBullet"/>
        <w:numPr>
          <w:ilvl w:val="0"/>
          <w:numId w:val="30"/>
        </w:numPr>
        <w:ind w:left="357" w:hanging="357"/>
        <w:rPr>
          <w:lang w:val="en-US"/>
        </w:rPr>
      </w:pPr>
      <w:r w:rsidRPr="00603580">
        <w:t xml:space="preserve">Many European countries do not allow any sales outside of pharmacies </w:t>
      </w:r>
      <w:r w:rsidR="001B12C9" w:rsidRPr="00603580">
        <w:t>and</w:t>
      </w:r>
      <w:r w:rsidRPr="00603580">
        <w:t xml:space="preserve"> have lower limits on pharmacy pack sizes. In addition,</w:t>
      </w:r>
      <w:r w:rsidR="00B8496C">
        <w:t xml:space="preserve"> </w:t>
      </w:r>
      <w:r w:rsidRPr="00603580">
        <w:t>MR</w:t>
      </w:r>
      <w:r w:rsidR="00B8496C">
        <w:t xml:space="preserve"> </w:t>
      </w:r>
      <w:r w:rsidRPr="00603580">
        <w:t>paracetamol is not available in most European countries. Some countries have implemented restrictions while others have no limits on the quantities per pack or number of packs that can be purchased (predominantly in Eastern Europe and Russia)</w:t>
      </w:r>
      <w:r w:rsidRPr="00603580">
        <w:rPr>
          <w:lang w:val="en-US"/>
        </w:rPr>
        <w:t>. Fourteen countries have implemented pack size restrictions within pharmacies in the last two decades ranging from 8-30 g (which are lower than in Australia).</w:t>
      </w:r>
    </w:p>
    <w:p w14:paraId="440DC035" w14:textId="7C15BE73" w:rsidR="00B85375" w:rsidRPr="00603580" w:rsidRDefault="00B85375" w:rsidP="00EB1099">
      <w:pPr>
        <w:pStyle w:val="ListBullet"/>
        <w:numPr>
          <w:ilvl w:val="0"/>
          <w:numId w:val="30"/>
        </w:numPr>
        <w:ind w:left="357" w:hanging="357"/>
        <w:rPr>
          <w:lang w:val="en-US"/>
        </w:rPr>
      </w:pPr>
      <w:r w:rsidRPr="00603580">
        <w:rPr>
          <w:lang w:val="en-US"/>
        </w:rPr>
        <w:t xml:space="preserve">Furthermore, in twelve countries paracetamol-containing analgesics are not available outside of pharmacies, with larger quantities only available with a valid prescription from a doctor. Only seven countries allow </w:t>
      </w:r>
      <w:r w:rsidR="00B8496C">
        <w:rPr>
          <w:lang w:val="en-US"/>
        </w:rPr>
        <w:t xml:space="preserve">the </w:t>
      </w:r>
      <w:r w:rsidRPr="00603580">
        <w:rPr>
          <w:lang w:val="en-US"/>
        </w:rPr>
        <w:t xml:space="preserve">sale of paracetamol from outside of pharmacies, with six </w:t>
      </w:r>
      <w:r w:rsidR="00B8496C">
        <w:rPr>
          <w:lang w:val="en-US"/>
        </w:rPr>
        <w:t>countries</w:t>
      </w:r>
      <w:r w:rsidRPr="00603580">
        <w:rPr>
          <w:lang w:val="en-US"/>
        </w:rPr>
        <w:t xml:space="preserve"> </w:t>
      </w:r>
      <w:r w:rsidR="00B8496C">
        <w:rPr>
          <w:lang w:val="en-US"/>
        </w:rPr>
        <w:t xml:space="preserve">limiting the </w:t>
      </w:r>
      <w:r w:rsidRPr="00603580">
        <w:rPr>
          <w:lang w:val="en-US"/>
        </w:rPr>
        <w:t xml:space="preserve">range between 5-8 g </w:t>
      </w:r>
      <w:r w:rsidR="00B8496C">
        <w:rPr>
          <w:lang w:val="en-US"/>
        </w:rPr>
        <w:t>of paracetamol</w:t>
      </w:r>
      <w:r w:rsidR="009B0232">
        <w:rPr>
          <w:lang w:val="en-US"/>
        </w:rPr>
        <w:t xml:space="preserve"> per pack</w:t>
      </w:r>
      <w:r w:rsidR="00B8496C">
        <w:rPr>
          <w:lang w:val="en-US"/>
        </w:rPr>
        <w:t xml:space="preserve"> </w:t>
      </w:r>
      <w:r w:rsidRPr="00603580">
        <w:rPr>
          <w:lang w:val="en-US"/>
        </w:rPr>
        <w:t>and Russia allowing unlimited quantities for sale. Sweden now only markets effervescent tablet</w:t>
      </w:r>
      <w:r w:rsidR="00B8496C">
        <w:rPr>
          <w:lang w:val="en-US"/>
        </w:rPr>
        <w:t xml:space="preserve"> formulations</w:t>
      </w:r>
      <w:r w:rsidRPr="00603580">
        <w:rPr>
          <w:lang w:val="en-US"/>
        </w:rPr>
        <w:t xml:space="preserve"> for general sale. </w:t>
      </w:r>
      <w:r w:rsidR="00B8496C">
        <w:rPr>
          <w:lang w:val="en-US"/>
        </w:rPr>
        <w:t xml:space="preserve">This indicates </w:t>
      </w:r>
      <w:r w:rsidRPr="00603580">
        <w:rPr>
          <w:lang w:val="en-US"/>
        </w:rPr>
        <w:t>that apart from Russia all remaining</w:t>
      </w:r>
      <w:r w:rsidR="009B0232">
        <w:rPr>
          <w:lang w:val="en-US"/>
        </w:rPr>
        <w:t xml:space="preserve"> European</w:t>
      </w:r>
      <w:r w:rsidRPr="00603580">
        <w:rPr>
          <w:lang w:val="en-US"/>
        </w:rPr>
        <w:t xml:space="preserve"> countries have tighter restrictions on access outside of pharmacies compared to Australia (either through smaller quantities or no access at all</w:t>
      </w:r>
      <w:r w:rsidR="00B8496C">
        <w:rPr>
          <w:lang w:val="en-US"/>
        </w:rPr>
        <w:t xml:space="preserve"> without a prescription</w:t>
      </w:r>
      <w:r w:rsidRPr="00603580">
        <w:rPr>
          <w:lang w:val="en-US"/>
        </w:rPr>
        <w:t>).</w:t>
      </w:r>
    </w:p>
    <w:p w14:paraId="5E938F70" w14:textId="3F04724D" w:rsidR="00B85375" w:rsidRPr="00603580" w:rsidRDefault="00B85375" w:rsidP="00EB1099">
      <w:pPr>
        <w:pStyle w:val="ListBullet"/>
        <w:numPr>
          <w:ilvl w:val="0"/>
          <w:numId w:val="30"/>
        </w:numPr>
        <w:ind w:left="357" w:hanging="357"/>
        <w:rPr>
          <w:lang w:val="en-US"/>
        </w:rPr>
      </w:pPr>
      <w:r w:rsidRPr="00603580">
        <w:rPr>
          <w:lang w:val="en-US"/>
        </w:rPr>
        <w:t>The UK has tighter scheduling of paracetamol compared to Australia, which it enacted in 1998 as a response to self-poisoning. They now have low pack limits (16 tablets), purchase limits (2 packs) f</w:t>
      </w:r>
      <w:r w:rsidR="00B8496C">
        <w:rPr>
          <w:lang w:val="en-US"/>
        </w:rPr>
        <w:t xml:space="preserve">or </w:t>
      </w:r>
      <w:r w:rsidRPr="00603580">
        <w:rPr>
          <w:lang w:val="en-US"/>
        </w:rPr>
        <w:t xml:space="preserve">general sale and </w:t>
      </w:r>
      <w:r w:rsidR="00B8496C">
        <w:rPr>
          <w:lang w:val="en-US"/>
        </w:rPr>
        <w:t xml:space="preserve">a </w:t>
      </w:r>
      <w:r w:rsidR="009C55B5" w:rsidRPr="00603580">
        <w:rPr>
          <w:lang w:val="en-US"/>
        </w:rPr>
        <w:t>32-tablet</w:t>
      </w:r>
      <w:r w:rsidRPr="00603580">
        <w:rPr>
          <w:lang w:val="en-US"/>
        </w:rPr>
        <w:t xml:space="preserve"> pa</w:t>
      </w:r>
      <w:r w:rsidR="00B8496C">
        <w:rPr>
          <w:lang w:val="en-US"/>
        </w:rPr>
        <w:t xml:space="preserve">ck size limit </w:t>
      </w:r>
      <w:r w:rsidRPr="00603580">
        <w:rPr>
          <w:lang w:val="en-US"/>
        </w:rPr>
        <w:t>from pharmacies</w:t>
      </w:r>
      <w:r w:rsidR="004B5116">
        <w:rPr>
          <w:lang w:val="en-US"/>
        </w:rPr>
        <w:t xml:space="preserve">. </w:t>
      </w:r>
      <w:r w:rsidR="00FE5F20">
        <w:rPr>
          <w:lang w:val="en-US"/>
        </w:rPr>
        <w:t xml:space="preserve">In 2017 </w:t>
      </w:r>
      <w:r w:rsidR="004B5116" w:rsidRPr="004B5116">
        <w:rPr>
          <w:lang w:val="en-US"/>
        </w:rPr>
        <w:t>Modified-release</w:t>
      </w:r>
      <w:r w:rsidR="004B5116">
        <w:rPr>
          <w:lang w:val="en-US"/>
        </w:rPr>
        <w:t xml:space="preserve"> (MR)</w:t>
      </w:r>
      <w:r w:rsidR="004B5116" w:rsidRPr="004B5116">
        <w:rPr>
          <w:lang w:val="en-US"/>
        </w:rPr>
        <w:t xml:space="preserve"> paracetamol</w:t>
      </w:r>
      <w:r w:rsidR="00FE5F20">
        <w:rPr>
          <w:lang w:val="en-US"/>
        </w:rPr>
        <w:t xml:space="preserve"> was</w:t>
      </w:r>
      <w:r w:rsidR="004B5116">
        <w:rPr>
          <w:lang w:val="en-US"/>
        </w:rPr>
        <w:t xml:space="preserve"> </w:t>
      </w:r>
      <w:r w:rsidR="004B5116" w:rsidRPr="004B5116">
        <w:rPr>
          <w:lang w:val="en-US"/>
        </w:rPr>
        <w:t>removed from the</w:t>
      </w:r>
      <w:r w:rsidR="004B5116">
        <w:rPr>
          <w:lang w:val="en-US"/>
        </w:rPr>
        <w:t xml:space="preserve"> </w:t>
      </w:r>
      <w:hyperlink r:id="rId117" w:history="1">
        <w:r w:rsidR="004B5116" w:rsidRPr="00FE5F20">
          <w:rPr>
            <w:rStyle w:val="Hyperlink"/>
            <w:rFonts w:asciiTheme="minorHAnsi" w:hAnsiTheme="minorHAnsi"/>
            <w:lang w:val="en-US"/>
          </w:rPr>
          <w:t>UK market</w:t>
        </w:r>
      </w:hyperlink>
      <w:r w:rsidR="004B5116" w:rsidRPr="004B5116">
        <w:rPr>
          <w:lang w:val="en-US"/>
        </w:rPr>
        <w:t xml:space="preserve"> since overdoses with </w:t>
      </w:r>
      <w:r w:rsidR="004B5116">
        <w:rPr>
          <w:lang w:val="en-US"/>
        </w:rPr>
        <w:t xml:space="preserve">MR </w:t>
      </w:r>
      <w:r w:rsidR="004B5116" w:rsidRPr="004B5116">
        <w:rPr>
          <w:lang w:val="en-US"/>
        </w:rPr>
        <w:t>paracetamol products can be unpredictable and complex to manage.</w:t>
      </w:r>
    </w:p>
    <w:p w14:paraId="5DF2A1E3" w14:textId="7240FD0B" w:rsidR="00B85375" w:rsidRPr="00603580" w:rsidRDefault="00B85375" w:rsidP="00EB1099">
      <w:pPr>
        <w:pStyle w:val="ListBullet"/>
        <w:numPr>
          <w:ilvl w:val="0"/>
          <w:numId w:val="30"/>
        </w:numPr>
        <w:ind w:left="357" w:hanging="357"/>
      </w:pPr>
      <w:r w:rsidRPr="00603580">
        <w:t>The US, Canada and Singapore do not have significant limits placed on the pack sizes of standard paracetamol products.</w:t>
      </w:r>
    </w:p>
    <w:p w14:paraId="212CA033" w14:textId="1AB4D534" w:rsidR="00EB1099" w:rsidRDefault="00B85375" w:rsidP="00EB1099">
      <w:pPr>
        <w:pStyle w:val="ListBullet"/>
        <w:numPr>
          <w:ilvl w:val="0"/>
          <w:numId w:val="30"/>
        </w:numPr>
      </w:pPr>
      <w:r w:rsidRPr="00EE4793">
        <w:t xml:space="preserve">Refer to </w:t>
      </w:r>
      <w:r w:rsidRPr="00EE4793">
        <w:rPr>
          <w:i/>
          <w:iCs/>
        </w:rPr>
        <w:t>Chapter 3: International comparisons of scheduling and paracetamol poisoning</w:t>
      </w:r>
      <w:r w:rsidRPr="00EE4793">
        <w:t xml:space="preserve"> in the </w:t>
      </w:r>
      <w:hyperlink r:id="rId118" w:history="1">
        <w:r w:rsidRPr="00EE4793">
          <w:rPr>
            <w:rStyle w:val="Hyperlink"/>
            <w:rFonts w:asciiTheme="minorHAnsi" w:hAnsiTheme="minorHAnsi"/>
          </w:rPr>
          <w:t>independent expert report on the risks of intentional self-poisoning with paracetamol</w:t>
        </w:r>
      </w:hyperlink>
      <w:r w:rsidRPr="00B85375">
        <w:t xml:space="preserve"> </w:t>
      </w:r>
      <w:r w:rsidRPr="00EE4793">
        <w:t>for a comprehensive overview.</w:t>
      </w:r>
    </w:p>
    <w:p w14:paraId="5D4E5A0B" w14:textId="77777777" w:rsidR="00EB1099" w:rsidRDefault="00EB1099">
      <w:pPr>
        <w:rPr>
          <w:rFonts w:eastAsia="Cambria" w:cstheme="minorHAnsi"/>
        </w:rPr>
      </w:pPr>
      <w:r>
        <w:br w:type="page"/>
      </w:r>
    </w:p>
    <w:p w14:paraId="78B90AD2" w14:textId="7708B01A" w:rsidR="00E13CFF" w:rsidRDefault="001D5CC5" w:rsidP="00EB1099">
      <w:pPr>
        <w:pStyle w:val="Heading2"/>
        <w:ind w:left="360" w:hanging="360"/>
      </w:pPr>
      <w:bookmarkStart w:id="118" w:name="_Toc144110906"/>
      <w:r>
        <w:t>2</w:t>
      </w:r>
      <w:r>
        <w:tab/>
      </w:r>
      <w:r w:rsidR="00E13CFF">
        <w:t>Proposed amendments referred for scheduling advice to the Joint ACMS-ACCS meeting #35</w:t>
      </w:r>
      <w:bookmarkEnd w:id="118"/>
    </w:p>
    <w:p w14:paraId="6DE11C70" w14:textId="444F51EE" w:rsidR="00E13CFF" w:rsidRDefault="001D5CC5" w:rsidP="00F2313E">
      <w:pPr>
        <w:pStyle w:val="Heading3"/>
      </w:pPr>
      <w:bookmarkStart w:id="119" w:name="_Toc144110907"/>
      <w:r>
        <w:t>2.1</w:t>
      </w:r>
      <w:r>
        <w:tab/>
      </w:r>
      <w:r w:rsidR="00E13CFF">
        <w:t>Adrenaline</w:t>
      </w:r>
      <w:bookmarkEnd w:id="119"/>
    </w:p>
    <w:p w14:paraId="700CE228" w14:textId="77777777" w:rsidR="00E13CFF" w:rsidRDefault="00E13CFF" w:rsidP="00E13CFF">
      <w:pPr>
        <w:pStyle w:val="Heading4"/>
      </w:pPr>
      <w:bookmarkStart w:id="120" w:name="_Toc144110908"/>
      <w:r>
        <w:t>Proposal</w:t>
      </w:r>
      <w:bookmarkEnd w:id="120"/>
    </w:p>
    <w:p w14:paraId="394D00E8" w14:textId="72B404D6" w:rsidR="00E13CFF" w:rsidRDefault="00E13CFF" w:rsidP="00E13CFF">
      <w:r w:rsidRPr="00E41640">
        <w:t xml:space="preserve">The applicant has proposed the inclusion of topical preparations containing 0.1% or more of adrenaline in the existing Schedule 4 entry for adrenaline. Adrenaline is typically included in gels and lotions with local anaesthetic substances for the treatment of wounds. An </w:t>
      </w:r>
      <w:r w:rsidR="00611EE2">
        <w:t xml:space="preserve">independent </w:t>
      </w:r>
      <w:r w:rsidRPr="00E41640">
        <w:t>evaluation of the risks associated with the use of adrenaline on wounds has recommended that relevant products should be available by prescription-only</w:t>
      </w:r>
      <w:r w:rsidR="00571A6E">
        <w:t xml:space="preserve"> (</w:t>
      </w:r>
      <w:r w:rsidR="007E5B66">
        <w:t>Schedule 4</w:t>
      </w:r>
      <w:r w:rsidR="00571A6E">
        <w:t>)</w:t>
      </w:r>
      <w:r w:rsidRPr="00E41640">
        <w:t>.</w:t>
      </w:r>
      <w:r w:rsidR="00877804">
        <w:t xml:space="preserve"> The proposal also seeks to clarify the existing entries for adrenaline with regards to injectable preparations.</w:t>
      </w:r>
    </w:p>
    <w:p w14:paraId="5A289F2B" w14:textId="0E496365" w:rsidR="00E13CFF" w:rsidRDefault="00E13CFF" w:rsidP="00E13CFF">
      <w:pPr>
        <w:pStyle w:val="Heading4"/>
      </w:pPr>
      <w:bookmarkStart w:id="121" w:name="_Toc144110909"/>
      <w:r>
        <w:t>CAS Number</w:t>
      </w:r>
      <w:bookmarkEnd w:id="121"/>
    </w:p>
    <w:p w14:paraId="636F1B1F" w14:textId="7AC36EAB" w:rsidR="00E13CFF" w:rsidRDefault="00E13CFF" w:rsidP="00E13CFF">
      <w:r>
        <w:rPr>
          <w:rStyle w:val="normaltextrun"/>
          <w:rFonts w:ascii="Calibri" w:hAnsi="Calibri" w:cs="Calibri"/>
          <w:color w:val="000000"/>
          <w:szCs w:val="22"/>
          <w:shd w:val="clear" w:color="auto" w:fill="FFFFFF"/>
        </w:rPr>
        <w:t>329-63-5 (racemic hydrochloride)</w:t>
      </w:r>
    </w:p>
    <w:p w14:paraId="387060AF" w14:textId="77777777" w:rsidR="00E13CFF" w:rsidRDefault="00E13CFF" w:rsidP="00E13CFF">
      <w:pPr>
        <w:pStyle w:val="Heading4"/>
      </w:pPr>
      <w:bookmarkStart w:id="122" w:name="_Toc144110910"/>
      <w:r>
        <w:t>Alternative names</w:t>
      </w:r>
      <w:bookmarkEnd w:id="122"/>
    </w:p>
    <w:p w14:paraId="4A39ED0B" w14:textId="6F82C21A" w:rsidR="00E13CFF" w:rsidRDefault="00E13CFF" w:rsidP="00E13CFF">
      <w:pPr>
        <w:rPr>
          <w:b/>
          <w:bCs/>
        </w:rPr>
      </w:pPr>
      <w:r w:rsidRPr="00E41640">
        <w:t>Epinephrine, adrenalin</w:t>
      </w:r>
    </w:p>
    <w:p w14:paraId="2B47A62D" w14:textId="77777777" w:rsidR="00E13CFF" w:rsidRDefault="00E13CFF" w:rsidP="00E13CFF">
      <w:pPr>
        <w:pStyle w:val="Heading4"/>
      </w:pPr>
      <w:bookmarkStart w:id="123" w:name="_Toc144110911"/>
      <w:r>
        <w:t>Applicant</w:t>
      </w:r>
      <w:bookmarkEnd w:id="123"/>
    </w:p>
    <w:p w14:paraId="76BEC464" w14:textId="23468FD1" w:rsidR="00E13CFF" w:rsidRDefault="00E13CFF" w:rsidP="00E13CFF">
      <w:r>
        <w:rPr>
          <w:rStyle w:val="normaltextrun"/>
          <w:rFonts w:ascii="Calibri" w:hAnsi="Calibri" w:cs="Calibri"/>
          <w:color w:val="000000"/>
          <w:szCs w:val="22"/>
          <w:shd w:val="clear" w:color="auto" w:fill="FFFFFF"/>
        </w:rPr>
        <w:t>Department of Health and Aged Care</w:t>
      </w:r>
    </w:p>
    <w:p w14:paraId="0F812B70" w14:textId="77777777" w:rsidR="00E13CFF" w:rsidRDefault="00E13CFF" w:rsidP="00E13CFF">
      <w:pPr>
        <w:pStyle w:val="Heading4"/>
      </w:pPr>
      <w:bookmarkStart w:id="124" w:name="_Toc144110912"/>
      <w:r>
        <w:t>Proposed Scheduling</w:t>
      </w:r>
      <w:bookmarkEnd w:id="124"/>
    </w:p>
    <w:p w14:paraId="696C2BF2" w14:textId="77777777" w:rsidR="00E13CFF" w:rsidRDefault="00E13CFF" w:rsidP="00E13CFF">
      <w:r>
        <w:t>Adrenaline</w:t>
      </w:r>
      <w:r w:rsidRPr="00AF12F6">
        <w:t xml:space="preserve"> is currently listed in Schedules </w:t>
      </w:r>
      <w:r>
        <w:t>3 and 4 of the Poisons Standard.</w:t>
      </w:r>
    </w:p>
    <w:p w14:paraId="75DECEF5" w14:textId="51AC2208" w:rsidR="00E13CFF" w:rsidRPr="00B53D47" w:rsidRDefault="00E13CFF" w:rsidP="00E13CFF">
      <w:r w:rsidRPr="00254726">
        <w:t>The applicant’s proposed amendments to the Poisons Standard are the following</w:t>
      </w:r>
      <w:r w:rsidR="007E5B66">
        <w:t>:</w:t>
      </w:r>
      <w:r w:rsidRPr="00254726">
        <w:rPr>
          <w:rStyle w:val="FootnoteReference"/>
          <w:b/>
        </w:rPr>
        <w:footnoteReference w:id="9"/>
      </w:r>
    </w:p>
    <w:p w14:paraId="7FB68A5B" w14:textId="77777777" w:rsidR="00E13CFF" w:rsidRPr="006F65F7" w:rsidRDefault="00E13CFF" w:rsidP="0072362E">
      <w:pPr>
        <w:ind w:left="426"/>
        <w:rPr>
          <w:b/>
          <w:bCs/>
        </w:rPr>
      </w:pPr>
      <w:r w:rsidRPr="006F65F7">
        <w:rPr>
          <w:b/>
          <w:bCs/>
        </w:rPr>
        <w:t>Schedule 4</w:t>
      </w:r>
      <w:r>
        <w:rPr>
          <w:b/>
          <w:bCs/>
        </w:rPr>
        <w:t xml:space="preserve"> – Amend Entry</w:t>
      </w:r>
    </w:p>
    <w:p w14:paraId="557A6D9F" w14:textId="03954408" w:rsidR="00571A6E" w:rsidRDefault="00E13CFF" w:rsidP="0072362E">
      <w:pPr>
        <w:ind w:left="709"/>
      </w:pPr>
      <w:r>
        <w:t xml:space="preserve">ADRENALINE </w:t>
      </w:r>
      <w:proofErr w:type="spellStart"/>
      <w:r w:rsidR="00C34837" w:rsidRPr="004C7298">
        <w:rPr>
          <w:b/>
          <w:bCs/>
          <w:strike/>
          <w:color w:val="FF0000"/>
        </w:rPr>
        <w:t>except</w:t>
      </w:r>
      <w:r w:rsidRPr="004C7298">
        <w:rPr>
          <w:color w:val="00B050"/>
          <w:u w:val="single"/>
        </w:rPr>
        <w:t>in</w:t>
      </w:r>
      <w:proofErr w:type="spellEnd"/>
      <w:r>
        <w:t>:</w:t>
      </w:r>
    </w:p>
    <w:p w14:paraId="6783B496" w14:textId="1E5468C7" w:rsidR="00E13CFF" w:rsidRPr="00A27CB6" w:rsidRDefault="00C34837" w:rsidP="00916E3F">
      <w:pPr>
        <w:pStyle w:val="ListParagraph"/>
        <w:numPr>
          <w:ilvl w:val="0"/>
          <w:numId w:val="37"/>
        </w:numPr>
        <w:ind w:left="1276" w:hanging="357"/>
        <w:contextualSpacing w:val="0"/>
        <w:rPr>
          <w:rFonts w:asciiTheme="minorHAnsi" w:hAnsiTheme="minorHAnsi" w:cstheme="minorHAnsi"/>
          <w:color w:val="00B050"/>
          <w:u w:val="single"/>
        </w:rPr>
      </w:pPr>
      <w:r w:rsidRPr="004C7298">
        <w:rPr>
          <w:rFonts w:asciiTheme="minorHAnsi" w:hAnsiTheme="minorHAnsi" w:cstheme="minorHAnsi"/>
          <w:strike/>
          <w:color w:val="FF0000"/>
          <w:szCs w:val="22"/>
          <w:shd w:val="clear" w:color="auto" w:fill="FFFFFF"/>
        </w:rPr>
        <w:t>when included in Schedule 3</w:t>
      </w:r>
      <w:r w:rsidR="00E13CFF" w:rsidRPr="00A27CB6">
        <w:rPr>
          <w:rFonts w:asciiTheme="minorHAnsi" w:hAnsiTheme="minorHAnsi" w:cstheme="minorHAnsi"/>
          <w:color w:val="00B050"/>
          <w:u w:val="single"/>
        </w:rPr>
        <w:t>topical preparations for wound management</w:t>
      </w:r>
      <w:r w:rsidR="00E13CFF">
        <w:rPr>
          <w:rFonts w:asciiTheme="minorHAnsi" w:hAnsiTheme="minorHAnsi" w:cstheme="minorHAnsi"/>
          <w:color w:val="00B050"/>
          <w:u w:val="single"/>
        </w:rPr>
        <w:t xml:space="preserve"> in humans</w:t>
      </w:r>
      <w:r w:rsidR="00E13CFF" w:rsidRPr="004C7298">
        <w:rPr>
          <w:rFonts w:asciiTheme="minorHAnsi" w:hAnsiTheme="minorHAnsi" w:cstheme="minorHAnsi"/>
        </w:rPr>
        <w:t>; or</w:t>
      </w:r>
    </w:p>
    <w:p w14:paraId="42B3C7B1" w14:textId="77777777" w:rsidR="00E13CFF" w:rsidRPr="00D14E10" w:rsidRDefault="00E13CFF" w:rsidP="00916E3F">
      <w:pPr>
        <w:pStyle w:val="ListParagraph"/>
        <w:numPr>
          <w:ilvl w:val="0"/>
          <w:numId w:val="37"/>
        </w:numPr>
        <w:ind w:left="1276" w:hanging="357"/>
        <w:contextualSpacing w:val="0"/>
        <w:rPr>
          <w:rFonts w:asciiTheme="minorHAnsi" w:hAnsiTheme="minorHAnsi" w:cstheme="minorHAnsi"/>
          <w:strike/>
        </w:rPr>
      </w:pPr>
      <w:r w:rsidRPr="002C217F">
        <w:rPr>
          <w:rFonts w:asciiTheme="minorHAnsi" w:hAnsiTheme="minorHAnsi" w:cstheme="minorHAnsi"/>
          <w:color w:val="00B050"/>
          <w:u w:val="single"/>
        </w:rPr>
        <w:t xml:space="preserve">other preparations </w:t>
      </w:r>
      <w:r w:rsidRPr="005F1932">
        <w:rPr>
          <w:rFonts w:asciiTheme="minorHAnsi" w:hAnsiTheme="minorHAnsi" w:cstheme="minorHAnsi"/>
          <w:color w:val="00B050"/>
          <w:u w:val="single"/>
        </w:rPr>
        <w:t>containing more than 1% of adrenaline</w:t>
      </w:r>
      <w:r w:rsidRPr="00D14E10">
        <w:rPr>
          <w:rFonts w:asciiTheme="minorHAnsi" w:hAnsiTheme="minorHAnsi" w:cstheme="minorHAnsi"/>
        </w:rPr>
        <w:t>.</w:t>
      </w:r>
      <w:r w:rsidRPr="00D14E10">
        <w:rPr>
          <w:rFonts w:asciiTheme="minorHAnsi" w:hAnsiTheme="minorHAnsi" w:cstheme="minorHAnsi"/>
          <w:strike/>
          <w:color w:val="FF0000"/>
        </w:rPr>
        <w:t>in preparations containing 0.02% or less of adrenaline unless packed and labelled for injection</w:t>
      </w:r>
      <w:r w:rsidRPr="00D14E10">
        <w:rPr>
          <w:rFonts w:asciiTheme="minorHAnsi" w:hAnsiTheme="minorHAnsi" w:cstheme="minorHAnsi"/>
          <w:strike/>
          <w:color w:val="00B050"/>
        </w:rPr>
        <w:t>.</w:t>
      </w:r>
    </w:p>
    <w:p w14:paraId="0600AC0B" w14:textId="77777777" w:rsidR="00E13CFF" w:rsidRPr="0060333A" w:rsidRDefault="00E13CFF" w:rsidP="0072362E">
      <w:pPr>
        <w:ind w:left="426"/>
        <w:rPr>
          <w:b/>
          <w:bCs/>
        </w:rPr>
      </w:pPr>
      <w:r w:rsidRPr="0060333A">
        <w:rPr>
          <w:b/>
          <w:bCs/>
        </w:rPr>
        <w:t>Schedule 3 – Amend Entry</w:t>
      </w:r>
    </w:p>
    <w:p w14:paraId="62D4D432" w14:textId="77777777" w:rsidR="00E13CFF" w:rsidRPr="00881763" w:rsidRDefault="00E13CFF" w:rsidP="0072362E">
      <w:pPr>
        <w:pStyle w:val="ListBulleta"/>
        <w:numPr>
          <w:ilvl w:val="0"/>
          <w:numId w:val="0"/>
        </w:numPr>
        <w:ind w:left="709"/>
      </w:pPr>
      <w:r w:rsidRPr="00881763">
        <w:t xml:space="preserve">ADRENALINE in </w:t>
      </w:r>
    </w:p>
    <w:p w14:paraId="19DD76D4" w14:textId="77777777" w:rsidR="00E13CFF" w:rsidRPr="003B13FD" w:rsidRDefault="00E13CFF" w:rsidP="00472E5B">
      <w:pPr>
        <w:pStyle w:val="ListParagraph"/>
        <w:numPr>
          <w:ilvl w:val="0"/>
          <w:numId w:val="36"/>
        </w:numPr>
        <w:ind w:left="1276" w:hanging="357"/>
        <w:contextualSpacing w:val="0"/>
        <w:rPr>
          <w:rFonts w:asciiTheme="minorHAnsi" w:hAnsiTheme="minorHAnsi" w:cstheme="minorHAnsi"/>
        </w:rPr>
      </w:pPr>
      <w:r w:rsidRPr="003B13FD">
        <w:rPr>
          <w:rFonts w:asciiTheme="minorHAnsi" w:hAnsiTheme="minorHAnsi" w:cstheme="minorHAnsi"/>
        </w:rPr>
        <w:t xml:space="preserve">preparations </w:t>
      </w:r>
      <w:r w:rsidRPr="003B13FD">
        <w:rPr>
          <w:rFonts w:asciiTheme="minorHAnsi" w:hAnsiTheme="minorHAnsi" w:cstheme="minorHAnsi"/>
          <w:color w:val="00B050"/>
          <w:u w:val="single"/>
        </w:rPr>
        <w:t>for injection</w:t>
      </w:r>
      <w:r w:rsidRPr="003B13FD">
        <w:rPr>
          <w:rFonts w:asciiTheme="minorHAnsi" w:hAnsiTheme="minorHAnsi" w:cstheme="minorHAnsi"/>
          <w:color w:val="00B050"/>
        </w:rPr>
        <w:t xml:space="preserve"> </w:t>
      </w:r>
      <w:r w:rsidRPr="003B13FD">
        <w:rPr>
          <w:rFonts w:asciiTheme="minorHAnsi" w:hAnsiTheme="minorHAnsi" w:cstheme="minorHAnsi"/>
        </w:rPr>
        <w:t>containing 1% or less of adrenaline</w:t>
      </w:r>
      <w:r w:rsidRPr="003B13FD">
        <w:rPr>
          <w:rFonts w:asciiTheme="minorHAnsi" w:hAnsiTheme="minorHAnsi" w:cstheme="minorHAnsi"/>
          <w:color w:val="00B050"/>
          <w:u w:val="single"/>
        </w:rPr>
        <w:t>;</w:t>
      </w:r>
      <w:r w:rsidRPr="003B13FD">
        <w:rPr>
          <w:rFonts w:asciiTheme="minorHAnsi" w:hAnsiTheme="minorHAnsi" w:cstheme="minorHAnsi"/>
        </w:rPr>
        <w:t xml:space="preserve"> </w:t>
      </w:r>
      <w:r w:rsidRPr="004B5C48">
        <w:rPr>
          <w:rFonts w:asciiTheme="minorHAnsi" w:hAnsiTheme="minorHAnsi" w:cstheme="minorHAnsi"/>
          <w:color w:val="00B050"/>
        </w:rPr>
        <w:t>or</w:t>
      </w:r>
      <w:r>
        <w:rPr>
          <w:rFonts w:asciiTheme="minorHAnsi" w:hAnsiTheme="minorHAnsi" w:cstheme="minorHAnsi"/>
          <w:color w:val="00B050"/>
        </w:rPr>
        <w:t xml:space="preserve"> </w:t>
      </w:r>
      <w:r w:rsidRPr="003B13FD">
        <w:rPr>
          <w:rFonts w:asciiTheme="minorHAnsi" w:hAnsiTheme="minorHAnsi" w:cstheme="minorHAnsi"/>
          <w:b/>
          <w:bCs/>
          <w:strike/>
          <w:color w:val="FF0000"/>
        </w:rPr>
        <w:t>except</w:t>
      </w:r>
      <w:r w:rsidRPr="003B13FD">
        <w:rPr>
          <w:rFonts w:asciiTheme="minorHAnsi" w:hAnsiTheme="minorHAnsi" w:cstheme="minorHAnsi"/>
          <w:strike/>
          <w:color w:val="FF0000"/>
        </w:rPr>
        <w:t xml:space="preserve"> in preparations containing 0.02% or less of adrenaline unless packed and labelled for injection.</w:t>
      </w:r>
    </w:p>
    <w:p w14:paraId="6374F336" w14:textId="634A4BC2" w:rsidR="003D1B7B" w:rsidRPr="00EB1099" w:rsidRDefault="00E13CFF" w:rsidP="00472E5B">
      <w:pPr>
        <w:pStyle w:val="ListParagraph"/>
        <w:numPr>
          <w:ilvl w:val="0"/>
          <w:numId w:val="36"/>
        </w:numPr>
        <w:ind w:left="1276" w:hanging="357"/>
        <w:contextualSpacing w:val="0"/>
        <w:rPr>
          <w:rFonts w:asciiTheme="minorHAnsi" w:hAnsiTheme="minorHAnsi" w:cstheme="minorHAnsi"/>
          <w:color w:val="00B050"/>
        </w:rPr>
      </w:pPr>
      <w:r w:rsidRPr="003B13FD">
        <w:rPr>
          <w:rFonts w:asciiTheme="minorHAnsi" w:hAnsiTheme="minorHAnsi" w:cstheme="minorHAnsi"/>
          <w:color w:val="00B050"/>
          <w:u w:val="single"/>
        </w:rPr>
        <w:t xml:space="preserve">other preparations containing 1% or less of adrenaline </w:t>
      </w:r>
      <w:r w:rsidRPr="003B13FD">
        <w:rPr>
          <w:rFonts w:asciiTheme="minorHAnsi" w:hAnsiTheme="minorHAnsi" w:cstheme="minorHAnsi"/>
          <w:b/>
          <w:bCs/>
          <w:color w:val="00B050"/>
          <w:u w:val="single"/>
        </w:rPr>
        <w:t>except</w:t>
      </w:r>
      <w:r w:rsidRPr="003B13FD">
        <w:rPr>
          <w:rFonts w:asciiTheme="minorHAnsi" w:hAnsiTheme="minorHAnsi" w:cstheme="minorHAnsi"/>
          <w:color w:val="00B050"/>
          <w:u w:val="single"/>
        </w:rPr>
        <w:t xml:space="preserve"> </w:t>
      </w:r>
    </w:p>
    <w:p w14:paraId="6667D98B" w14:textId="34493655" w:rsidR="003D1B7B" w:rsidRPr="00EB1099" w:rsidRDefault="003D1B7B" w:rsidP="00EB1099">
      <w:pPr>
        <w:pStyle w:val="ListBulleti"/>
        <w:numPr>
          <w:ilvl w:val="0"/>
          <w:numId w:val="82"/>
        </w:numPr>
        <w:ind w:left="1636"/>
        <w:rPr>
          <w:color w:val="00B050"/>
          <w:u w:val="single"/>
        </w:rPr>
      </w:pPr>
      <w:r w:rsidRPr="00EB1099">
        <w:rPr>
          <w:color w:val="00B050"/>
          <w:u w:val="single"/>
        </w:rPr>
        <w:t xml:space="preserve">when included in Schedule 4, or </w:t>
      </w:r>
    </w:p>
    <w:p w14:paraId="37AFB0D0" w14:textId="77B62115" w:rsidR="00472E5B" w:rsidRPr="00EB1099" w:rsidRDefault="00540802" w:rsidP="00EB1099">
      <w:pPr>
        <w:pStyle w:val="ListBulleti"/>
        <w:ind w:left="1636"/>
        <w:rPr>
          <w:color w:val="00B050"/>
          <w:u w:val="single"/>
        </w:rPr>
      </w:pPr>
      <w:r w:rsidRPr="00EB1099">
        <w:rPr>
          <w:color w:val="00B050"/>
          <w:u w:val="single"/>
        </w:rPr>
        <w:t>those</w:t>
      </w:r>
      <w:r w:rsidR="00472E5B" w:rsidRPr="00EB1099">
        <w:rPr>
          <w:color w:val="00B050"/>
          <w:u w:val="single"/>
        </w:rPr>
        <w:t xml:space="preserve"> containing 0.02% or less of adrenaline.</w:t>
      </w:r>
    </w:p>
    <w:p w14:paraId="71C59B84" w14:textId="6ADB1878" w:rsidR="00E13CFF" w:rsidRPr="00EB1099" w:rsidRDefault="00E13CFF" w:rsidP="0072362E">
      <w:pPr>
        <w:ind w:left="426"/>
      </w:pPr>
      <w:r w:rsidRPr="006F65F7">
        <w:rPr>
          <w:b/>
          <w:bCs/>
        </w:rPr>
        <w:t>Index</w:t>
      </w:r>
    </w:p>
    <w:p w14:paraId="44EBF836" w14:textId="3E2843C2" w:rsidR="00E13CFF" w:rsidRDefault="00E13CFF">
      <w:pPr>
        <w:ind w:left="709"/>
        <w:rPr>
          <w:b/>
          <w:bCs/>
        </w:rPr>
      </w:pPr>
      <w:r w:rsidRPr="0072362E">
        <w:rPr>
          <w:b/>
          <w:bCs/>
        </w:rPr>
        <w:t>ADRENALINE</w:t>
      </w:r>
    </w:p>
    <w:p w14:paraId="2B9E00C4" w14:textId="77777777" w:rsidR="00E13CFF" w:rsidRPr="00611EE2" w:rsidRDefault="00E13CFF" w:rsidP="0072362E">
      <w:pPr>
        <w:ind w:left="709"/>
      </w:pPr>
      <w:r w:rsidRPr="00611EE2">
        <w:t>Schedule 4</w:t>
      </w:r>
      <w:r w:rsidRPr="00611EE2">
        <w:br/>
        <w:t>Schedule 3</w:t>
      </w:r>
      <w:r w:rsidRPr="00611EE2">
        <w:br/>
        <w:t>Appendix H, clause 1</w:t>
      </w:r>
    </w:p>
    <w:p w14:paraId="67902E2D" w14:textId="21202A67" w:rsidR="00E13CFF" w:rsidRPr="00881763" w:rsidRDefault="00E13CFF" w:rsidP="0072362E">
      <w:pPr>
        <w:ind w:left="426"/>
        <w:rPr>
          <w:b/>
          <w:bCs/>
        </w:rPr>
      </w:pPr>
      <w:r w:rsidRPr="00881763">
        <w:rPr>
          <w:b/>
          <w:bCs/>
        </w:rPr>
        <w:t xml:space="preserve">Appendix H, clause 1 </w:t>
      </w:r>
      <w:r>
        <w:rPr>
          <w:b/>
          <w:bCs/>
        </w:rPr>
        <w:t>–</w:t>
      </w:r>
      <w:r w:rsidRPr="00881763">
        <w:rPr>
          <w:b/>
          <w:bCs/>
        </w:rPr>
        <w:t xml:space="preserve"> </w:t>
      </w:r>
      <w:r w:rsidRPr="00C87AA5">
        <w:rPr>
          <w:rFonts w:cstheme="minorHAnsi"/>
        </w:rPr>
        <w:t xml:space="preserve">Schedule 3 medicines permitted to be </w:t>
      </w:r>
      <w:r w:rsidR="009C55B5" w:rsidRPr="00C87AA5">
        <w:rPr>
          <w:rFonts w:cstheme="minorHAnsi"/>
        </w:rPr>
        <w:t>advertised.</w:t>
      </w:r>
    </w:p>
    <w:tbl>
      <w:tblPr>
        <w:tblStyle w:val="TableTGAblue"/>
        <w:tblW w:w="0" w:type="auto"/>
        <w:tblInd w:w="699" w:type="dxa"/>
        <w:tblLook w:val="04A0" w:firstRow="1" w:lastRow="0" w:firstColumn="1" w:lastColumn="0" w:noHBand="0" w:noVBand="1"/>
      </w:tblPr>
      <w:tblGrid>
        <w:gridCol w:w="641"/>
        <w:gridCol w:w="1373"/>
      </w:tblGrid>
      <w:tr w:rsidR="00E13CFF" w:rsidRPr="00AB4D39" w14:paraId="3266836A" w14:textId="77777777" w:rsidTr="0072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1485F6C" w14:textId="77777777" w:rsidR="00E13CFF" w:rsidRPr="00C87AA5" w:rsidRDefault="00E13CFF" w:rsidP="00D74E12">
            <w:pPr>
              <w:spacing w:before="60" w:after="60"/>
              <w:rPr>
                <w:rFonts w:asciiTheme="minorHAnsi" w:hAnsiTheme="minorHAnsi" w:cstheme="minorHAnsi"/>
              </w:rPr>
            </w:pPr>
            <w:r w:rsidRPr="00C87AA5">
              <w:rPr>
                <w:rFonts w:asciiTheme="minorHAnsi" w:hAnsiTheme="minorHAnsi" w:cstheme="minorHAnsi"/>
              </w:rPr>
              <w:t>Item</w:t>
            </w:r>
          </w:p>
        </w:tc>
        <w:tc>
          <w:tcPr>
            <w:tcW w:w="1373" w:type="dxa"/>
          </w:tcPr>
          <w:p w14:paraId="70817B5D" w14:textId="77777777" w:rsidR="00E13CFF" w:rsidRPr="00C87AA5" w:rsidRDefault="00E13CFF" w:rsidP="00D74E1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87AA5">
              <w:rPr>
                <w:rFonts w:asciiTheme="minorHAnsi" w:hAnsiTheme="minorHAnsi" w:cstheme="minorHAnsi"/>
              </w:rPr>
              <w:t>Poison</w:t>
            </w:r>
          </w:p>
        </w:tc>
      </w:tr>
      <w:tr w:rsidR="00E13CFF" w:rsidRPr="00AB4D39" w14:paraId="157E1DD1" w14:textId="77777777" w:rsidTr="0072362E">
        <w:tc>
          <w:tcPr>
            <w:cnfStyle w:val="001000000000" w:firstRow="0" w:lastRow="0" w:firstColumn="1" w:lastColumn="0" w:oddVBand="0" w:evenVBand="0" w:oddHBand="0" w:evenHBand="0" w:firstRowFirstColumn="0" w:firstRowLastColumn="0" w:lastRowFirstColumn="0" w:lastRowLastColumn="0"/>
            <w:tcW w:w="641" w:type="dxa"/>
          </w:tcPr>
          <w:p w14:paraId="21CC5140" w14:textId="77777777" w:rsidR="00E13CFF" w:rsidRPr="00C87AA5" w:rsidRDefault="00E13CFF" w:rsidP="00D74E12">
            <w:pPr>
              <w:spacing w:before="60" w:after="60"/>
              <w:rPr>
                <w:rFonts w:asciiTheme="minorHAnsi" w:hAnsiTheme="minorHAnsi" w:cstheme="minorHAnsi"/>
              </w:rPr>
            </w:pPr>
            <w:r>
              <w:rPr>
                <w:rFonts w:asciiTheme="minorHAnsi" w:hAnsiTheme="minorHAnsi" w:cstheme="minorHAnsi"/>
              </w:rPr>
              <w:t>2</w:t>
            </w:r>
          </w:p>
        </w:tc>
        <w:tc>
          <w:tcPr>
            <w:tcW w:w="1373" w:type="dxa"/>
          </w:tcPr>
          <w:p w14:paraId="3655D2A0" w14:textId="77777777" w:rsidR="00E13CFF" w:rsidRPr="00C87AA5" w:rsidRDefault="00E13CFF" w:rsidP="00D74E12">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ADRENALINE</w:t>
            </w:r>
          </w:p>
        </w:tc>
      </w:tr>
    </w:tbl>
    <w:p w14:paraId="23B59B07" w14:textId="77777777" w:rsidR="00E13CFF" w:rsidRDefault="00E13CFF" w:rsidP="00E13CFF">
      <w:pPr>
        <w:pStyle w:val="Heading4"/>
      </w:pPr>
      <w:bookmarkStart w:id="125" w:name="_Toc144110913"/>
      <w:r>
        <w:t>Background</w:t>
      </w:r>
      <w:bookmarkEnd w:id="125"/>
    </w:p>
    <w:p w14:paraId="61A5068E" w14:textId="40DF7CEA" w:rsidR="00154AA1" w:rsidRDefault="00154AA1" w:rsidP="00E13CFF">
      <w:r w:rsidRPr="00154AA1">
        <w:t>Adrenaline is a hormone that may be used</w:t>
      </w:r>
      <w:r>
        <w:t xml:space="preserve"> medicinally (under the synonym epinephrine), </w:t>
      </w:r>
      <w:r w:rsidRPr="00154AA1">
        <w:t xml:space="preserve">in combination with local anaesthetics, for topical application to superficial wounds and lacerations to provide localised surface anaesthesia for wound closure. It may be used to provide topical anaesthetic relief for cleaning, </w:t>
      </w:r>
      <w:proofErr w:type="gramStart"/>
      <w:r w:rsidRPr="00154AA1">
        <w:t>irrigation</w:t>
      </w:r>
      <w:proofErr w:type="gramEnd"/>
      <w:r w:rsidRPr="00154AA1">
        <w:t xml:space="preserve"> and debridement of painful minor wounds.</w:t>
      </w:r>
    </w:p>
    <w:p w14:paraId="3F77779D" w14:textId="16717747" w:rsidR="00E13CFF" w:rsidRDefault="00E13CFF" w:rsidP="00E13CFF">
      <w:pPr>
        <w:pStyle w:val="Heading4"/>
      </w:pPr>
      <w:bookmarkStart w:id="126" w:name="_Toc144110914"/>
      <w:r>
        <w:t xml:space="preserve">Summary of </w:t>
      </w:r>
      <w:r w:rsidR="00571A6E">
        <w:t xml:space="preserve">the </w:t>
      </w:r>
      <w:r>
        <w:t>reasons for the proposal</w:t>
      </w:r>
      <w:bookmarkEnd w:id="126"/>
    </w:p>
    <w:p w14:paraId="653490DC" w14:textId="1CF9DD95" w:rsidR="00E13CFF" w:rsidRPr="00470294" w:rsidRDefault="00E13CFF" w:rsidP="00EE4793">
      <w:pPr>
        <w:pStyle w:val="ListBullet"/>
        <w:numPr>
          <w:ilvl w:val="0"/>
          <w:numId w:val="38"/>
        </w:numPr>
      </w:pPr>
      <w:r w:rsidRPr="00470294">
        <w:t>A TGA evaluation of a gel</w:t>
      </w:r>
      <w:r w:rsidR="00DB0881">
        <w:t xml:space="preserve"> </w:t>
      </w:r>
      <w:r w:rsidRPr="00470294">
        <w:t>contain</w:t>
      </w:r>
      <w:r w:rsidR="00DB0881">
        <w:t>ing</w:t>
      </w:r>
      <w:r w:rsidRPr="00470294">
        <w:t xml:space="preserve"> adrenaline</w:t>
      </w:r>
      <w:r w:rsidR="00C82500">
        <w:t xml:space="preserve"> </w:t>
      </w:r>
      <w:r w:rsidRPr="00470294">
        <w:t xml:space="preserve">includes a recommendation for consideration of such products </w:t>
      </w:r>
      <w:r w:rsidR="00DB0881">
        <w:t>to be sold as</w:t>
      </w:r>
      <w:r w:rsidRPr="00470294">
        <w:t xml:space="preserve"> prescription </w:t>
      </w:r>
      <w:r w:rsidR="00DB0881">
        <w:t xml:space="preserve">only </w:t>
      </w:r>
      <w:r w:rsidRPr="00470294">
        <w:t xml:space="preserve">medicines. </w:t>
      </w:r>
      <w:r w:rsidR="00DB0881">
        <w:t>C</w:t>
      </w:r>
      <w:r w:rsidRPr="00470294">
        <w:t xml:space="preserve">urrently </w:t>
      </w:r>
      <w:r w:rsidR="00DB0881">
        <w:t xml:space="preserve">products </w:t>
      </w:r>
      <w:r w:rsidR="00DB0881" w:rsidRPr="00DB0881">
        <w:t>containing less than 1% of adrenaline</w:t>
      </w:r>
      <w:r w:rsidR="00DB0881">
        <w:t xml:space="preserve">, are classified as </w:t>
      </w:r>
      <w:r w:rsidRPr="00470294">
        <w:t>Schedule 3 (pharmacist only medicines)</w:t>
      </w:r>
      <w:r w:rsidR="00DB0881">
        <w:t xml:space="preserve"> medicines.</w:t>
      </w:r>
    </w:p>
    <w:p w14:paraId="2CA6250F" w14:textId="25A63E3F" w:rsidR="00E13CFF" w:rsidRPr="00470294" w:rsidRDefault="00E13CFF" w:rsidP="00EE4793">
      <w:pPr>
        <w:pStyle w:val="ListBullet"/>
        <w:numPr>
          <w:ilvl w:val="0"/>
          <w:numId w:val="38"/>
        </w:numPr>
      </w:pPr>
      <w:r w:rsidRPr="00470294">
        <w:t xml:space="preserve">The recommendation is based on concerns regarding the potential for inappropriate use, such as in the treatment of burns, </w:t>
      </w:r>
      <w:proofErr w:type="gramStart"/>
      <w:r w:rsidRPr="00470294">
        <w:t>abrasions</w:t>
      </w:r>
      <w:proofErr w:type="gramEnd"/>
      <w:r w:rsidRPr="00470294">
        <w:t xml:space="preserve"> and ulcers, where the vasoconstrictive properties of adrenaline may result in ischemia and, skin necrosis</w:t>
      </w:r>
      <w:r w:rsidR="00DB0881">
        <w:t xml:space="preserve"> and in rare cases death. </w:t>
      </w:r>
      <w:r w:rsidRPr="00470294">
        <w:t>There is also the potential for inappropriate use in cosmetic procedures.</w:t>
      </w:r>
    </w:p>
    <w:p w14:paraId="7CE881D1" w14:textId="77777777" w:rsidR="00E13CFF" w:rsidRPr="00470294" w:rsidRDefault="00E13CFF" w:rsidP="00EE4793">
      <w:pPr>
        <w:pStyle w:val="ListBullet"/>
        <w:numPr>
          <w:ilvl w:val="0"/>
          <w:numId w:val="38"/>
        </w:numPr>
      </w:pPr>
      <w:r w:rsidRPr="00470294">
        <w:t>The risks of adverse reactions and inappropriate use suggest a requirement for medical oversight consistent with a Schedule 4 medicine.</w:t>
      </w:r>
    </w:p>
    <w:p w14:paraId="7EC9392A" w14:textId="77777777" w:rsidR="00E13CFF" w:rsidRDefault="00E13CFF" w:rsidP="00E13CFF">
      <w:pPr>
        <w:pStyle w:val="Heading4"/>
      </w:pPr>
      <w:bookmarkStart w:id="127" w:name="_Toc144110915"/>
      <w:r>
        <w:t xml:space="preserve">Key uses / expected </w:t>
      </w:r>
      <w:proofErr w:type="gramStart"/>
      <w:r>
        <w:t>use</w:t>
      </w:r>
      <w:bookmarkEnd w:id="127"/>
      <w:proofErr w:type="gramEnd"/>
    </w:p>
    <w:p w14:paraId="08A30569" w14:textId="77777777" w:rsidR="00E13CFF" w:rsidRDefault="00E13CFF" w:rsidP="00E13CFF">
      <w:r w:rsidRPr="00EF37AB">
        <w:t>Medicines, cosmetic, veterinary</w:t>
      </w:r>
    </w:p>
    <w:p w14:paraId="71133813" w14:textId="77777777" w:rsidR="00E13CFF" w:rsidRDefault="00E13CFF" w:rsidP="00E13CFF">
      <w:pPr>
        <w:pStyle w:val="Heading4"/>
      </w:pPr>
      <w:bookmarkStart w:id="128" w:name="_Toc144110916"/>
      <w:r>
        <w:t>Australian regulations</w:t>
      </w:r>
      <w:bookmarkEnd w:id="128"/>
    </w:p>
    <w:p w14:paraId="095B342E" w14:textId="52A157B9" w:rsidR="00E13CFF" w:rsidRPr="00EF37AB" w:rsidRDefault="00E13CFF" w:rsidP="00EB1099">
      <w:pPr>
        <w:pStyle w:val="ListBullet"/>
        <w:numPr>
          <w:ilvl w:val="0"/>
          <w:numId w:val="83"/>
        </w:numPr>
      </w:pPr>
      <w:r w:rsidRPr="00470294">
        <w:t xml:space="preserve">According to the </w:t>
      </w:r>
      <w:hyperlink r:id="rId119" w:history="1">
        <w:r w:rsidRPr="00EF37AB">
          <w:rPr>
            <w:rStyle w:val="Hyperlink"/>
            <w:rFonts w:asciiTheme="minorHAnsi" w:hAnsiTheme="minorHAnsi"/>
          </w:rPr>
          <w:t>TGA Ingredient Database</w:t>
        </w:r>
      </w:hyperlink>
      <w:r w:rsidRPr="00470294">
        <w:t>, adrenaline (as anhydrous)</w:t>
      </w:r>
      <w:r w:rsidRPr="00470294">
        <w:rPr>
          <w:rStyle w:val="FootnoteReference"/>
        </w:rPr>
        <w:footnoteReference w:id="10"/>
      </w:r>
      <w:r w:rsidRPr="00470294">
        <w:t xml:space="preserve"> is:</w:t>
      </w:r>
    </w:p>
    <w:p w14:paraId="0AED852E" w14:textId="77777777" w:rsidR="00E13CFF" w:rsidRPr="00470294" w:rsidRDefault="00E13CFF" w:rsidP="00EB1099">
      <w:pPr>
        <w:pStyle w:val="ListBullet2"/>
        <w:numPr>
          <w:ilvl w:val="1"/>
          <w:numId w:val="84"/>
        </w:numPr>
        <w:ind w:left="709"/>
        <w:rPr>
          <w:rFonts w:cstheme="minorHAnsi"/>
          <w:color w:val="auto"/>
        </w:rPr>
      </w:pPr>
      <w:r w:rsidRPr="00470294">
        <w:rPr>
          <w:rFonts w:cstheme="minorHAnsi"/>
          <w:color w:val="auto"/>
        </w:rPr>
        <w:t>Available for use as an Active Ingredient in Biologicals, Export Only, Listed Medicines, Over the Counter and Prescription Medicines</w:t>
      </w:r>
    </w:p>
    <w:p w14:paraId="551AFF97" w14:textId="59623001" w:rsidR="00E13CFF" w:rsidRPr="00470294" w:rsidRDefault="00E13CFF" w:rsidP="00EB1099">
      <w:pPr>
        <w:pStyle w:val="ListBullet2"/>
        <w:numPr>
          <w:ilvl w:val="1"/>
          <w:numId w:val="84"/>
        </w:numPr>
        <w:ind w:left="709"/>
        <w:rPr>
          <w:rFonts w:cstheme="minorHAnsi"/>
          <w:color w:val="auto"/>
        </w:rPr>
      </w:pPr>
      <w:r w:rsidRPr="00470294">
        <w:rPr>
          <w:rFonts w:cstheme="minorHAnsi"/>
          <w:color w:val="auto"/>
        </w:rPr>
        <w:t>Available for use in Listed Medicines as a Homeopathic Ingredient only</w:t>
      </w:r>
    </w:p>
    <w:p w14:paraId="07CC2172" w14:textId="17074EB6" w:rsidR="00E13CFF" w:rsidRPr="00470294" w:rsidRDefault="00E13CFF" w:rsidP="00EB1099">
      <w:pPr>
        <w:pStyle w:val="ListBullet2"/>
        <w:numPr>
          <w:ilvl w:val="1"/>
          <w:numId w:val="84"/>
        </w:numPr>
        <w:ind w:left="709"/>
        <w:rPr>
          <w:rFonts w:cstheme="minorHAnsi"/>
          <w:color w:val="auto"/>
        </w:rPr>
      </w:pPr>
      <w:r w:rsidRPr="00470294">
        <w:rPr>
          <w:rFonts w:cstheme="minorHAnsi"/>
          <w:color w:val="auto"/>
        </w:rPr>
        <w:t>Available for use as an Excipient Ingredient in Biologicals, Devices and Prescription Medicines</w:t>
      </w:r>
    </w:p>
    <w:p w14:paraId="3D2BC0DF" w14:textId="77777777" w:rsidR="00E13CFF" w:rsidRPr="00470294" w:rsidRDefault="00E13CFF" w:rsidP="00EB1099">
      <w:pPr>
        <w:pStyle w:val="ListBullet2"/>
        <w:numPr>
          <w:ilvl w:val="1"/>
          <w:numId w:val="84"/>
        </w:numPr>
        <w:ind w:left="709"/>
        <w:rPr>
          <w:rFonts w:cstheme="minorHAnsi"/>
          <w:color w:val="auto"/>
        </w:rPr>
      </w:pPr>
      <w:r w:rsidRPr="00470294">
        <w:rPr>
          <w:rFonts w:cstheme="minorHAnsi"/>
          <w:color w:val="auto"/>
        </w:rPr>
        <w:t>Available for use as an Equivalent Ingredient in Prescription Medicines.</w:t>
      </w:r>
    </w:p>
    <w:p w14:paraId="5292F62A" w14:textId="3213CA75" w:rsidR="00E13CFF" w:rsidRPr="00EF37AB" w:rsidRDefault="00E13CFF" w:rsidP="00EB1099">
      <w:pPr>
        <w:pStyle w:val="ListBullet"/>
        <w:numPr>
          <w:ilvl w:val="0"/>
          <w:numId w:val="83"/>
        </w:numPr>
      </w:pPr>
      <w:r w:rsidRPr="00470294">
        <w:t xml:space="preserve">As of August 2023, there were 56 medicines currently active on the </w:t>
      </w:r>
      <w:hyperlink r:id="rId120"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470294">
        <w:t xml:space="preserve"> that contain adrenaline as an active ingredient. These include 53 prescription and 3 medicines for export only.</w:t>
      </w:r>
    </w:p>
    <w:p w14:paraId="6AFA8A36" w14:textId="3C4AB416" w:rsidR="00E13CFF" w:rsidRPr="00EF37AB" w:rsidRDefault="00E13CFF" w:rsidP="00EB1099">
      <w:pPr>
        <w:pStyle w:val="ListBullet"/>
        <w:numPr>
          <w:ilvl w:val="0"/>
          <w:numId w:val="83"/>
        </w:numPr>
      </w:pPr>
      <w:r w:rsidRPr="00470294">
        <w:t xml:space="preserve">According to the </w:t>
      </w:r>
      <w:hyperlink r:id="rId121" w:history="1">
        <w:r w:rsidRPr="00EF37AB">
          <w:rPr>
            <w:rStyle w:val="Hyperlink"/>
            <w:rFonts w:asciiTheme="minorHAnsi" w:hAnsiTheme="minorHAnsi"/>
          </w:rPr>
          <w:t>Therapeutic Goods (Permissible Ingredients) Determination</w:t>
        </w:r>
      </w:hyperlink>
      <w:r w:rsidRPr="00470294">
        <w:t xml:space="preserve"> No.3 of 2023, adrenaline is permitted to be included in listed medicines as follows:</w:t>
      </w:r>
    </w:p>
    <w:tbl>
      <w:tblPr>
        <w:tblStyle w:val="TableTGAblue"/>
        <w:tblW w:w="8646" w:type="dxa"/>
        <w:tblInd w:w="416" w:type="dxa"/>
        <w:tblLook w:val="04A0" w:firstRow="1" w:lastRow="0" w:firstColumn="1" w:lastColumn="0" w:noHBand="0" w:noVBand="1"/>
      </w:tblPr>
      <w:tblGrid>
        <w:gridCol w:w="750"/>
        <w:gridCol w:w="2697"/>
        <w:gridCol w:w="1257"/>
        <w:gridCol w:w="3942"/>
      </w:tblGrid>
      <w:tr w:rsidR="00611EE2" w:rsidRPr="00611EE2" w14:paraId="34CAE11F" w14:textId="77777777" w:rsidTr="00D74E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28953B78" w14:textId="77777777" w:rsidR="00E13CFF" w:rsidRPr="00611EE2" w:rsidRDefault="00E13CFF" w:rsidP="0072362E">
            <w:pPr>
              <w:pStyle w:val="ListBullet"/>
              <w:numPr>
                <w:ilvl w:val="0"/>
                <w:numId w:val="0"/>
              </w:numPr>
              <w:spacing w:before="60" w:after="60"/>
              <w:rPr>
                <w:rFonts w:asciiTheme="minorHAnsi" w:hAnsiTheme="minorHAnsi"/>
                <w:color w:val="FFFFFF" w:themeColor="background1"/>
                <w:sz w:val="20"/>
                <w:szCs w:val="20"/>
              </w:rPr>
            </w:pPr>
            <w:r w:rsidRPr="00611EE2">
              <w:rPr>
                <w:rFonts w:asciiTheme="minorHAnsi" w:hAnsiTheme="minorHAnsi"/>
                <w:color w:val="FFFFFF" w:themeColor="background1"/>
                <w:sz w:val="20"/>
                <w:szCs w:val="20"/>
              </w:rPr>
              <w:t>Item</w:t>
            </w:r>
          </w:p>
        </w:tc>
        <w:tc>
          <w:tcPr>
            <w:tcW w:w="2697" w:type="dxa"/>
          </w:tcPr>
          <w:p w14:paraId="00173C32" w14:textId="77777777" w:rsidR="00E13CFF" w:rsidRPr="00611EE2" w:rsidRDefault="00E13CFF" w:rsidP="0072362E">
            <w:pPr>
              <w:pStyle w:val="ListBullet"/>
              <w:numPr>
                <w:ilvl w:val="0"/>
                <w:numId w:val="0"/>
              </w:num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611EE2">
              <w:rPr>
                <w:rFonts w:asciiTheme="minorHAnsi" w:hAnsiTheme="minorHAnsi"/>
                <w:color w:val="FFFFFF" w:themeColor="background1"/>
                <w:sz w:val="20"/>
                <w:szCs w:val="20"/>
              </w:rPr>
              <w:t>Ingredient Name</w:t>
            </w:r>
          </w:p>
        </w:tc>
        <w:tc>
          <w:tcPr>
            <w:tcW w:w="1257" w:type="dxa"/>
          </w:tcPr>
          <w:p w14:paraId="166CF63A" w14:textId="77777777" w:rsidR="00E13CFF" w:rsidRPr="00611EE2" w:rsidRDefault="00E13CFF" w:rsidP="0072362E">
            <w:pPr>
              <w:pStyle w:val="ListBullet"/>
              <w:numPr>
                <w:ilvl w:val="0"/>
                <w:numId w:val="0"/>
              </w:numPr>
              <w:spacing w:before="60" w:after="60"/>
              <w:ind w:left="3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611EE2">
              <w:rPr>
                <w:rFonts w:asciiTheme="minorHAnsi" w:hAnsiTheme="minorHAnsi"/>
                <w:color w:val="FFFFFF" w:themeColor="background1"/>
                <w:sz w:val="20"/>
                <w:szCs w:val="20"/>
              </w:rPr>
              <w:t>Purpose</w:t>
            </w:r>
          </w:p>
        </w:tc>
        <w:tc>
          <w:tcPr>
            <w:tcW w:w="3942" w:type="dxa"/>
          </w:tcPr>
          <w:p w14:paraId="6D2EBB0D" w14:textId="77777777" w:rsidR="00E13CFF" w:rsidRPr="00611EE2" w:rsidRDefault="00E13CFF" w:rsidP="0072362E">
            <w:pPr>
              <w:pStyle w:val="ListBullet"/>
              <w:numPr>
                <w:ilvl w:val="0"/>
                <w:numId w:val="0"/>
              </w:numPr>
              <w:spacing w:before="60" w:after="60"/>
              <w:ind w:left="3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611EE2">
              <w:rPr>
                <w:rFonts w:asciiTheme="minorHAnsi" w:hAnsiTheme="minorHAnsi"/>
                <w:color w:val="FFFFFF" w:themeColor="background1"/>
                <w:sz w:val="20"/>
                <w:szCs w:val="20"/>
              </w:rPr>
              <w:t>Specific requirements</w:t>
            </w:r>
          </w:p>
        </w:tc>
      </w:tr>
      <w:tr w:rsidR="00E13CFF" w:rsidRPr="00611EE2" w14:paraId="71DC7BB2" w14:textId="77777777" w:rsidTr="00D74E12">
        <w:tc>
          <w:tcPr>
            <w:cnfStyle w:val="001000000000" w:firstRow="0" w:lastRow="0" w:firstColumn="1" w:lastColumn="0" w:oddVBand="0" w:evenVBand="0" w:oddHBand="0" w:evenHBand="0" w:firstRowFirstColumn="0" w:firstRowLastColumn="0" w:lastRowFirstColumn="0" w:lastRowLastColumn="0"/>
            <w:tcW w:w="750" w:type="dxa"/>
          </w:tcPr>
          <w:p w14:paraId="662B2C37" w14:textId="77777777" w:rsidR="00E13CFF" w:rsidRPr="00611EE2" w:rsidRDefault="00E13CFF" w:rsidP="0072362E">
            <w:pPr>
              <w:spacing w:before="60" w:after="60"/>
              <w:rPr>
                <w:rFonts w:asciiTheme="minorHAnsi" w:hAnsiTheme="minorHAnsi" w:cstheme="minorHAnsi"/>
                <w:sz w:val="20"/>
                <w:szCs w:val="20"/>
              </w:rPr>
            </w:pPr>
            <w:r w:rsidRPr="00611EE2">
              <w:rPr>
                <w:rFonts w:asciiTheme="minorHAnsi" w:hAnsiTheme="minorHAnsi" w:cstheme="minorHAnsi"/>
                <w:sz w:val="20"/>
                <w:szCs w:val="20"/>
              </w:rPr>
              <w:t>414</w:t>
            </w:r>
          </w:p>
        </w:tc>
        <w:tc>
          <w:tcPr>
            <w:tcW w:w="2697" w:type="dxa"/>
          </w:tcPr>
          <w:p w14:paraId="214C1E89" w14:textId="77777777" w:rsidR="00E13CFF" w:rsidRPr="00611EE2" w:rsidRDefault="00E13CFF" w:rsidP="007236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ADRENALINE (EPINEPHRINE)</w:t>
            </w:r>
          </w:p>
        </w:tc>
        <w:tc>
          <w:tcPr>
            <w:tcW w:w="1257" w:type="dxa"/>
          </w:tcPr>
          <w:p w14:paraId="003C3E79" w14:textId="77777777" w:rsidR="00E13CFF" w:rsidRPr="00611EE2" w:rsidRDefault="00E13CFF" w:rsidP="007236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H</w:t>
            </w:r>
          </w:p>
        </w:tc>
        <w:tc>
          <w:tcPr>
            <w:tcW w:w="3942" w:type="dxa"/>
          </w:tcPr>
          <w:p w14:paraId="22354D20" w14:textId="77777777" w:rsidR="00E13CFF" w:rsidRPr="00611EE2" w:rsidRDefault="00E13CFF" w:rsidP="007236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1EE2">
              <w:rPr>
                <w:rFonts w:asciiTheme="minorHAnsi" w:hAnsiTheme="minorHAnsi" w:cstheme="minorHAnsi"/>
                <w:sz w:val="20"/>
                <w:szCs w:val="20"/>
              </w:rPr>
              <w:t>Only for use as an active homeopathic ingredient.</w:t>
            </w:r>
          </w:p>
        </w:tc>
      </w:tr>
      <w:tr w:rsidR="00E13CFF" w:rsidRPr="00611EE2" w14:paraId="4D5BCD5C" w14:textId="77777777" w:rsidTr="00D74E12">
        <w:trPr>
          <w:trHeight w:val="581"/>
        </w:trPr>
        <w:tc>
          <w:tcPr>
            <w:cnfStyle w:val="001000000000" w:firstRow="0" w:lastRow="0" w:firstColumn="1" w:lastColumn="0" w:oddVBand="0" w:evenVBand="0" w:oddHBand="0" w:evenHBand="0" w:firstRowFirstColumn="0" w:firstRowLastColumn="0" w:lastRowFirstColumn="0" w:lastRowLastColumn="0"/>
            <w:tcW w:w="8646" w:type="dxa"/>
            <w:gridSpan w:val="4"/>
          </w:tcPr>
          <w:p w14:paraId="3282574C" w14:textId="77777777" w:rsidR="00E13CFF" w:rsidRPr="00611EE2" w:rsidRDefault="00E13CFF" w:rsidP="0072362E">
            <w:pPr>
              <w:spacing w:before="60" w:after="60"/>
              <w:rPr>
                <w:rFonts w:asciiTheme="minorHAnsi" w:hAnsiTheme="minorHAnsi" w:cstheme="minorHAnsi"/>
                <w:sz w:val="20"/>
                <w:szCs w:val="20"/>
              </w:rPr>
            </w:pPr>
            <w:r w:rsidRPr="00611EE2">
              <w:rPr>
                <w:rFonts w:asciiTheme="minorHAnsi" w:hAnsiTheme="minorHAnsi" w:cstheme="minorHAnsi"/>
                <w:sz w:val="18"/>
                <w:szCs w:val="18"/>
              </w:rPr>
              <w:t>H = homoeopathic preparation ingredient meaning an ingredient that is a constituent of a homoeopathic preparation</w:t>
            </w:r>
          </w:p>
        </w:tc>
      </w:tr>
    </w:tbl>
    <w:p w14:paraId="55E21897" w14:textId="18EB71B5" w:rsidR="00E13CFF" w:rsidRPr="00EF37AB" w:rsidRDefault="00E13CFF" w:rsidP="00EB1099">
      <w:pPr>
        <w:pStyle w:val="ListBullet"/>
        <w:numPr>
          <w:ilvl w:val="0"/>
          <w:numId w:val="83"/>
        </w:numPr>
      </w:pPr>
      <w:r w:rsidRPr="00470294">
        <w:t>The</w:t>
      </w:r>
      <w:r w:rsidRPr="00EF37AB">
        <w:t xml:space="preserve"> </w:t>
      </w:r>
      <w:hyperlink r:id="rId122" w:history="1">
        <w:r w:rsidRPr="00EF37AB">
          <w:rPr>
            <w:rStyle w:val="Hyperlink"/>
            <w:rFonts w:asciiTheme="minorHAnsi" w:hAnsiTheme="minorHAnsi"/>
          </w:rPr>
          <w:t>TGA prescribing medicines in pregnancy database</w:t>
        </w:r>
      </w:hyperlink>
      <w:r w:rsidRPr="00470294">
        <w:t xml:space="preserve"> classifies adrenaline as:</w:t>
      </w:r>
    </w:p>
    <w:tbl>
      <w:tblPr>
        <w:tblStyle w:val="TableTGAblue"/>
        <w:tblW w:w="8670" w:type="dxa"/>
        <w:tblInd w:w="392" w:type="dxa"/>
        <w:tblLook w:val="04A0" w:firstRow="1" w:lastRow="0" w:firstColumn="1" w:lastColumn="0" w:noHBand="0" w:noVBand="1"/>
      </w:tblPr>
      <w:tblGrid>
        <w:gridCol w:w="1607"/>
        <w:gridCol w:w="968"/>
        <w:gridCol w:w="2031"/>
        <w:gridCol w:w="95"/>
        <w:gridCol w:w="1937"/>
        <w:gridCol w:w="48"/>
        <w:gridCol w:w="1984"/>
      </w:tblGrid>
      <w:tr w:rsidR="00E13CFF" w:rsidRPr="00EF37AB" w14:paraId="37FDBCFB" w14:textId="77777777" w:rsidTr="00611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5DD62E59" w14:textId="77777777" w:rsidR="00E13CFF" w:rsidRPr="00EF37AB" w:rsidRDefault="00E13CFF" w:rsidP="00881763">
            <w:pPr>
              <w:spacing w:before="120" w:after="120"/>
              <w:rPr>
                <w:rFonts w:asciiTheme="minorHAnsi" w:hAnsiTheme="minorHAnsi" w:cstheme="minorHAnsi"/>
                <w:sz w:val="20"/>
                <w:szCs w:val="20"/>
              </w:rPr>
            </w:pPr>
            <w:r w:rsidRPr="00EF37AB">
              <w:rPr>
                <w:rFonts w:asciiTheme="minorHAnsi" w:hAnsiTheme="minorHAnsi" w:cstheme="minorHAnsi"/>
                <w:sz w:val="20"/>
                <w:szCs w:val="20"/>
              </w:rPr>
              <w:t>Drug name</w:t>
            </w:r>
          </w:p>
        </w:tc>
        <w:tc>
          <w:tcPr>
            <w:tcW w:w="968" w:type="dxa"/>
          </w:tcPr>
          <w:p w14:paraId="7CBCEFD5" w14:textId="77777777" w:rsidR="00E13CFF" w:rsidRPr="00EF37AB" w:rsidRDefault="00E13CFF" w:rsidP="00881763">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Category</w:t>
            </w:r>
          </w:p>
        </w:tc>
        <w:tc>
          <w:tcPr>
            <w:tcW w:w="2031" w:type="dxa"/>
          </w:tcPr>
          <w:p w14:paraId="7749C6F8" w14:textId="77777777" w:rsidR="00E13CFF" w:rsidRPr="00EF37AB" w:rsidRDefault="00E13CFF" w:rsidP="00881763">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Classification Level 1</w:t>
            </w:r>
          </w:p>
        </w:tc>
        <w:tc>
          <w:tcPr>
            <w:tcW w:w="2032" w:type="dxa"/>
            <w:gridSpan w:val="2"/>
          </w:tcPr>
          <w:p w14:paraId="64631D64" w14:textId="77777777" w:rsidR="00E13CFF" w:rsidRPr="00EF37AB" w:rsidRDefault="00E13CFF" w:rsidP="00881763">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Classification Level 2</w:t>
            </w:r>
          </w:p>
        </w:tc>
        <w:tc>
          <w:tcPr>
            <w:tcW w:w="2032" w:type="dxa"/>
            <w:gridSpan w:val="2"/>
          </w:tcPr>
          <w:p w14:paraId="496B6490" w14:textId="77777777" w:rsidR="00E13CFF" w:rsidRPr="00EF37AB" w:rsidRDefault="00E13CFF" w:rsidP="00881763">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Classification Level 3</w:t>
            </w:r>
          </w:p>
        </w:tc>
      </w:tr>
      <w:tr w:rsidR="00E13CFF" w:rsidRPr="00EF37AB" w14:paraId="1705E366" w14:textId="77777777" w:rsidTr="00611EE2">
        <w:tc>
          <w:tcPr>
            <w:cnfStyle w:val="001000000000" w:firstRow="0" w:lastRow="0" w:firstColumn="1" w:lastColumn="0" w:oddVBand="0" w:evenVBand="0" w:oddHBand="0" w:evenHBand="0" w:firstRowFirstColumn="0" w:firstRowLastColumn="0" w:lastRowFirstColumn="0" w:lastRowLastColumn="0"/>
            <w:tcW w:w="1607" w:type="dxa"/>
          </w:tcPr>
          <w:p w14:paraId="1C47CCC4" w14:textId="77777777" w:rsidR="00E13CFF" w:rsidRPr="00EF37AB" w:rsidRDefault="00E13CFF" w:rsidP="00881763">
            <w:pPr>
              <w:spacing w:before="120" w:after="120"/>
              <w:rPr>
                <w:rFonts w:asciiTheme="minorHAnsi" w:hAnsiTheme="minorHAnsi" w:cstheme="minorHAnsi"/>
                <w:sz w:val="20"/>
                <w:szCs w:val="20"/>
              </w:rPr>
            </w:pPr>
            <w:r w:rsidRPr="00EF37AB">
              <w:rPr>
                <w:rFonts w:asciiTheme="minorHAnsi" w:hAnsiTheme="minorHAnsi" w:cstheme="minorHAnsi"/>
                <w:sz w:val="20"/>
                <w:szCs w:val="20"/>
              </w:rPr>
              <w:t>Adrenaline (epinephrine)</w:t>
            </w:r>
          </w:p>
        </w:tc>
        <w:tc>
          <w:tcPr>
            <w:tcW w:w="968" w:type="dxa"/>
          </w:tcPr>
          <w:p w14:paraId="09873E0B" w14:textId="77777777" w:rsidR="00E13CFF" w:rsidRPr="00EF37AB" w:rsidRDefault="00E13CFF" w:rsidP="0088176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A</w:t>
            </w:r>
          </w:p>
        </w:tc>
        <w:tc>
          <w:tcPr>
            <w:tcW w:w="2126" w:type="dxa"/>
            <w:gridSpan w:val="2"/>
          </w:tcPr>
          <w:p w14:paraId="2463E05F" w14:textId="77777777" w:rsidR="00E13CFF" w:rsidRPr="00EF37AB" w:rsidRDefault="00E13CFF" w:rsidP="0088176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Cardiovascular system</w:t>
            </w:r>
          </w:p>
        </w:tc>
        <w:tc>
          <w:tcPr>
            <w:tcW w:w="1985" w:type="dxa"/>
            <w:gridSpan w:val="2"/>
          </w:tcPr>
          <w:p w14:paraId="26A37514" w14:textId="77777777" w:rsidR="00E13CFF" w:rsidRPr="00EF37AB" w:rsidRDefault="00E13CFF" w:rsidP="0088176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F37AB">
              <w:rPr>
                <w:rFonts w:asciiTheme="minorHAnsi" w:hAnsiTheme="minorHAnsi" w:cstheme="minorHAnsi"/>
                <w:sz w:val="20"/>
                <w:szCs w:val="20"/>
              </w:rPr>
              <w:t>Adrenergic stimulants</w:t>
            </w:r>
          </w:p>
        </w:tc>
        <w:tc>
          <w:tcPr>
            <w:tcW w:w="1984" w:type="dxa"/>
          </w:tcPr>
          <w:p w14:paraId="67CF4E90" w14:textId="77777777" w:rsidR="00E13CFF" w:rsidRPr="00EF37AB" w:rsidRDefault="00E13CFF" w:rsidP="0088176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13CFF" w:rsidRPr="00EF37AB" w14:paraId="67F7D6E6" w14:textId="77777777" w:rsidTr="000F6508">
        <w:tc>
          <w:tcPr>
            <w:cnfStyle w:val="001000000000" w:firstRow="0" w:lastRow="0" w:firstColumn="1" w:lastColumn="0" w:oddVBand="0" w:evenVBand="0" w:oddHBand="0" w:evenHBand="0" w:firstRowFirstColumn="0" w:firstRowLastColumn="0" w:lastRowFirstColumn="0" w:lastRowLastColumn="0"/>
            <w:tcW w:w="8670" w:type="dxa"/>
            <w:gridSpan w:val="7"/>
          </w:tcPr>
          <w:p w14:paraId="57F187E9" w14:textId="77777777" w:rsidR="00E13CFF" w:rsidRPr="00EF37AB" w:rsidRDefault="00E13CFF" w:rsidP="00881763">
            <w:pPr>
              <w:spacing w:before="120" w:after="120"/>
              <w:rPr>
                <w:rFonts w:asciiTheme="minorHAnsi" w:hAnsiTheme="minorHAnsi" w:cstheme="minorHAnsi"/>
                <w:sz w:val="20"/>
                <w:szCs w:val="20"/>
              </w:rPr>
            </w:pPr>
            <w:r w:rsidRPr="00611EE2">
              <w:rPr>
                <w:rFonts w:asciiTheme="minorHAnsi" w:hAnsiTheme="minorHAnsi" w:cstheme="minorHAnsi"/>
                <w:b/>
                <w:sz w:val="18"/>
                <w:szCs w:val="18"/>
              </w:rPr>
              <w:t>Category A</w:t>
            </w:r>
            <w:r w:rsidRPr="00611EE2">
              <w:rPr>
                <w:rFonts w:asciiTheme="minorHAnsi" w:hAnsiTheme="minorHAnsi" w:cstheme="minorHAnsi"/>
                <w:sz w:val="18"/>
                <w:szCs w:val="18"/>
              </w:rPr>
              <w:t xml:space="preserve"> – Drugs which have been taken by a large number of pregnant women and women of childbearing age without any proven increase in the frequency of malformations or other direct or indirect harmful effects on the foetus having been observed.</w:t>
            </w:r>
          </w:p>
        </w:tc>
      </w:tr>
    </w:tbl>
    <w:p w14:paraId="29FC2CEB" w14:textId="1B75EBB2" w:rsidR="00E13CFF" w:rsidRPr="00EF37AB" w:rsidRDefault="00E13CFF" w:rsidP="00EB1099">
      <w:pPr>
        <w:pStyle w:val="ListBullet"/>
        <w:numPr>
          <w:ilvl w:val="0"/>
          <w:numId w:val="83"/>
        </w:numPr>
      </w:pPr>
      <w:r w:rsidRPr="00470294">
        <w:t xml:space="preserve">There are no warning statements pertaining to adrenaline in the </w:t>
      </w:r>
      <w:hyperlink r:id="rId123" w:history="1">
        <w:r w:rsidRPr="00EF37AB">
          <w:rPr>
            <w:rStyle w:val="Hyperlink"/>
            <w:rFonts w:asciiTheme="minorHAnsi" w:hAnsiTheme="minorHAnsi"/>
          </w:rPr>
          <w:t>Therapeutic Goods (Medicines Advisory Statements) Specification 2021</w:t>
        </w:r>
      </w:hyperlink>
      <w:r w:rsidR="003642D8" w:rsidRPr="004C7298">
        <w:rPr>
          <w:rStyle w:val="Hyperlink"/>
          <w:rFonts w:asciiTheme="minorHAnsi" w:hAnsiTheme="minorHAnsi"/>
          <w:color w:val="auto"/>
          <w:u w:val="none"/>
        </w:rPr>
        <w:t>.</w:t>
      </w:r>
    </w:p>
    <w:p w14:paraId="4A53F469" w14:textId="38B42F69" w:rsidR="00E13CFF" w:rsidRPr="00EF37AB" w:rsidRDefault="00E13CFF" w:rsidP="00EB1099">
      <w:pPr>
        <w:pStyle w:val="ListBullet"/>
        <w:numPr>
          <w:ilvl w:val="0"/>
          <w:numId w:val="83"/>
        </w:numPr>
      </w:pPr>
      <w:r w:rsidRPr="00470294">
        <w:t xml:space="preserve">Between January 2013 and July 2023, there were 313 reports of adverse events for products containing adrenaline as an active ingredient on the </w:t>
      </w:r>
      <w:hyperlink r:id="rId124"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EF37AB">
        <w:t>,</w:t>
      </w:r>
      <w:r w:rsidRPr="00470294">
        <w:t xml:space="preserve"> with 201 reports where adrenaline was the single suspected medicine. The most common adverse events were associated with ineffectiveness of the drug and product quality/failure, and anaphylactic reactions.</w:t>
      </w:r>
    </w:p>
    <w:p w14:paraId="11D42D19" w14:textId="67AC207B" w:rsidR="00E13CFF" w:rsidRPr="00470294" w:rsidRDefault="00E13CFF" w:rsidP="00EB1099">
      <w:pPr>
        <w:pStyle w:val="ListBullet"/>
        <w:numPr>
          <w:ilvl w:val="0"/>
          <w:numId w:val="83"/>
        </w:numPr>
      </w:pPr>
      <w:r w:rsidRPr="00470294">
        <w:t xml:space="preserve">As of August 2023, there were 2 products containing adrenaline (as tartrate) as an active ingredient/constituent or scheduled substance listed on the </w:t>
      </w:r>
      <w:hyperlink r:id="rId125"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w:t>
      </w:r>
      <w:proofErr w:type="spellStart"/>
      <w:r w:rsidR="00EB1099" w:rsidRPr="00EB1099">
        <w:rPr>
          <w:rStyle w:val="Hyperlink"/>
          <w:rFonts w:asciiTheme="minorHAnsi" w:hAnsiTheme="minorHAnsi"/>
          <w:color w:val="auto"/>
          <w:u w:val="none"/>
        </w:rPr>
        <w:t>PubCRIS</w:t>
      </w:r>
      <w:proofErr w:type="spellEnd"/>
      <w:r w:rsidR="00EB1099" w:rsidRPr="00EB1099">
        <w:rPr>
          <w:rStyle w:val="Hyperlink"/>
          <w:rFonts w:asciiTheme="minorHAnsi" w:hAnsiTheme="minorHAnsi"/>
          <w:color w:val="auto"/>
          <w:u w:val="none"/>
        </w:rPr>
        <w:t>)</w:t>
      </w:r>
      <w:r w:rsidRPr="00470294">
        <w:t>. These are an injection (co-formulated with lignocaine) and a wound anaesthetic and antiseptic solution (containing 0.0025% adrenaline tartrate co-formulated with local anaesthetics and cetrimide).</w:t>
      </w:r>
    </w:p>
    <w:p w14:paraId="13D2E077" w14:textId="391AF4BF" w:rsidR="00E13CFF" w:rsidRPr="00EF37AB" w:rsidRDefault="00E13CFF" w:rsidP="00EB1099">
      <w:pPr>
        <w:pStyle w:val="ListBullet"/>
        <w:numPr>
          <w:ilvl w:val="0"/>
          <w:numId w:val="83"/>
        </w:numPr>
      </w:pPr>
      <w:r w:rsidRPr="00470294">
        <w:t xml:space="preserve">In 2009-2019 the following adverse experiences were recorded for adrenaline in the </w:t>
      </w:r>
      <w:hyperlink r:id="rId126" w:history="1">
        <w:r w:rsidRPr="00EF37AB">
          <w:rPr>
            <w:rStyle w:val="Hyperlink"/>
            <w:rFonts w:asciiTheme="minorHAnsi" w:hAnsiTheme="minorHAnsi"/>
          </w:rPr>
          <w:t>APVMA Adverse Experience Reporting Program</w:t>
        </w:r>
      </w:hyperlink>
      <w:r w:rsidR="00EB1099" w:rsidRPr="00EB1099">
        <w:rPr>
          <w:rStyle w:val="Hyperlink"/>
          <w:rFonts w:asciiTheme="minorHAnsi" w:hAnsiTheme="minorHAnsi"/>
          <w:color w:val="auto"/>
          <w:u w:val="none"/>
        </w:rPr>
        <w:t xml:space="preserve"> (AERP)</w:t>
      </w:r>
      <w:r w:rsidRPr="00EB1099">
        <w:rPr>
          <w:rStyle w:val="Hyperlink"/>
          <w:rFonts w:asciiTheme="minorHAnsi" w:hAnsiTheme="minorHAnsi"/>
          <w:color w:val="auto"/>
          <w:u w:val="none"/>
        </w:rPr>
        <w:t xml:space="preserve"> database</w:t>
      </w:r>
      <w:r w:rsidR="00EB1099" w:rsidRPr="00EB1099">
        <w:rPr>
          <w:rStyle w:val="Hyperlink"/>
          <w:rFonts w:asciiTheme="minorHAnsi" w:hAnsiTheme="minorHAnsi"/>
          <w:color w:val="auto"/>
          <w:u w:val="none"/>
        </w:rPr>
        <w:t>:</w:t>
      </w:r>
    </w:p>
    <w:p w14:paraId="1BF9FA8B" w14:textId="3D20D3B9" w:rsidR="00E13CFF" w:rsidRPr="00470294" w:rsidRDefault="00E13CFF" w:rsidP="00EB1099">
      <w:pPr>
        <w:pStyle w:val="ListBullet2"/>
        <w:numPr>
          <w:ilvl w:val="1"/>
          <w:numId w:val="83"/>
        </w:numPr>
        <w:ind w:left="850" w:hanging="425"/>
        <w:rPr>
          <w:rFonts w:cstheme="minorHAnsi"/>
          <w:color w:val="auto"/>
        </w:rPr>
      </w:pPr>
      <w:r w:rsidRPr="00470294">
        <w:rPr>
          <w:rFonts w:cstheme="minorHAnsi"/>
          <w:color w:val="auto"/>
        </w:rPr>
        <w:t>Three reports of probable incidents classified as related to human health (2013, 2017-18 and 2018-19).</w:t>
      </w:r>
    </w:p>
    <w:p w14:paraId="600D5AA5" w14:textId="77777777" w:rsidR="00E13CFF" w:rsidRPr="00CB687C" w:rsidRDefault="00E13CFF" w:rsidP="00E13CFF">
      <w:pPr>
        <w:pStyle w:val="Heading4"/>
      </w:pPr>
      <w:bookmarkStart w:id="129" w:name="_Toc144110917"/>
      <w:r>
        <w:t>International regulations</w:t>
      </w:r>
      <w:bookmarkEnd w:id="129"/>
    </w:p>
    <w:p w14:paraId="7B5B55F6" w14:textId="77777777" w:rsidR="00E13CFF" w:rsidRPr="00EF37AB" w:rsidRDefault="00E13CFF" w:rsidP="00EB1099">
      <w:pPr>
        <w:pStyle w:val="ListBullet"/>
        <w:numPr>
          <w:ilvl w:val="0"/>
          <w:numId w:val="83"/>
        </w:numPr>
      </w:pPr>
      <w:r w:rsidRPr="00470294">
        <w:t xml:space="preserve">New Zealand </w:t>
      </w:r>
      <w:proofErr w:type="spellStart"/>
      <w:r w:rsidRPr="00470294">
        <w:t>Medsafe’s</w:t>
      </w:r>
      <w:proofErr w:type="spellEnd"/>
      <w:r w:rsidRPr="00470294">
        <w:t xml:space="preserve"> </w:t>
      </w:r>
      <w:hyperlink r:id="rId127" w:history="1">
        <w:r w:rsidRPr="00EF37AB">
          <w:rPr>
            <w:rStyle w:val="Hyperlink"/>
            <w:rFonts w:asciiTheme="minorHAnsi" w:hAnsiTheme="minorHAnsi"/>
          </w:rPr>
          <w:t>Medicines Classification Database</w:t>
        </w:r>
      </w:hyperlink>
      <w:r w:rsidRPr="00EF37AB">
        <w:t xml:space="preserve"> </w:t>
      </w:r>
      <w:r w:rsidRPr="00470294">
        <w:t>lists adrenaline as follows:</w:t>
      </w:r>
    </w:p>
    <w:tbl>
      <w:tblPr>
        <w:tblStyle w:val="TableTGAblue"/>
        <w:tblW w:w="8658" w:type="dxa"/>
        <w:tblInd w:w="416" w:type="dxa"/>
        <w:tblLook w:val="04A0" w:firstRow="1" w:lastRow="0" w:firstColumn="1" w:lastColumn="0" w:noHBand="0" w:noVBand="1"/>
      </w:tblPr>
      <w:tblGrid>
        <w:gridCol w:w="1549"/>
        <w:gridCol w:w="5802"/>
        <w:gridCol w:w="1307"/>
      </w:tblGrid>
      <w:tr w:rsidR="007040B0" w:rsidRPr="007040B0" w14:paraId="60312A55" w14:textId="77777777" w:rsidTr="00704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79FDBF64" w14:textId="77777777" w:rsidR="00E13CFF" w:rsidRPr="007040B0" w:rsidRDefault="00E13CFF" w:rsidP="00D74E12">
            <w:pPr>
              <w:pStyle w:val="ListBullet"/>
              <w:numPr>
                <w:ilvl w:val="0"/>
                <w:numId w:val="0"/>
              </w:numPr>
              <w:spacing w:before="60" w:after="6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Ingredient</w:t>
            </w:r>
          </w:p>
        </w:tc>
        <w:tc>
          <w:tcPr>
            <w:tcW w:w="5811" w:type="dxa"/>
          </w:tcPr>
          <w:p w14:paraId="16A45771" w14:textId="77777777" w:rsidR="00E13CFF" w:rsidRPr="007040B0" w:rsidRDefault="00E13CFF" w:rsidP="00D74E12">
            <w:pPr>
              <w:pStyle w:val="ListBullet"/>
              <w:numPr>
                <w:ilvl w:val="0"/>
                <w:numId w:val="0"/>
              </w:num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Conditions (if any)</w:t>
            </w:r>
          </w:p>
        </w:tc>
        <w:tc>
          <w:tcPr>
            <w:tcW w:w="1297" w:type="dxa"/>
          </w:tcPr>
          <w:p w14:paraId="39BB441F" w14:textId="77777777" w:rsidR="00E13CFF" w:rsidRPr="007040B0" w:rsidRDefault="00E13CFF" w:rsidP="00D74E12">
            <w:pPr>
              <w:pStyle w:val="ListBullet"/>
              <w:numPr>
                <w:ilvl w:val="0"/>
                <w:numId w:val="0"/>
              </w:num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Classification</w:t>
            </w:r>
          </w:p>
        </w:tc>
      </w:tr>
      <w:tr w:rsidR="00E13CFF" w:rsidRPr="007040B0" w14:paraId="4CCC0ED4" w14:textId="77777777" w:rsidTr="007040B0">
        <w:tc>
          <w:tcPr>
            <w:cnfStyle w:val="001000000000" w:firstRow="0" w:lastRow="0" w:firstColumn="1" w:lastColumn="0" w:oddVBand="0" w:evenVBand="0" w:oddHBand="0" w:evenHBand="0" w:firstRowFirstColumn="0" w:firstRowLastColumn="0" w:lastRowFirstColumn="0" w:lastRowLastColumn="0"/>
            <w:tcW w:w="1550" w:type="dxa"/>
          </w:tcPr>
          <w:p w14:paraId="5931ED3F" w14:textId="77777777" w:rsidR="00E13CFF" w:rsidRPr="007040B0" w:rsidRDefault="00E13CFF" w:rsidP="00D74E12">
            <w:pPr>
              <w:pStyle w:val="ListBullet"/>
              <w:numPr>
                <w:ilvl w:val="0"/>
                <w:numId w:val="0"/>
              </w:numPr>
              <w:spacing w:before="60" w:after="60"/>
              <w:rPr>
                <w:rFonts w:asciiTheme="minorHAnsi" w:hAnsiTheme="minorHAnsi"/>
                <w:sz w:val="20"/>
                <w:szCs w:val="20"/>
              </w:rPr>
            </w:pPr>
            <w:r w:rsidRPr="007040B0">
              <w:rPr>
                <w:rFonts w:asciiTheme="minorHAnsi" w:hAnsiTheme="minorHAnsi"/>
                <w:sz w:val="20"/>
                <w:szCs w:val="20"/>
              </w:rPr>
              <w:t>Adrenaline</w:t>
            </w:r>
          </w:p>
        </w:tc>
        <w:tc>
          <w:tcPr>
            <w:tcW w:w="5811" w:type="dxa"/>
          </w:tcPr>
          <w:p w14:paraId="6B677914"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in medicines containing more than 1%</w:t>
            </w:r>
          </w:p>
        </w:tc>
        <w:tc>
          <w:tcPr>
            <w:tcW w:w="1297" w:type="dxa"/>
          </w:tcPr>
          <w:p w14:paraId="7B9CE362"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Prescription</w:t>
            </w:r>
          </w:p>
        </w:tc>
      </w:tr>
      <w:tr w:rsidR="00E13CFF" w:rsidRPr="007040B0" w14:paraId="419BF914" w14:textId="77777777" w:rsidTr="007040B0">
        <w:tc>
          <w:tcPr>
            <w:cnfStyle w:val="001000000000" w:firstRow="0" w:lastRow="0" w:firstColumn="1" w:lastColumn="0" w:oddVBand="0" w:evenVBand="0" w:oddHBand="0" w:evenHBand="0" w:firstRowFirstColumn="0" w:firstRowLastColumn="0" w:lastRowFirstColumn="0" w:lastRowLastColumn="0"/>
            <w:tcW w:w="1550" w:type="dxa"/>
          </w:tcPr>
          <w:p w14:paraId="4B61A7F7" w14:textId="77777777" w:rsidR="00E13CFF" w:rsidRPr="007040B0" w:rsidRDefault="00E13CFF" w:rsidP="00D74E12">
            <w:pPr>
              <w:pStyle w:val="ListBullet"/>
              <w:numPr>
                <w:ilvl w:val="0"/>
                <w:numId w:val="0"/>
              </w:numPr>
              <w:spacing w:before="60" w:after="60"/>
              <w:rPr>
                <w:rFonts w:asciiTheme="minorHAnsi" w:hAnsiTheme="minorHAnsi"/>
                <w:sz w:val="20"/>
                <w:szCs w:val="20"/>
              </w:rPr>
            </w:pPr>
            <w:r w:rsidRPr="007040B0">
              <w:rPr>
                <w:rFonts w:asciiTheme="minorHAnsi" w:hAnsiTheme="minorHAnsi"/>
                <w:sz w:val="20"/>
                <w:szCs w:val="20"/>
              </w:rPr>
              <w:t>Adrenaline</w:t>
            </w:r>
          </w:p>
        </w:tc>
        <w:tc>
          <w:tcPr>
            <w:tcW w:w="5811" w:type="dxa"/>
          </w:tcPr>
          <w:p w14:paraId="7C759D79"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in medicines containing 1% or less except in medicines for injection containing 0.02% or less; except in medicines for injection containing 0.1% or less for use in practice in an emergency by a dental therapist, an oral health therapist, an oral health therapist or a dental hygienist registered with the Dental Council.</w:t>
            </w:r>
          </w:p>
        </w:tc>
        <w:tc>
          <w:tcPr>
            <w:tcW w:w="1297" w:type="dxa"/>
          </w:tcPr>
          <w:p w14:paraId="472716A1"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Restricted</w:t>
            </w:r>
          </w:p>
        </w:tc>
      </w:tr>
      <w:tr w:rsidR="00E13CFF" w:rsidRPr="007040B0" w14:paraId="485C40F7" w14:textId="77777777" w:rsidTr="007040B0">
        <w:tc>
          <w:tcPr>
            <w:cnfStyle w:val="001000000000" w:firstRow="0" w:lastRow="0" w:firstColumn="1" w:lastColumn="0" w:oddVBand="0" w:evenVBand="0" w:oddHBand="0" w:evenHBand="0" w:firstRowFirstColumn="0" w:firstRowLastColumn="0" w:lastRowFirstColumn="0" w:lastRowLastColumn="0"/>
            <w:tcW w:w="1550" w:type="dxa"/>
          </w:tcPr>
          <w:p w14:paraId="17AF3EE6" w14:textId="77777777" w:rsidR="00E13CFF" w:rsidRPr="007040B0" w:rsidRDefault="00E13CFF" w:rsidP="00D74E12">
            <w:pPr>
              <w:pStyle w:val="ListBullet"/>
              <w:numPr>
                <w:ilvl w:val="0"/>
                <w:numId w:val="0"/>
              </w:numPr>
              <w:spacing w:before="60" w:after="60"/>
              <w:rPr>
                <w:rFonts w:asciiTheme="minorHAnsi" w:hAnsiTheme="minorHAnsi"/>
                <w:sz w:val="20"/>
                <w:szCs w:val="20"/>
              </w:rPr>
            </w:pPr>
            <w:r w:rsidRPr="007040B0">
              <w:rPr>
                <w:rFonts w:asciiTheme="minorHAnsi" w:hAnsiTheme="minorHAnsi"/>
                <w:sz w:val="20"/>
                <w:szCs w:val="20"/>
              </w:rPr>
              <w:t>Adrenaline</w:t>
            </w:r>
          </w:p>
        </w:tc>
        <w:tc>
          <w:tcPr>
            <w:tcW w:w="5811" w:type="dxa"/>
          </w:tcPr>
          <w:p w14:paraId="390CADBC"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in medicines for injection containing 0.02% or less</w:t>
            </w:r>
          </w:p>
        </w:tc>
        <w:tc>
          <w:tcPr>
            <w:tcW w:w="1297" w:type="dxa"/>
          </w:tcPr>
          <w:p w14:paraId="3671D745" w14:textId="77777777" w:rsidR="00E13CFF" w:rsidRPr="007040B0" w:rsidRDefault="00E13CFF" w:rsidP="00D74E12">
            <w:pPr>
              <w:pStyle w:val="ListBullet"/>
              <w:numPr>
                <w:ilvl w:val="0"/>
                <w:numId w:val="0"/>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040B0">
              <w:rPr>
                <w:rFonts w:asciiTheme="minorHAnsi" w:hAnsiTheme="minorHAnsi"/>
                <w:sz w:val="20"/>
                <w:szCs w:val="20"/>
              </w:rPr>
              <w:t>General sale</w:t>
            </w:r>
          </w:p>
        </w:tc>
      </w:tr>
    </w:tbl>
    <w:p w14:paraId="163527D6" w14:textId="1C55B651" w:rsidR="00E13CFF" w:rsidRPr="00470294" w:rsidRDefault="00E13CFF" w:rsidP="00EB1099">
      <w:pPr>
        <w:pStyle w:val="ListBullet"/>
        <w:numPr>
          <w:ilvl w:val="0"/>
          <w:numId w:val="83"/>
        </w:numPr>
      </w:pPr>
      <w:r w:rsidRPr="00470294">
        <w:t xml:space="preserve">Ireland’s </w:t>
      </w:r>
      <w:hyperlink r:id="rId128" w:history="1">
        <w:r w:rsidRPr="00EF37AB">
          <w:rPr>
            <w:rStyle w:val="Hyperlink"/>
            <w:rFonts w:asciiTheme="minorHAnsi" w:hAnsiTheme="minorHAnsi"/>
          </w:rPr>
          <w:t>Health Products Regulatory Authority</w:t>
        </w:r>
      </w:hyperlink>
      <w:r w:rsidRPr="00EF37AB">
        <w:t xml:space="preserve"> </w:t>
      </w:r>
      <w:r w:rsidRPr="00470294">
        <w:t>regulates 2</w:t>
      </w:r>
      <w:r w:rsidR="00406BA8">
        <w:t>7</w:t>
      </w:r>
      <w:r w:rsidRPr="00470294">
        <w:t xml:space="preserve"> products containing adrenaline in solutions for infusion, injection, and pre-filled pens in various strengths. All are listed as prescription-only medicines.</w:t>
      </w:r>
    </w:p>
    <w:p w14:paraId="104609FF" w14:textId="5A2C0BB1" w:rsidR="00E13CFF" w:rsidRPr="00470294" w:rsidRDefault="00E13CFF" w:rsidP="00EB1099">
      <w:pPr>
        <w:pStyle w:val="ListBullet"/>
        <w:numPr>
          <w:ilvl w:val="0"/>
          <w:numId w:val="83"/>
        </w:numPr>
      </w:pPr>
      <w:r w:rsidRPr="00470294">
        <w:t xml:space="preserve">Health Canada’s </w:t>
      </w:r>
      <w:hyperlink r:id="rId129" w:history="1">
        <w:r w:rsidRPr="00EF37AB">
          <w:rPr>
            <w:rStyle w:val="Hyperlink"/>
            <w:rFonts w:asciiTheme="minorHAnsi" w:hAnsiTheme="minorHAnsi"/>
          </w:rPr>
          <w:t>Drug Product Database</w:t>
        </w:r>
      </w:hyperlink>
      <w:r w:rsidRPr="00EF37AB">
        <w:t xml:space="preserve"> </w:t>
      </w:r>
      <w:r w:rsidRPr="00470294">
        <w:t>includes 5</w:t>
      </w:r>
      <w:r w:rsidR="00451FEF">
        <w:t>7</w:t>
      </w:r>
      <w:r w:rsidRPr="00470294">
        <w:t xml:space="preserve"> marketed products containing adrenaline (as epinephrine), including injections, sprays and topical solutions. Most registered products are classified as ‘ethical’ medicines (available without a prescription from a medical practitioner).</w:t>
      </w:r>
    </w:p>
    <w:p w14:paraId="69FA3986" w14:textId="66C96A01" w:rsidR="00E13CFF" w:rsidRPr="00470294" w:rsidRDefault="00E13CFF" w:rsidP="00EB1099">
      <w:pPr>
        <w:pStyle w:val="ListBullet"/>
        <w:numPr>
          <w:ilvl w:val="0"/>
          <w:numId w:val="83"/>
        </w:numPr>
        <w:rPr>
          <w:rStyle w:val="Hyperlink"/>
          <w:rFonts w:asciiTheme="minorHAnsi" w:hAnsiTheme="minorHAnsi"/>
          <w:color w:val="auto"/>
          <w:u w:val="none"/>
        </w:rPr>
      </w:pPr>
      <w:r w:rsidRPr="00470294">
        <w:rPr>
          <w:rStyle w:val="Hyperlink"/>
          <w:rFonts w:asciiTheme="minorHAnsi" w:hAnsiTheme="minorHAnsi"/>
          <w:color w:val="auto"/>
          <w:u w:val="none"/>
        </w:rPr>
        <w:t xml:space="preserve">The US Food and Drug Administration’s </w:t>
      </w:r>
      <w:hyperlink r:id="rId130" w:history="1">
        <w:proofErr w:type="spellStart"/>
        <w:r w:rsidRPr="007040B0">
          <w:rPr>
            <w:rStyle w:val="Hyperlink"/>
            <w:rFonts w:asciiTheme="minorHAnsi" w:hAnsiTheme="minorHAnsi"/>
          </w:rPr>
          <w:t>Drugs@FDA</w:t>
        </w:r>
        <w:proofErr w:type="spellEnd"/>
      </w:hyperlink>
      <w:r w:rsidRPr="00470294">
        <w:rPr>
          <w:rStyle w:val="Hyperlink"/>
          <w:rFonts w:asciiTheme="minorHAnsi" w:hAnsiTheme="minorHAnsi"/>
          <w:color w:val="auto"/>
          <w:u w:val="none"/>
        </w:rPr>
        <w:t xml:space="preserve"> database lists 59 active products containing adrenaline, most of which are injectable preparations that are listed as prescription medicines.</w:t>
      </w:r>
      <w:r w:rsidR="00540802">
        <w:rPr>
          <w:rStyle w:val="Hyperlink"/>
          <w:rFonts w:asciiTheme="minorHAnsi" w:hAnsiTheme="minorHAnsi"/>
          <w:color w:val="auto"/>
          <w:u w:val="none"/>
        </w:rPr>
        <w:t xml:space="preserve"> One product, a metered dose aerosol, is listed as an over-the-counter medicine.</w:t>
      </w:r>
    </w:p>
    <w:p w14:paraId="3F7DCB3B" w14:textId="41CC8379" w:rsidR="00E13CFF" w:rsidRDefault="001D5CC5" w:rsidP="00D24795">
      <w:pPr>
        <w:pStyle w:val="Heading3"/>
      </w:pPr>
      <w:bookmarkStart w:id="130" w:name="_Toc144110918"/>
      <w:r>
        <w:t>2.2</w:t>
      </w:r>
      <w:r>
        <w:tab/>
      </w:r>
      <w:r w:rsidR="00E13CFF" w:rsidRPr="00154AA1">
        <w:t>Benzoic acid</w:t>
      </w:r>
      <w:bookmarkEnd w:id="130"/>
    </w:p>
    <w:p w14:paraId="57EA7272" w14:textId="77777777" w:rsidR="00E13CFF" w:rsidRDefault="00E13CFF" w:rsidP="00E13CFF">
      <w:pPr>
        <w:pStyle w:val="Heading4"/>
      </w:pPr>
      <w:bookmarkStart w:id="131" w:name="_Toc144110919"/>
      <w:r>
        <w:t>Proposal</w:t>
      </w:r>
      <w:bookmarkEnd w:id="131"/>
    </w:p>
    <w:p w14:paraId="58355B5A" w14:textId="77777777" w:rsidR="00E13CFF" w:rsidRDefault="00E13CFF" w:rsidP="00E13CFF">
      <w:r>
        <w:t>The applicant has proposed new entries in Schedules 5, 6 and 7 for benzoic acid, which is presently unscheduled. The new entries in Schedules 5 and 6 would place labelling requirements on the use of benzoic acid in agricultural and veterinary products, while the Schedule 7 entry would impose controls on preparations containing more than 10% benzoic acid.</w:t>
      </w:r>
    </w:p>
    <w:p w14:paraId="11FE60AB" w14:textId="31749AEB" w:rsidR="00E13CFF" w:rsidRDefault="00E13CFF" w:rsidP="00E13CFF">
      <w:pPr>
        <w:pStyle w:val="Heading4"/>
      </w:pPr>
      <w:bookmarkStart w:id="132" w:name="_Toc144110920"/>
      <w:r>
        <w:t>CAS Number</w:t>
      </w:r>
      <w:bookmarkEnd w:id="132"/>
    </w:p>
    <w:p w14:paraId="66CF32D8" w14:textId="77777777" w:rsidR="00E13CFF" w:rsidRDefault="00E13CFF" w:rsidP="00E13CFF">
      <w:r>
        <w:t>65-85-0</w:t>
      </w:r>
    </w:p>
    <w:p w14:paraId="35DE878C" w14:textId="77777777" w:rsidR="00E13CFF" w:rsidRDefault="00E13CFF" w:rsidP="00E13CFF">
      <w:pPr>
        <w:pStyle w:val="Heading4"/>
      </w:pPr>
      <w:bookmarkStart w:id="133" w:name="_Toc144110921"/>
      <w:r>
        <w:t>Alternative names</w:t>
      </w:r>
      <w:bookmarkEnd w:id="133"/>
    </w:p>
    <w:p w14:paraId="3502E219" w14:textId="77777777" w:rsidR="00E13CFF" w:rsidRDefault="00E13CFF" w:rsidP="00E13CFF">
      <w:proofErr w:type="spellStart"/>
      <w:r>
        <w:t>Benzenecarboxylic</w:t>
      </w:r>
      <w:proofErr w:type="spellEnd"/>
      <w:r>
        <w:t xml:space="preserve"> acid, </w:t>
      </w:r>
      <w:proofErr w:type="spellStart"/>
      <w:r>
        <w:t>dracylic</w:t>
      </w:r>
      <w:proofErr w:type="spellEnd"/>
      <w:r>
        <w:t xml:space="preserve"> acid</w:t>
      </w:r>
    </w:p>
    <w:p w14:paraId="4AA8A38F" w14:textId="77777777" w:rsidR="00E13CFF" w:rsidRDefault="00E13CFF" w:rsidP="00E13CFF">
      <w:pPr>
        <w:pStyle w:val="Heading4"/>
      </w:pPr>
      <w:bookmarkStart w:id="134" w:name="_Toc144110922"/>
      <w:r>
        <w:t>Applicant</w:t>
      </w:r>
      <w:bookmarkEnd w:id="134"/>
    </w:p>
    <w:p w14:paraId="429793EB" w14:textId="4D0527BE" w:rsidR="00E13CFF" w:rsidRDefault="00E13CFF" w:rsidP="00E13CFF">
      <w:r w:rsidRPr="006F73B8">
        <w:t>Australian Pesticides and Veterinary Medicines Authority (APVMA)</w:t>
      </w:r>
    </w:p>
    <w:p w14:paraId="4C127896" w14:textId="1528F6BA" w:rsidR="00E13CFF" w:rsidRDefault="00E13CFF" w:rsidP="00E13CFF">
      <w:pPr>
        <w:pStyle w:val="Heading4"/>
      </w:pPr>
      <w:bookmarkStart w:id="135" w:name="_Toc144110923"/>
      <w:r>
        <w:t>Proposed Scheduling</w:t>
      </w:r>
      <w:bookmarkEnd w:id="135"/>
    </w:p>
    <w:p w14:paraId="45A1840F" w14:textId="77777777" w:rsidR="007040B0" w:rsidRDefault="000F6508" w:rsidP="007040B0">
      <w:pPr>
        <w:rPr>
          <w:rFonts w:cstheme="minorHAnsi"/>
        </w:rPr>
      </w:pPr>
      <w:r>
        <w:rPr>
          <w:rFonts w:cstheme="minorHAnsi"/>
        </w:rPr>
        <w:t>Benzoic acid is</w:t>
      </w:r>
      <w:r w:rsidR="00D709ED" w:rsidRPr="00AF12F6">
        <w:rPr>
          <w:rFonts w:cstheme="minorHAnsi"/>
        </w:rPr>
        <w:t xml:space="preserve"> not specifically scheduled</w:t>
      </w:r>
      <w:r w:rsidR="00D709ED">
        <w:rPr>
          <w:rFonts w:cstheme="minorHAnsi"/>
        </w:rPr>
        <w:t xml:space="preserve"> in the current Poisons Standard</w:t>
      </w:r>
      <w:r w:rsidR="00D709ED" w:rsidRPr="00AF12F6">
        <w:rPr>
          <w:rFonts w:cstheme="minorHAnsi"/>
        </w:rPr>
        <w:t>.</w:t>
      </w:r>
    </w:p>
    <w:p w14:paraId="7BA8E0A4" w14:textId="5D273ECF" w:rsidR="00E13CFF" w:rsidRPr="007040B0" w:rsidRDefault="00E13CFF" w:rsidP="007040B0">
      <w:pPr>
        <w:rPr>
          <w:b/>
          <w:bCs/>
        </w:rPr>
      </w:pPr>
      <w:r>
        <w:rPr>
          <w:rFonts w:cstheme="minorHAnsi"/>
        </w:rPr>
        <w:t>The applicant has proposed the following new entries:</w:t>
      </w:r>
      <w:r>
        <w:rPr>
          <w:rStyle w:val="FootnoteReference"/>
          <w:rFonts w:cstheme="minorHAnsi"/>
        </w:rPr>
        <w:footnoteReference w:id="11"/>
      </w:r>
    </w:p>
    <w:p w14:paraId="18BEDEBA" w14:textId="77777777" w:rsidR="00E13CFF" w:rsidRPr="006D5C84" w:rsidRDefault="00E13CFF" w:rsidP="000F6508">
      <w:pPr>
        <w:keepNext/>
        <w:ind w:left="426"/>
        <w:rPr>
          <w:b/>
        </w:rPr>
      </w:pPr>
      <w:r w:rsidRPr="006D5C84">
        <w:rPr>
          <w:b/>
        </w:rPr>
        <w:t xml:space="preserve">Schedule </w:t>
      </w:r>
      <w:r>
        <w:rPr>
          <w:b/>
        </w:rPr>
        <w:t>7 – New Entry</w:t>
      </w:r>
    </w:p>
    <w:p w14:paraId="6D7355D1" w14:textId="77777777" w:rsidR="00E13CFF" w:rsidRPr="006F73B8" w:rsidRDefault="00E13CFF" w:rsidP="00E13CFF">
      <w:pPr>
        <w:ind w:left="709"/>
        <w:rPr>
          <w:rFonts w:cstheme="minorHAnsi"/>
          <w:color w:val="00B050"/>
          <w:u w:val="single"/>
        </w:rPr>
      </w:pPr>
      <w:r w:rsidRPr="006F73B8">
        <w:rPr>
          <w:rFonts w:cstheme="minorHAnsi"/>
          <w:color w:val="00B050"/>
          <w:u w:val="single"/>
        </w:rPr>
        <w:t>BENZOIC ACID in preparations containing greater than 10% of benzoic acid.</w:t>
      </w:r>
    </w:p>
    <w:p w14:paraId="7CB0215E" w14:textId="77777777" w:rsidR="00E13CFF" w:rsidRPr="006F73B8" w:rsidRDefault="00E13CFF" w:rsidP="00E13CFF">
      <w:pPr>
        <w:ind w:left="426"/>
        <w:rPr>
          <w:rFonts w:cstheme="minorHAnsi"/>
          <w:b/>
          <w:bCs/>
        </w:rPr>
      </w:pPr>
      <w:r w:rsidRPr="006F73B8">
        <w:rPr>
          <w:rFonts w:cstheme="minorHAnsi"/>
          <w:b/>
          <w:bCs/>
        </w:rPr>
        <w:t>Schedule 6</w:t>
      </w:r>
      <w:r>
        <w:rPr>
          <w:rFonts w:cstheme="minorHAnsi"/>
          <w:b/>
          <w:bCs/>
        </w:rPr>
        <w:t xml:space="preserve"> – New Entry</w:t>
      </w:r>
    </w:p>
    <w:p w14:paraId="0BFD0977" w14:textId="77777777" w:rsidR="00E13CFF" w:rsidRPr="006F73B8" w:rsidRDefault="00E13CFF" w:rsidP="00E13CFF">
      <w:pPr>
        <w:ind w:left="709"/>
        <w:rPr>
          <w:rFonts w:cstheme="minorHAnsi"/>
          <w:color w:val="00B050"/>
          <w:u w:val="single"/>
        </w:rPr>
      </w:pPr>
      <w:r w:rsidRPr="006F73B8">
        <w:rPr>
          <w:rFonts w:cstheme="minorHAnsi"/>
          <w:color w:val="00B050"/>
          <w:u w:val="single"/>
        </w:rPr>
        <w:t xml:space="preserve">BENZOIC ACID in preparations containing less than 10% of benzoic acid in agricultural and veterinary chemical products </w:t>
      </w:r>
      <w:r w:rsidRPr="006F73B8">
        <w:rPr>
          <w:rFonts w:cstheme="minorHAnsi"/>
          <w:b/>
          <w:bCs/>
          <w:color w:val="00B050"/>
          <w:u w:val="single"/>
        </w:rPr>
        <w:t>except</w:t>
      </w:r>
      <w:r w:rsidRPr="006F73B8">
        <w:rPr>
          <w:rFonts w:cstheme="minorHAnsi"/>
          <w:color w:val="00B050"/>
          <w:u w:val="single"/>
        </w:rPr>
        <w:t xml:space="preserve"> when included in Schedule 5.</w:t>
      </w:r>
    </w:p>
    <w:p w14:paraId="0560C684" w14:textId="77777777" w:rsidR="00E13CFF" w:rsidRPr="006F73B8" w:rsidRDefault="00E13CFF" w:rsidP="00E13CFF">
      <w:pPr>
        <w:ind w:left="426"/>
        <w:rPr>
          <w:rFonts w:cstheme="minorHAnsi"/>
          <w:b/>
          <w:bCs/>
        </w:rPr>
      </w:pPr>
      <w:r w:rsidRPr="006F73B8">
        <w:rPr>
          <w:rFonts w:cstheme="minorHAnsi"/>
          <w:b/>
          <w:bCs/>
        </w:rPr>
        <w:t>Schedule 5</w:t>
      </w:r>
      <w:r>
        <w:rPr>
          <w:rFonts w:cstheme="minorHAnsi"/>
          <w:b/>
          <w:bCs/>
        </w:rPr>
        <w:t xml:space="preserve"> – New Entry</w:t>
      </w:r>
    </w:p>
    <w:p w14:paraId="6CAC76D7" w14:textId="77777777" w:rsidR="00E13CFF" w:rsidRPr="006F73B8" w:rsidRDefault="00E13CFF" w:rsidP="00E13CFF">
      <w:pPr>
        <w:ind w:left="709"/>
        <w:rPr>
          <w:rFonts w:cstheme="minorHAnsi"/>
          <w:color w:val="00B050"/>
          <w:u w:val="single"/>
        </w:rPr>
      </w:pPr>
      <w:r w:rsidRPr="006F73B8">
        <w:rPr>
          <w:rFonts w:cstheme="minorHAnsi"/>
          <w:color w:val="00B050"/>
          <w:u w:val="single"/>
        </w:rPr>
        <w:t>BENZOIC ACID in preparations containing less than 1% of benzoic acid in agricultural and veterinary products.</w:t>
      </w:r>
    </w:p>
    <w:p w14:paraId="2F57FB7C" w14:textId="77777777" w:rsidR="00E13CFF" w:rsidRPr="005133F7" w:rsidRDefault="00E13CFF" w:rsidP="00E13CFF">
      <w:pPr>
        <w:ind w:left="426"/>
        <w:rPr>
          <w:b/>
        </w:rPr>
      </w:pPr>
      <w:r>
        <w:rPr>
          <w:b/>
        </w:rPr>
        <w:t>Index – New Entry</w:t>
      </w:r>
    </w:p>
    <w:p w14:paraId="03F22EEB" w14:textId="24521DCD" w:rsidR="00E13CFF" w:rsidRPr="00C82D46" w:rsidRDefault="00E13CFF" w:rsidP="000F3020">
      <w:pPr>
        <w:ind w:left="709"/>
        <w:rPr>
          <w:rFonts w:cstheme="minorHAnsi"/>
          <w:color w:val="00B050"/>
          <w:u w:val="single"/>
        </w:rPr>
      </w:pPr>
      <w:r w:rsidRPr="00C82D46">
        <w:rPr>
          <w:rFonts w:cstheme="minorHAnsi"/>
          <w:b/>
          <w:bCs/>
          <w:color w:val="00B050"/>
          <w:u w:val="single"/>
        </w:rPr>
        <w:t>BENZOIC ACID</w:t>
      </w:r>
      <w:r w:rsidR="000F3020">
        <w:rPr>
          <w:rFonts w:cstheme="minorHAnsi"/>
          <w:color w:val="00B050"/>
          <w:u w:val="single"/>
        </w:rPr>
        <w:br/>
      </w:r>
      <w:r w:rsidRPr="00C82D46">
        <w:rPr>
          <w:rFonts w:cstheme="minorHAnsi"/>
          <w:color w:val="00B050"/>
          <w:u w:val="single"/>
        </w:rPr>
        <w:t>Schedule 7</w:t>
      </w:r>
      <w:r w:rsidRPr="00C82D46">
        <w:rPr>
          <w:rFonts w:cstheme="minorHAnsi"/>
          <w:color w:val="00B050"/>
          <w:u w:val="single"/>
        </w:rPr>
        <w:br/>
        <w:t>Schedule 6</w:t>
      </w:r>
      <w:r w:rsidRPr="00C82D46">
        <w:rPr>
          <w:rFonts w:cstheme="minorHAnsi"/>
          <w:color w:val="00B050"/>
          <w:u w:val="single"/>
        </w:rPr>
        <w:br/>
        <w:t>Schedule 5</w:t>
      </w:r>
    </w:p>
    <w:p w14:paraId="7CFEA471" w14:textId="77777777" w:rsidR="00E13CFF" w:rsidRDefault="00E13CFF" w:rsidP="00E13CFF">
      <w:pPr>
        <w:pStyle w:val="Heading4"/>
      </w:pPr>
      <w:bookmarkStart w:id="136" w:name="_Toc144110924"/>
      <w:r>
        <w:t>Background</w:t>
      </w:r>
      <w:bookmarkEnd w:id="136"/>
    </w:p>
    <w:p w14:paraId="4FF7704C" w14:textId="4062D73B" w:rsidR="00E13CFF" w:rsidRDefault="00E13CFF" w:rsidP="00E13CFF">
      <w:r>
        <w:t>Benzoic acid is a naturally occurring anti-bacterial and anti-fungal substance that has widespread use as a food preservative and in cosmetics, pharmaceutical and personal hygiene products.</w:t>
      </w:r>
      <w:r w:rsidR="0093722C" w:rsidRPr="0093722C">
        <w:t xml:space="preserve"> Benzoic acid is </w:t>
      </w:r>
      <w:r w:rsidR="0093722C">
        <w:t xml:space="preserve">also </w:t>
      </w:r>
      <w:r w:rsidR="0093722C" w:rsidRPr="0093722C">
        <w:t>currently present in numerous agricultural and veterinary (</w:t>
      </w:r>
      <w:proofErr w:type="spellStart"/>
      <w:r w:rsidR="00571A6E">
        <w:t>a</w:t>
      </w:r>
      <w:r w:rsidR="0093722C" w:rsidRPr="0093722C">
        <w:t>g</w:t>
      </w:r>
      <w:r w:rsidR="00571A6E">
        <w:t>v</w:t>
      </w:r>
      <w:r w:rsidR="0093722C" w:rsidRPr="0093722C">
        <w:t>et</w:t>
      </w:r>
      <w:proofErr w:type="spellEnd"/>
      <w:r w:rsidR="0093722C" w:rsidRPr="0093722C">
        <w:t>) products, as an excipient or active constituent</w:t>
      </w:r>
      <w:r w:rsidR="0093722C">
        <w:t>.</w:t>
      </w:r>
    </w:p>
    <w:p w14:paraId="629BE727" w14:textId="77777777" w:rsidR="00E13CFF" w:rsidRDefault="00E13CFF" w:rsidP="00E13CFF">
      <w:pPr>
        <w:pStyle w:val="Heading4"/>
      </w:pPr>
      <w:bookmarkStart w:id="137" w:name="_Toc144110925"/>
      <w:r>
        <w:t>Summary of applicant’s reasons for the proposal</w:t>
      </w:r>
      <w:bookmarkEnd w:id="137"/>
    </w:p>
    <w:p w14:paraId="11FFB151" w14:textId="77777777" w:rsidR="00E13CFF" w:rsidRPr="00470294" w:rsidRDefault="00E13CFF" w:rsidP="00EB1099">
      <w:pPr>
        <w:pStyle w:val="ListBullet"/>
        <w:numPr>
          <w:ilvl w:val="0"/>
          <w:numId w:val="83"/>
        </w:numPr>
      </w:pPr>
      <w:r w:rsidRPr="00470294">
        <w:t>Toxicity data on benzoic acid has been collected over decades, relating to the long history of use in food, cosmetics, pharmaceuticals and as a disinfectant, and giving a robust database for the hazard assessment and risk assessment of benzoic acid.</w:t>
      </w:r>
    </w:p>
    <w:p w14:paraId="1942245B" w14:textId="0D629F36" w:rsidR="00E13CFF" w:rsidRPr="00470294" w:rsidRDefault="00E13CFF" w:rsidP="00EB1099">
      <w:pPr>
        <w:pStyle w:val="ListBullet"/>
        <w:numPr>
          <w:ilvl w:val="0"/>
          <w:numId w:val="83"/>
        </w:numPr>
      </w:pPr>
      <w:r w:rsidRPr="00470294">
        <w:t xml:space="preserve">Benzoic acid has low acute toxicity by the oral, dermal and inhalation routes. The substance is a slight skin irritant, not a skin sensitiser, but is corrosive to the eye and potential respiratory irritant. The toxicology profile of benzoic acid is consistent with the Scheduling Policy Framework for inclusion in Schedule 7 of the </w:t>
      </w:r>
      <w:r w:rsidR="0093722C">
        <w:t>Poisons Standard</w:t>
      </w:r>
      <w:r w:rsidRPr="00470294">
        <w:t>, based on its corrosive eye irritation.</w:t>
      </w:r>
    </w:p>
    <w:p w14:paraId="197965D1" w14:textId="5AEBCE49" w:rsidR="00E13CFF" w:rsidRPr="00470294" w:rsidRDefault="00E13CFF" w:rsidP="00EB1099">
      <w:pPr>
        <w:pStyle w:val="ListBullet"/>
        <w:numPr>
          <w:ilvl w:val="0"/>
          <w:numId w:val="83"/>
        </w:numPr>
      </w:pPr>
      <w:r w:rsidRPr="00470294">
        <w:t xml:space="preserve">The substance may be suitable for a Schedule 6 entry based on appropriate risk mitigation measures. Additionally, the </w:t>
      </w:r>
      <w:hyperlink r:id="rId131" w:history="1">
        <w:r w:rsidRPr="00D60DC1">
          <w:rPr>
            <w:rStyle w:val="Hyperlink"/>
            <w:rFonts w:asciiTheme="minorHAnsi" w:hAnsiTheme="minorHAnsi"/>
          </w:rPr>
          <w:t>GHS cut-offs</w:t>
        </w:r>
      </w:hyperlink>
      <w:r w:rsidR="00D60DC1">
        <w:t xml:space="preserve"> </w:t>
      </w:r>
      <w:r w:rsidRPr="00470294">
        <w:t>for Category 1 eye irritants may be suitable for inclusion of low concentration products in Schedule 5.</w:t>
      </w:r>
    </w:p>
    <w:p w14:paraId="6143C396" w14:textId="77777777" w:rsidR="00E13CFF" w:rsidRPr="00470294" w:rsidRDefault="00E13CFF" w:rsidP="00EB1099">
      <w:pPr>
        <w:pStyle w:val="ListBullet"/>
        <w:numPr>
          <w:ilvl w:val="0"/>
          <w:numId w:val="83"/>
        </w:numPr>
      </w:pPr>
      <w:r w:rsidRPr="00470294">
        <w:t xml:space="preserve">Benzoic acid is present in products as diverse as mouth washes, topical ointments, veterinary medicines, and agricultural products. Benzoic acid (and sodium, </w:t>
      </w:r>
      <w:proofErr w:type="gramStart"/>
      <w:r w:rsidRPr="00470294">
        <w:t>potassium</w:t>
      </w:r>
      <w:proofErr w:type="gramEnd"/>
      <w:r w:rsidRPr="00470294">
        <w:t xml:space="preserve"> and calcium benzoates) is permitted as a food additive at levels up to 0.1%.</w:t>
      </w:r>
    </w:p>
    <w:p w14:paraId="7FB34853" w14:textId="77777777" w:rsidR="00E13CFF" w:rsidRDefault="00E13CFF" w:rsidP="00E13CFF">
      <w:pPr>
        <w:pStyle w:val="Heading4"/>
      </w:pPr>
      <w:bookmarkStart w:id="138" w:name="_Toc144110926"/>
      <w:r>
        <w:t xml:space="preserve">Key uses / expected </w:t>
      </w:r>
      <w:proofErr w:type="gramStart"/>
      <w:r>
        <w:t>use</w:t>
      </w:r>
      <w:bookmarkEnd w:id="138"/>
      <w:proofErr w:type="gramEnd"/>
    </w:p>
    <w:p w14:paraId="1BEA9B81" w14:textId="54F2BB83" w:rsidR="00E13CFF" w:rsidRDefault="00E13CFF" w:rsidP="00E13CFF">
      <w:r w:rsidRPr="006C2A74">
        <w:t>Medicines, cosmetics, domestic products, veterinary medicines, agricultural products, industrial use</w:t>
      </w:r>
      <w:r w:rsidR="0093722C">
        <w:t>.</w:t>
      </w:r>
    </w:p>
    <w:p w14:paraId="125C6760" w14:textId="77777777" w:rsidR="00E13CFF" w:rsidRDefault="00E13CFF" w:rsidP="00E13CFF">
      <w:pPr>
        <w:pStyle w:val="Heading4"/>
      </w:pPr>
      <w:bookmarkStart w:id="139" w:name="_Toc144110927"/>
      <w:r>
        <w:t>Australian regulations</w:t>
      </w:r>
      <w:bookmarkEnd w:id="139"/>
    </w:p>
    <w:p w14:paraId="7DF69A99" w14:textId="2355A4B5" w:rsidR="00E13CFF" w:rsidRPr="00470294" w:rsidRDefault="00E13CFF" w:rsidP="00EB1099">
      <w:pPr>
        <w:pStyle w:val="ListBullet"/>
        <w:numPr>
          <w:ilvl w:val="0"/>
          <w:numId w:val="83"/>
        </w:numPr>
      </w:pPr>
      <w:r w:rsidRPr="00470294">
        <w:t xml:space="preserve">According to the </w:t>
      </w:r>
      <w:hyperlink r:id="rId132" w:history="1">
        <w:r w:rsidRPr="00EF37AB">
          <w:rPr>
            <w:rStyle w:val="Hyperlink"/>
            <w:rFonts w:asciiTheme="minorHAnsi" w:hAnsiTheme="minorHAnsi"/>
          </w:rPr>
          <w:t>TGA Ingredient Database</w:t>
        </w:r>
      </w:hyperlink>
      <w:r w:rsidRPr="00EF37AB">
        <w:t>,</w:t>
      </w:r>
      <w:r w:rsidRPr="00470294">
        <w:t xml:space="preserve"> benzoic acid is:</w:t>
      </w:r>
    </w:p>
    <w:p w14:paraId="7895DFC8" w14:textId="279C7398" w:rsidR="00E13CFF" w:rsidRPr="00470294" w:rsidRDefault="00E13CFF" w:rsidP="00EB1099">
      <w:pPr>
        <w:pStyle w:val="ListBullet2"/>
        <w:numPr>
          <w:ilvl w:val="1"/>
          <w:numId w:val="39"/>
        </w:numPr>
        <w:ind w:left="782" w:hanging="425"/>
        <w:rPr>
          <w:rFonts w:cstheme="minorHAnsi"/>
          <w:color w:val="auto"/>
        </w:rPr>
      </w:pPr>
      <w:r w:rsidRPr="00470294">
        <w:rPr>
          <w:rFonts w:cstheme="minorHAnsi"/>
          <w:color w:val="auto"/>
        </w:rPr>
        <w:t>Available for use as an Active Ingredient in Biologicals, Export Only, Listed Medicines, Over the Counter and Prescription Medicines</w:t>
      </w:r>
    </w:p>
    <w:p w14:paraId="28B6F3C5" w14:textId="77777777" w:rsidR="00E13CFF" w:rsidRPr="00470294" w:rsidRDefault="00E13CFF" w:rsidP="00EB1099">
      <w:pPr>
        <w:pStyle w:val="ListBullet2"/>
        <w:numPr>
          <w:ilvl w:val="1"/>
          <w:numId w:val="39"/>
        </w:numPr>
        <w:ind w:left="782" w:hanging="425"/>
        <w:rPr>
          <w:rFonts w:cstheme="minorHAnsi"/>
          <w:color w:val="auto"/>
        </w:rPr>
      </w:pPr>
      <w:r w:rsidRPr="00470294">
        <w:rPr>
          <w:rFonts w:cstheme="minorHAnsi"/>
          <w:color w:val="auto"/>
        </w:rPr>
        <w:t>Available for use in Listed Medicines as a Homeopathic Ingredient only</w:t>
      </w:r>
    </w:p>
    <w:p w14:paraId="0DB286A4" w14:textId="77777777" w:rsidR="00E13CFF" w:rsidRPr="00470294" w:rsidRDefault="00E13CFF" w:rsidP="00EB1099">
      <w:pPr>
        <w:pStyle w:val="ListBullet2"/>
        <w:numPr>
          <w:ilvl w:val="1"/>
          <w:numId w:val="39"/>
        </w:numPr>
        <w:ind w:left="782" w:hanging="425"/>
        <w:rPr>
          <w:rFonts w:cstheme="minorHAnsi"/>
          <w:color w:val="auto"/>
        </w:rPr>
      </w:pPr>
      <w:r w:rsidRPr="00470294">
        <w:rPr>
          <w:rFonts w:cstheme="minorHAnsi"/>
          <w:color w:val="auto"/>
        </w:rPr>
        <w:t>Available for use as an Excipient Ingredient in Biologicals, Devices, Export Only, Listed Medicines, Over the Counter and Prescription Medicines</w:t>
      </w:r>
    </w:p>
    <w:p w14:paraId="14E3EC4A" w14:textId="75AC2761" w:rsidR="00E13CFF" w:rsidRPr="00470294" w:rsidRDefault="00E13CFF" w:rsidP="00EB1099">
      <w:pPr>
        <w:pStyle w:val="ListBullet2"/>
        <w:numPr>
          <w:ilvl w:val="1"/>
          <w:numId w:val="39"/>
        </w:numPr>
        <w:ind w:left="782" w:hanging="425"/>
        <w:rPr>
          <w:rFonts w:cstheme="minorHAnsi"/>
          <w:color w:val="auto"/>
        </w:rPr>
      </w:pPr>
      <w:r w:rsidRPr="00470294">
        <w:rPr>
          <w:rFonts w:cstheme="minorHAnsi"/>
          <w:color w:val="auto"/>
        </w:rPr>
        <w:t>Not available as an Equivalent Ingredient in any application</w:t>
      </w:r>
      <w:r w:rsidR="00EB1099">
        <w:rPr>
          <w:rFonts w:cstheme="minorHAnsi"/>
          <w:color w:val="auto"/>
        </w:rPr>
        <w:t>.</w:t>
      </w:r>
    </w:p>
    <w:p w14:paraId="06EC9AE5" w14:textId="46B20935" w:rsidR="00E13CFF" w:rsidRPr="00EF37AB" w:rsidRDefault="00E13CFF" w:rsidP="00EB1099">
      <w:pPr>
        <w:pStyle w:val="ListBullet"/>
        <w:numPr>
          <w:ilvl w:val="0"/>
          <w:numId w:val="83"/>
        </w:numPr>
      </w:pPr>
      <w:r w:rsidRPr="00470294">
        <w:t xml:space="preserve">As of August 2023, there were 10 medicines currently active on the </w:t>
      </w:r>
      <w:hyperlink r:id="rId133"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470294">
        <w:t xml:space="preserve"> that contain benzoic acid as an active ingredient. These include </w:t>
      </w:r>
      <w:r w:rsidR="00D60DC1">
        <w:br/>
      </w:r>
      <w:r w:rsidRPr="00470294">
        <w:t>10 non-prescription medicines.</w:t>
      </w:r>
    </w:p>
    <w:p w14:paraId="3DFEE5A9" w14:textId="371822C0" w:rsidR="00E13CFF" w:rsidRPr="00EF37AB" w:rsidRDefault="00E13CFF" w:rsidP="00EB1099">
      <w:pPr>
        <w:pStyle w:val="ListBullet"/>
        <w:numPr>
          <w:ilvl w:val="0"/>
          <w:numId w:val="83"/>
        </w:numPr>
      </w:pPr>
      <w:r w:rsidRPr="00470294">
        <w:t xml:space="preserve">According to the </w:t>
      </w:r>
      <w:hyperlink r:id="rId134" w:history="1">
        <w:r w:rsidRPr="00EF37AB">
          <w:rPr>
            <w:rStyle w:val="Hyperlink"/>
            <w:rFonts w:asciiTheme="minorHAnsi" w:hAnsiTheme="minorHAnsi"/>
          </w:rPr>
          <w:t>Therapeutic Goods (Permissible Ingredients) Determination</w:t>
        </w:r>
      </w:hyperlink>
      <w:r w:rsidRPr="00470294">
        <w:t xml:space="preserve"> No.3 of 2023, benzoic acid is permitted to be included in listed medicines as follows:</w:t>
      </w:r>
    </w:p>
    <w:tbl>
      <w:tblPr>
        <w:tblStyle w:val="TableTGAblue"/>
        <w:tblW w:w="8646" w:type="dxa"/>
        <w:tblInd w:w="416" w:type="dxa"/>
        <w:tblLook w:val="04A0" w:firstRow="1" w:lastRow="0" w:firstColumn="1" w:lastColumn="0" w:noHBand="0" w:noVBand="1"/>
      </w:tblPr>
      <w:tblGrid>
        <w:gridCol w:w="755"/>
        <w:gridCol w:w="2747"/>
        <w:gridCol w:w="1084"/>
        <w:gridCol w:w="4060"/>
      </w:tblGrid>
      <w:tr w:rsidR="007040B0" w:rsidRPr="007040B0" w14:paraId="3CA56555" w14:textId="77777777" w:rsidTr="00881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14:paraId="76BD4D26" w14:textId="77777777" w:rsidR="00E13CFF" w:rsidRPr="007040B0" w:rsidRDefault="00E13CFF" w:rsidP="00EE4793">
            <w:pPr>
              <w:pStyle w:val="ListBullet"/>
              <w:numPr>
                <w:ilvl w:val="0"/>
                <w:numId w:val="0"/>
              </w:numPr>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Item</w:t>
            </w:r>
          </w:p>
        </w:tc>
        <w:tc>
          <w:tcPr>
            <w:tcW w:w="2747" w:type="dxa"/>
          </w:tcPr>
          <w:p w14:paraId="574592F4" w14:textId="77777777" w:rsidR="00E13CFF" w:rsidRPr="007040B0" w:rsidRDefault="00E13CFF"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Ingredient name</w:t>
            </w:r>
          </w:p>
        </w:tc>
        <w:tc>
          <w:tcPr>
            <w:tcW w:w="1084" w:type="dxa"/>
          </w:tcPr>
          <w:p w14:paraId="23238710" w14:textId="77777777" w:rsidR="00E13CFF" w:rsidRPr="007040B0" w:rsidRDefault="00E13CFF"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Purpose</w:t>
            </w:r>
          </w:p>
        </w:tc>
        <w:tc>
          <w:tcPr>
            <w:tcW w:w="4060" w:type="dxa"/>
          </w:tcPr>
          <w:p w14:paraId="25014449" w14:textId="77777777" w:rsidR="00E13CFF" w:rsidRPr="007040B0" w:rsidRDefault="00E13CFF" w:rsidP="00EE479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7040B0">
              <w:rPr>
                <w:rFonts w:asciiTheme="minorHAnsi" w:hAnsiTheme="minorHAnsi"/>
                <w:color w:val="FFFFFF" w:themeColor="background1"/>
                <w:sz w:val="20"/>
                <w:szCs w:val="20"/>
              </w:rPr>
              <w:t>Specific requirements</w:t>
            </w:r>
          </w:p>
        </w:tc>
      </w:tr>
      <w:tr w:rsidR="00E13CFF" w:rsidRPr="007040B0" w14:paraId="547A3580" w14:textId="77777777" w:rsidTr="00881763">
        <w:tc>
          <w:tcPr>
            <w:cnfStyle w:val="001000000000" w:firstRow="0" w:lastRow="0" w:firstColumn="1" w:lastColumn="0" w:oddVBand="0" w:evenVBand="0" w:oddHBand="0" w:evenHBand="0" w:firstRowFirstColumn="0" w:firstRowLastColumn="0" w:lastRowFirstColumn="0" w:lastRowLastColumn="0"/>
            <w:tcW w:w="755" w:type="dxa"/>
          </w:tcPr>
          <w:p w14:paraId="302D4C4A" w14:textId="77777777" w:rsidR="00E13CFF" w:rsidRPr="007040B0" w:rsidRDefault="00E13CFF" w:rsidP="00881763">
            <w:pPr>
              <w:keepNext/>
              <w:keepLines/>
              <w:spacing w:before="120" w:after="120"/>
              <w:rPr>
                <w:rFonts w:asciiTheme="minorHAnsi" w:hAnsiTheme="minorHAnsi" w:cstheme="minorHAnsi"/>
                <w:sz w:val="20"/>
                <w:szCs w:val="20"/>
              </w:rPr>
            </w:pPr>
            <w:r w:rsidRPr="007040B0">
              <w:rPr>
                <w:rFonts w:asciiTheme="minorHAnsi" w:hAnsiTheme="minorHAnsi" w:cstheme="minorHAnsi"/>
                <w:sz w:val="20"/>
                <w:szCs w:val="20"/>
              </w:rPr>
              <w:t>801</w:t>
            </w:r>
          </w:p>
        </w:tc>
        <w:tc>
          <w:tcPr>
            <w:tcW w:w="2747" w:type="dxa"/>
          </w:tcPr>
          <w:p w14:paraId="54D487A0" w14:textId="77777777" w:rsidR="00E13CFF" w:rsidRPr="007040B0" w:rsidRDefault="00E13CFF" w:rsidP="00881763">
            <w:pPr>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040B0">
              <w:rPr>
                <w:rFonts w:asciiTheme="minorHAnsi" w:hAnsiTheme="minorHAnsi" w:cstheme="minorHAnsi"/>
                <w:sz w:val="20"/>
                <w:szCs w:val="20"/>
              </w:rPr>
              <w:t>BENZOIC ACID</w:t>
            </w:r>
          </w:p>
        </w:tc>
        <w:tc>
          <w:tcPr>
            <w:tcW w:w="1084" w:type="dxa"/>
          </w:tcPr>
          <w:p w14:paraId="7863EFAB" w14:textId="77777777" w:rsidR="00E13CFF" w:rsidRPr="007040B0" w:rsidRDefault="00E13CFF" w:rsidP="00881763">
            <w:pPr>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040B0">
              <w:rPr>
                <w:rFonts w:asciiTheme="minorHAnsi" w:hAnsiTheme="minorHAnsi" w:cstheme="minorHAnsi"/>
                <w:sz w:val="20"/>
                <w:szCs w:val="20"/>
              </w:rPr>
              <w:t>E, H</w:t>
            </w:r>
          </w:p>
        </w:tc>
        <w:tc>
          <w:tcPr>
            <w:tcW w:w="4060" w:type="dxa"/>
          </w:tcPr>
          <w:p w14:paraId="2CEE7E90" w14:textId="77777777" w:rsidR="00E13CFF" w:rsidRPr="007040B0" w:rsidRDefault="00E13CFF" w:rsidP="00881763">
            <w:pPr>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13CFF" w:rsidRPr="007040B0" w14:paraId="4F54BC87" w14:textId="77777777" w:rsidTr="00881763">
        <w:trPr>
          <w:trHeight w:val="581"/>
        </w:trPr>
        <w:tc>
          <w:tcPr>
            <w:cnfStyle w:val="001000000000" w:firstRow="0" w:lastRow="0" w:firstColumn="1" w:lastColumn="0" w:oddVBand="0" w:evenVBand="0" w:oddHBand="0" w:evenHBand="0" w:firstRowFirstColumn="0" w:firstRowLastColumn="0" w:lastRowFirstColumn="0" w:lastRowLastColumn="0"/>
            <w:tcW w:w="8646" w:type="dxa"/>
            <w:gridSpan w:val="4"/>
          </w:tcPr>
          <w:p w14:paraId="6F634B82" w14:textId="77777777" w:rsidR="00E13CFF" w:rsidRPr="007040B0" w:rsidRDefault="00E13CFF" w:rsidP="00881763">
            <w:pPr>
              <w:keepNext/>
              <w:keepLines/>
              <w:spacing w:before="120" w:after="120"/>
              <w:rPr>
                <w:rFonts w:asciiTheme="minorHAnsi" w:hAnsiTheme="minorHAnsi" w:cstheme="minorHAnsi"/>
                <w:sz w:val="20"/>
                <w:szCs w:val="20"/>
              </w:rPr>
            </w:pPr>
            <w:r w:rsidRPr="007040B0">
              <w:rPr>
                <w:rFonts w:asciiTheme="minorHAnsi" w:hAnsiTheme="minorHAnsi" w:cstheme="minorHAnsi"/>
                <w:sz w:val="18"/>
                <w:szCs w:val="18"/>
              </w:rPr>
              <w:t>E = excipient for a medicine meaning an ingredient that is not an active ingredient or a homoeopathic preparation ingredient</w:t>
            </w:r>
            <w:r w:rsidRPr="007040B0">
              <w:rPr>
                <w:rFonts w:asciiTheme="minorHAnsi" w:hAnsiTheme="minorHAnsi" w:cstheme="minorHAnsi"/>
                <w:sz w:val="18"/>
                <w:szCs w:val="18"/>
              </w:rPr>
              <w:br/>
              <w:t>H = homoeopathic preparation ingredient meaning an ingredient that is a constituent of a homoeopathic preparation</w:t>
            </w:r>
          </w:p>
        </w:tc>
      </w:tr>
    </w:tbl>
    <w:p w14:paraId="00D15C17" w14:textId="33F9FA31" w:rsidR="00E13CFF" w:rsidRPr="00EF37AB" w:rsidRDefault="00E13CFF" w:rsidP="00EB1099">
      <w:pPr>
        <w:pStyle w:val="ListBullet"/>
        <w:numPr>
          <w:ilvl w:val="0"/>
          <w:numId w:val="83"/>
        </w:numPr>
      </w:pPr>
      <w:r w:rsidRPr="00470294">
        <w:t>The</w:t>
      </w:r>
      <w:r w:rsidRPr="00EF37AB">
        <w:t xml:space="preserve"> </w:t>
      </w:r>
      <w:hyperlink r:id="rId135" w:history="1">
        <w:r w:rsidRPr="00EF37AB">
          <w:rPr>
            <w:rStyle w:val="Hyperlink"/>
            <w:rFonts w:asciiTheme="minorHAnsi" w:hAnsiTheme="minorHAnsi"/>
          </w:rPr>
          <w:t>TGA prescribing medicines in pregnancy database</w:t>
        </w:r>
      </w:hyperlink>
      <w:r w:rsidRPr="00470294">
        <w:t xml:space="preserve"> does not include benzoic acid.</w:t>
      </w:r>
    </w:p>
    <w:p w14:paraId="7AC6980C" w14:textId="17FFE67F" w:rsidR="00E13CFF" w:rsidRPr="00470294" w:rsidRDefault="00E13CFF" w:rsidP="00EB1099">
      <w:pPr>
        <w:pStyle w:val="ListBullet"/>
        <w:numPr>
          <w:ilvl w:val="0"/>
          <w:numId w:val="83"/>
        </w:numPr>
      </w:pPr>
      <w:r w:rsidRPr="00470294">
        <w:t xml:space="preserve">There are no warning statements pertaining to benzoic acid in the </w:t>
      </w:r>
      <w:hyperlink r:id="rId136" w:history="1">
        <w:r w:rsidRPr="00EF37AB">
          <w:rPr>
            <w:rStyle w:val="Hyperlink"/>
            <w:rFonts w:asciiTheme="minorHAnsi" w:hAnsiTheme="minorHAnsi"/>
          </w:rPr>
          <w:t>Therapeutic Goods (Medicines Advisory Statements) Specification 2021</w:t>
        </w:r>
      </w:hyperlink>
      <w:r w:rsidRPr="00470294">
        <w:rPr>
          <w:rStyle w:val="Hyperlink"/>
          <w:rFonts w:asciiTheme="minorHAnsi" w:hAnsiTheme="minorHAnsi"/>
          <w:color w:val="auto"/>
          <w:u w:val="none"/>
        </w:rPr>
        <w:t>.</w:t>
      </w:r>
    </w:p>
    <w:p w14:paraId="2FC3FF52" w14:textId="4DE7010C" w:rsidR="00E13CFF" w:rsidRPr="00EF37AB" w:rsidRDefault="00E13CFF" w:rsidP="00EB1099">
      <w:pPr>
        <w:pStyle w:val="ListBullet"/>
        <w:numPr>
          <w:ilvl w:val="0"/>
          <w:numId w:val="83"/>
        </w:numPr>
      </w:pPr>
      <w:r w:rsidRPr="00470294">
        <w:t xml:space="preserve">Between January 1971 and July 2023, there were 23 reports of adverse events for products containing benzoic acid as an active ingredient on the </w:t>
      </w:r>
      <w:hyperlink r:id="rId137"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470294">
        <w:t>, with 22 reports where benzoic acid was the single suspected medicine. The reported events were diverse in nature and affected various organ classes.</w:t>
      </w:r>
    </w:p>
    <w:p w14:paraId="0D26AEA8" w14:textId="2403FA4B" w:rsidR="00E13CFF" w:rsidRPr="00EF37AB" w:rsidRDefault="00E13CFF" w:rsidP="00EB1099">
      <w:pPr>
        <w:pStyle w:val="ListBullet"/>
        <w:numPr>
          <w:ilvl w:val="0"/>
          <w:numId w:val="83"/>
        </w:numPr>
      </w:pPr>
      <w:r w:rsidRPr="00470294">
        <w:t xml:space="preserve">As of August 2023, there were 6 products containing benzoic acid as an active ingredient/constituent or scheduled substance listed on the </w:t>
      </w:r>
      <w:hyperlink r:id="rId138"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w:t>
      </w:r>
      <w:proofErr w:type="spellStart"/>
      <w:r w:rsidR="00EB1099" w:rsidRPr="00EB1099">
        <w:rPr>
          <w:rStyle w:val="Hyperlink"/>
          <w:rFonts w:asciiTheme="minorHAnsi" w:hAnsiTheme="minorHAnsi"/>
          <w:color w:val="auto"/>
          <w:u w:val="none"/>
        </w:rPr>
        <w:t>PubCRIS</w:t>
      </w:r>
      <w:proofErr w:type="spellEnd"/>
      <w:r w:rsidR="00EB1099" w:rsidRPr="00EB1099">
        <w:rPr>
          <w:rStyle w:val="Hyperlink"/>
          <w:rFonts w:asciiTheme="minorHAnsi" w:hAnsiTheme="minorHAnsi"/>
          <w:color w:val="auto"/>
          <w:u w:val="none"/>
        </w:rPr>
        <w:t>)</w:t>
      </w:r>
      <w:r w:rsidRPr="00EF37AB">
        <w:t>.</w:t>
      </w:r>
    </w:p>
    <w:p w14:paraId="49060146" w14:textId="4400A30F" w:rsidR="00E13CFF" w:rsidRDefault="00E13CFF" w:rsidP="00EB1099">
      <w:pPr>
        <w:pStyle w:val="ListBullet"/>
        <w:numPr>
          <w:ilvl w:val="0"/>
          <w:numId w:val="83"/>
        </w:numPr>
        <w:rPr>
          <w:rStyle w:val="Hyperlink"/>
          <w:rFonts w:asciiTheme="minorHAnsi" w:hAnsiTheme="minorHAnsi"/>
          <w:color w:val="auto"/>
          <w:u w:val="none"/>
        </w:rPr>
      </w:pPr>
      <w:r w:rsidRPr="00470294">
        <w:t xml:space="preserve">In 2010-2020 there were no adverse experiences were recorded for benzoic acid in the </w:t>
      </w:r>
      <w:hyperlink r:id="rId139" w:history="1">
        <w:r w:rsidRPr="00EF37AB">
          <w:rPr>
            <w:rStyle w:val="Hyperlink"/>
            <w:rFonts w:asciiTheme="minorHAnsi" w:hAnsiTheme="minorHAnsi"/>
          </w:rPr>
          <w:t>APVMA Adverse Experience Reporting Program</w:t>
        </w:r>
      </w:hyperlink>
      <w:r w:rsidR="00EB1099" w:rsidRPr="00EB1099">
        <w:rPr>
          <w:rStyle w:val="Hyperlink"/>
          <w:rFonts w:asciiTheme="minorHAnsi" w:hAnsiTheme="minorHAnsi"/>
          <w:color w:val="auto"/>
          <w:u w:val="none"/>
        </w:rPr>
        <w:t xml:space="preserve"> (AERP)</w:t>
      </w:r>
      <w:r w:rsidRPr="00EB1099">
        <w:rPr>
          <w:rStyle w:val="Hyperlink"/>
          <w:rFonts w:asciiTheme="minorHAnsi" w:hAnsiTheme="minorHAnsi"/>
          <w:color w:val="auto"/>
          <w:u w:val="none"/>
        </w:rPr>
        <w:t xml:space="preserve"> database.</w:t>
      </w:r>
    </w:p>
    <w:p w14:paraId="677C4BA4" w14:textId="15D58A82" w:rsidR="00571A6E" w:rsidRPr="00B35724" w:rsidRDefault="00571A6E" w:rsidP="00EB1099">
      <w:pPr>
        <w:pStyle w:val="ListBullet"/>
        <w:numPr>
          <w:ilvl w:val="0"/>
          <w:numId w:val="83"/>
        </w:numPr>
      </w:pPr>
      <w:r>
        <w:rPr>
          <w:rStyle w:val="Hyperlink"/>
          <w:rFonts w:asciiTheme="minorHAnsi" w:hAnsiTheme="minorHAnsi"/>
          <w:color w:val="auto"/>
          <w:u w:val="none"/>
        </w:rPr>
        <w:t xml:space="preserve">Benzoic acid is listed on the </w:t>
      </w:r>
      <w:hyperlink r:id="rId140" w:history="1">
        <w:r w:rsidRPr="00571A6E">
          <w:rPr>
            <w:rStyle w:val="Hyperlink"/>
            <w:rFonts w:asciiTheme="minorHAnsi" w:hAnsiTheme="minorHAnsi"/>
          </w:rPr>
          <w:t>Australian Inventory of Industrial Chemicals</w:t>
        </w:r>
      </w:hyperlink>
      <w:r>
        <w:rPr>
          <w:rStyle w:val="Hyperlink"/>
          <w:rFonts w:asciiTheme="minorHAnsi" w:hAnsiTheme="minorHAnsi"/>
          <w:color w:val="auto"/>
          <w:u w:val="none"/>
        </w:rPr>
        <w:t>, without any specific information requirements or conditions of introduction or use.</w:t>
      </w:r>
    </w:p>
    <w:p w14:paraId="066BA3DD" w14:textId="77777777" w:rsidR="00E13CFF" w:rsidRPr="00CB687C" w:rsidRDefault="00E13CFF" w:rsidP="00E13CFF">
      <w:pPr>
        <w:pStyle w:val="Heading4"/>
      </w:pPr>
      <w:bookmarkStart w:id="140" w:name="_Toc144110928"/>
      <w:r>
        <w:t>International regulations</w:t>
      </w:r>
      <w:bookmarkEnd w:id="140"/>
    </w:p>
    <w:p w14:paraId="6A7A090F" w14:textId="77777777" w:rsidR="00E13CFF" w:rsidRPr="00914807" w:rsidRDefault="00E13CFF" w:rsidP="00EB1099">
      <w:pPr>
        <w:pStyle w:val="ListBullet"/>
        <w:numPr>
          <w:ilvl w:val="0"/>
          <w:numId w:val="83"/>
        </w:numPr>
      </w:pPr>
      <w:r w:rsidRPr="00914807">
        <w:t xml:space="preserve">The United States Food and Drug Administration’s </w:t>
      </w:r>
      <w:hyperlink r:id="rId141" w:history="1">
        <w:proofErr w:type="spellStart"/>
        <w:r w:rsidRPr="007040B0">
          <w:rPr>
            <w:rStyle w:val="Hyperlink"/>
            <w:rFonts w:asciiTheme="minorHAnsi" w:hAnsiTheme="minorHAnsi"/>
          </w:rPr>
          <w:t>Drugs@FDA</w:t>
        </w:r>
        <w:proofErr w:type="spellEnd"/>
      </w:hyperlink>
      <w:r w:rsidRPr="00914807">
        <w:t xml:space="preserve"> database includes 6 products containing sodium benzoate as an active ingredient. All are prescription-only intravenous solutions.</w:t>
      </w:r>
    </w:p>
    <w:p w14:paraId="66BA71FE" w14:textId="2842D9B9" w:rsidR="00E13CFF" w:rsidRPr="007C7483" w:rsidRDefault="00E13CFF" w:rsidP="00EB1099">
      <w:pPr>
        <w:pStyle w:val="ListBullet"/>
        <w:numPr>
          <w:ilvl w:val="0"/>
          <w:numId w:val="83"/>
        </w:numPr>
        <w:rPr>
          <w:color w:val="0000FF"/>
          <w:szCs w:val="22"/>
          <w:u w:val="single"/>
        </w:rPr>
      </w:pPr>
      <w:r w:rsidRPr="00470294">
        <w:t xml:space="preserve">The European Union’s </w:t>
      </w:r>
      <w:hyperlink r:id="rId142" w:history="1">
        <w:proofErr w:type="spellStart"/>
        <w:r w:rsidRPr="007C7483">
          <w:rPr>
            <w:rStyle w:val="Hyperlink"/>
            <w:rFonts w:asciiTheme="minorHAnsi" w:hAnsiTheme="minorHAnsi"/>
          </w:rPr>
          <w:t>CosIng</w:t>
        </w:r>
        <w:proofErr w:type="spellEnd"/>
        <w:r w:rsidRPr="007C7483">
          <w:rPr>
            <w:rStyle w:val="Hyperlink"/>
            <w:rFonts w:asciiTheme="minorHAnsi" w:hAnsiTheme="minorHAnsi"/>
          </w:rPr>
          <w:t xml:space="preserve"> database</w:t>
        </w:r>
      </w:hyperlink>
      <w:r w:rsidRPr="007C7483">
        <w:t xml:space="preserve"> </w:t>
      </w:r>
      <w:r w:rsidRPr="00470294">
        <w:t xml:space="preserve">lists benzoic acid as a fragrance, </w:t>
      </w:r>
      <w:proofErr w:type="gramStart"/>
      <w:r w:rsidRPr="00470294">
        <w:t>preservative</w:t>
      </w:r>
      <w:proofErr w:type="gramEnd"/>
      <w:r w:rsidRPr="00470294">
        <w:t xml:space="preserve"> and pH adjuster.</w:t>
      </w:r>
    </w:p>
    <w:p w14:paraId="19B40C8B" w14:textId="77777777" w:rsidR="00E13CFF" w:rsidRPr="00470294" w:rsidRDefault="00E13CFF" w:rsidP="00EB1099">
      <w:pPr>
        <w:pStyle w:val="ListBullet"/>
        <w:numPr>
          <w:ilvl w:val="0"/>
          <w:numId w:val="83"/>
        </w:numPr>
        <w:rPr>
          <w:rStyle w:val="Hyperlink"/>
          <w:rFonts w:asciiTheme="minorHAnsi" w:hAnsiTheme="minorHAnsi"/>
          <w:color w:val="auto"/>
          <w:szCs w:val="22"/>
          <w:u w:val="none"/>
        </w:rPr>
      </w:pPr>
      <w:r w:rsidRPr="00470294">
        <w:rPr>
          <w:rStyle w:val="Hyperlink"/>
          <w:rFonts w:asciiTheme="minorHAnsi" w:hAnsiTheme="minorHAnsi"/>
          <w:color w:val="auto"/>
          <w:szCs w:val="22"/>
          <w:u w:val="none"/>
        </w:rPr>
        <w:t xml:space="preserve">New Zealand </w:t>
      </w:r>
      <w:proofErr w:type="spellStart"/>
      <w:r w:rsidRPr="00470294">
        <w:rPr>
          <w:rStyle w:val="Hyperlink"/>
          <w:rFonts w:asciiTheme="minorHAnsi" w:hAnsiTheme="minorHAnsi"/>
          <w:color w:val="auto"/>
          <w:szCs w:val="22"/>
          <w:u w:val="none"/>
        </w:rPr>
        <w:t>Medsafe’s</w:t>
      </w:r>
      <w:proofErr w:type="spellEnd"/>
      <w:r w:rsidRPr="00470294">
        <w:rPr>
          <w:rStyle w:val="Hyperlink"/>
          <w:rFonts w:asciiTheme="minorHAnsi" w:hAnsiTheme="minorHAnsi"/>
          <w:color w:val="auto"/>
          <w:szCs w:val="22"/>
          <w:u w:val="none"/>
        </w:rPr>
        <w:t xml:space="preserve"> </w:t>
      </w:r>
      <w:hyperlink r:id="rId143" w:history="1">
        <w:r w:rsidRPr="007C7483">
          <w:rPr>
            <w:rStyle w:val="Hyperlink"/>
            <w:rFonts w:asciiTheme="minorHAnsi" w:hAnsiTheme="minorHAnsi"/>
            <w:szCs w:val="22"/>
          </w:rPr>
          <w:t>Medicines Classification Database</w:t>
        </w:r>
      </w:hyperlink>
      <w:r w:rsidRPr="007C7483">
        <w:rPr>
          <w:rStyle w:val="Hyperlink"/>
          <w:rFonts w:asciiTheme="minorHAnsi" w:hAnsiTheme="minorHAnsi"/>
          <w:color w:val="333F48"/>
          <w:szCs w:val="22"/>
          <w:u w:val="none"/>
        </w:rPr>
        <w:t xml:space="preserve"> </w:t>
      </w:r>
      <w:r w:rsidRPr="00470294">
        <w:rPr>
          <w:rStyle w:val="Hyperlink"/>
          <w:rFonts w:asciiTheme="minorHAnsi" w:hAnsiTheme="minorHAnsi"/>
          <w:color w:val="auto"/>
          <w:szCs w:val="22"/>
          <w:u w:val="none"/>
        </w:rPr>
        <w:t>lists benzoic acid as approved for general sale.</w:t>
      </w:r>
    </w:p>
    <w:p w14:paraId="2B520039" w14:textId="74F182C9" w:rsidR="00E13CFF" w:rsidRPr="007C7483" w:rsidRDefault="00E13CFF" w:rsidP="00EB1099">
      <w:pPr>
        <w:pStyle w:val="ListBullet"/>
        <w:numPr>
          <w:ilvl w:val="0"/>
          <w:numId w:val="83"/>
        </w:numPr>
        <w:rPr>
          <w:rStyle w:val="Hyperlink"/>
          <w:rFonts w:asciiTheme="minorHAnsi" w:hAnsiTheme="minorHAnsi"/>
          <w:szCs w:val="22"/>
          <w:u w:val="none"/>
        </w:rPr>
      </w:pPr>
      <w:r w:rsidRPr="00470294">
        <w:rPr>
          <w:rStyle w:val="Hyperlink"/>
          <w:rFonts w:asciiTheme="minorHAnsi" w:hAnsiTheme="minorHAnsi"/>
          <w:color w:val="auto"/>
          <w:szCs w:val="22"/>
          <w:u w:val="none"/>
        </w:rPr>
        <w:t xml:space="preserve">New Zealand’s </w:t>
      </w:r>
      <w:hyperlink r:id="rId144" w:history="1">
        <w:r w:rsidRPr="007C7483">
          <w:rPr>
            <w:rStyle w:val="Hyperlink"/>
            <w:rFonts w:asciiTheme="minorHAnsi" w:hAnsiTheme="minorHAnsi"/>
            <w:szCs w:val="22"/>
          </w:rPr>
          <w:t>Inventory of Chemicals</w:t>
        </w:r>
      </w:hyperlink>
      <w:r w:rsidRPr="007C7483">
        <w:rPr>
          <w:rStyle w:val="Hyperlink"/>
          <w:rFonts w:asciiTheme="minorHAnsi" w:hAnsiTheme="minorHAnsi"/>
          <w:color w:val="333F48"/>
          <w:szCs w:val="22"/>
          <w:u w:val="none"/>
        </w:rPr>
        <w:t xml:space="preserve"> </w:t>
      </w:r>
      <w:r w:rsidRPr="00470294">
        <w:rPr>
          <w:rStyle w:val="Hyperlink"/>
          <w:rFonts w:asciiTheme="minorHAnsi" w:hAnsiTheme="minorHAnsi"/>
          <w:color w:val="auto"/>
          <w:szCs w:val="22"/>
          <w:u w:val="none"/>
        </w:rPr>
        <w:t xml:space="preserve">lists benzoic acid as </w:t>
      </w:r>
      <w:r w:rsidR="00EB1099">
        <w:rPr>
          <w:rStyle w:val="Hyperlink"/>
          <w:rFonts w:asciiTheme="minorHAnsi" w:hAnsiTheme="minorHAnsi"/>
          <w:color w:val="auto"/>
          <w:szCs w:val="22"/>
          <w:u w:val="none"/>
        </w:rPr>
        <w:t>‘</w:t>
      </w:r>
      <w:r w:rsidRPr="00470294">
        <w:rPr>
          <w:rStyle w:val="Hyperlink"/>
          <w:rFonts w:asciiTheme="minorHAnsi" w:hAnsiTheme="minorHAnsi"/>
          <w:color w:val="auto"/>
          <w:szCs w:val="22"/>
          <w:u w:val="none"/>
        </w:rPr>
        <w:t>may be used under an appropriate group standard</w:t>
      </w:r>
      <w:r w:rsidR="00EB1099">
        <w:rPr>
          <w:rStyle w:val="Hyperlink"/>
          <w:rFonts w:asciiTheme="minorHAnsi" w:hAnsiTheme="minorHAnsi"/>
          <w:color w:val="auto"/>
          <w:szCs w:val="22"/>
          <w:u w:val="none"/>
        </w:rPr>
        <w:t>’</w:t>
      </w:r>
      <w:r w:rsidRPr="00470294">
        <w:rPr>
          <w:rStyle w:val="Hyperlink"/>
          <w:rFonts w:asciiTheme="minorHAnsi" w:hAnsiTheme="minorHAnsi"/>
          <w:color w:val="auto"/>
          <w:szCs w:val="22"/>
          <w:u w:val="none"/>
        </w:rPr>
        <w:t>.</w:t>
      </w:r>
    </w:p>
    <w:p w14:paraId="03DF4861" w14:textId="77777777" w:rsidR="00E13CFF" w:rsidRPr="007C7483" w:rsidRDefault="00E13CFF" w:rsidP="00EB1099">
      <w:pPr>
        <w:pStyle w:val="ListBullet"/>
        <w:numPr>
          <w:ilvl w:val="0"/>
          <w:numId w:val="83"/>
        </w:numPr>
        <w:rPr>
          <w:rStyle w:val="Hyperlink"/>
          <w:rFonts w:asciiTheme="minorHAnsi" w:hAnsiTheme="minorHAnsi"/>
          <w:color w:val="auto"/>
          <w:szCs w:val="22"/>
          <w:u w:val="none"/>
        </w:rPr>
      </w:pPr>
      <w:r w:rsidRPr="007C7483">
        <w:rPr>
          <w:rStyle w:val="Hyperlink"/>
          <w:rFonts w:asciiTheme="minorHAnsi" w:hAnsiTheme="minorHAnsi"/>
          <w:color w:val="auto"/>
          <w:szCs w:val="22"/>
          <w:u w:val="none"/>
        </w:rPr>
        <w:t xml:space="preserve">Health Canada’s </w:t>
      </w:r>
      <w:hyperlink r:id="rId145" w:history="1">
        <w:r w:rsidRPr="007C7483">
          <w:rPr>
            <w:rStyle w:val="Hyperlink"/>
            <w:rFonts w:asciiTheme="minorHAnsi" w:hAnsiTheme="minorHAnsi"/>
            <w:szCs w:val="22"/>
          </w:rPr>
          <w:t>Drug Product Database</w:t>
        </w:r>
      </w:hyperlink>
      <w:r w:rsidRPr="007C7483">
        <w:rPr>
          <w:rStyle w:val="Hyperlink"/>
          <w:rFonts w:asciiTheme="minorHAnsi" w:hAnsiTheme="minorHAnsi"/>
          <w:color w:val="auto"/>
          <w:szCs w:val="22"/>
          <w:u w:val="none"/>
        </w:rPr>
        <w:t xml:space="preserve"> includes one marketed product that contains benzoic acid as an active ingredient, an ear cleaning solution for veterinary use that is regulated as an over-the-counter medicine.</w:t>
      </w:r>
    </w:p>
    <w:p w14:paraId="27E85129" w14:textId="77777777" w:rsidR="00E13CFF" w:rsidRPr="007C7483" w:rsidRDefault="00E13CFF" w:rsidP="00EB1099">
      <w:pPr>
        <w:pStyle w:val="ListBullet"/>
        <w:numPr>
          <w:ilvl w:val="0"/>
          <w:numId w:val="83"/>
        </w:numPr>
        <w:rPr>
          <w:rStyle w:val="Hyperlink"/>
          <w:rFonts w:asciiTheme="minorHAnsi" w:hAnsiTheme="minorHAnsi"/>
          <w:color w:val="auto"/>
          <w:szCs w:val="22"/>
          <w:u w:val="none"/>
        </w:rPr>
      </w:pPr>
      <w:r w:rsidRPr="007C7483">
        <w:rPr>
          <w:rStyle w:val="Hyperlink"/>
          <w:rFonts w:asciiTheme="minorHAnsi" w:hAnsiTheme="minorHAnsi"/>
          <w:color w:val="auto"/>
          <w:szCs w:val="22"/>
          <w:u w:val="none"/>
        </w:rPr>
        <w:t xml:space="preserve">The </w:t>
      </w:r>
      <w:hyperlink r:id="rId146" w:history="1">
        <w:r w:rsidRPr="007C7483">
          <w:rPr>
            <w:rStyle w:val="Hyperlink"/>
            <w:rFonts w:asciiTheme="minorHAnsi" w:hAnsiTheme="minorHAnsi"/>
            <w:szCs w:val="22"/>
          </w:rPr>
          <w:t>European Chemicals Agency</w:t>
        </w:r>
      </w:hyperlink>
      <w:r w:rsidRPr="007C7483">
        <w:rPr>
          <w:rStyle w:val="Hyperlink"/>
          <w:rFonts w:asciiTheme="minorHAnsi" w:hAnsiTheme="minorHAnsi"/>
          <w:color w:val="auto"/>
          <w:szCs w:val="22"/>
          <w:u w:val="none"/>
        </w:rPr>
        <w:t xml:space="preserve"> lists benzoic acid as causing damage to organs through prolonged or repeated exposure, serious eye damage and skin irritation.</w:t>
      </w:r>
    </w:p>
    <w:p w14:paraId="167E53E9" w14:textId="7198EE91" w:rsidR="00E13CFF" w:rsidRPr="004C7298" w:rsidRDefault="00E13CFF" w:rsidP="00EB1099">
      <w:pPr>
        <w:pStyle w:val="ListBullet"/>
        <w:numPr>
          <w:ilvl w:val="0"/>
          <w:numId w:val="83"/>
        </w:numPr>
      </w:pPr>
      <w:r w:rsidRPr="00914807">
        <w:rPr>
          <w:rStyle w:val="Hyperlink"/>
          <w:rFonts w:asciiTheme="minorHAnsi" w:hAnsiTheme="minorHAnsi"/>
          <w:color w:val="auto"/>
          <w:szCs w:val="22"/>
          <w:u w:val="none"/>
        </w:rPr>
        <w:t xml:space="preserve">Ireland’s </w:t>
      </w:r>
      <w:hyperlink r:id="rId147" w:history="1">
        <w:r w:rsidRPr="00914807">
          <w:rPr>
            <w:rStyle w:val="Hyperlink"/>
            <w:rFonts w:asciiTheme="minorHAnsi" w:hAnsiTheme="minorHAnsi"/>
            <w:szCs w:val="22"/>
          </w:rPr>
          <w:t>Health Products Regulation Agency</w:t>
        </w:r>
      </w:hyperlink>
      <w:r w:rsidRPr="00914807">
        <w:rPr>
          <w:rStyle w:val="Hyperlink"/>
          <w:rFonts w:asciiTheme="minorHAnsi" w:hAnsiTheme="minorHAnsi"/>
          <w:color w:val="auto"/>
          <w:szCs w:val="22"/>
          <w:u w:val="none"/>
        </w:rPr>
        <w:t xml:space="preserve"> regulates one product containing benzoic acid as an active ingredient, an antifungal ointment that is available a</w:t>
      </w:r>
      <w:r w:rsidR="007040B0">
        <w:rPr>
          <w:rStyle w:val="Hyperlink"/>
          <w:rFonts w:asciiTheme="minorHAnsi" w:hAnsiTheme="minorHAnsi"/>
          <w:color w:val="auto"/>
          <w:szCs w:val="22"/>
          <w:u w:val="none"/>
        </w:rPr>
        <w:t>s</w:t>
      </w:r>
      <w:r w:rsidRPr="00914807">
        <w:rPr>
          <w:rStyle w:val="Hyperlink"/>
          <w:rFonts w:asciiTheme="minorHAnsi" w:hAnsiTheme="minorHAnsi"/>
          <w:color w:val="auto"/>
          <w:szCs w:val="22"/>
          <w:u w:val="none"/>
        </w:rPr>
        <w:t xml:space="preserve"> a non-prescription medicine.</w:t>
      </w:r>
    </w:p>
    <w:p w14:paraId="0765C619" w14:textId="64B9EE28" w:rsidR="00E13CFF" w:rsidRDefault="001D5CC5" w:rsidP="00E13CFF">
      <w:pPr>
        <w:pStyle w:val="Heading3"/>
      </w:pPr>
      <w:bookmarkStart w:id="141" w:name="_Toc144110929"/>
      <w:r>
        <w:t>2.3</w:t>
      </w:r>
      <w:r>
        <w:tab/>
      </w:r>
      <w:r w:rsidR="00E13CFF">
        <w:t>Meloxicam</w:t>
      </w:r>
      <w:bookmarkEnd w:id="141"/>
    </w:p>
    <w:p w14:paraId="666D6640" w14:textId="77777777" w:rsidR="00E13CFF" w:rsidRDefault="00E13CFF" w:rsidP="00E13CFF">
      <w:pPr>
        <w:pStyle w:val="Heading4"/>
      </w:pPr>
      <w:bookmarkStart w:id="142" w:name="_Toc144110930"/>
      <w:r>
        <w:t>Proposal</w:t>
      </w:r>
      <w:bookmarkEnd w:id="142"/>
    </w:p>
    <w:p w14:paraId="0DF895CC" w14:textId="1D3FBB87" w:rsidR="00E13CFF" w:rsidRDefault="00E13CFF" w:rsidP="00D60DC1">
      <w:r>
        <w:t xml:space="preserve">The applicant has proposed an amendment to the Schedule 6 entry for meloxicam to include certain injectable veterinary vaccines containing less than 1% of meloxicam for </w:t>
      </w:r>
      <w:r w:rsidR="00E72C66">
        <w:t>single use</w:t>
      </w:r>
      <w:r>
        <w:t xml:space="preserve"> in lambs undergoing routine animal husbandry procedures. Meloxicam is an anti-inflammatory medicine that can be used for pain relief; the amendment would enable farmers to access the medicine in a co-formulation with certain vaccines, without the requirement for a prescription.</w:t>
      </w:r>
    </w:p>
    <w:p w14:paraId="14975FD8" w14:textId="432441D6" w:rsidR="00E13CFF" w:rsidRDefault="00E13CFF" w:rsidP="00E13CFF">
      <w:pPr>
        <w:pStyle w:val="Heading4"/>
      </w:pPr>
      <w:bookmarkStart w:id="143" w:name="_Toc144110931"/>
      <w:r>
        <w:t>CAS Number</w:t>
      </w:r>
      <w:bookmarkEnd w:id="143"/>
    </w:p>
    <w:p w14:paraId="0E44A5CF" w14:textId="77777777" w:rsidR="00E13CFF" w:rsidRDefault="00E13CFF" w:rsidP="00E13CFF">
      <w:r>
        <w:t>71125-38-7</w:t>
      </w:r>
    </w:p>
    <w:p w14:paraId="7A999C7C" w14:textId="77777777" w:rsidR="00E13CFF" w:rsidRDefault="00E13CFF" w:rsidP="00E13CFF">
      <w:pPr>
        <w:pStyle w:val="Heading4"/>
      </w:pPr>
      <w:bookmarkStart w:id="144" w:name="_Toc144110932"/>
      <w:r>
        <w:t>Applicant</w:t>
      </w:r>
      <w:bookmarkEnd w:id="144"/>
    </w:p>
    <w:p w14:paraId="72153A47" w14:textId="41C97823" w:rsidR="00E13CFF" w:rsidRDefault="00E13CFF" w:rsidP="00E13CFF">
      <w:r w:rsidRPr="001D2967">
        <w:t>Australian Pesticides and Veterinary Medicines Authority (APVMA)</w:t>
      </w:r>
    </w:p>
    <w:p w14:paraId="3369B21A" w14:textId="77777777" w:rsidR="00E13CFF" w:rsidRDefault="00E13CFF" w:rsidP="00E13CFF">
      <w:pPr>
        <w:pStyle w:val="Heading4"/>
      </w:pPr>
      <w:bookmarkStart w:id="145" w:name="_Toc144110933"/>
      <w:r>
        <w:t>Proposed Scheduling</w:t>
      </w:r>
      <w:bookmarkEnd w:id="145"/>
    </w:p>
    <w:p w14:paraId="78E2501B" w14:textId="77777777" w:rsidR="00E13CFF" w:rsidRPr="001B3E4F" w:rsidRDefault="00E13CFF" w:rsidP="00E13CFF">
      <w:r>
        <w:t>Meloxicam</w:t>
      </w:r>
      <w:r w:rsidRPr="00AF12F6">
        <w:t xml:space="preserve"> is currently listed in Schedules </w:t>
      </w:r>
      <w:r>
        <w:t>4 and 6 of the Poisons Standard.</w:t>
      </w:r>
    </w:p>
    <w:p w14:paraId="1D2812A6" w14:textId="77777777" w:rsidR="00E13CFF" w:rsidRDefault="00E13CFF" w:rsidP="00E13CFF">
      <w:pPr>
        <w:rPr>
          <w:rFonts w:cstheme="minorHAnsi"/>
        </w:rPr>
      </w:pPr>
      <w:r>
        <w:rPr>
          <w:rFonts w:cstheme="minorHAnsi"/>
        </w:rPr>
        <w:t>The applicant’s proposed amendments to the Poisons Standard are:</w:t>
      </w:r>
      <w:r>
        <w:rPr>
          <w:rStyle w:val="FootnoteReference"/>
          <w:rFonts w:cstheme="minorHAnsi"/>
        </w:rPr>
        <w:footnoteReference w:id="12"/>
      </w:r>
    </w:p>
    <w:p w14:paraId="25602114" w14:textId="77777777" w:rsidR="00E13CFF" w:rsidRPr="006D5C84" w:rsidRDefault="00E13CFF" w:rsidP="0072362E">
      <w:pPr>
        <w:ind w:left="426"/>
        <w:rPr>
          <w:b/>
        </w:rPr>
      </w:pPr>
      <w:r w:rsidRPr="006D5C84">
        <w:rPr>
          <w:b/>
        </w:rPr>
        <w:t xml:space="preserve">Schedule </w:t>
      </w:r>
      <w:r>
        <w:rPr>
          <w:b/>
        </w:rPr>
        <w:t>6 – Amend Entry</w:t>
      </w:r>
    </w:p>
    <w:p w14:paraId="73E1CDA3" w14:textId="77777777" w:rsidR="00E13CFF" w:rsidRPr="007C7483" w:rsidRDefault="00E13CFF" w:rsidP="0072362E">
      <w:pPr>
        <w:ind w:left="709"/>
        <w:rPr>
          <w:rFonts w:cstheme="minorHAnsi"/>
        </w:rPr>
      </w:pPr>
      <w:r w:rsidRPr="007C7483">
        <w:rPr>
          <w:rFonts w:cstheme="minorHAnsi"/>
        </w:rPr>
        <w:t>MELOXICAM in</w:t>
      </w:r>
      <w:r w:rsidRPr="007C7483">
        <w:rPr>
          <w:rFonts w:cstheme="minorHAnsi"/>
          <w:color w:val="00B050"/>
          <w:u w:val="single"/>
        </w:rPr>
        <w:t>:</w:t>
      </w:r>
    </w:p>
    <w:p w14:paraId="389ACA18" w14:textId="50306D88" w:rsidR="00E13CFF" w:rsidRPr="007C7483" w:rsidRDefault="00E13CFF" w:rsidP="004C7298">
      <w:pPr>
        <w:pStyle w:val="ListBulleta"/>
        <w:numPr>
          <w:ilvl w:val="1"/>
          <w:numId w:val="86"/>
        </w:numPr>
        <w:ind w:left="1134"/>
      </w:pPr>
      <w:r w:rsidRPr="007C7483">
        <w:t>oral transmucosal preparations containing 1% or less meloxicam for pre-surgical treatment and pain management in livestock during routine husbandry procedures</w:t>
      </w:r>
      <w:r w:rsidRPr="007C7483">
        <w:rPr>
          <w:color w:val="00B050"/>
          <w:u w:val="single"/>
        </w:rPr>
        <w:t>; or</w:t>
      </w:r>
    </w:p>
    <w:p w14:paraId="2547D981" w14:textId="251600CA" w:rsidR="00E13CFF" w:rsidRPr="007040B0" w:rsidRDefault="00E13CFF" w:rsidP="004C7298">
      <w:pPr>
        <w:pStyle w:val="ListBulleta"/>
        <w:numPr>
          <w:ilvl w:val="1"/>
          <w:numId w:val="86"/>
        </w:numPr>
        <w:ind w:left="1134"/>
        <w:rPr>
          <w:color w:val="00B050"/>
          <w:u w:val="single"/>
        </w:rPr>
      </w:pPr>
      <w:r w:rsidRPr="007040B0">
        <w:rPr>
          <w:color w:val="00B050"/>
          <w:u w:val="single"/>
        </w:rPr>
        <w:t>injectable vaccines containing bacterial antigens and 1% or less of meloxicam for single use in lambs undergoing husbandry procedures at marking.</w:t>
      </w:r>
    </w:p>
    <w:p w14:paraId="506FFB16" w14:textId="77777777" w:rsidR="00E13CFF" w:rsidRPr="007040B0" w:rsidRDefault="00E13CFF" w:rsidP="0072362E">
      <w:pPr>
        <w:pStyle w:val="ListBulleta"/>
        <w:numPr>
          <w:ilvl w:val="0"/>
          <w:numId w:val="0"/>
        </w:numPr>
        <w:ind w:left="425"/>
        <w:rPr>
          <w:b/>
          <w:bCs/>
        </w:rPr>
      </w:pPr>
      <w:r w:rsidRPr="007040B0">
        <w:rPr>
          <w:b/>
          <w:bCs/>
        </w:rPr>
        <w:t>Schedule 4</w:t>
      </w:r>
    </w:p>
    <w:p w14:paraId="730050EF" w14:textId="77777777" w:rsidR="00E13CFF" w:rsidRPr="007C7483" w:rsidRDefault="00E13CFF" w:rsidP="0072362E">
      <w:pPr>
        <w:pStyle w:val="ListBulleta"/>
        <w:numPr>
          <w:ilvl w:val="0"/>
          <w:numId w:val="0"/>
        </w:numPr>
        <w:ind w:left="709"/>
      </w:pPr>
      <w:r w:rsidRPr="007C7483">
        <w:t xml:space="preserve">MELOXICAM </w:t>
      </w:r>
      <w:r w:rsidRPr="007C7483">
        <w:rPr>
          <w:b/>
          <w:bCs/>
        </w:rPr>
        <w:t>except</w:t>
      </w:r>
      <w:r w:rsidRPr="007C7483">
        <w:t xml:space="preserve"> when included in Schedule 6.</w:t>
      </w:r>
    </w:p>
    <w:p w14:paraId="6E2DC7C6" w14:textId="77777777" w:rsidR="00E13CFF" w:rsidRPr="007C7483" w:rsidRDefault="00E13CFF" w:rsidP="0072362E">
      <w:pPr>
        <w:ind w:left="426"/>
        <w:rPr>
          <w:rFonts w:cstheme="minorHAnsi"/>
          <w:b/>
        </w:rPr>
      </w:pPr>
      <w:r w:rsidRPr="007C7483">
        <w:rPr>
          <w:rFonts w:cstheme="minorHAnsi"/>
          <w:b/>
        </w:rPr>
        <w:t>Index</w:t>
      </w:r>
    </w:p>
    <w:p w14:paraId="1389C109" w14:textId="7D4DFAA4" w:rsidR="00E13CFF" w:rsidRPr="007C7483" w:rsidRDefault="00E13CFF" w:rsidP="0072362E">
      <w:pPr>
        <w:ind w:left="709"/>
        <w:rPr>
          <w:rFonts w:cstheme="minorHAnsi"/>
        </w:rPr>
      </w:pPr>
      <w:r w:rsidRPr="007C7483">
        <w:rPr>
          <w:rFonts w:cstheme="minorHAnsi"/>
          <w:b/>
          <w:bCs/>
        </w:rPr>
        <w:t>MELOXICAM</w:t>
      </w:r>
      <w:r w:rsidR="000F3020">
        <w:rPr>
          <w:rFonts w:cstheme="minorHAnsi"/>
        </w:rPr>
        <w:br/>
      </w:r>
      <w:r w:rsidRPr="007C7483">
        <w:rPr>
          <w:rFonts w:cstheme="minorHAnsi"/>
        </w:rPr>
        <w:t>Schedule 6</w:t>
      </w:r>
      <w:r w:rsidRPr="007C7483">
        <w:rPr>
          <w:rFonts w:cstheme="minorHAnsi"/>
        </w:rPr>
        <w:br/>
        <w:t>Schedule 4</w:t>
      </w:r>
    </w:p>
    <w:p w14:paraId="26BF3822" w14:textId="77777777" w:rsidR="00E13CFF" w:rsidRDefault="00E13CFF" w:rsidP="00E13CFF">
      <w:pPr>
        <w:pStyle w:val="Heading4"/>
      </w:pPr>
      <w:bookmarkStart w:id="146" w:name="_Toc144110934"/>
      <w:r>
        <w:t>Background</w:t>
      </w:r>
      <w:bookmarkEnd w:id="146"/>
    </w:p>
    <w:p w14:paraId="10D93D3B" w14:textId="09D0A861" w:rsidR="00E13CFF" w:rsidRDefault="00A50294" w:rsidP="00D60DC1">
      <w:r>
        <w:t xml:space="preserve">Meloxicam is a non-steroidal anti-inflammatory drug (NSAID) and is a cyclooxygenase-2-(COX-2) inhibitor, with a well-established safety profile available in a number of human and veterinary therapeutic products. Meloxicam is </w:t>
      </w:r>
      <w:r w:rsidR="00E72C66">
        <w:t xml:space="preserve">available </w:t>
      </w:r>
      <w:r w:rsidR="00E13CFF">
        <w:t xml:space="preserve">in several different </w:t>
      </w:r>
      <w:r w:rsidR="00370305">
        <w:t>dosage forms</w:t>
      </w:r>
      <w:r w:rsidR="00E13CFF">
        <w:t xml:space="preserve"> for the relief of muscular pain</w:t>
      </w:r>
      <w:r w:rsidR="00370305">
        <w:t xml:space="preserve">, </w:t>
      </w:r>
      <w:proofErr w:type="gramStart"/>
      <w:r w:rsidR="00370305">
        <w:t>fever</w:t>
      </w:r>
      <w:proofErr w:type="gramEnd"/>
      <w:r w:rsidR="00370305">
        <w:t xml:space="preserve"> and </w:t>
      </w:r>
      <w:r w:rsidR="00E13CFF">
        <w:t>inflammation. Meloxicam was available by prescription-only until 2022, when a new Schedule 6 entry was created for transmucosal preparations containing 1% or less of meloxicam for use in certain animal husbandry procedures.</w:t>
      </w:r>
    </w:p>
    <w:p w14:paraId="790EC1D8" w14:textId="77777777" w:rsidR="00E13CFF" w:rsidRDefault="00E13CFF" w:rsidP="00E13CFF">
      <w:pPr>
        <w:pStyle w:val="Heading4"/>
      </w:pPr>
      <w:bookmarkStart w:id="147" w:name="_Toc144110935"/>
      <w:r>
        <w:t>Summary of applicant’s reasons for the proposal</w:t>
      </w:r>
      <w:bookmarkEnd w:id="147"/>
    </w:p>
    <w:p w14:paraId="462F6B43" w14:textId="77777777" w:rsidR="00E13CFF" w:rsidRPr="007C7483" w:rsidRDefault="00E13CFF" w:rsidP="00EB1099">
      <w:pPr>
        <w:pStyle w:val="ListBullet"/>
        <w:numPr>
          <w:ilvl w:val="0"/>
          <w:numId w:val="83"/>
        </w:numPr>
      </w:pPr>
      <w:r w:rsidRPr="007C7483">
        <w:t>Meloxicam is available in a number of registered products for various animals including cattle, sheep, pigs, and horses. All injectable forms of meloxicam are presently Schedule 4 prescription-only medicines.</w:t>
      </w:r>
    </w:p>
    <w:p w14:paraId="2432C37B" w14:textId="77777777" w:rsidR="00E13CFF" w:rsidRPr="007C7483" w:rsidRDefault="00E13CFF" w:rsidP="00EB1099">
      <w:pPr>
        <w:pStyle w:val="ListBullet"/>
        <w:numPr>
          <w:ilvl w:val="0"/>
          <w:numId w:val="83"/>
        </w:numPr>
      </w:pPr>
      <w:r w:rsidRPr="007C7483">
        <w:t>There are currently a number of registered bacterial antigen (killed cultures) vaccines for sheep which contain toxoid and cell concentrates prepared from formalin killed cultures and are not currently subject to controls under the Poisons Standard.</w:t>
      </w:r>
    </w:p>
    <w:p w14:paraId="4A820CDD" w14:textId="0B84509A" w:rsidR="00E13CFF" w:rsidRPr="007C7483" w:rsidRDefault="00E13CFF" w:rsidP="00EB1099">
      <w:pPr>
        <w:pStyle w:val="ListBullet"/>
        <w:numPr>
          <w:ilvl w:val="0"/>
          <w:numId w:val="83"/>
        </w:numPr>
      </w:pPr>
      <w:r w:rsidRPr="007C7483">
        <w:t>A novel combination vaccine for lambs, incorporating existing registered bacterial antigens (killed cultures</w:t>
      </w:r>
      <w:r w:rsidR="00A50294">
        <w:t xml:space="preserve"> or </w:t>
      </w:r>
      <w:r w:rsidR="00A50294" w:rsidRPr="00A50294">
        <w:t>inactivated vaccine</w:t>
      </w:r>
      <w:r w:rsidRPr="007C7483">
        <w:t>) with meloxicam, is presently in development. Subsequently, an application has been made to amend the Schedule 6 entry for meloxicam to include injectable vaccines containing bacterial antigens and 1% or less meloxicam for single use in lambs undergoing husbandry procedures at marking.</w:t>
      </w:r>
    </w:p>
    <w:p w14:paraId="7A34698D" w14:textId="77777777" w:rsidR="00E13CFF" w:rsidRDefault="00E13CFF" w:rsidP="00E13CFF">
      <w:pPr>
        <w:pStyle w:val="Heading4"/>
      </w:pPr>
      <w:bookmarkStart w:id="148" w:name="_Toc144110936"/>
      <w:r>
        <w:t xml:space="preserve">Key uses / expected </w:t>
      </w:r>
      <w:proofErr w:type="gramStart"/>
      <w:r>
        <w:t>use</w:t>
      </w:r>
      <w:bookmarkEnd w:id="148"/>
      <w:proofErr w:type="gramEnd"/>
    </w:p>
    <w:p w14:paraId="47C23C4F" w14:textId="77777777" w:rsidR="00E13CFF" w:rsidRDefault="00E13CFF" w:rsidP="00E13CFF">
      <w:r w:rsidRPr="008F0B96">
        <w:t>Medicines, veterinary</w:t>
      </w:r>
    </w:p>
    <w:p w14:paraId="019086BC" w14:textId="77777777" w:rsidR="00E13CFF" w:rsidRDefault="00E13CFF" w:rsidP="00E13CFF">
      <w:pPr>
        <w:pStyle w:val="Heading4"/>
      </w:pPr>
      <w:bookmarkStart w:id="149" w:name="_Toc144110937"/>
      <w:r>
        <w:t>Australian regulations</w:t>
      </w:r>
      <w:bookmarkEnd w:id="149"/>
    </w:p>
    <w:p w14:paraId="208D7A38" w14:textId="24D84085" w:rsidR="00E13CFF" w:rsidRPr="007C7483" w:rsidRDefault="00E13CFF" w:rsidP="00EB1099">
      <w:pPr>
        <w:pStyle w:val="ListBullet"/>
        <w:numPr>
          <w:ilvl w:val="0"/>
          <w:numId w:val="83"/>
        </w:numPr>
      </w:pPr>
      <w:r w:rsidRPr="007C7483">
        <w:t xml:space="preserve">According to the </w:t>
      </w:r>
      <w:hyperlink r:id="rId148" w:history="1">
        <w:r w:rsidRPr="007C7483">
          <w:rPr>
            <w:rStyle w:val="Hyperlink"/>
            <w:rFonts w:asciiTheme="minorHAnsi" w:hAnsiTheme="minorHAnsi"/>
          </w:rPr>
          <w:t>TGA Ingredient Database</w:t>
        </w:r>
      </w:hyperlink>
      <w:r w:rsidRPr="007C7483">
        <w:t>, meloxicam is:</w:t>
      </w:r>
    </w:p>
    <w:p w14:paraId="6E96785B" w14:textId="77777777" w:rsidR="00E13CFF" w:rsidRPr="007C7483" w:rsidRDefault="00E13CFF" w:rsidP="00E13CFF">
      <w:pPr>
        <w:pStyle w:val="ListBullet2"/>
        <w:numPr>
          <w:ilvl w:val="1"/>
          <w:numId w:val="39"/>
        </w:numPr>
        <w:ind w:left="850" w:hanging="425"/>
        <w:rPr>
          <w:rFonts w:cstheme="minorHAnsi"/>
          <w:color w:val="auto"/>
        </w:rPr>
      </w:pPr>
      <w:r w:rsidRPr="007C7483">
        <w:rPr>
          <w:rFonts w:cstheme="minorHAnsi"/>
          <w:color w:val="auto"/>
        </w:rPr>
        <w:t>Available for use as an Active Ingredient in Biologicals, Export Only and Prescription Medicines.</w:t>
      </w:r>
    </w:p>
    <w:p w14:paraId="1D942160" w14:textId="77777777" w:rsidR="00E13CFF" w:rsidRPr="007C7483" w:rsidRDefault="00E13CFF" w:rsidP="00E13CFF">
      <w:pPr>
        <w:pStyle w:val="ListBullet2"/>
        <w:numPr>
          <w:ilvl w:val="1"/>
          <w:numId w:val="39"/>
        </w:numPr>
        <w:ind w:left="850" w:hanging="425"/>
        <w:rPr>
          <w:rFonts w:cstheme="minorHAnsi"/>
          <w:color w:val="auto"/>
        </w:rPr>
      </w:pPr>
      <w:r w:rsidRPr="007C7483">
        <w:rPr>
          <w:rFonts w:cstheme="minorHAnsi"/>
          <w:color w:val="auto"/>
        </w:rPr>
        <w:t>Available for use as an Excipient Ingredient in Biologicals, Devices and Prescription Medicines.</w:t>
      </w:r>
    </w:p>
    <w:p w14:paraId="56D127BB" w14:textId="77777777" w:rsidR="00E13CFF" w:rsidRPr="007C7483" w:rsidRDefault="00E13CFF" w:rsidP="00E13CFF">
      <w:pPr>
        <w:pStyle w:val="ListBullet2"/>
        <w:numPr>
          <w:ilvl w:val="1"/>
          <w:numId w:val="39"/>
        </w:numPr>
        <w:ind w:left="850" w:hanging="425"/>
        <w:rPr>
          <w:rFonts w:cstheme="minorHAnsi"/>
          <w:color w:val="auto"/>
        </w:rPr>
      </w:pPr>
      <w:r w:rsidRPr="007C7483">
        <w:rPr>
          <w:rFonts w:cstheme="minorHAnsi"/>
          <w:color w:val="auto"/>
        </w:rPr>
        <w:t>Not available as an Equivalent Ingredient in any application.</w:t>
      </w:r>
    </w:p>
    <w:p w14:paraId="30EE1231" w14:textId="5FBAEC6F" w:rsidR="00E13CFF" w:rsidRPr="007C7483" w:rsidRDefault="00E13CFF" w:rsidP="00EB1099">
      <w:pPr>
        <w:pStyle w:val="ListBullet"/>
        <w:numPr>
          <w:ilvl w:val="0"/>
          <w:numId w:val="83"/>
        </w:numPr>
      </w:pPr>
      <w:r w:rsidRPr="007C7483">
        <w:t xml:space="preserve">As of August 2023, there </w:t>
      </w:r>
      <w:r w:rsidRPr="00EC14ED">
        <w:t xml:space="preserve">were </w:t>
      </w:r>
      <w:r w:rsidRPr="0072362E">
        <w:t>61</w:t>
      </w:r>
      <w:r w:rsidRPr="00EC14ED">
        <w:t xml:space="preserve"> medicines</w:t>
      </w:r>
      <w:r w:rsidRPr="007C7483">
        <w:t xml:space="preserve"> currently active on the </w:t>
      </w:r>
      <w:hyperlink r:id="rId149"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7C7483">
        <w:t xml:space="preserve"> that contain meloxicam as an active ingredient. These include </w:t>
      </w:r>
      <w:r w:rsidR="00EC14ED">
        <w:t>60</w:t>
      </w:r>
      <w:r w:rsidRPr="007C7483">
        <w:t xml:space="preserve"> prescription medicines</w:t>
      </w:r>
      <w:r w:rsidR="00EC14ED">
        <w:t xml:space="preserve"> and </w:t>
      </w:r>
      <w:r w:rsidR="007040B0">
        <w:t>one</w:t>
      </w:r>
      <w:r w:rsidR="00EC14ED">
        <w:t xml:space="preserve"> for export only</w:t>
      </w:r>
      <w:r w:rsidRPr="007C7483">
        <w:t>.</w:t>
      </w:r>
    </w:p>
    <w:p w14:paraId="383CB2CD" w14:textId="326F29D4" w:rsidR="00E13CFF" w:rsidRPr="007C7483" w:rsidRDefault="00E13CFF" w:rsidP="00EB1099">
      <w:pPr>
        <w:pStyle w:val="ListBullet"/>
        <w:numPr>
          <w:ilvl w:val="0"/>
          <w:numId w:val="83"/>
        </w:numPr>
      </w:pPr>
      <w:r w:rsidRPr="007C7483">
        <w:t>Meloxic</w:t>
      </w:r>
      <w:r w:rsidR="00CC0B19">
        <w:t>a</w:t>
      </w:r>
      <w:r w:rsidRPr="007C7483">
        <w:t xml:space="preserve">m is not permitted to be included in listed medicines as it is not included in the </w:t>
      </w:r>
      <w:hyperlink r:id="rId150" w:history="1">
        <w:r w:rsidRPr="007C7483">
          <w:rPr>
            <w:rStyle w:val="Hyperlink"/>
            <w:rFonts w:asciiTheme="minorHAnsi" w:hAnsiTheme="minorHAnsi"/>
          </w:rPr>
          <w:t>Therapeutic Goods (Permissible Ingredients) Determination</w:t>
        </w:r>
      </w:hyperlink>
      <w:r w:rsidRPr="007C7483">
        <w:t xml:space="preserve"> No.3 of 2023.</w:t>
      </w:r>
    </w:p>
    <w:p w14:paraId="0BA42384" w14:textId="5F66EE05" w:rsidR="00E13CFF" w:rsidRPr="007C7483" w:rsidRDefault="00E13CFF" w:rsidP="00EB1099">
      <w:pPr>
        <w:pStyle w:val="ListBullet"/>
        <w:numPr>
          <w:ilvl w:val="0"/>
          <w:numId w:val="83"/>
        </w:numPr>
      </w:pPr>
      <w:r w:rsidRPr="007C7483">
        <w:t xml:space="preserve">The </w:t>
      </w:r>
      <w:hyperlink r:id="rId151" w:history="1">
        <w:r w:rsidRPr="007C7483">
          <w:rPr>
            <w:rStyle w:val="Hyperlink"/>
            <w:rFonts w:asciiTheme="minorHAnsi" w:hAnsiTheme="minorHAnsi"/>
          </w:rPr>
          <w:t>TGA prescribing medicines in pregnancy database</w:t>
        </w:r>
      </w:hyperlink>
      <w:r w:rsidRPr="007C7483">
        <w:t xml:space="preserve"> classifies meloxicam as:</w:t>
      </w:r>
    </w:p>
    <w:tbl>
      <w:tblPr>
        <w:tblStyle w:val="TableTGAblue"/>
        <w:tblW w:w="8529" w:type="dxa"/>
        <w:tblInd w:w="392" w:type="dxa"/>
        <w:tblLook w:val="04A0" w:firstRow="1" w:lastRow="0" w:firstColumn="1" w:lastColumn="0" w:noHBand="0" w:noVBand="1"/>
      </w:tblPr>
      <w:tblGrid>
        <w:gridCol w:w="1607"/>
        <w:gridCol w:w="968"/>
        <w:gridCol w:w="1984"/>
        <w:gridCol w:w="47"/>
        <w:gridCol w:w="1938"/>
        <w:gridCol w:w="94"/>
        <w:gridCol w:w="1891"/>
      </w:tblGrid>
      <w:tr w:rsidR="00E13CFF" w:rsidRPr="007C7483" w14:paraId="319978EF" w14:textId="77777777" w:rsidTr="00704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32F3258B" w14:textId="77777777" w:rsidR="00E13CFF" w:rsidRPr="007C7483" w:rsidRDefault="00E13CFF" w:rsidP="00D74E12">
            <w:pPr>
              <w:keepLines/>
              <w:spacing w:before="60" w:after="60"/>
              <w:rPr>
                <w:rFonts w:asciiTheme="minorHAnsi" w:hAnsiTheme="minorHAnsi" w:cstheme="minorHAnsi"/>
                <w:sz w:val="20"/>
                <w:szCs w:val="20"/>
              </w:rPr>
            </w:pPr>
            <w:r w:rsidRPr="007C7483">
              <w:rPr>
                <w:rFonts w:asciiTheme="minorHAnsi" w:hAnsiTheme="minorHAnsi" w:cstheme="minorHAnsi"/>
                <w:sz w:val="20"/>
                <w:szCs w:val="20"/>
              </w:rPr>
              <w:t>Drug name</w:t>
            </w:r>
          </w:p>
        </w:tc>
        <w:tc>
          <w:tcPr>
            <w:tcW w:w="968" w:type="dxa"/>
          </w:tcPr>
          <w:p w14:paraId="34F40DE1" w14:textId="77777777" w:rsidR="00E13CFF" w:rsidRPr="007C7483" w:rsidRDefault="00E13CFF" w:rsidP="00D74E12">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C7483">
              <w:rPr>
                <w:rFonts w:asciiTheme="minorHAnsi" w:hAnsiTheme="minorHAnsi" w:cstheme="minorHAnsi"/>
                <w:sz w:val="20"/>
                <w:szCs w:val="20"/>
              </w:rPr>
              <w:t>Category</w:t>
            </w:r>
          </w:p>
        </w:tc>
        <w:tc>
          <w:tcPr>
            <w:tcW w:w="1984" w:type="dxa"/>
          </w:tcPr>
          <w:p w14:paraId="11C5360D" w14:textId="77777777" w:rsidR="00E13CFF" w:rsidRPr="007C7483" w:rsidRDefault="00E13CFF" w:rsidP="00D74E12">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C7483">
              <w:rPr>
                <w:rFonts w:asciiTheme="minorHAnsi" w:hAnsiTheme="minorHAnsi" w:cstheme="minorHAnsi"/>
                <w:sz w:val="20"/>
                <w:szCs w:val="20"/>
              </w:rPr>
              <w:t>Classification Level 1</w:t>
            </w:r>
          </w:p>
        </w:tc>
        <w:tc>
          <w:tcPr>
            <w:tcW w:w="1985" w:type="dxa"/>
            <w:gridSpan w:val="2"/>
          </w:tcPr>
          <w:p w14:paraId="55B744DF" w14:textId="77777777" w:rsidR="00E13CFF" w:rsidRPr="007C7483" w:rsidRDefault="00E13CFF" w:rsidP="00D74E12">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C7483">
              <w:rPr>
                <w:rFonts w:asciiTheme="minorHAnsi" w:hAnsiTheme="minorHAnsi" w:cstheme="minorHAnsi"/>
                <w:sz w:val="20"/>
                <w:szCs w:val="20"/>
              </w:rPr>
              <w:t>Classification Level 2</w:t>
            </w:r>
          </w:p>
        </w:tc>
        <w:tc>
          <w:tcPr>
            <w:tcW w:w="1985" w:type="dxa"/>
            <w:gridSpan w:val="2"/>
          </w:tcPr>
          <w:p w14:paraId="72DA0908" w14:textId="77777777" w:rsidR="00E13CFF" w:rsidRPr="007C7483" w:rsidRDefault="00E13CFF" w:rsidP="00D74E12">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C7483">
              <w:rPr>
                <w:rFonts w:asciiTheme="minorHAnsi" w:hAnsiTheme="minorHAnsi" w:cstheme="minorHAnsi"/>
                <w:sz w:val="20"/>
                <w:szCs w:val="20"/>
              </w:rPr>
              <w:t>Classification Level 3</w:t>
            </w:r>
          </w:p>
        </w:tc>
      </w:tr>
      <w:tr w:rsidR="00E13CFF" w:rsidRPr="007C7483" w14:paraId="34E9B462" w14:textId="77777777" w:rsidTr="000F6508">
        <w:tc>
          <w:tcPr>
            <w:cnfStyle w:val="001000000000" w:firstRow="0" w:lastRow="0" w:firstColumn="1" w:lastColumn="0" w:oddVBand="0" w:evenVBand="0" w:oddHBand="0" w:evenHBand="0" w:firstRowFirstColumn="0" w:firstRowLastColumn="0" w:lastRowFirstColumn="0" w:lastRowLastColumn="0"/>
            <w:tcW w:w="1607" w:type="dxa"/>
          </w:tcPr>
          <w:p w14:paraId="67C13A92" w14:textId="34C00E3B" w:rsidR="00E13CFF" w:rsidRPr="007C7483" w:rsidRDefault="000F6508" w:rsidP="00D74E12">
            <w:pPr>
              <w:keepNext/>
              <w:keepLines/>
              <w:spacing w:before="60" w:after="60"/>
              <w:rPr>
                <w:rFonts w:asciiTheme="minorHAnsi" w:hAnsiTheme="minorHAnsi" w:cstheme="minorHAnsi"/>
                <w:color w:val="auto"/>
                <w:sz w:val="20"/>
                <w:szCs w:val="20"/>
              </w:rPr>
            </w:pPr>
            <w:r>
              <w:rPr>
                <w:rFonts w:asciiTheme="minorHAnsi" w:hAnsiTheme="minorHAnsi" w:cstheme="minorHAnsi"/>
                <w:color w:val="auto"/>
                <w:sz w:val="20"/>
                <w:szCs w:val="20"/>
              </w:rPr>
              <w:t>M</w:t>
            </w:r>
            <w:r w:rsidR="00E13CFF" w:rsidRPr="007C7483">
              <w:rPr>
                <w:rFonts w:asciiTheme="minorHAnsi" w:hAnsiTheme="minorHAnsi" w:cstheme="minorHAnsi"/>
                <w:color w:val="auto"/>
                <w:sz w:val="20"/>
                <w:szCs w:val="20"/>
              </w:rPr>
              <w:t>eloxicam</w:t>
            </w:r>
          </w:p>
        </w:tc>
        <w:tc>
          <w:tcPr>
            <w:tcW w:w="968" w:type="dxa"/>
          </w:tcPr>
          <w:p w14:paraId="7AF0D365" w14:textId="77777777" w:rsidR="00E13CFF" w:rsidRPr="007C7483" w:rsidRDefault="00E13CFF" w:rsidP="00D74E12">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C7483">
              <w:rPr>
                <w:rFonts w:asciiTheme="minorHAnsi" w:hAnsiTheme="minorHAnsi" w:cstheme="minorHAnsi"/>
                <w:color w:val="auto"/>
                <w:sz w:val="20"/>
                <w:szCs w:val="20"/>
              </w:rPr>
              <w:t>C</w:t>
            </w:r>
          </w:p>
        </w:tc>
        <w:tc>
          <w:tcPr>
            <w:tcW w:w="2031" w:type="dxa"/>
            <w:gridSpan w:val="2"/>
          </w:tcPr>
          <w:p w14:paraId="03EABA2A" w14:textId="77777777" w:rsidR="00E13CFF" w:rsidRPr="007C7483" w:rsidRDefault="00E13CFF" w:rsidP="00D74E12">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C7483">
              <w:rPr>
                <w:rFonts w:asciiTheme="minorHAnsi" w:hAnsiTheme="minorHAnsi" w:cstheme="minorHAnsi"/>
                <w:color w:val="auto"/>
                <w:sz w:val="20"/>
                <w:szCs w:val="20"/>
              </w:rPr>
              <w:t>Musculoskeletal System</w:t>
            </w:r>
          </w:p>
        </w:tc>
        <w:tc>
          <w:tcPr>
            <w:tcW w:w="2032" w:type="dxa"/>
            <w:gridSpan w:val="2"/>
          </w:tcPr>
          <w:p w14:paraId="5EF48318" w14:textId="77777777" w:rsidR="00E13CFF" w:rsidRPr="007C7483" w:rsidRDefault="00E13CFF" w:rsidP="00D74E12">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C7483">
              <w:rPr>
                <w:rFonts w:asciiTheme="minorHAnsi" w:hAnsiTheme="minorHAnsi" w:cstheme="minorHAnsi"/>
                <w:color w:val="auto"/>
                <w:sz w:val="20"/>
                <w:szCs w:val="20"/>
              </w:rPr>
              <w:t>Non-steroidal anti-inflammatory drugs (NSAIDS)</w:t>
            </w:r>
          </w:p>
        </w:tc>
        <w:tc>
          <w:tcPr>
            <w:tcW w:w="1891" w:type="dxa"/>
          </w:tcPr>
          <w:p w14:paraId="65562581" w14:textId="77777777" w:rsidR="00E13CFF" w:rsidRPr="007C7483" w:rsidRDefault="00E13CFF" w:rsidP="00D74E12">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r>
      <w:tr w:rsidR="00E13CFF" w:rsidRPr="007C7483" w14:paraId="6B60FF06" w14:textId="77777777" w:rsidTr="000F6508">
        <w:tc>
          <w:tcPr>
            <w:cnfStyle w:val="001000000000" w:firstRow="0" w:lastRow="0" w:firstColumn="1" w:lastColumn="0" w:oddVBand="0" w:evenVBand="0" w:oddHBand="0" w:evenHBand="0" w:firstRowFirstColumn="0" w:firstRowLastColumn="0" w:lastRowFirstColumn="0" w:lastRowLastColumn="0"/>
            <w:tcW w:w="8529" w:type="dxa"/>
            <w:gridSpan w:val="7"/>
          </w:tcPr>
          <w:p w14:paraId="04B9EA5F" w14:textId="77777777" w:rsidR="00E13CFF" w:rsidRPr="007C7483" w:rsidRDefault="00E13CFF" w:rsidP="00D74E12">
            <w:pPr>
              <w:keepNext/>
              <w:keepLines/>
              <w:spacing w:before="60" w:after="60"/>
              <w:rPr>
                <w:rFonts w:asciiTheme="minorHAnsi" w:hAnsiTheme="minorHAnsi" w:cstheme="minorHAnsi"/>
                <w:color w:val="auto"/>
                <w:sz w:val="18"/>
                <w:szCs w:val="18"/>
              </w:rPr>
            </w:pPr>
            <w:r w:rsidRPr="007C7483">
              <w:rPr>
                <w:rFonts w:asciiTheme="minorHAnsi" w:hAnsiTheme="minorHAnsi" w:cstheme="minorHAnsi"/>
                <w:b/>
                <w:color w:val="auto"/>
                <w:sz w:val="18"/>
                <w:szCs w:val="18"/>
              </w:rPr>
              <w:t>Category C</w:t>
            </w:r>
            <w:r w:rsidRPr="007C7483">
              <w:rPr>
                <w:rFonts w:asciiTheme="minorHAnsi" w:hAnsiTheme="minorHAnsi" w:cstheme="minorHAnsi"/>
                <w:color w:val="auto"/>
                <w:sz w:val="18"/>
                <w:szCs w:val="18"/>
              </w:rPr>
              <w:t xml:space="preserve"> – Drugs which, owing to their pharmacological effects, have </w:t>
            </w:r>
            <w:proofErr w:type="gramStart"/>
            <w:r w:rsidRPr="007C7483">
              <w:rPr>
                <w:rFonts w:asciiTheme="minorHAnsi" w:hAnsiTheme="minorHAnsi" w:cstheme="minorHAnsi"/>
                <w:color w:val="auto"/>
                <w:sz w:val="18"/>
                <w:szCs w:val="18"/>
              </w:rPr>
              <w:t>caused</w:t>
            </w:r>
            <w:proofErr w:type="gramEnd"/>
            <w:r w:rsidRPr="007C7483">
              <w:rPr>
                <w:rFonts w:asciiTheme="minorHAnsi" w:hAnsiTheme="minorHAnsi" w:cstheme="minorHAnsi"/>
                <w:color w:val="auto"/>
                <w:sz w:val="18"/>
                <w:szCs w:val="18"/>
              </w:rPr>
              <w:t xml:space="preserve"> or may be suspected of causing, harmful effects on the human foetus or neonate without causing malformations. These effects may be reversible. Accompanying texts should be consulted for further details.</w:t>
            </w:r>
          </w:p>
        </w:tc>
      </w:tr>
    </w:tbl>
    <w:p w14:paraId="03247215" w14:textId="0AC61B46" w:rsidR="00E13CFF" w:rsidRPr="007C7483" w:rsidRDefault="00E13CFF" w:rsidP="00EB1099">
      <w:pPr>
        <w:pStyle w:val="ListBullet"/>
        <w:numPr>
          <w:ilvl w:val="0"/>
          <w:numId w:val="83"/>
        </w:numPr>
      </w:pPr>
      <w:r w:rsidRPr="007C7483">
        <w:t xml:space="preserve">There are no warning statements pertaining to meloxicam in the </w:t>
      </w:r>
      <w:hyperlink r:id="rId152" w:history="1">
        <w:r w:rsidRPr="007C7483">
          <w:rPr>
            <w:rStyle w:val="Hyperlink"/>
            <w:rFonts w:asciiTheme="minorHAnsi" w:hAnsiTheme="minorHAnsi"/>
          </w:rPr>
          <w:t>Therapeutic Goods (Medicines Advisory Statements) Specification 2021</w:t>
        </w:r>
      </w:hyperlink>
    </w:p>
    <w:p w14:paraId="28394E7F" w14:textId="28B6150D" w:rsidR="00E13CFF" w:rsidRPr="007C7483" w:rsidRDefault="00E13CFF" w:rsidP="00EB1099">
      <w:pPr>
        <w:pStyle w:val="ListBullet"/>
        <w:numPr>
          <w:ilvl w:val="0"/>
          <w:numId w:val="83"/>
        </w:numPr>
      </w:pPr>
      <w:r w:rsidRPr="007C7483">
        <w:t xml:space="preserve">Between July 2013 and July 2023, there were 213 reports of adverse events for products containing meloxicam as an active ingredient on the </w:t>
      </w:r>
      <w:hyperlink r:id="rId153"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7C7483">
        <w:t>, with 121 reports where meloxicam was the single suspected medicine. The majority of reports related to gastrointestinal disorders such as nausea and haemorrhages, or skin tissue disorders such as rash or pruritus.</w:t>
      </w:r>
    </w:p>
    <w:p w14:paraId="398520D3" w14:textId="09820146" w:rsidR="00E13CFF" w:rsidRPr="007C7483" w:rsidRDefault="00E13CFF" w:rsidP="00EB1099">
      <w:pPr>
        <w:pStyle w:val="ListBullet"/>
        <w:numPr>
          <w:ilvl w:val="0"/>
          <w:numId w:val="83"/>
        </w:numPr>
      </w:pPr>
      <w:r w:rsidRPr="007C7483">
        <w:t xml:space="preserve">As of August 2023, there were 72 products containing meloxicam as an active ingredient/constituent or scheduled substance listed on the </w:t>
      </w:r>
      <w:hyperlink r:id="rId154"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w:t>
      </w:r>
      <w:proofErr w:type="spellStart"/>
      <w:r w:rsidR="00EB1099" w:rsidRPr="00EB1099">
        <w:rPr>
          <w:rStyle w:val="Hyperlink"/>
          <w:rFonts w:asciiTheme="minorHAnsi" w:hAnsiTheme="minorHAnsi"/>
          <w:color w:val="auto"/>
          <w:u w:val="none"/>
        </w:rPr>
        <w:t>PubCRIS</w:t>
      </w:r>
      <w:proofErr w:type="spellEnd"/>
      <w:r w:rsidR="00EB1099" w:rsidRPr="00EB1099">
        <w:rPr>
          <w:rStyle w:val="Hyperlink"/>
          <w:rFonts w:asciiTheme="minorHAnsi" w:hAnsiTheme="minorHAnsi"/>
          <w:color w:val="auto"/>
          <w:u w:val="none"/>
        </w:rPr>
        <w:t>)</w:t>
      </w:r>
      <w:r w:rsidRPr="007C7483">
        <w:t>. These were in a variety of dosage forms including oral suspensions, injections, tablets and transmucosal gels.</w:t>
      </w:r>
    </w:p>
    <w:p w14:paraId="43492275" w14:textId="126C8766" w:rsidR="00E13CFF" w:rsidRPr="007C7483" w:rsidRDefault="00E13CFF" w:rsidP="00EB1099">
      <w:pPr>
        <w:pStyle w:val="ListBullet"/>
        <w:numPr>
          <w:ilvl w:val="0"/>
          <w:numId w:val="83"/>
        </w:numPr>
      </w:pPr>
      <w:r w:rsidRPr="007C7483">
        <w:t xml:space="preserve">In 2015-2020 the following adverse experiences were recorded for meloxicam in the </w:t>
      </w:r>
      <w:hyperlink r:id="rId155" w:history="1">
        <w:r w:rsidRPr="007C7483">
          <w:rPr>
            <w:rStyle w:val="Hyperlink"/>
            <w:rFonts w:asciiTheme="minorHAnsi" w:hAnsiTheme="minorHAnsi"/>
          </w:rPr>
          <w:t>APVMA Adverse Experience Reporting Program</w:t>
        </w:r>
      </w:hyperlink>
      <w:r w:rsidRPr="00EB1099">
        <w:rPr>
          <w:rStyle w:val="Hyperlink"/>
          <w:rFonts w:asciiTheme="minorHAnsi" w:hAnsiTheme="minorHAnsi"/>
          <w:color w:val="auto"/>
          <w:u w:val="none"/>
        </w:rPr>
        <w:t xml:space="preserve"> </w:t>
      </w:r>
      <w:r w:rsidR="00EB1099" w:rsidRPr="00EB1099">
        <w:rPr>
          <w:rStyle w:val="Hyperlink"/>
          <w:rFonts w:asciiTheme="minorHAnsi" w:hAnsiTheme="minorHAnsi"/>
          <w:color w:val="auto"/>
          <w:u w:val="none"/>
        </w:rPr>
        <w:t xml:space="preserve">(AERP) </w:t>
      </w:r>
      <w:r w:rsidRPr="00EB1099">
        <w:rPr>
          <w:rStyle w:val="Hyperlink"/>
          <w:rFonts w:asciiTheme="minorHAnsi" w:hAnsiTheme="minorHAnsi"/>
          <w:color w:val="auto"/>
          <w:u w:val="none"/>
        </w:rPr>
        <w:t>database:</w:t>
      </w:r>
    </w:p>
    <w:p w14:paraId="67BBBA3E" w14:textId="689312B1" w:rsidR="00E13CFF" w:rsidRPr="007C7483" w:rsidRDefault="00E13CFF" w:rsidP="00EB1099">
      <w:pPr>
        <w:pStyle w:val="ListBullet2"/>
        <w:numPr>
          <w:ilvl w:val="1"/>
          <w:numId w:val="39"/>
        </w:numPr>
        <w:ind w:left="714" w:hanging="357"/>
        <w:rPr>
          <w:rFonts w:cstheme="minorHAnsi"/>
          <w:color w:val="auto"/>
        </w:rPr>
      </w:pPr>
      <w:r w:rsidRPr="007C7483">
        <w:rPr>
          <w:rFonts w:cstheme="minorHAnsi"/>
          <w:color w:val="auto"/>
        </w:rPr>
        <w:t xml:space="preserve">74 reports of incidents classified as related to animal </w:t>
      </w:r>
      <w:proofErr w:type="gramStart"/>
      <w:r w:rsidRPr="007C7483">
        <w:rPr>
          <w:rFonts w:cstheme="minorHAnsi"/>
          <w:color w:val="auto"/>
        </w:rPr>
        <w:t>health</w:t>
      </w:r>
      <w:proofErr w:type="gramEnd"/>
    </w:p>
    <w:p w14:paraId="27E4D143" w14:textId="2EE3D560" w:rsidR="00E13CFF" w:rsidRPr="007C7483" w:rsidRDefault="00C66551" w:rsidP="00EB1099">
      <w:pPr>
        <w:pStyle w:val="ListBullet2"/>
        <w:numPr>
          <w:ilvl w:val="1"/>
          <w:numId w:val="39"/>
        </w:numPr>
        <w:ind w:left="714" w:hanging="357"/>
        <w:rPr>
          <w:rFonts w:cstheme="minorHAnsi"/>
          <w:color w:val="auto"/>
        </w:rPr>
      </w:pPr>
      <w:r>
        <w:rPr>
          <w:rFonts w:cstheme="minorHAnsi"/>
          <w:color w:val="auto"/>
        </w:rPr>
        <w:t>O</w:t>
      </w:r>
      <w:r w:rsidR="007040B0">
        <w:rPr>
          <w:rFonts w:cstheme="minorHAnsi"/>
          <w:color w:val="auto"/>
        </w:rPr>
        <w:t>ne</w:t>
      </w:r>
      <w:r w:rsidR="00E13CFF" w:rsidRPr="007C7483">
        <w:rPr>
          <w:rFonts w:cstheme="minorHAnsi"/>
          <w:color w:val="auto"/>
        </w:rPr>
        <w:t xml:space="preserve"> report of an incident related to lack of efficacy.</w:t>
      </w:r>
    </w:p>
    <w:p w14:paraId="103CD108" w14:textId="77777777" w:rsidR="00E13CFF" w:rsidRDefault="00E13CFF" w:rsidP="00E13CFF">
      <w:pPr>
        <w:pStyle w:val="Heading4"/>
      </w:pPr>
      <w:bookmarkStart w:id="150" w:name="_Toc144110938"/>
      <w:r>
        <w:t>International regulations</w:t>
      </w:r>
      <w:bookmarkEnd w:id="150"/>
    </w:p>
    <w:p w14:paraId="082BE3A5" w14:textId="77777777" w:rsidR="00E13CFF" w:rsidRPr="007C7483" w:rsidRDefault="00E13CFF" w:rsidP="00EB1099">
      <w:pPr>
        <w:pStyle w:val="ListBullet"/>
        <w:numPr>
          <w:ilvl w:val="0"/>
          <w:numId w:val="83"/>
        </w:numPr>
      </w:pPr>
      <w:r w:rsidRPr="007C7483">
        <w:t xml:space="preserve">Ireland’s </w:t>
      </w:r>
      <w:hyperlink r:id="rId156" w:history="1">
        <w:r w:rsidRPr="007C7483">
          <w:rPr>
            <w:rStyle w:val="Hyperlink"/>
            <w:rFonts w:asciiTheme="minorHAnsi" w:hAnsiTheme="minorHAnsi"/>
          </w:rPr>
          <w:t>Health Products Regulatory Authority</w:t>
        </w:r>
      </w:hyperlink>
      <w:r w:rsidRPr="007C7483">
        <w:t xml:space="preserve"> regulates 4 products containing meloxicam. All are prescription-only tablets.</w:t>
      </w:r>
    </w:p>
    <w:p w14:paraId="16C8EC36" w14:textId="77777777" w:rsidR="00E13CFF" w:rsidRPr="007C7483" w:rsidRDefault="00E13CFF" w:rsidP="00EB1099">
      <w:pPr>
        <w:pStyle w:val="ListBullet"/>
        <w:numPr>
          <w:ilvl w:val="0"/>
          <w:numId w:val="83"/>
        </w:numPr>
        <w:rPr>
          <w:color w:val="0000FF"/>
          <w:szCs w:val="22"/>
          <w:u w:val="single"/>
        </w:rPr>
      </w:pPr>
      <w:r w:rsidRPr="007C7483">
        <w:t xml:space="preserve">Health Canada’s </w:t>
      </w:r>
      <w:hyperlink r:id="rId157" w:history="1">
        <w:r w:rsidRPr="007C7483">
          <w:rPr>
            <w:rStyle w:val="Hyperlink"/>
            <w:rFonts w:asciiTheme="minorHAnsi" w:hAnsiTheme="minorHAnsi"/>
          </w:rPr>
          <w:t>Drug Product Database</w:t>
        </w:r>
      </w:hyperlink>
      <w:r w:rsidRPr="007C7483">
        <w:t xml:space="preserve"> includes 32 marketed products containing meloxicam. These include 22 products for veterinary use. All marketed products containing meloxicam are only available by prescription.</w:t>
      </w:r>
    </w:p>
    <w:p w14:paraId="351AA118" w14:textId="77777777" w:rsidR="00E13CFF" w:rsidRPr="007C7483" w:rsidRDefault="00E13CFF" w:rsidP="00EB1099">
      <w:pPr>
        <w:pStyle w:val="ListBullet"/>
        <w:numPr>
          <w:ilvl w:val="0"/>
          <w:numId w:val="83"/>
        </w:numPr>
        <w:rPr>
          <w:rStyle w:val="Hyperlink"/>
          <w:rFonts w:asciiTheme="minorHAnsi" w:hAnsiTheme="minorHAnsi"/>
          <w:color w:val="auto"/>
          <w:szCs w:val="22"/>
          <w:u w:val="none"/>
        </w:rPr>
      </w:pPr>
      <w:r w:rsidRPr="007C7483">
        <w:rPr>
          <w:rStyle w:val="Hyperlink"/>
          <w:rFonts w:asciiTheme="minorHAnsi" w:hAnsiTheme="minorHAnsi"/>
          <w:color w:val="auto"/>
          <w:szCs w:val="22"/>
          <w:u w:val="none"/>
        </w:rPr>
        <w:t xml:space="preserve">New Zealand’s </w:t>
      </w:r>
      <w:hyperlink r:id="rId158" w:history="1">
        <w:r w:rsidRPr="007C7483">
          <w:rPr>
            <w:rStyle w:val="Hyperlink"/>
            <w:rFonts w:asciiTheme="minorHAnsi" w:hAnsiTheme="minorHAnsi"/>
            <w:szCs w:val="22"/>
          </w:rPr>
          <w:t>Medicines Classification Database</w:t>
        </w:r>
      </w:hyperlink>
      <w:r w:rsidRPr="007C7483">
        <w:rPr>
          <w:rStyle w:val="Hyperlink"/>
          <w:rFonts w:asciiTheme="minorHAnsi" w:hAnsiTheme="minorHAnsi"/>
          <w:color w:val="auto"/>
          <w:szCs w:val="22"/>
          <w:u w:val="none"/>
        </w:rPr>
        <w:t xml:space="preserve"> lists meloxicam as a prescription medicine for all preparations and applications.</w:t>
      </w:r>
    </w:p>
    <w:p w14:paraId="59BEDEC7" w14:textId="55E73071" w:rsidR="00E13CFF" w:rsidRPr="00EC14ED" w:rsidRDefault="00E13CFF" w:rsidP="00EB1099">
      <w:pPr>
        <w:pStyle w:val="ListBullet"/>
        <w:numPr>
          <w:ilvl w:val="0"/>
          <w:numId w:val="83"/>
        </w:numPr>
      </w:pPr>
      <w:r w:rsidRPr="007C7483">
        <w:rPr>
          <w:rStyle w:val="Hyperlink"/>
          <w:rFonts w:asciiTheme="minorHAnsi" w:hAnsiTheme="minorHAnsi"/>
          <w:color w:val="auto"/>
          <w:szCs w:val="22"/>
          <w:u w:val="none"/>
        </w:rPr>
        <w:t xml:space="preserve">The United States Food and Drug Administration’s </w:t>
      </w:r>
      <w:hyperlink r:id="rId159" w:history="1">
        <w:proofErr w:type="spellStart"/>
        <w:r w:rsidRPr="007C7483">
          <w:rPr>
            <w:rStyle w:val="Hyperlink"/>
            <w:rFonts w:asciiTheme="minorHAnsi" w:hAnsiTheme="minorHAnsi"/>
            <w:szCs w:val="22"/>
          </w:rPr>
          <w:t>Drugs@FDA</w:t>
        </w:r>
        <w:proofErr w:type="spellEnd"/>
      </w:hyperlink>
      <w:r w:rsidRPr="007C7483">
        <w:rPr>
          <w:rStyle w:val="Hyperlink"/>
          <w:rFonts w:asciiTheme="minorHAnsi" w:hAnsiTheme="minorHAnsi"/>
          <w:color w:val="auto"/>
          <w:szCs w:val="22"/>
          <w:u w:val="none"/>
        </w:rPr>
        <w:t xml:space="preserve"> database includes 18 current products containing meloxicam, in tablets, capsules and oral suspensions. All are regulated as prescription medicines.</w:t>
      </w:r>
    </w:p>
    <w:p w14:paraId="0A75556F" w14:textId="5605D421" w:rsidR="00E13CFF" w:rsidRDefault="001D5CC5" w:rsidP="00E13CFF">
      <w:pPr>
        <w:pStyle w:val="Heading3"/>
      </w:pPr>
      <w:bookmarkStart w:id="151" w:name="_Toc144110939"/>
      <w:r>
        <w:t>2.4</w:t>
      </w:r>
      <w:r>
        <w:tab/>
      </w:r>
      <w:r w:rsidR="00E13CFF" w:rsidRPr="00BC03E0">
        <w:t>Palmitoylethanolamide</w:t>
      </w:r>
      <w:r w:rsidR="00E13CFF">
        <w:t xml:space="preserve"> (PEA)</w:t>
      </w:r>
      <w:bookmarkEnd w:id="151"/>
    </w:p>
    <w:p w14:paraId="525B2E55" w14:textId="77777777" w:rsidR="00E13CFF" w:rsidRDefault="00E13CFF" w:rsidP="00E13CFF">
      <w:pPr>
        <w:pStyle w:val="Heading4"/>
      </w:pPr>
      <w:bookmarkStart w:id="152" w:name="_Toc144110940"/>
      <w:r>
        <w:t>Proposal</w:t>
      </w:r>
      <w:bookmarkEnd w:id="152"/>
    </w:p>
    <w:p w14:paraId="0F0D56C3" w14:textId="7EE5FC1D" w:rsidR="00E13CFF" w:rsidRDefault="00E13CFF" w:rsidP="00E13CFF">
      <w:pPr>
        <w:rPr>
          <w:color w:val="000000"/>
          <w:shd w:val="clear" w:color="auto" w:fill="FFFFFF"/>
        </w:rPr>
      </w:pPr>
      <w:r w:rsidRPr="00E97A7E">
        <w:t xml:space="preserve">The applicant has proposed a new Schedule 6 entry for palmitoylethanolamide </w:t>
      </w:r>
      <w:r w:rsidR="00C66551">
        <w:t xml:space="preserve">(PEA) </w:t>
      </w:r>
      <w:r w:rsidR="0059548A">
        <w:t xml:space="preserve">with an </w:t>
      </w:r>
      <w:r w:rsidRPr="00E97A7E">
        <w:t>ex</w:t>
      </w:r>
      <w:r w:rsidR="0059548A">
        <w:t>emption</w:t>
      </w:r>
      <w:r w:rsidRPr="00E97A7E">
        <w:t xml:space="preserve"> for </w:t>
      </w:r>
      <w:r w:rsidR="0059548A">
        <w:t xml:space="preserve">use in </w:t>
      </w:r>
      <w:r w:rsidRPr="00E97A7E">
        <w:t xml:space="preserve">listed human medicines. The proposal would require </w:t>
      </w:r>
      <w:r>
        <w:t xml:space="preserve">products </w:t>
      </w:r>
      <w:r w:rsidR="0059548A">
        <w:t xml:space="preserve">containing PEA </w:t>
      </w:r>
      <w:r>
        <w:t xml:space="preserve">that are not listed as human medicines, such as veterinary products, </w:t>
      </w:r>
      <w:r w:rsidRPr="00E97A7E">
        <w:rPr>
          <w:color w:val="000000"/>
          <w:shd w:val="clear" w:color="auto" w:fill="FFFFFF"/>
        </w:rPr>
        <w:t xml:space="preserve">to </w:t>
      </w:r>
      <w:r w:rsidR="0059548A">
        <w:rPr>
          <w:color w:val="000000"/>
          <w:shd w:val="clear" w:color="auto" w:fill="FFFFFF"/>
        </w:rPr>
        <w:t>have</w:t>
      </w:r>
      <w:r w:rsidRPr="00E97A7E">
        <w:rPr>
          <w:color w:val="000000"/>
          <w:shd w:val="clear" w:color="auto" w:fill="FFFFFF"/>
        </w:rPr>
        <w:t xml:space="preserve"> distinctive packaging with strong warnings and safety directions on the label.</w:t>
      </w:r>
    </w:p>
    <w:p w14:paraId="0DC62F30" w14:textId="13421EA5" w:rsidR="00E13CFF" w:rsidRDefault="00E13CFF" w:rsidP="00E13CFF">
      <w:pPr>
        <w:pStyle w:val="Heading4"/>
      </w:pPr>
      <w:bookmarkStart w:id="153" w:name="_Toc144110941"/>
      <w:r>
        <w:t>CAS Number</w:t>
      </w:r>
      <w:bookmarkEnd w:id="153"/>
    </w:p>
    <w:p w14:paraId="070D0EB2" w14:textId="77777777" w:rsidR="00E13CFF" w:rsidRPr="00B85375" w:rsidRDefault="00E13CFF" w:rsidP="00E13CFF">
      <w:pPr>
        <w:rPr>
          <w:color w:val="000000"/>
          <w:shd w:val="clear" w:color="auto" w:fill="FFFFFF"/>
        </w:rPr>
      </w:pPr>
      <w:r w:rsidRPr="008D2CE1">
        <w:rPr>
          <w:color w:val="000000"/>
          <w:shd w:val="clear" w:color="auto" w:fill="FFFFFF"/>
        </w:rPr>
        <w:t>544-31-0</w:t>
      </w:r>
    </w:p>
    <w:p w14:paraId="1AF9765E" w14:textId="77777777" w:rsidR="00E13CFF" w:rsidRDefault="00E13CFF" w:rsidP="00E13CFF">
      <w:pPr>
        <w:pStyle w:val="Heading4"/>
      </w:pPr>
      <w:bookmarkStart w:id="154" w:name="_Toc144110942"/>
      <w:r>
        <w:t>Alternative names</w:t>
      </w:r>
      <w:bookmarkEnd w:id="154"/>
    </w:p>
    <w:p w14:paraId="6F3EB45C" w14:textId="7348805C" w:rsidR="00E13CFF" w:rsidRDefault="00E13CFF" w:rsidP="00E13CFF">
      <w:r>
        <w:t>Palmidrol, PEA</w:t>
      </w:r>
      <w:r w:rsidR="00BC03E0">
        <w:t xml:space="preserve">, </w:t>
      </w:r>
      <w:r w:rsidR="00BC03E0" w:rsidRPr="00BC03E0">
        <w:t>palmitic acid monoethanolamide</w:t>
      </w:r>
    </w:p>
    <w:p w14:paraId="539A20D0" w14:textId="77777777" w:rsidR="00E13CFF" w:rsidRDefault="00E13CFF" w:rsidP="00E13CFF">
      <w:pPr>
        <w:pStyle w:val="Heading4"/>
      </w:pPr>
      <w:bookmarkStart w:id="155" w:name="_Toc144110943"/>
      <w:r>
        <w:t>Applicant</w:t>
      </w:r>
      <w:bookmarkEnd w:id="155"/>
    </w:p>
    <w:p w14:paraId="5AE99AE9" w14:textId="77777777" w:rsidR="00E13CFF" w:rsidRDefault="00E13CFF" w:rsidP="00E13CFF">
      <w:r>
        <w:t>Australian Pesticides and Veterinary Medicines Authority (APVMA)</w:t>
      </w:r>
    </w:p>
    <w:p w14:paraId="4EE8C432" w14:textId="77777777" w:rsidR="00E13CFF" w:rsidRDefault="00E13CFF" w:rsidP="00E13CFF">
      <w:pPr>
        <w:pStyle w:val="Heading4"/>
      </w:pPr>
      <w:bookmarkStart w:id="156" w:name="_Toc144110944"/>
      <w:r>
        <w:t>Proposed Scheduling</w:t>
      </w:r>
      <w:bookmarkEnd w:id="156"/>
    </w:p>
    <w:p w14:paraId="52BB8D0D" w14:textId="438EB58C" w:rsidR="00E13CFF" w:rsidRDefault="00E13CFF" w:rsidP="00E13CFF">
      <w:pPr>
        <w:rPr>
          <w:rFonts w:cstheme="minorHAnsi"/>
        </w:rPr>
      </w:pPr>
      <w:r>
        <w:rPr>
          <w:rFonts w:cstheme="minorHAnsi"/>
        </w:rPr>
        <w:t>P</w:t>
      </w:r>
      <w:r w:rsidRPr="001B3E4F">
        <w:rPr>
          <w:rFonts w:cstheme="minorHAnsi"/>
        </w:rPr>
        <w:t xml:space="preserve">almitoylethanolamide </w:t>
      </w:r>
      <w:r w:rsidRPr="00AF12F6">
        <w:rPr>
          <w:rFonts w:cstheme="minorHAnsi"/>
        </w:rPr>
        <w:t>is not specifically scheduled</w:t>
      </w:r>
      <w:r>
        <w:rPr>
          <w:rFonts w:cstheme="minorHAnsi"/>
        </w:rPr>
        <w:t xml:space="preserve"> in the current Poisons Standard</w:t>
      </w:r>
      <w:r w:rsidRPr="00AF12F6">
        <w:rPr>
          <w:rFonts w:cstheme="minorHAnsi"/>
        </w:rPr>
        <w:t>.</w:t>
      </w:r>
    </w:p>
    <w:p w14:paraId="6F099503" w14:textId="77777777" w:rsidR="00D74E12" w:rsidRDefault="00D74E12" w:rsidP="00D74E12">
      <w:pPr>
        <w:rPr>
          <w:rFonts w:cstheme="minorHAnsi"/>
        </w:rPr>
      </w:pPr>
      <w:r>
        <w:rPr>
          <w:rFonts w:cstheme="minorHAnsi"/>
        </w:rPr>
        <w:t>The applicant’s proposed amendments to the Poisons Standard are:</w:t>
      </w:r>
      <w:r>
        <w:rPr>
          <w:rStyle w:val="FootnoteReference"/>
          <w:rFonts w:cstheme="minorHAnsi"/>
        </w:rPr>
        <w:footnoteReference w:id="13"/>
      </w:r>
    </w:p>
    <w:p w14:paraId="001F123B" w14:textId="77777777" w:rsidR="00E13CFF" w:rsidRDefault="00E13CFF" w:rsidP="0072362E">
      <w:pPr>
        <w:ind w:left="426"/>
        <w:rPr>
          <w:b/>
          <w:bCs/>
        </w:rPr>
      </w:pPr>
      <w:r w:rsidRPr="006C76FF">
        <w:rPr>
          <w:b/>
          <w:bCs/>
        </w:rPr>
        <w:t>Schedule 6</w:t>
      </w:r>
      <w:r>
        <w:rPr>
          <w:b/>
          <w:bCs/>
        </w:rPr>
        <w:t xml:space="preserve"> – New Entry</w:t>
      </w:r>
    </w:p>
    <w:p w14:paraId="430B0121" w14:textId="77777777" w:rsidR="00E13CFF" w:rsidRPr="008D2CE1" w:rsidRDefault="00E13CFF" w:rsidP="00E13CFF">
      <w:pPr>
        <w:ind w:firstLine="720"/>
        <w:rPr>
          <w:rFonts w:cstheme="minorHAnsi"/>
          <w:color w:val="00B050"/>
          <w:u w:val="single"/>
        </w:rPr>
      </w:pPr>
      <w:r w:rsidRPr="008D2CE1">
        <w:rPr>
          <w:rFonts w:cstheme="minorHAnsi"/>
          <w:color w:val="00B050"/>
          <w:u w:val="single"/>
        </w:rPr>
        <w:t xml:space="preserve">PALMITOYLETHANOLAMIDE </w:t>
      </w:r>
      <w:r w:rsidRPr="0059548A">
        <w:rPr>
          <w:rFonts w:cstheme="minorHAnsi"/>
          <w:b/>
          <w:bCs/>
          <w:color w:val="00B050"/>
          <w:u w:val="single"/>
        </w:rPr>
        <w:t>except</w:t>
      </w:r>
      <w:r w:rsidRPr="008D2CE1">
        <w:rPr>
          <w:rFonts w:cstheme="minorHAnsi"/>
          <w:color w:val="00B050"/>
          <w:u w:val="single"/>
        </w:rPr>
        <w:t xml:space="preserve"> in listed human </w:t>
      </w:r>
      <w:proofErr w:type="gramStart"/>
      <w:r w:rsidRPr="008D2CE1">
        <w:rPr>
          <w:rFonts w:cstheme="minorHAnsi"/>
          <w:color w:val="00B050"/>
          <w:u w:val="single"/>
        </w:rPr>
        <w:t>medicines</w:t>
      </w:r>
      <w:proofErr w:type="gramEnd"/>
    </w:p>
    <w:p w14:paraId="38678802" w14:textId="0315B683" w:rsidR="000F3020" w:rsidRDefault="00E13CFF" w:rsidP="0072362E">
      <w:pPr>
        <w:pStyle w:val="NoSpacing"/>
        <w:ind w:left="426"/>
        <w:rPr>
          <w:rFonts w:ascii="Times New Roman" w:hAnsi="Times New Roman" w:cs="Times New Roman"/>
          <w:b/>
          <w:bCs/>
          <w:noProof/>
          <w:sz w:val="24"/>
          <w:szCs w:val="24"/>
        </w:rPr>
      </w:pPr>
      <w:r>
        <w:rPr>
          <w:b/>
          <w:bCs/>
        </w:rPr>
        <w:t>Index – New Entry</w:t>
      </w:r>
    </w:p>
    <w:p w14:paraId="113ADDCB" w14:textId="77777777" w:rsidR="00E13CFF" w:rsidRPr="0072362E" w:rsidRDefault="00E13CFF" w:rsidP="0072362E">
      <w:pPr>
        <w:pStyle w:val="NoSpacing"/>
        <w:spacing w:before="120"/>
        <w:ind w:left="709"/>
        <w:rPr>
          <w:rFonts w:eastAsiaTheme="minorHAnsi" w:cstheme="minorHAnsi"/>
          <w:b/>
          <w:bCs/>
          <w:color w:val="00B050"/>
          <w:u w:val="single"/>
          <w:lang w:eastAsia="en-US"/>
        </w:rPr>
      </w:pPr>
      <w:r w:rsidRPr="0072362E">
        <w:rPr>
          <w:rFonts w:eastAsiaTheme="minorHAnsi" w:cstheme="minorHAnsi"/>
          <w:b/>
          <w:bCs/>
          <w:color w:val="00B050"/>
          <w:u w:val="single"/>
          <w:lang w:eastAsia="en-US"/>
        </w:rPr>
        <w:t xml:space="preserve">PALMITOYLETHANOLAMIDE </w:t>
      </w:r>
    </w:p>
    <w:p w14:paraId="38420AEC" w14:textId="77777777" w:rsidR="0059548A" w:rsidRDefault="00E13CFF">
      <w:pPr>
        <w:pStyle w:val="NoSpacing"/>
        <w:ind w:left="709"/>
        <w:jc w:val="left"/>
        <w:rPr>
          <w:rFonts w:eastAsiaTheme="minorHAnsi" w:cstheme="minorHAnsi"/>
          <w:color w:val="00B050"/>
          <w:u w:val="single"/>
          <w:lang w:eastAsia="en-US"/>
        </w:rPr>
      </w:pPr>
      <w:r w:rsidRPr="008D2CE1">
        <w:rPr>
          <w:rFonts w:eastAsiaTheme="minorHAnsi" w:cstheme="minorHAnsi"/>
          <w:color w:val="00B050"/>
          <w:u w:val="single"/>
          <w:lang w:eastAsia="en-US"/>
        </w:rPr>
        <w:t>cross reference: PALMIDROL</w:t>
      </w:r>
    </w:p>
    <w:p w14:paraId="1A5B7184" w14:textId="4AAF0AE7" w:rsidR="00E13CFF" w:rsidRPr="008D2CE1" w:rsidRDefault="00E13CFF" w:rsidP="0059548A">
      <w:pPr>
        <w:pStyle w:val="NoSpacing"/>
        <w:spacing w:before="120"/>
        <w:ind w:left="709"/>
        <w:jc w:val="left"/>
        <w:rPr>
          <w:rFonts w:eastAsiaTheme="minorHAnsi" w:cstheme="minorHAnsi"/>
          <w:color w:val="00B050"/>
          <w:u w:val="single"/>
          <w:lang w:eastAsia="en-US"/>
        </w:rPr>
      </w:pPr>
      <w:r>
        <w:rPr>
          <w:rFonts w:eastAsiaTheme="minorHAnsi" w:cstheme="minorHAnsi"/>
          <w:color w:val="00B050"/>
          <w:u w:val="single"/>
          <w:lang w:eastAsia="en-US"/>
        </w:rPr>
        <w:t>Schedule 6</w:t>
      </w:r>
    </w:p>
    <w:p w14:paraId="411E9458" w14:textId="77777777" w:rsidR="00E13CFF" w:rsidRDefault="00E13CFF" w:rsidP="00E13CFF">
      <w:pPr>
        <w:pStyle w:val="Heading4"/>
      </w:pPr>
      <w:bookmarkStart w:id="157" w:name="_Toc144110945"/>
      <w:r>
        <w:t>Background</w:t>
      </w:r>
      <w:bookmarkEnd w:id="157"/>
    </w:p>
    <w:p w14:paraId="4D2DC112" w14:textId="3F714F9E" w:rsidR="00E13CFF" w:rsidRPr="007B21F2" w:rsidRDefault="00E13CFF" w:rsidP="00E13CFF">
      <w:pPr>
        <w:spacing w:before="120"/>
        <w:jc w:val="both"/>
      </w:pPr>
      <w:r>
        <w:t>P</w:t>
      </w:r>
      <w:r w:rsidRPr="00F03FFC">
        <w:t>almitoylethanolamide</w:t>
      </w:r>
      <w:r w:rsidRPr="007B21F2">
        <w:t xml:space="preserve"> </w:t>
      </w:r>
      <w:r>
        <w:t xml:space="preserve">(PEA) </w:t>
      </w:r>
      <w:r w:rsidRPr="007B21F2">
        <w:t xml:space="preserve">is a new </w:t>
      </w:r>
      <w:r>
        <w:t>veterinary</w:t>
      </w:r>
      <w:r w:rsidRPr="007B21F2">
        <w:t xml:space="preserve"> active constituent in Australia and is not listed in the </w:t>
      </w:r>
      <w:r>
        <w:t xml:space="preserve">Poisons Standard. </w:t>
      </w:r>
      <w:r w:rsidRPr="00E97A7E">
        <w:t>Palmitoylethanolamide</w:t>
      </w:r>
      <w:r w:rsidRPr="00E97A7E">
        <w:rPr>
          <w:color w:val="000000"/>
          <w:shd w:val="clear" w:color="auto" w:fill="FFFFFF"/>
        </w:rPr>
        <w:t xml:space="preserve"> is typically used as a dietary supplement or food additive internationally and </w:t>
      </w:r>
      <w:r w:rsidR="0059548A">
        <w:rPr>
          <w:color w:val="000000"/>
          <w:shd w:val="clear" w:color="auto" w:fill="FFFFFF"/>
        </w:rPr>
        <w:t>in</w:t>
      </w:r>
      <w:r w:rsidRPr="00E97A7E">
        <w:rPr>
          <w:color w:val="000000"/>
          <w:shd w:val="clear" w:color="auto" w:fill="FFFFFF"/>
        </w:rPr>
        <w:t xml:space="preserve"> listed </w:t>
      </w:r>
      <w:r>
        <w:rPr>
          <w:color w:val="000000"/>
          <w:shd w:val="clear" w:color="auto" w:fill="FFFFFF"/>
        </w:rPr>
        <w:t xml:space="preserve">human </w:t>
      </w:r>
      <w:r w:rsidRPr="00E97A7E">
        <w:rPr>
          <w:color w:val="000000"/>
          <w:shd w:val="clear" w:color="auto" w:fill="FFFFFF"/>
        </w:rPr>
        <w:t>medicine</w:t>
      </w:r>
      <w:r w:rsidR="0059548A">
        <w:rPr>
          <w:color w:val="000000"/>
          <w:shd w:val="clear" w:color="auto" w:fill="FFFFFF"/>
        </w:rPr>
        <w:t>s</w:t>
      </w:r>
      <w:r w:rsidRPr="00E97A7E">
        <w:rPr>
          <w:color w:val="000000"/>
          <w:shd w:val="clear" w:color="auto" w:fill="FFFFFF"/>
        </w:rPr>
        <w:t xml:space="preserve"> in Australia</w:t>
      </w:r>
      <w:r>
        <w:rPr>
          <w:color w:val="000000"/>
          <w:shd w:val="clear" w:color="auto" w:fill="FFFFFF"/>
        </w:rPr>
        <w:t>. It</w:t>
      </w:r>
      <w:r w:rsidRPr="00E97A7E">
        <w:rPr>
          <w:color w:val="000000"/>
          <w:shd w:val="clear" w:color="auto" w:fill="FFFFFF"/>
        </w:rPr>
        <w:t xml:space="preserve"> is purported to </w:t>
      </w:r>
      <w:r>
        <w:rPr>
          <w:color w:val="000000"/>
          <w:shd w:val="clear" w:color="auto" w:fill="FFFFFF"/>
        </w:rPr>
        <w:t>have</w:t>
      </w:r>
      <w:r w:rsidRPr="00E97A7E">
        <w:rPr>
          <w:color w:val="000000"/>
          <w:shd w:val="clear" w:color="auto" w:fill="FFFFFF"/>
        </w:rPr>
        <w:t xml:space="preserve"> a role as an anti-inflammatory, antihypertensive, neuroprotective and anticonvulsant agent.</w:t>
      </w:r>
    </w:p>
    <w:p w14:paraId="6F54A5DB" w14:textId="77777777" w:rsidR="00E13CFF" w:rsidRDefault="00E13CFF" w:rsidP="00E13CFF">
      <w:pPr>
        <w:pStyle w:val="Heading4"/>
      </w:pPr>
      <w:bookmarkStart w:id="158" w:name="_Toc144110946"/>
      <w:r>
        <w:t>Summary of applicant’s reasons for the proposal</w:t>
      </w:r>
      <w:bookmarkEnd w:id="158"/>
    </w:p>
    <w:p w14:paraId="1D6BA5FE" w14:textId="059F5FBE" w:rsidR="00E13CFF" w:rsidRPr="00D44CC1" w:rsidRDefault="00E13CFF" w:rsidP="0072362E">
      <w:pPr>
        <w:pStyle w:val="ListParagraph"/>
        <w:numPr>
          <w:ilvl w:val="0"/>
          <w:numId w:val="38"/>
        </w:numPr>
        <w:rPr>
          <w:rFonts w:cstheme="minorHAnsi"/>
        </w:rPr>
      </w:pPr>
      <w:r w:rsidRPr="0072362E">
        <w:rPr>
          <w:rFonts w:asciiTheme="minorHAnsi" w:hAnsiTheme="minorHAnsi" w:cstheme="minorHAnsi"/>
        </w:rPr>
        <w:t xml:space="preserve">The findings from the applicant </w:t>
      </w:r>
      <w:r w:rsidRPr="0072362E">
        <w:rPr>
          <w:rFonts w:asciiTheme="minorHAnsi" w:eastAsia="Yu Mincho" w:hAnsiTheme="minorHAnsi" w:cstheme="minorHAnsi"/>
        </w:rPr>
        <w:t xml:space="preserve">indicate that </w:t>
      </w:r>
      <w:r w:rsidRPr="0072362E">
        <w:rPr>
          <w:rFonts w:asciiTheme="minorHAnsi" w:hAnsiTheme="minorHAnsi" w:cstheme="minorHAnsi"/>
        </w:rPr>
        <w:t xml:space="preserve">PEA </w:t>
      </w:r>
      <w:r w:rsidRPr="0072362E">
        <w:rPr>
          <w:rFonts w:asciiTheme="minorHAnsi" w:eastAsia="Yu Mincho" w:hAnsiTheme="minorHAnsi" w:cstheme="minorHAnsi"/>
        </w:rPr>
        <w:t xml:space="preserve">has low acute </w:t>
      </w:r>
      <w:r w:rsidRPr="0072362E">
        <w:rPr>
          <w:rFonts w:asciiTheme="minorHAnsi" w:hAnsiTheme="minorHAnsi" w:cstheme="minorHAnsi"/>
        </w:rPr>
        <w:t>toxicity by the oral, dermal and inhalation routes, but is a severe eye and skin irritant and a potential respiratory irritant.</w:t>
      </w:r>
    </w:p>
    <w:p w14:paraId="45CBB63F" w14:textId="77777777" w:rsidR="00E13CFF" w:rsidRDefault="00E13CFF" w:rsidP="00E13CFF">
      <w:pPr>
        <w:pStyle w:val="Heading4"/>
      </w:pPr>
      <w:bookmarkStart w:id="159" w:name="_Toc144110947"/>
      <w:r>
        <w:t xml:space="preserve">Key uses / expected </w:t>
      </w:r>
      <w:proofErr w:type="gramStart"/>
      <w:r>
        <w:t>use</w:t>
      </w:r>
      <w:bookmarkEnd w:id="159"/>
      <w:proofErr w:type="gramEnd"/>
    </w:p>
    <w:p w14:paraId="331B78D6" w14:textId="1F5CA5A3" w:rsidR="00E13CFF" w:rsidRDefault="00E13CFF" w:rsidP="00E13CFF">
      <w:r>
        <w:t>Medicines, veterinary</w:t>
      </w:r>
    </w:p>
    <w:p w14:paraId="3FF77D70" w14:textId="77777777" w:rsidR="00E13CFF" w:rsidRDefault="00E13CFF" w:rsidP="00E13CFF">
      <w:pPr>
        <w:pStyle w:val="Heading4"/>
      </w:pPr>
      <w:bookmarkStart w:id="160" w:name="_Toc144110948"/>
      <w:r>
        <w:t>Australian regulations</w:t>
      </w:r>
      <w:bookmarkEnd w:id="160"/>
    </w:p>
    <w:p w14:paraId="14940769" w14:textId="79084686" w:rsidR="00E13CFF" w:rsidRDefault="00E13CFF" w:rsidP="00EB1099">
      <w:pPr>
        <w:pStyle w:val="ListBullet"/>
        <w:numPr>
          <w:ilvl w:val="0"/>
          <w:numId w:val="83"/>
        </w:numPr>
      </w:pPr>
      <w:r w:rsidRPr="00470294">
        <w:t xml:space="preserve">According to the </w:t>
      </w:r>
      <w:hyperlink r:id="rId160" w:history="1">
        <w:r w:rsidRPr="002C746C">
          <w:rPr>
            <w:rStyle w:val="Hyperlink"/>
            <w:rFonts w:asciiTheme="minorHAnsi" w:hAnsiTheme="minorHAnsi"/>
          </w:rPr>
          <w:t>TGA Ingredient Database</w:t>
        </w:r>
      </w:hyperlink>
      <w:r w:rsidRPr="00470294">
        <w:t>, palmitoylethanolamide is:</w:t>
      </w:r>
    </w:p>
    <w:p w14:paraId="0DECF2D5" w14:textId="5F0AC500" w:rsidR="00E13CFF" w:rsidRPr="00881763" w:rsidRDefault="00E13CFF" w:rsidP="009441F8">
      <w:pPr>
        <w:pStyle w:val="ListParagraph"/>
        <w:numPr>
          <w:ilvl w:val="0"/>
          <w:numId w:val="51"/>
        </w:numPr>
        <w:ind w:left="714" w:hanging="357"/>
        <w:contextualSpacing w:val="0"/>
        <w:rPr>
          <w:rFonts w:asciiTheme="minorHAnsi" w:hAnsiTheme="minorHAnsi" w:cstheme="minorHAnsi"/>
        </w:rPr>
      </w:pPr>
      <w:r w:rsidRPr="00881763">
        <w:rPr>
          <w:rFonts w:asciiTheme="minorHAnsi" w:hAnsiTheme="minorHAnsi" w:cstheme="minorHAnsi"/>
        </w:rPr>
        <w:t>Available for use as an Active Ingredient in Export only and Listed Medicines</w:t>
      </w:r>
    </w:p>
    <w:p w14:paraId="562C84E2" w14:textId="77777777" w:rsidR="00E13CFF" w:rsidRPr="00881763" w:rsidRDefault="00E13CFF" w:rsidP="009441F8">
      <w:pPr>
        <w:pStyle w:val="ListParagraph"/>
        <w:numPr>
          <w:ilvl w:val="0"/>
          <w:numId w:val="51"/>
        </w:numPr>
        <w:ind w:left="714" w:hanging="357"/>
        <w:contextualSpacing w:val="0"/>
        <w:rPr>
          <w:rFonts w:asciiTheme="minorHAnsi" w:hAnsiTheme="minorHAnsi" w:cstheme="minorHAnsi"/>
        </w:rPr>
      </w:pPr>
      <w:r w:rsidRPr="00881763">
        <w:rPr>
          <w:rFonts w:asciiTheme="minorHAnsi" w:hAnsiTheme="minorHAnsi" w:cstheme="minorHAnsi"/>
        </w:rPr>
        <w:t>Not available as a Homeopathic Ingredient in Listed Medicines</w:t>
      </w:r>
    </w:p>
    <w:p w14:paraId="04F2B217" w14:textId="0F810AFE" w:rsidR="00E13CFF" w:rsidRPr="00881763" w:rsidRDefault="00E13CFF" w:rsidP="009441F8">
      <w:pPr>
        <w:pStyle w:val="ListParagraph"/>
        <w:numPr>
          <w:ilvl w:val="0"/>
          <w:numId w:val="51"/>
        </w:numPr>
        <w:ind w:left="714" w:hanging="357"/>
        <w:contextualSpacing w:val="0"/>
        <w:rPr>
          <w:rFonts w:asciiTheme="minorHAnsi" w:hAnsiTheme="minorHAnsi" w:cstheme="minorHAnsi"/>
        </w:rPr>
      </w:pPr>
      <w:r w:rsidRPr="00881763">
        <w:rPr>
          <w:rFonts w:asciiTheme="minorHAnsi" w:hAnsiTheme="minorHAnsi" w:cstheme="minorHAnsi"/>
        </w:rPr>
        <w:t xml:space="preserve">Available for </w:t>
      </w:r>
      <w:r>
        <w:rPr>
          <w:rFonts w:asciiTheme="minorHAnsi" w:hAnsiTheme="minorHAnsi" w:cstheme="minorHAnsi"/>
        </w:rPr>
        <w:t>use</w:t>
      </w:r>
      <w:r w:rsidRPr="00881763">
        <w:rPr>
          <w:rFonts w:asciiTheme="minorHAnsi" w:hAnsiTheme="minorHAnsi" w:cstheme="minorHAnsi"/>
        </w:rPr>
        <w:t xml:space="preserve"> as an Excipient Ingredient in Devices</w:t>
      </w:r>
      <w:r w:rsidR="0059548A">
        <w:rPr>
          <w:rFonts w:asciiTheme="minorHAnsi" w:hAnsiTheme="minorHAnsi" w:cstheme="minorHAnsi"/>
        </w:rPr>
        <w:t xml:space="preserve"> and</w:t>
      </w:r>
      <w:r w:rsidRPr="00881763">
        <w:rPr>
          <w:rFonts w:asciiTheme="minorHAnsi" w:hAnsiTheme="minorHAnsi" w:cstheme="minorHAnsi"/>
        </w:rPr>
        <w:t xml:space="preserve"> </w:t>
      </w:r>
      <w:r w:rsidR="0059548A">
        <w:rPr>
          <w:rFonts w:asciiTheme="minorHAnsi" w:hAnsiTheme="minorHAnsi" w:cstheme="minorHAnsi"/>
        </w:rPr>
        <w:t xml:space="preserve">for </w:t>
      </w:r>
      <w:r w:rsidRPr="00881763">
        <w:rPr>
          <w:rFonts w:asciiTheme="minorHAnsi" w:hAnsiTheme="minorHAnsi" w:cstheme="minorHAnsi"/>
        </w:rPr>
        <w:t>Export Only</w:t>
      </w:r>
    </w:p>
    <w:p w14:paraId="6DA6C39E" w14:textId="77777777" w:rsidR="00E13CFF" w:rsidRPr="00881763" w:rsidRDefault="00E13CFF" w:rsidP="009441F8">
      <w:pPr>
        <w:pStyle w:val="ListParagraph"/>
        <w:numPr>
          <w:ilvl w:val="0"/>
          <w:numId w:val="51"/>
        </w:numPr>
        <w:ind w:left="714" w:hanging="357"/>
        <w:contextualSpacing w:val="0"/>
        <w:rPr>
          <w:rFonts w:asciiTheme="minorHAnsi" w:hAnsiTheme="minorHAnsi" w:cstheme="minorHAnsi"/>
        </w:rPr>
      </w:pPr>
      <w:r w:rsidRPr="00881763">
        <w:rPr>
          <w:rFonts w:asciiTheme="minorHAnsi" w:hAnsiTheme="minorHAnsi" w:cstheme="minorHAnsi"/>
        </w:rPr>
        <w:t>Not available as an Equivalent Ingredient in any application</w:t>
      </w:r>
    </w:p>
    <w:p w14:paraId="31AB6522" w14:textId="1A0627CA" w:rsidR="00E13CFF" w:rsidRPr="002C746C" w:rsidRDefault="00E13CFF" w:rsidP="00EB1099">
      <w:pPr>
        <w:pStyle w:val="ListBullet"/>
        <w:numPr>
          <w:ilvl w:val="0"/>
          <w:numId w:val="83"/>
        </w:numPr>
      </w:pPr>
      <w:r w:rsidRPr="00470294">
        <w:t xml:space="preserve">As of August 2023, there were </w:t>
      </w:r>
      <w:r>
        <w:t>23</w:t>
      </w:r>
      <w:r w:rsidRPr="00470294">
        <w:t xml:space="preserve"> medicines currently active on the </w:t>
      </w:r>
      <w:hyperlink r:id="rId161"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470294">
        <w:t xml:space="preserve"> that contain palmitoylethanolamide (PEA) </w:t>
      </w:r>
      <w:r>
        <w:t xml:space="preserve">(under palmidrol) </w:t>
      </w:r>
      <w:r w:rsidRPr="00470294">
        <w:t>as an active ingredient</w:t>
      </w:r>
      <w:r>
        <w:t>, all of which are listed medicines.</w:t>
      </w:r>
    </w:p>
    <w:p w14:paraId="17539003" w14:textId="793131CB" w:rsidR="00E13CFF" w:rsidRPr="002C746C" w:rsidRDefault="00E13CFF" w:rsidP="00EB1099">
      <w:pPr>
        <w:pStyle w:val="ListBullet"/>
        <w:numPr>
          <w:ilvl w:val="0"/>
          <w:numId w:val="83"/>
        </w:numPr>
      </w:pPr>
      <w:r w:rsidRPr="00470294">
        <w:t xml:space="preserve">According to the </w:t>
      </w:r>
      <w:hyperlink r:id="rId162" w:history="1">
        <w:r w:rsidRPr="002C746C">
          <w:rPr>
            <w:rStyle w:val="Hyperlink"/>
            <w:rFonts w:asciiTheme="minorHAnsi" w:hAnsiTheme="minorHAnsi"/>
          </w:rPr>
          <w:t>Therapeutic Goods (Permissible Ingredients) Determination</w:t>
        </w:r>
      </w:hyperlink>
      <w:r w:rsidRPr="00470294">
        <w:t xml:space="preserve"> No.3 of 2023, palmitoylethanolamide is permitted to be included in listed medicines as follows:</w:t>
      </w:r>
    </w:p>
    <w:tbl>
      <w:tblPr>
        <w:tblStyle w:val="TableTGAblue"/>
        <w:tblW w:w="8646" w:type="dxa"/>
        <w:tblInd w:w="416" w:type="dxa"/>
        <w:tblLook w:val="04A0" w:firstRow="1" w:lastRow="0" w:firstColumn="1" w:lastColumn="0" w:noHBand="0" w:noVBand="1"/>
      </w:tblPr>
      <w:tblGrid>
        <w:gridCol w:w="750"/>
        <w:gridCol w:w="2663"/>
        <w:gridCol w:w="1325"/>
        <w:gridCol w:w="3908"/>
      </w:tblGrid>
      <w:tr w:rsidR="002B4733" w:rsidRPr="002B4733" w14:paraId="45F38736" w14:textId="77777777" w:rsidTr="000F6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7BC88194" w14:textId="77777777" w:rsidR="00E13CFF" w:rsidRPr="002B4733" w:rsidRDefault="00E13CFF" w:rsidP="002B4733">
            <w:pPr>
              <w:pStyle w:val="ListBullet"/>
              <w:numPr>
                <w:ilvl w:val="0"/>
                <w:numId w:val="0"/>
              </w:numPr>
              <w:spacing w:before="60" w:after="60"/>
              <w:rPr>
                <w:rFonts w:asciiTheme="minorHAnsi" w:hAnsiTheme="minorHAnsi"/>
                <w:color w:val="FFFFFF" w:themeColor="background1"/>
                <w:sz w:val="20"/>
                <w:szCs w:val="20"/>
              </w:rPr>
            </w:pPr>
            <w:r w:rsidRPr="002B4733">
              <w:rPr>
                <w:rFonts w:asciiTheme="minorHAnsi" w:hAnsiTheme="minorHAnsi"/>
                <w:color w:val="FFFFFF" w:themeColor="background1"/>
                <w:sz w:val="20"/>
                <w:szCs w:val="20"/>
              </w:rPr>
              <w:t>Item</w:t>
            </w:r>
          </w:p>
        </w:tc>
        <w:tc>
          <w:tcPr>
            <w:tcW w:w="2663" w:type="dxa"/>
          </w:tcPr>
          <w:p w14:paraId="561FF756" w14:textId="77777777" w:rsidR="00E13CFF" w:rsidRPr="002B4733" w:rsidRDefault="00E13CFF" w:rsidP="002B4733">
            <w:pPr>
              <w:pStyle w:val="ListBullet"/>
              <w:numPr>
                <w:ilvl w:val="0"/>
                <w:numId w:val="0"/>
              </w:num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2B4733">
              <w:rPr>
                <w:rFonts w:asciiTheme="minorHAnsi" w:hAnsiTheme="minorHAnsi"/>
                <w:color w:val="FFFFFF" w:themeColor="background1"/>
                <w:sz w:val="20"/>
                <w:szCs w:val="20"/>
              </w:rPr>
              <w:t>Ingredient Name</w:t>
            </w:r>
          </w:p>
        </w:tc>
        <w:tc>
          <w:tcPr>
            <w:tcW w:w="1325" w:type="dxa"/>
          </w:tcPr>
          <w:p w14:paraId="23607FBA" w14:textId="77777777" w:rsidR="00E13CFF" w:rsidRPr="002B4733" w:rsidRDefault="00E13CFF" w:rsidP="002B4733">
            <w:pPr>
              <w:pStyle w:val="ListBullet"/>
              <w:numPr>
                <w:ilvl w:val="0"/>
                <w:numId w:val="0"/>
              </w:numPr>
              <w:spacing w:before="60" w:after="60"/>
              <w:ind w:left="360" w:hanging="3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2B4733">
              <w:rPr>
                <w:rFonts w:asciiTheme="minorHAnsi" w:hAnsiTheme="minorHAnsi"/>
                <w:color w:val="FFFFFF" w:themeColor="background1"/>
                <w:sz w:val="20"/>
                <w:szCs w:val="20"/>
              </w:rPr>
              <w:t>Purpose</w:t>
            </w:r>
          </w:p>
        </w:tc>
        <w:tc>
          <w:tcPr>
            <w:tcW w:w="3908" w:type="dxa"/>
          </w:tcPr>
          <w:p w14:paraId="4810C21C" w14:textId="77777777" w:rsidR="00E13CFF" w:rsidRPr="002B4733" w:rsidRDefault="00E13CFF" w:rsidP="002B4733">
            <w:pPr>
              <w:pStyle w:val="ListBullet"/>
              <w:numPr>
                <w:ilvl w:val="0"/>
                <w:numId w:val="0"/>
              </w:numPr>
              <w:spacing w:before="60" w:after="60"/>
              <w:ind w:left="360" w:hanging="36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sidRPr="002B4733">
              <w:rPr>
                <w:rFonts w:asciiTheme="minorHAnsi" w:hAnsiTheme="minorHAnsi"/>
                <w:color w:val="FFFFFF" w:themeColor="background1"/>
                <w:sz w:val="20"/>
                <w:szCs w:val="20"/>
              </w:rPr>
              <w:t>Specific requirements</w:t>
            </w:r>
          </w:p>
        </w:tc>
      </w:tr>
      <w:tr w:rsidR="00E13CFF" w:rsidRPr="002B4733" w14:paraId="5FB7AB2A" w14:textId="77777777" w:rsidTr="000F6508">
        <w:tc>
          <w:tcPr>
            <w:cnfStyle w:val="001000000000" w:firstRow="0" w:lastRow="0" w:firstColumn="1" w:lastColumn="0" w:oddVBand="0" w:evenVBand="0" w:oddHBand="0" w:evenHBand="0" w:firstRowFirstColumn="0" w:firstRowLastColumn="0" w:lastRowFirstColumn="0" w:lastRowLastColumn="0"/>
            <w:tcW w:w="750" w:type="dxa"/>
          </w:tcPr>
          <w:p w14:paraId="2A96F0B2" w14:textId="77777777" w:rsidR="00E13CFF" w:rsidRPr="002B4733" w:rsidRDefault="00E13CFF" w:rsidP="002B4733">
            <w:pPr>
              <w:spacing w:before="60" w:after="60"/>
              <w:rPr>
                <w:rFonts w:asciiTheme="minorHAnsi" w:hAnsiTheme="minorHAnsi" w:cstheme="minorHAnsi"/>
                <w:sz w:val="20"/>
                <w:szCs w:val="20"/>
              </w:rPr>
            </w:pPr>
            <w:r w:rsidRPr="002B4733">
              <w:rPr>
                <w:rFonts w:asciiTheme="minorHAnsi" w:hAnsiTheme="minorHAnsi" w:cstheme="minorHAnsi"/>
                <w:sz w:val="20"/>
                <w:szCs w:val="20"/>
              </w:rPr>
              <w:t>3651</w:t>
            </w:r>
          </w:p>
        </w:tc>
        <w:tc>
          <w:tcPr>
            <w:tcW w:w="2663" w:type="dxa"/>
          </w:tcPr>
          <w:p w14:paraId="7B9C9A7A" w14:textId="77777777" w:rsidR="00E13CFF" w:rsidRPr="002B4733" w:rsidRDefault="00E13CFF" w:rsidP="002B473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PALMIDROL</w:t>
            </w:r>
          </w:p>
        </w:tc>
        <w:tc>
          <w:tcPr>
            <w:tcW w:w="1325" w:type="dxa"/>
          </w:tcPr>
          <w:p w14:paraId="41DF34E7" w14:textId="77777777" w:rsidR="00E13CFF" w:rsidRPr="002B4733" w:rsidRDefault="00E13CFF" w:rsidP="002B473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A</w:t>
            </w:r>
          </w:p>
        </w:tc>
        <w:tc>
          <w:tcPr>
            <w:tcW w:w="3908" w:type="dxa"/>
          </w:tcPr>
          <w:p w14:paraId="2AFD620D" w14:textId="77777777" w:rsidR="00E13CFF" w:rsidRPr="002B4733" w:rsidRDefault="00E13CFF" w:rsidP="002B4733">
            <w:pPr>
              <w:spacing w:before="60" w:after="60"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Only permitted for use in medicines limited to oral routes of administration.</w:t>
            </w:r>
          </w:p>
          <w:p w14:paraId="55A76849" w14:textId="77777777" w:rsidR="00E13CFF" w:rsidRPr="002B4733" w:rsidRDefault="00E13CFF" w:rsidP="002B4733">
            <w:pPr>
              <w:spacing w:before="60" w:after="60"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The maximum recommended daily dose of the medicine must not provide more than 600 mg of palmidrol.</w:t>
            </w:r>
          </w:p>
          <w:p w14:paraId="12589103" w14:textId="77777777" w:rsidR="00E13CFF" w:rsidRPr="002B4733" w:rsidRDefault="00E13CFF" w:rsidP="002B4733">
            <w:pPr>
              <w:spacing w:before="60" w:after="60"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The following warning statements (or words to the same effect) are required on the medicine label:</w:t>
            </w:r>
          </w:p>
          <w:p w14:paraId="6ABFE76B" w14:textId="77777777" w:rsidR="00E13CFF" w:rsidRPr="002B4733" w:rsidRDefault="00E13CFF" w:rsidP="002B4733">
            <w:pPr>
              <w:spacing w:before="60" w:after="60"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 (ANALG) 'The medicine may interact with other prescription analgesic medicines, please consult your healthcare practitioner before use.'</w:t>
            </w:r>
          </w:p>
          <w:p w14:paraId="5F1DF113" w14:textId="77777777" w:rsidR="00E13CFF" w:rsidRPr="002B4733" w:rsidRDefault="00E13CFF" w:rsidP="002B4733">
            <w:pPr>
              <w:spacing w:before="60" w:after="60"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 (ADULT) ‘Adults only.’</w:t>
            </w:r>
          </w:p>
          <w:p w14:paraId="1AB653C0" w14:textId="77777777" w:rsidR="00E13CFF" w:rsidRPr="002B4733" w:rsidRDefault="00E13CFF" w:rsidP="002B473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B4733">
              <w:rPr>
                <w:rFonts w:asciiTheme="minorHAnsi" w:hAnsiTheme="minorHAnsi" w:cstheme="minorHAnsi"/>
                <w:sz w:val="20"/>
                <w:szCs w:val="20"/>
              </w:rPr>
              <w:t>- (21DAYS) ‘Not to be used for more than 21 consecutive days.’</w:t>
            </w:r>
          </w:p>
        </w:tc>
      </w:tr>
      <w:tr w:rsidR="00E13CFF" w:rsidRPr="00D74E12" w14:paraId="1FBA9074" w14:textId="77777777" w:rsidTr="002B4733">
        <w:trPr>
          <w:trHeight w:val="305"/>
        </w:trPr>
        <w:tc>
          <w:tcPr>
            <w:cnfStyle w:val="001000000000" w:firstRow="0" w:lastRow="0" w:firstColumn="1" w:lastColumn="0" w:oddVBand="0" w:evenVBand="0" w:oddHBand="0" w:evenHBand="0" w:firstRowFirstColumn="0" w:firstRowLastColumn="0" w:lastRowFirstColumn="0" w:lastRowLastColumn="0"/>
            <w:tcW w:w="8646" w:type="dxa"/>
            <w:gridSpan w:val="4"/>
          </w:tcPr>
          <w:p w14:paraId="242E4FDD" w14:textId="77777777" w:rsidR="00E13CFF" w:rsidRPr="00D74E12" w:rsidRDefault="00E13CFF" w:rsidP="002B4733">
            <w:pPr>
              <w:spacing w:before="60" w:after="60"/>
              <w:rPr>
                <w:rFonts w:asciiTheme="minorHAnsi" w:hAnsiTheme="minorHAnsi" w:cstheme="minorHAnsi"/>
                <w:sz w:val="18"/>
                <w:szCs w:val="18"/>
              </w:rPr>
            </w:pPr>
            <w:r w:rsidRPr="00D74E12">
              <w:rPr>
                <w:rFonts w:asciiTheme="minorHAnsi" w:hAnsiTheme="minorHAnsi" w:cstheme="minorHAnsi"/>
                <w:sz w:val="18"/>
                <w:szCs w:val="18"/>
              </w:rPr>
              <w:t>H = active ingredient meaning an ingredient has the same meaning as in the Regulations.</w:t>
            </w:r>
          </w:p>
        </w:tc>
      </w:tr>
    </w:tbl>
    <w:p w14:paraId="02B047ED" w14:textId="2A8D7277" w:rsidR="00E13CFF" w:rsidRPr="002C746C" w:rsidRDefault="00E13CFF" w:rsidP="00EB1099">
      <w:pPr>
        <w:pStyle w:val="ListBullet"/>
        <w:numPr>
          <w:ilvl w:val="0"/>
          <w:numId w:val="83"/>
        </w:numPr>
      </w:pPr>
      <w:r w:rsidRPr="00470294">
        <w:t xml:space="preserve">According to the </w:t>
      </w:r>
      <w:hyperlink r:id="rId163" w:history="1">
        <w:r w:rsidRPr="002C746C">
          <w:rPr>
            <w:rStyle w:val="Hyperlink"/>
            <w:rFonts w:asciiTheme="minorHAnsi" w:hAnsiTheme="minorHAnsi"/>
          </w:rPr>
          <w:t>TGA prescribing medicines in pregnancy database</w:t>
        </w:r>
      </w:hyperlink>
      <w:r w:rsidR="00D74E12" w:rsidRPr="00D74E12">
        <w:rPr>
          <w:rStyle w:val="Hyperlink"/>
          <w:rFonts w:asciiTheme="minorHAnsi" w:hAnsiTheme="minorHAnsi"/>
          <w:color w:val="auto"/>
          <w:u w:val="none"/>
        </w:rPr>
        <w:t>,</w:t>
      </w:r>
      <w:r w:rsidRPr="00470294">
        <w:t xml:space="preserve"> palmitoylethanolamide is not categorised.</w:t>
      </w:r>
    </w:p>
    <w:p w14:paraId="3FC40B0A" w14:textId="71301045" w:rsidR="00E13CFF" w:rsidRPr="002C746C" w:rsidRDefault="00E13CFF" w:rsidP="00EB1099">
      <w:pPr>
        <w:pStyle w:val="ListBullet"/>
        <w:numPr>
          <w:ilvl w:val="0"/>
          <w:numId w:val="83"/>
        </w:numPr>
      </w:pPr>
      <w:r w:rsidRPr="00470294">
        <w:t xml:space="preserve">There are no warning statements pertaining to palmitoylethanolamide in the </w:t>
      </w:r>
      <w:hyperlink r:id="rId164" w:history="1">
        <w:r w:rsidRPr="002C746C">
          <w:rPr>
            <w:rStyle w:val="Hyperlink"/>
            <w:rFonts w:asciiTheme="minorHAnsi" w:hAnsiTheme="minorHAnsi"/>
          </w:rPr>
          <w:t>Therapeutic Goods (Medicines Advisory Statements) Specification 2021</w:t>
        </w:r>
      </w:hyperlink>
    </w:p>
    <w:p w14:paraId="5EE86476" w14:textId="3259CDB9" w:rsidR="00E13CFF" w:rsidRPr="002C746C" w:rsidRDefault="00E13CFF" w:rsidP="00EB1099">
      <w:pPr>
        <w:pStyle w:val="ListBullet"/>
        <w:numPr>
          <w:ilvl w:val="0"/>
          <w:numId w:val="83"/>
        </w:numPr>
      </w:pPr>
      <w:r w:rsidRPr="00470294">
        <w:t xml:space="preserve">Between January 2013 and July 2023, there were 4 reports of adverse events for products containing palmitoylethanolamide (palmidrol) as an active ingredient on the </w:t>
      </w:r>
      <w:hyperlink r:id="rId165"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Pr="002C746C">
        <w:t>,</w:t>
      </w:r>
      <w:r w:rsidRPr="00470294">
        <w:t xml:space="preserve"> with 4 reports where palmitoylethanolamide was the single suspected medicine.</w:t>
      </w:r>
    </w:p>
    <w:p w14:paraId="1462EDF1" w14:textId="2ADE8FB0" w:rsidR="00E13CFF" w:rsidRPr="002C746C" w:rsidRDefault="00E13CFF" w:rsidP="00EB1099">
      <w:pPr>
        <w:pStyle w:val="ListBullet"/>
        <w:numPr>
          <w:ilvl w:val="0"/>
          <w:numId w:val="83"/>
        </w:numPr>
      </w:pPr>
      <w:r w:rsidRPr="00470294">
        <w:t>As of August 2023, there were n</w:t>
      </w:r>
      <w:r w:rsidR="002B4733">
        <w:t>o</w:t>
      </w:r>
      <w:r w:rsidRPr="00470294">
        <w:t xml:space="preserve"> products containing palmitoylethanolamide as an active ingredient/constituent or scheduled substance listed on the </w:t>
      </w:r>
      <w:hyperlink r:id="rId166"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w:t>
      </w:r>
      <w:proofErr w:type="spellStart"/>
      <w:r w:rsidR="00EB1099" w:rsidRPr="00EB1099">
        <w:rPr>
          <w:rStyle w:val="Hyperlink"/>
          <w:rFonts w:asciiTheme="minorHAnsi" w:hAnsiTheme="minorHAnsi"/>
          <w:color w:val="auto"/>
          <w:u w:val="none"/>
        </w:rPr>
        <w:t>PubCRIS</w:t>
      </w:r>
      <w:proofErr w:type="spellEnd"/>
      <w:r w:rsidR="00EB1099" w:rsidRPr="00EB1099">
        <w:rPr>
          <w:rStyle w:val="Hyperlink"/>
          <w:rFonts w:asciiTheme="minorHAnsi" w:hAnsiTheme="minorHAnsi"/>
          <w:color w:val="auto"/>
          <w:u w:val="none"/>
        </w:rPr>
        <w:t>)</w:t>
      </w:r>
      <w:r w:rsidRPr="002C746C">
        <w:t>.</w:t>
      </w:r>
    </w:p>
    <w:p w14:paraId="324EFFAF" w14:textId="77777777" w:rsidR="00E13CFF" w:rsidRPr="00CB687C" w:rsidRDefault="00E13CFF" w:rsidP="00E13CFF">
      <w:pPr>
        <w:pStyle w:val="Heading4"/>
      </w:pPr>
      <w:bookmarkStart w:id="161" w:name="_Toc144110949"/>
      <w:r>
        <w:t>International regulations</w:t>
      </w:r>
      <w:bookmarkEnd w:id="161"/>
    </w:p>
    <w:p w14:paraId="1BB39AD8" w14:textId="2127A5C6" w:rsidR="00E13CFF" w:rsidRPr="002C746C" w:rsidRDefault="00E13CFF" w:rsidP="00EB1099">
      <w:pPr>
        <w:pStyle w:val="ListBullet"/>
        <w:numPr>
          <w:ilvl w:val="0"/>
          <w:numId w:val="83"/>
        </w:numPr>
      </w:pPr>
      <w:r w:rsidRPr="00470294">
        <w:t xml:space="preserve">New Zealand </w:t>
      </w:r>
      <w:proofErr w:type="spellStart"/>
      <w:r w:rsidRPr="00470294">
        <w:t>Medsafe’s</w:t>
      </w:r>
      <w:proofErr w:type="spellEnd"/>
      <w:r w:rsidRPr="00470294">
        <w:t xml:space="preserve"> </w:t>
      </w:r>
      <w:hyperlink r:id="rId167" w:history="1">
        <w:r w:rsidRPr="002C746C">
          <w:rPr>
            <w:rStyle w:val="Hyperlink"/>
            <w:rFonts w:asciiTheme="minorHAnsi" w:hAnsiTheme="minorHAnsi"/>
          </w:rPr>
          <w:t>Medicines Classification Database</w:t>
        </w:r>
      </w:hyperlink>
      <w:r w:rsidRPr="002C746C">
        <w:t xml:space="preserve"> </w:t>
      </w:r>
      <w:r w:rsidRPr="00470294">
        <w:t>do</w:t>
      </w:r>
      <w:r w:rsidR="002B4733">
        <w:t>es not include</w:t>
      </w:r>
      <w:r w:rsidRPr="00470294">
        <w:t xml:space="preserve"> palmitoylethanolamide.</w:t>
      </w:r>
    </w:p>
    <w:p w14:paraId="544801C5" w14:textId="77777777" w:rsidR="00E13CFF" w:rsidRPr="002C746C" w:rsidRDefault="00E13CFF" w:rsidP="00EB1099">
      <w:pPr>
        <w:pStyle w:val="ListBullet"/>
        <w:numPr>
          <w:ilvl w:val="0"/>
          <w:numId w:val="83"/>
        </w:numPr>
      </w:pPr>
      <w:r w:rsidRPr="00470294">
        <w:t>Ireland’s</w:t>
      </w:r>
      <w:r w:rsidRPr="002C746C">
        <w:t xml:space="preserve"> </w:t>
      </w:r>
      <w:hyperlink r:id="rId168" w:history="1">
        <w:r w:rsidRPr="002C746C">
          <w:rPr>
            <w:rStyle w:val="Hyperlink"/>
            <w:rFonts w:asciiTheme="minorHAnsi" w:hAnsiTheme="minorHAnsi"/>
          </w:rPr>
          <w:t>Health Products Regulatory Authority</w:t>
        </w:r>
      </w:hyperlink>
      <w:r w:rsidRPr="002C746C">
        <w:t xml:space="preserve"> </w:t>
      </w:r>
      <w:r w:rsidRPr="00470294">
        <w:t>do not list any products containing palmitoylethanolamide.</w:t>
      </w:r>
    </w:p>
    <w:p w14:paraId="6978D056" w14:textId="7056FFCE" w:rsidR="00E13CFF" w:rsidRPr="002C746C" w:rsidRDefault="00E13CFF" w:rsidP="00EB1099">
      <w:pPr>
        <w:pStyle w:val="ListBullet"/>
        <w:numPr>
          <w:ilvl w:val="0"/>
          <w:numId w:val="83"/>
        </w:numPr>
      </w:pPr>
      <w:r w:rsidRPr="00470294">
        <w:t xml:space="preserve">Health Canada’s </w:t>
      </w:r>
      <w:hyperlink r:id="rId169" w:history="1">
        <w:r w:rsidRPr="002C746C">
          <w:rPr>
            <w:rStyle w:val="Hyperlink"/>
            <w:rFonts w:asciiTheme="minorHAnsi" w:hAnsiTheme="minorHAnsi"/>
          </w:rPr>
          <w:t>Drug Product Database</w:t>
        </w:r>
      </w:hyperlink>
      <w:r w:rsidRPr="002C746C">
        <w:t xml:space="preserve"> </w:t>
      </w:r>
      <w:r w:rsidRPr="00470294">
        <w:t>do</w:t>
      </w:r>
      <w:r w:rsidR="002B4733">
        <w:t>es</w:t>
      </w:r>
      <w:r w:rsidRPr="00470294">
        <w:t xml:space="preserve"> not list any products containing palmitoylethanolamide.</w:t>
      </w:r>
    </w:p>
    <w:p w14:paraId="5ADD510D" w14:textId="6264AC84" w:rsidR="00E13CFF" w:rsidRPr="00470294" w:rsidRDefault="00E13CFF" w:rsidP="00EB1099">
      <w:pPr>
        <w:pStyle w:val="ListBullet"/>
        <w:numPr>
          <w:ilvl w:val="0"/>
          <w:numId w:val="83"/>
        </w:numPr>
      </w:pPr>
      <w:r w:rsidRPr="00470294">
        <w:t xml:space="preserve">The US Food and Drug Administration’s </w:t>
      </w:r>
      <w:hyperlink r:id="rId170" w:history="1">
        <w:proofErr w:type="spellStart"/>
        <w:r w:rsidRPr="002C746C">
          <w:rPr>
            <w:rStyle w:val="Hyperlink"/>
            <w:rFonts w:asciiTheme="minorHAnsi" w:hAnsiTheme="minorHAnsi"/>
          </w:rPr>
          <w:t>Drugs@FDA</w:t>
        </w:r>
        <w:proofErr w:type="spellEnd"/>
      </w:hyperlink>
      <w:r w:rsidRPr="002C746C">
        <w:t xml:space="preserve"> </w:t>
      </w:r>
      <w:r w:rsidR="002B4733">
        <w:t xml:space="preserve">database </w:t>
      </w:r>
      <w:r w:rsidRPr="00470294">
        <w:t>do</w:t>
      </w:r>
      <w:r w:rsidR="002B4733">
        <w:t>es</w:t>
      </w:r>
      <w:r w:rsidRPr="00470294">
        <w:t xml:space="preserve"> not list any products containing palmitoylethanolamide.</w:t>
      </w:r>
    </w:p>
    <w:p w14:paraId="396D875C" w14:textId="4AA11871" w:rsidR="00685E72" w:rsidRDefault="00E13CFF" w:rsidP="00117E07">
      <w:pPr>
        <w:pStyle w:val="Heading2"/>
      </w:pPr>
      <w:r>
        <w:br w:type="page"/>
      </w:r>
      <w:bookmarkStart w:id="162" w:name="_Toc144110950"/>
      <w:r w:rsidR="001D5CC5">
        <w:t>3</w:t>
      </w:r>
      <w:r w:rsidR="001D5CC5">
        <w:tab/>
      </w:r>
      <w:r w:rsidR="00685E72">
        <w:t>Proposed amendments referred for scheduling advice to ACCS meeting #</w:t>
      </w:r>
      <w:bookmarkEnd w:id="32"/>
      <w:r w:rsidR="00DF2343">
        <w:t>37</w:t>
      </w:r>
      <w:bookmarkEnd w:id="162"/>
    </w:p>
    <w:p w14:paraId="39EEAF29" w14:textId="741C43B6" w:rsidR="00685E72" w:rsidRDefault="001D5CC5" w:rsidP="00685E72">
      <w:pPr>
        <w:pStyle w:val="Heading3"/>
      </w:pPr>
      <w:bookmarkStart w:id="163" w:name="_Toc144110951"/>
      <w:r>
        <w:t>3.1</w:t>
      </w:r>
      <w:r>
        <w:tab/>
      </w:r>
      <w:r w:rsidR="00DF2343" w:rsidRPr="00D82C05">
        <w:t>Animal Blood Products</w:t>
      </w:r>
      <w:bookmarkEnd w:id="163"/>
    </w:p>
    <w:p w14:paraId="14C29076" w14:textId="2C40E666" w:rsidR="00685E72" w:rsidRDefault="00685E72" w:rsidP="00685E72">
      <w:pPr>
        <w:pStyle w:val="Heading4"/>
      </w:pPr>
      <w:bookmarkStart w:id="164" w:name="_Toc122614227"/>
      <w:bookmarkStart w:id="165" w:name="_Toc144110952"/>
      <w:r>
        <w:t>Proposal</w:t>
      </w:r>
      <w:bookmarkEnd w:id="164"/>
      <w:bookmarkEnd w:id="165"/>
    </w:p>
    <w:p w14:paraId="072CCD2C" w14:textId="0BD83E50" w:rsidR="00685E72" w:rsidRDefault="00EA19A0" w:rsidP="00685E72">
      <w:r>
        <w:t xml:space="preserve">An applicant has proposed to create a new Schedule 4 entry for animal blood products for veterinary use. Animal blood products are currently unscheduled and have not previously been considered for </w:t>
      </w:r>
      <w:r w:rsidR="002B4733">
        <w:t>s</w:t>
      </w:r>
      <w:r>
        <w:t>cheduling. Human blood products are currently captured in Appendix A which provides a general exemption from the controls set out in the Poisons Standard.</w:t>
      </w:r>
    </w:p>
    <w:p w14:paraId="238D00B9" w14:textId="68736F85" w:rsidR="00685E72" w:rsidRDefault="00685E72" w:rsidP="00685E72">
      <w:pPr>
        <w:pStyle w:val="Heading4"/>
      </w:pPr>
      <w:bookmarkStart w:id="166" w:name="_Toc122614230"/>
      <w:bookmarkStart w:id="167" w:name="_Toc144110953"/>
      <w:r>
        <w:t>Applicant</w:t>
      </w:r>
      <w:bookmarkEnd w:id="166"/>
      <w:bookmarkEnd w:id="167"/>
    </w:p>
    <w:p w14:paraId="73617E10" w14:textId="0E92BD04" w:rsidR="00685E72" w:rsidRDefault="00EA19A0" w:rsidP="00685E72">
      <w:r>
        <w:t>A</w:t>
      </w:r>
      <w:r w:rsidR="002B4733">
        <w:t xml:space="preserve">ustralian </w:t>
      </w:r>
      <w:r>
        <w:t>P</w:t>
      </w:r>
      <w:r w:rsidR="002B4733">
        <w:t xml:space="preserve">esticides and </w:t>
      </w:r>
      <w:r>
        <w:t>V</w:t>
      </w:r>
      <w:r w:rsidR="002B4733">
        <w:t xml:space="preserve">eterinary </w:t>
      </w:r>
      <w:r>
        <w:t>M</w:t>
      </w:r>
      <w:r w:rsidR="002B4733">
        <w:t xml:space="preserve">edicines </w:t>
      </w:r>
      <w:r>
        <w:t>A</w:t>
      </w:r>
      <w:r w:rsidR="002B4733">
        <w:t>uthority</w:t>
      </w:r>
    </w:p>
    <w:p w14:paraId="7E2E293D" w14:textId="1AE8E1D5" w:rsidR="00685E72" w:rsidRDefault="00685E72" w:rsidP="00685E72">
      <w:pPr>
        <w:pStyle w:val="Heading4"/>
      </w:pPr>
      <w:bookmarkStart w:id="168" w:name="_Toc122614231"/>
      <w:bookmarkStart w:id="169" w:name="_Toc144110954"/>
      <w:r>
        <w:t>Proposed Scheduling</w:t>
      </w:r>
      <w:bookmarkEnd w:id="168"/>
      <w:bookmarkEnd w:id="169"/>
    </w:p>
    <w:p w14:paraId="04979210" w14:textId="011FCBA6" w:rsidR="00D6337C" w:rsidRDefault="00EA19A0" w:rsidP="00D6337C">
      <w:pPr>
        <w:rPr>
          <w:rFonts w:cstheme="minorHAnsi"/>
        </w:rPr>
      </w:pPr>
      <w:r>
        <w:rPr>
          <w:rFonts w:cstheme="minorHAnsi"/>
        </w:rPr>
        <w:t>Animal blood products</w:t>
      </w:r>
      <w:r w:rsidR="00D6337C" w:rsidRPr="00AF12F6">
        <w:rPr>
          <w:rFonts w:cstheme="minorHAnsi"/>
        </w:rPr>
        <w:t xml:space="preserve"> </w:t>
      </w:r>
      <w:r>
        <w:rPr>
          <w:rFonts w:cstheme="minorHAnsi"/>
        </w:rPr>
        <w:t>are</w:t>
      </w:r>
      <w:r w:rsidR="00D6337C" w:rsidRPr="00AF12F6">
        <w:rPr>
          <w:rFonts w:cstheme="minorHAnsi"/>
        </w:rPr>
        <w:t xml:space="preserve"> not specifically scheduled</w:t>
      </w:r>
      <w:r w:rsidR="00D6337C">
        <w:rPr>
          <w:rFonts w:cstheme="minorHAnsi"/>
        </w:rPr>
        <w:t xml:space="preserve"> in the current Poisons Standard</w:t>
      </w:r>
      <w:r w:rsidR="00D6337C" w:rsidRPr="00AF12F6">
        <w:rPr>
          <w:rFonts w:cstheme="minorHAnsi"/>
        </w:rPr>
        <w:t>.</w:t>
      </w:r>
    </w:p>
    <w:p w14:paraId="5B5C0C6F" w14:textId="34B5BE7C" w:rsidR="00DC1C7F" w:rsidRPr="002B4733" w:rsidRDefault="00DC1C7F" w:rsidP="00D6337C">
      <w:pPr>
        <w:rPr>
          <w:bCs/>
        </w:rPr>
      </w:pPr>
      <w:r w:rsidRPr="002B4733">
        <w:rPr>
          <w:bCs/>
        </w:rPr>
        <w:t>The applicant’s proposed amendments to the Poisons Standard are</w:t>
      </w:r>
      <w:r w:rsidR="002B4733">
        <w:rPr>
          <w:bCs/>
        </w:rPr>
        <w:t>:</w:t>
      </w:r>
      <w:r w:rsidRPr="002B4733">
        <w:rPr>
          <w:rStyle w:val="FootnoteReference"/>
          <w:bCs/>
        </w:rPr>
        <w:footnoteReference w:id="14"/>
      </w:r>
    </w:p>
    <w:p w14:paraId="5FB2C6A9" w14:textId="4389C48D" w:rsidR="00DC1C7F" w:rsidRPr="0072362E" w:rsidRDefault="00DC1C7F" w:rsidP="0072362E">
      <w:pPr>
        <w:ind w:left="426"/>
        <w:rPr>
          <w:rFonts w:cstheme="minorHAnsi"/>
          <w:b/>
          <w:bCs/>
        </w:rPr>
      </w:pPr>
      <w:r w:rsidRPr="0072362E">
        <w:rPr>
          <w:rFonts w:cstheme="minorHAnsi"/>
          <w:b/>
          <w:bCs/>
        </w:rPr>
        <w:t>Schedule 4 – New entry</w:t>
      </w:r>
    </w:p>
    <w:p w14:paraId="687C3A2D" w14:textId="77777777" w:rsidR="00DC1C7F" w:rsidRPr="00DC1C7F" w:rsidRDefault="00DC1C7F" w:rsidP="0072362E">
      <w:pPr>
        <w:ind w:left="709"/>
        <w:rPr>
          <w:rFonts w:cstheme="minorHAnsi"/>
          <w:color w:val="00B050"/>
        </w:rPr>
      </w:pPr>
      <w:r w:rsidRPr="00DC1C7F">
        <w:rPr>
          <w:rFonts w:cstheme="minorHAnsi"/>
          <w:b/>
          <w:bCs/>
          <w:color w:val="00B050"/>
          <w:u w:val="single"/>
        </w:rPr>
        <w:t>ANIMAL BLOOD PRODUCTS</w:t>
      </w:r>
      <w:r w:rsidRPr="00DC1C7F">
        <w:rPr>
          <w:rFonts w:cstheme="minorHAnsi"/>
          <w:color w:val="00B050"/>
          <w:u w:val="single"/>
        </w:rPr>
        <w:t xml:space="preserve"> for veterinary use including:</w:t>
      </w:r>
    </w:p>
    <w:p w14:paraId="00D0C910" w14:textId="77777777" w:rsidR="00DC1C7F" w:rsidRPr="00DC1C7F" w:rsidRDefault="00DC1C7F" w:rsidP="0072362E">
      <w:pPr>
        <w:ind w:left="1134"/>
        <w:rPr>
          <w:rFonts w:cstheme="minorHAnsi"/>
          <w:color w:val="00B050"/>
        </w:rPr>
      </w:pPr>
      <w:r w:rsidRPr="00DC1C7F">
        <w:rPr>
          <w:rFonts w:cstheme="minorHAnsi"/>
          <w:color w:val="00B050"/>
          <w:u w:val="single"/>
        </w:rPr>
        <w:t>(a) whole blood;</w:t>
      </w:r>
    </w:p>
    <w:p w14:paraId="64BE0FD3" w14:textId="77777777" w:rsidR="00DC1C7F" w:rsidRPr="00DC1C7F" w:rsidRDefault="00DC1C7F" w:rsidP="0072362E">
      <w:pPr>
        <w:ind w:left="1134"/>
        <w:rPr>
          <w:rFonts w:cstheme="minorHAnsi"/>
          <w:color w:val="00B050"/>
        </w:rPr>
      </w:pPr>
      <w:r w:rsidRPr="00DC1C7F">
        <w:rPr>
          <w:rFonts w:cstheme="minorHAnsi"/>
          <w:color w:val="00B050"/>
          <w:u w:val="single"/>
        </w:rPr>
        <w:t>(b) blood components including red cells, white cells, platelets, and plasma (including cryoprecipitate); and</w:t>
      </w:r>
    </w:p>
    <w:p w14:paraId="6A720783" w14:textId="77777777" w:rsidR="00DC1C7F" w:rsidRPr="00DC1C7F" w:rsidRDefault="00DC1C7F" w:rsidP="0072362E">
      <w:pPr>
        <w:ind w:left="1134"/>
        <w:rPr>
          <w:rFonts w:cstheme="minorHAnsi"/>
          <w:color w:val="00B050"/>
        </w:rPr>
      </w:pPr>
      <w:r w:rsidRPr="00DC1C7F">
        <w:rPr>
          <w:rFonts w:cstheme="minorHAnsi"/>
          <w:color w:val="00B050"/>
          <w:u w:val="single"/>
        </w:rPr>
        <w:t>(c) the following plasma-derived therapeutic proteins; and their equivalent recombinant alternatives:</w:t>
      </w:r>
    </w:p>
    <w:p w14:paraId="33972D8B" w14:textId="77777777" w:rsidR="00DC1C7F" w:rsidRPr="00DC1C7F" w:rsidRDefault="00DC1C7F" w:rsidP="0072362E">
      <w:pPr>
        <w:ind w:left="1560" w:hanging="33"/>
        <w:rPr>
          <w:rFonts w:cstheme="minorHAnsi"/>
          <w:color w:val="00B050"/>
        </w:rPr>
      </w:pPr>
      <w:r w:rsidRPr="00DC1C7F">
        <w:rPr>
          <w:rFonts w:cstheme="minorHAnsi"/>
          <w:color w:val="00B050"/>
          <w:u w:val="single"/>
        </w:rPr>
        <w:t>(</w:t>
      </w:r>
      <w:proofErr w:type="spellStart"/>
      <w:r w:rsidRPr="00DC1C7F">
        <w:rPr>
          <w:rFonts w:cstheme="minorHAnsi"/>
          <w:color w:val="00B050"/>
          <w:u w:val="single"/>
        </w:rPr>
        <w:t>i</w:t>
      </w:r>
      <w:proofErr w:type="spellEnd"/>
      <w:r w:rsidRPr="00DC1C7F">
        <w:rPr>
          <w:rFonts w:cstheme="minorHAnsi"/>
          <w:color w:val="00B050"/>
          <w:u w:val="single"/>
        </w:rPr>
        <w:t>) albumin;</w:t>
      </w:r>
    </w:p>
    <w:p w14:paraId="49BAF820" w14:textId="77777777" w:rsidR="00DC1C7F" w:rsidRPr="00DC1C7F" w:rsidRDefault="00DC1C7F" w:rsidP="0072362E">
      <w:pPr>
        <w:ind w:left="1560" w:hanging="33"/>
        <w:rPr>
          <w:rFonts w:cstheme="minorHAnsi"/>
          <w:color w:val="00B050"/>
        </w:rPr>
      </w:pPr>
      <w:r w:rsidRPr="00DC1C7F">
        <w:rPr>
          <w:rFonts w:cstheme="minorHAnsi"/>
          <w:color w:val="00B050"/>
          <w:u w:val="single"/>
        </w:rPr>
        <w:t>(ii) anticoagulation complex;</w:t>
      </w:r>
    </w:p>
    <w:p w14:paraId="24CDBA2B" w14:textId="77777777" w:rsidR="00DC1C7F" w:rsidRPr="00DC1C7F" w:rsidRDefault="00DC1C7F" w:rsidP="0072362E">
      <w:pPr>
        <w:ind w:left="1560" w:hanging="33"/>
        <w:rPr>
          <w:rFonts w:cstheme="minorHAnsi"/>
          <w:color w:val="00B050"/>
        </w:rPr>
      </w:pPr>
      <w:r w:rsidRPr="00DC1C7F">
        <w:rPr>
          <w:rFonts w:cstheme="minorHAnsi"/>
          <w:color w:val="00B050"/>
          <w:u w:val="single"/>
        </w:rPr>
        <w:t>(iii) C1 esterase inhibitors;</w:t>
      </w:r>
    </w:p>
    <w:p w14:paraId="036BD599" w14:textId="77777777" w:rsidR="00DC1C7F" w:rsidRPr="00DC1C7F" w:rsidRDefault="00DC1C7F" w:rsidP="0072362E">
      <w:pPr>
        <w:ind w:left="1560" w:hanging="33"/>
        <w:rPr>
          <w:rFonts w:cstheme="minorHAnsi"/>
          <w:color w:val="00B050"/>
        </w:rPr>
      </w:pPr>
      <w:r w:rsidRPr="00DC1C7F">
        <w:rPr>
          <w:rFonts w:cstheme="minorHAnsi"/>
          <w:color w:val="00B050"/>
          <w:u w:val="single"/>
        </w:rPr>
        <w:t>(iv) clotting factors;</w:t>
      </w:r>
    </w:p>
    <w:p w14:paraId="5AEDF71E" w14:textId="77777777" w:rsidR="00DC1C7F" w:rsidRPr="00DC1C7F" w:rsidRDefault="00DC1C7F" w:rsidP="0072362E">
      <w:pPr>
        <w:ind w:left="1560" w:hanging="33"/>
        <w:rPr>
          <w:rFonts w:cstheme="minorHAnsi"/>
          <w:color w:val="00B050"/>
        </w:rPr>
      </w:pPr>
      <w:r w:rsidRPr="00DC1C7F">
        <w:rPr>
          <w:rFonts w:cstheme="minorHAnsi"/>
          <w:color w:val="00B050"/>
          <w:u w:val="single"/>
        </w:rPr>
        <w:t>(v) fibrinogen;</w:t>
      </w:r>
    </w:p>
    <w:p w14:paraId="762E1E00" w14:textId="77777777" w:rsidR="00DC1C7F" w:rsidRPr="00DC1C7F" w:rsidRDefault="00DC1C7F" w:rsidP="0072362E">
      <w:pPr>
        <w:ind w:left="1560" w:hanging="33"/>
        <w:rPr>
          <w:rFonts w:cstheme="minorHAnsi"/>
          <w:color w:val="00B050"/>
        </w:rPr>
      </w:pPr>
      <w:r w:rsidRPr="00DC1C7F">
        <w:rPr>
          <w:rFonts w:cstheme="minorHAnsi"/>
          <w:color w:val="00B050"/>
          <w:u w:val="single"/>
        </w:rPr>
        <w:t>(vi) protein C;</w:t>
      </w:r>
    </w:p>
    <w:p w14:paraId="6241D99D" w14:textId="77777777" w:rsidR="00DC1C7F" w:rsidRPr="00DC1C7F" w:rsidRDefault="00DC1C7F" w:rsidP="0072362E">
      <w:pPr>
        <w:ind w:left="1560"/>
        <w:rPr>
          <w:rFonts w:cstheme="minorHAnsi"/>
          <w:color w:val="00B050"/>
        </w:rPr>
      </w:pPr>
      <w:r w:rsidRPr="00DC1C7F">
        <w:rPr>
          <w:rFonts w:cstheme="minorHAnsi"/>
          <w:color w:val="00B050"/>
          <w:u w:val="single"/>
        </w:rPr>
        <w:t>(vii) prothrombin complex concentrate (PCC);</w:t>
      </w:r>
    </w:p>
    <w:p w14:paraId="3EE2F2A0" w14:textId="1034D19C" w:rsidR="00DC1C7F" w:rsidRDefault="00DC1C7F" w:rsidP="0072362E">
      <w:pPr>
        <w:ind w:left="1560"/>
        <w:rPr>
          <w:rFonts w:cstheme="minorHAnsi"/>
          <w:color w:val="00B050"/>
          <w:u w:val="single"/>
        </w:rPr>
      </w:pPr>
      <w:r w:rsidRPr="00DC1C7F">
        <w:rPr>
          <w:rFonts w:cstheme="minorHAnsi"/>
          <w:color w:val="00B050"/>
          <w:u w:val="single"/>
        </w:rPr>
        <w:t>(viii) thrombin</w:t>
      </w:r>
    </w:p>
    <w:p w14:paraId="1F10708B" w14:textId="5A8F541D" w:rsidR="00DC1C7F" w:rsidRPr="0072362E" w:rsidRDefault="00DC1C7F" w:rsidP="0072362E">
      <w:pPr>
        <w:ind w:left="426"/>
        <w:rPr>
          <w:rFonts w:cstheme="minorHAnsi"/>
          <w:b/>
          <w:bCs/>
        </w:rPr>
      </w:pPr>
      <w:r w:rsidRPr="0072362E">
        <w:rPr>
          <w:rFonts w:cstheme="minorHAnsi"/>
          <w:b/>
          <w:bCs/>
        </w:rPr>
        <w:t>INDEX</w:t>
      </w:r>
      <w:r w:rsidR="002234D4">
        <w:rPr>
          <w:rFonts w:cstheme="minorHAnsi"/>
          <w:b/>
          <w:bCs/>
        </w:rPr>
        <w:t xml:space="preserve"> – New entry </w:t>
      </w:r>
    </w:p>
    <w:p w14:paraId="77CEE86A" w14:textId="31FCB232" w:rsidR="00DC1C7F" w:rsidRPr="00DC1C7F" w:rsidRDefault="00DC1C7F" w:rsidP="0072362E">
      <w:pPr>
        <w:ind w:left="709"/>
        <w:rPr>
          <w:rFonts w:cstheme="minorHAnsi"/>
          <w:color w:val="00B050"/>
          <w:u w:val="single"/>
        </w:rPr>
      </w:pPr>
      <w:r w:rsidRPr="00DC1C7F">
        <w:rPr>
          <w:rFonts w:cstheme="minorHAnsi"/>
          <w:b/>
          <w:bCs/>
          <w:color w:val="00B050"/>
          <w:u w:val="single"/>
        </w:rPr>
        <w:t>ANIMAL BLOOD PRODUCTS</w:t>
      </w:r>
      <w:r>
        <w:rPr>
          <w:rFonts w:cstheme="minorHAnsi"/>
          <w:color w:val="00B050"/>
          <w:u w:val="single"/>
        </w:rPr>
        <w:br/>
        <w:t>Schedule 4</w:t>
      </w:r>
    </w:p>
    <w:p w14:paraId="691E22DB" w14:textId="1AD230DA" w:rsidR="00D6337C" w:rsidRDefault="00D6337C" w:rsidP="00D6337C">
      <w:pPr>
        <w:pStyle w:val="Heading4"/>
      </w:pPr>
      <w:bookmarkStart w:id="170" w:name="_Toc144110955"/>
      <w:r>
        <w:t>Background</w:t>
      </w:r>
      <w:bookmarkEnd w:id="170"/>
    </w:p>
    <w:p w14:paraId="442C0B64" w14:textId="28B7E7D2" w:rsidR="00D6337C" w:rsidRDefault="00DC1C7F" w:rsidP="009441F8">
      <w:r>
        <w:t>Animal blood products are used in transfusions in other animals to support the treatment of surgical procedures following various ailments and injuries such as snake bites, anaemia, cancers, bleeding disorders, after a traumatic accident</w:t>
      </w:r>
      <w:r w:rsidR="00EB1099">
        <w:t>,</w:t>
      </w:r>
      <w:r>
        <w:t xml:space="preserve"> and other medical conditions or diseases.</w:t>
      </w:r>
    </w:p>
    <w:p w14:paraId="0F00B09C" w14:textId="149E1D84" w:rsidR="00DE0214" w:rsidRDefault="00DC1C7F" w:rsidP="009441F8">
      <w:r>
        <w:t xml:space="preserve">Animal blood products are currently extracted in private veterinary practices and used in-house for other animals. </w:t>
      </w:r>
      <w:r w:rsidR="00DE0214">
        <w:t>Additionally, there a</w:t>
      </w:r>
      <w:r w:rsidR="004C7298">
        <w:t>re</w:t>
      </w:r>
      <w:r w:rsidR="00DE0214">
        <w:t xml:space="preserve"> some commercial suppliers who supply through wholesalers direct to veterinary practices.</w:t>
      </w:r>
    </w:p>
    <w:p w14:paraId="3A51C679" w14:textId="04890CE6" w:rsidR="00DE0214" w:rsidRDefault="00D6337C" w:rsidP="00DE0214">
      <w:pPr>
        <w:pStyle w:val="Heading4"/>
      </w:pPr>
      <w:bookmarkStart w:id="171" w:name="_Toc144110956"/>
      <w:r>
        <w:t>Summary of applicant’s reasons for the proposal</w:t>
      </w:r>
      <w:bookmarkEnd w:id="171"/>
    </w:p>
    <w:p w14:paraId="1F02A1A7" w14:textId="660C54F7" w:rsidR="00DE0214" w:rsidRPr="00224E3B" w:rsidRDefault="00DE0214" w:rsidP="0072362E">
      <w:pPr>
        <w:pStyle w:val="ListParagraph"/>
        <w:numPr>
          <w:ilvl w:val="0"/>
          <w:numId w:val="20"/>
        </w:numPr>
        <w:ind w:left="426" w:hanging="357"/>
        <w:contextualSpacing w:val="0"/>
        <w:rPr>
          <w:rFonts w:asciiTheme="minorHAnsi" w:hAnsiTheme="minorHAnsi" w:cstheme="minorHAnsi"/>
        </w:rPr>
      </w:pPr>
      <w:r w:rsidRPr="00224E3B">
        <w:rPr>
          <w:rFonts w:asciiTheme="minorHAnsi" w:hAnsiTheme="minorHAnsi" w:cstheme="minorHAnsi"/>
        </w:rPr>
        <w:t xml:space="preserve">There are currently several registered animal blood products with the APVMA for various animals including companion animals </w:t>
      </w:r>
      <w:r w:rsidR="00EB1099">
        <w:rPr>
          <w:rFonts w:asciiTheme="minorHAnsi" w:hAnsiTheme="minorHAnsi" w:cstheme="minorHAnsi"/>
        </w:rPr>
        <w:t>and</w:t>
      </w:r>
      <w:r w:rsidR="00EB1099" w:rsidRPr="00224E3B">
        <w:rPr>
          <w:rFonts w:asciiTheme="minorHAnsi" w:hAnsiTheme="minorHAnsi" w:cstheme="minorHAnsi"/>
        </w:rPr>
        <w:t xml:space="preserve"> </w:t>
      </w:r>
      <w:r w:rsidRPr="00224E3B">
        <w:rPr>
          <w:rFonts w:asciiTheme="minorHAnsi" w:hAnsiTheme="minorHAnsi" w:cstheme="minorHAnsi"/>
        </w:rPr>
        <w:t>production animals. While human blood products are regulated by the Therapeutic Goods Admin</w:t>
      </w:r>
      <w:r w:rsidR="00224E3B" w:rsidRPr="00224E3B">
        <w:rPr>
          <w:rFonts w:asciiTheme="minorHAnsi" w:hAnsiTheme="minorHAnsi" w:cstheme="minorHAnsi"/>
        </w:rPr>
        <w:t>istration (TGA)</w:t>
      </w:r>
      <w:r w:rsidR="009441F8">
        <w:rPr>
          <w:rFonts w:asciiTheme="minorHAnsi" w:hAnsiTheme="minorHAnsi" w:cstheme="minorHAnsi"/>
        </w:rPr>
        <w:t xml:space="preserve"> </w:t>
      </w:r>
      <w:r w:rsidR="00224E3B" w:rsidRPr="00224E3B">
        <w:rPr>
          <w:rFonts w:asciiTheme="minorHAnsi" w:hAnsiTheme="minorHAnsi" w:cstheme="minorHAnsi"/>
        </w:rPr>
        <w:t xml:space="preserve">and the National Blood Authority (NBA), there is no </w:t>
      </w:r>
      <w:r w:rsidR="00EB1099">
        <w:rPr>
          <w:rFonts w:asciiTheme="minorHAnsi" w:hAnsiTheme="minorHAnsi" w:cstheme="minorHAnsi"/>
        </w:rPr>
        <w:t>equivalent</w:t>
      </w:r>
      <w:r w:rsidR="00224E3B" w:rsidRPr="00224E3B">
        <w:rPr>
          <w:rFonts w:asciiTheme="minorHAnsi" w:hAnsiTheme="minorHAnsi" w:cstheme="minorHAnsi"/>
        </w:rPr>
        <w:t xml:space="preserve"> authority </w:t>
      </w:r>
      <w:r w:rsidR="00EB1099">
        <w:rPr>
          <w:rFonts w:asciiTheme="minorHAnsi" w:hAnsiTheme="minorHAnsi" w:cstheme="minorHAnsi"/>
        </w:rPr>
        <w:t xml:space="preserve">for the regulation of </w:t>
      </w:r>
      <w:r w:rsidR="00224E3B" w:rsidRPr="00224E3B">
        <w:rPr>
          <w:rFonts w:asciiTheme="minorHAnsi" w:hAnsiTheme="minorHAnsi" w:cstheme="minorHAnsi"/>
        </w:rPr>
        <w:t xml:space="preserve">animal </w:t>
      </w:r>
      <w:r w:rsidR="00EB1099">
        <w:rPr>
          <w:rFonts w:asciiTheme="minorHAnsi" w:hAnsiTheme="minorHAnsi" w:cstheme="minorHAnsi"/>
        </w:rPr>
        <w:t>blood products</w:t>
      </w:r>
      <w:r w:rsidR="00224E3B" w:rsidRPr="00224E3B">
        <w:rPr>
          <w:rFonts w:asciiTheme="minorHAnsi" w:hAnsiTheme="minorHAnsi" w:cstheme="minorHAnsi"/>
        </w:rPr>
        <w:t>.</w:t>
      </w:r>
    </w:p>
    <w:p w14:paraId="577C2F36" w14:textId="7A7FBD1B" w:rsidR="00D6337C" w:rsidRDefault="00224E3B" w:rsidP="0072362E">
      <w:pPr>
        <w:pStyle w:val="ListParagraph"/>
        <w:numPr>
          <w:ilvl w:val="0"/>
          <w:numId w:val="20"/>
        </w:numPr>
        <w:ind w:left="426" w:hanging="357"/>
        <w:contextualSpacing w:val="0"/>
        <w:rPr>
          <w:rFonts w:asciiTheme="minorHAnsi" w:hAnsiTheme="minorHAnsi" w:cstheme="minorHAnsi"/>
        </w:rPr>
      </w:pPr>
      <w:r w:rsidRPr="00224E3B">
        <w:rPr>
          <w:rFonts w:asciiTheme="minorHAnsi" w:hAnsiTheme="minorHAnsi" w:cstheme="minorHAnsi"/>
        </w:rPr>
        <w:t xml:space="preserve">Schedule 4 would be </w:t>
      </w:r>
      <w:r>
        <w:rPr>
          <w:rFonts w:asciiTheme="minorHAnsi" w:hAnsiTheme="minorHAnsi" w:cstheme="minorHAnsi"/>
        </w:rPr>
        <w:t xml:space="preserve">the </w:t>
      </w:r>
      <w:r w:rsidRPr="00224E3B">
        <w:rPr>
          <w:rFonts w:asciiTheme="minorHAnsi" w:hAnsiTheme="minorHAnsi" w:cstheme="minorHAnsi"/>
        </w:rPr>
        <w:t xml:space="preserve">most appropriate </w:t>
      </w:r>
      <w:r>
        <w:rPr>
          <w:rFonts w:asciiTheme="minorHAnsi" w:hAnsiTheme="minorHAnsi" w:cstheme="minorHAnsi"/>
        </w:rPr>
        <w:t xml:space="preserve">schedule </w:t>
      </w:r>
      <w:r w:rsidR="00EB1099" w:rsidRPr="00224E3B">
        <w:rPr>
          <w:rFonts w:asciiTheme="minorHAnsi" w:hAnsiTheme="minorHAnsi" w:cstheme="minorHAnsi"/>
        </w:rPr>
        <w:t>to</w:t>
      </w:r>
      <w:r w:rsidRPr="00224E3B">
        <w:rPr>
          <w:rFonts w:asciiTheme="minorHAnsi" w:hAnsiTheme="minorHAnsi" w:cstheme="minorHAnsi"/>
        </w:rPr>
        <w:t xml:space="preserve"> regulate access and supply</w:t>
      </w:r>
      <w:r w:rsidR="00EB1099" w:rsidRPr="00EB1099">
        <w:rPr>
          <w:rFonts w:asciiTheme="minorHAnsi" w:hAnsiTheme="minorHAnsi" w:cstheme="minorHAnsi"/>
        </w:rPr>
        <w:t xml:space="preserve"> </w:t>
      </w:r>
      <w:r w:rsidR="00EB1099">
        <w:rPr>
          <w:rFonts w:asciiTheme="minorHAnsi" w:hAnsiTheme="minorHAnsi" w:cstheme="minorHAnsi"/>
        </w:rPr>
        <w:t>a</w:t>
      </w:r>
      <w:r w:rsidR="00EB1099" w:rsidRPr="00224E3B">
        <w:rPr>
          <w:rFonts w:asciiTheme="minorHAnsi" w:hAnsiTheme="minorHAnsi" w:cstheme="minorHAnsi"/>
        </w:rPr>
        <w:t>s animal blood products must be administered by a veterinarian</w:t>
      </w:r>
      <w:r w:rsidRPr="00224E3B">
        <w:rPr>
          <w:rFonts w:asciiTheme="minorHAnsi" w:hAnsiTheme="minorHAnsi" w:cstheme="minorHAnsi"/>
        </w:rPr>
        <w:t>.</w:t>
      </w:r>
    </w:p>
    <w:p w14:paraId="32EC566C" w14:textId="263E32ED" w:rsidR="00224E3B" w:rsidRPr="00224E3B" w:rsidRDefault="00224E3B" w:rsidP="0072362E">
      <w:pPr>
        <w:pStyle w:val="ListParagraph"/>
        <w:numPr>
          <w:ilvl w:val="0"/>
          <w:numId w:val="20"/>
        </w:numPr>
        <w:ind w:left="426" w:hanging="357"/>
        <w:contextualSpacing w:val="0"/>
        <w:rPr>
          <w:rFonts w:asciiTheme="minorHAnsi" w:hAnsiTheme="minorHAnsi" w:cstheme="minorHAnsi"/>
        </w:rPr>
      </w:pPr>
      <w:r>
        <w:rPr>
          <w:rFonts w:asciiTheme="minorHAnsi" w:hAnsiTheme="minorHAnsi" w:cstheme="minorHAnsi"/>
        </w:rPr>
        <w:t>The human health risks associated with collection, handling and administration are low due to the products being handled only by appropriately trained staff.</w:t>
      </w:r>
    </w:p>
    <w:p w14:paraId="522C16D0" w14:textId="47069549" w:rsidR="00D6337C" w:rsidRDefault="00D6337C" w:rsidP="00D6337C">
      <w:pPr>
        <w:pStyle w:val="Heading4"/>
      </w:pPr>
      <w:bookmarkStart w:id="172" w:name="_Toc144110957"/>
      <w:r>
        <w:t xml:space="preserve">Key uses / expected </w:t>
      </w:r>
      <w:proofErr w:type="gramStart"/>
      <w:r>
        <w:t>use</w:t>
      </w:r>
      <w:bookmarkEnd w:id="172"/>
      <w:proofErr w:type="gramEnd"/>
    </w:p>
    <w:p w14:paraId="00740E7F" w14:textId="69B7EA17" w:rsidR="00D6337C" w:rsidRDefault="00DC1C7F" w:rsidP="00D6337C">
      <w:r>
        <w:t>Veterinary use only.</w:t>
      </w:r>
    </w:p>
    <w:p w14:paraId="7F5CC4F2" w14:textId="4A826D2E" w:rsidR="00D6337C" w:rsidRDefault="00D6337C" w:rsidP="00D6337C">
      <w:pPr>
        <w:pStyle w:val="Heading4"/>
      </w:pPr>
      <w:bookmarkStart w:id="173" w:name="_Toc144110958"/>
      <w:r>
        <w:t>Australian regulations</w:t>
      </w:r>
      <w:bookmarkEnd w:id="173"/>
    </w:p>
    <w:p w14:paraId="5C0F06F6" w14:textId="1D860CCE" w:rsidR="00D6337C" w:rsidRPr="00224E3B" w:rsidRDefault="00224E3B" w:rsidP="00EB1099">
      <w:pPr>
        <w:pStyle w:val="ListBullet"/>
        <w:numPr>
          <w:ilvl w:val="0"/>
          <w:numId w:val="83"/>
        </w:numPr>
      </w:pPr>
      <w:r w:rsidRPr="00224E3B">
        <w:t>Animal blood products are not present in the</w:t>
      </w:r>
      <w:r w:rsidR="00D6337C" w:rsidRPr="00224E3B">
        <w:t xml:space="preserve"> </w:t>
      </w:r>
      <w:hyperlink r:id="rId171" w:history="1">
        <w:r w:rsidR="00D6337C" w:rsidRPr="008007EB">
          <w:rPr>
            <w:rStyle w:val="Hyperlink"/>
            <w:rFonts w:asciiTheme="minorHAnsi" w:hAnsiTheme="minorHAnsi"/>
          </w:rPr>
          <w:t>TGA Ingredient Database</w:t>
        </w:r>
      </w:hyperlink>
      <w:r>
        <w:t>.</w:t>
      </w:r>
    </w:p>
    <w:p w14:paraId="478AFC0F" w14:textId="6DA931F7" w:rsidR="00D6337C" w:rsidRPr="008007EB" w:rsidRDefault="00D6337C" w:rsidP="00EB1099">
      <w:pPr>
        <w:pStyle w:val="ListBullet"/>
        <w:numPr>
          <w:ilvl w:val="0"/>
          <w:numId w:val="83"/>
        </w:numPr>
      </w:pPr>
      <w:r w:rsidRPr="00FD789C">
        <w:t xml:space="preserve">As of </w:t>
      </w:r>
      <w:r w:rsidR="008B0FEB" w:rsidRPr="008B0FEB">
        <w:t>July 2023</w:t>
      </w:r>
      <w:r w:rsidRPr="008B0FEB">
        <w:t>,</w:t>
      </w:r>
      <w:r w:rsidRPr="00FD789C">
        <w:t xml:space="preserve"> there were </w:t>
      </w:r>
      <w:r w:rsidR="00224E3B" w:rsidRPr="00FD789C">
        <w:t>no</w:t>
      </w:r>
      <w:r w:rsidRPr="00FD789C">
        <w:t xml:space="preserve"> medicines currently active on the </w:t>
      </w:r>
      <w:hyperlink r:id="rId172"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8007EB">
        <w:t xml:space="preserve"> </w:t>
      </w:r>
      <w:r w:rsidRPr="00FD789C">
        <w:t xml:space="preserve">that contain </w:t>
      </w:r>
      <w:r w:rsidR="00224E3B" w:rsidRPr="00FD789C">
        <w:t>animal blood products</w:t>
      </w:r>
      <w:r w:rsidRPr="00FD789C">
        <w:t xml:space="preserve"> as an active ingredient.</w:t>
      </w:r>
    </w:p>
    <w:p w14:paraId="12ADF94E" w14:textId="20D17BD7" w:rsidR="00D6337C" w:rsidRPr="00FD789C" w:rsidRDefault="00FD789C" w:rsidP="00EB1099">
      <w:pPr>
        <w:pStyle w:val="ListBullet"/>
        <w:numPr>
          <w:ilvl w:val="0"/>
          <w:numId w:val="83"/>
        </w:numPr>
      </w:pPr>
      <w:r>
        <w:t xml:space="preserve">Animal blood products are </w:t>
      </w:r>
      <w:r w:rsidR="00D6337C" w:rsidRPr="00FD789C">
        <w:t xml:space="preserve">not permitted to be included in listed medicines as it is not included in the </w:t>
      </w:r>
      <w:hyperlink r:id="rId173" w:history="1">
        <w:r w:rsidR="00D6337C" w:rsidRPr="008007EB">
          <w:rPr>
            <w:rStyle w:val="Hyperlink"/>
            <w:rFonts w:asciiTheme="minorHAnsi" w:hAnsiTheme="minorHAnsi"/>
          </w:rPr>
          <w:t>Therapeutic Goods (Permissible Ingredients) Determination</w:t>
        </w:r>
      </w:hyperlink>
      <w:r w:rsidR="00D6337C" w:rsidRPr="008007EB">
        <w:t xml:space="preserve"> </w:t>
      </w:r>
      <w:r w:rsidR="00D6337C" w:rsidRPr="00FD789C">
        <w:t>No.</w:t>
      </w:r>
      <w:r>
        <w:t xml:space="preserve"> 3</w:t>
      </w:r>
      <w:r w:rsidR="00D6337C" w:rsidRPr="00FD789C">
        <w:t xml:space="preserve"> of 20</w:t>
      </w:r>
      <w:r>
        <w:t>23</w:t>
      </w:r>
      <w:r w:rsidR="00D6337C" w:rsidRPr="00FD789C">
        <w:t>.</w:t>
      </w:r>
    </w:p>
    <w:p w14:paraId="169A409B" w14:textId="0F2E66A0" w:rsidR="00D6337C" w:rsidRPr="008007EB" w:rsidRDefault="00FD789C" w:rsidP="00EB1099">
      <w:pPr>
        <w:pStyle w:val="ListBullet"/>
        <w:numPr>
          <w:ilvl w:val="0"/>
          <w:numId w:val="83"/>
        </w:numPr>
      </w:pPr>
      <w:r w:rsidRPr="00FD789C">
        <w:t>Animal blood products are not listed in the</w:t>
      </w:r>
      <w:r w:rsidR="00D6337C" w:rsidRPr="00FD789C">
        <w:t xml:space="preserve"> </w:t>
      </w:r>
      <w:hyperlink r:id="rId174" w:history="1">
        <w:r w:rsidR="00D6337C" w:rsidRPr="008007EB">
          <w:rPr>
            <w:rStyle w:val="Hyperlink"/>
            <w:rFonts w:asciiTheme="minorHAnsi" w:hAnsiTheme="minorHAnsi"/>
          </w:rPr>
          <w:t>TGA prescribing medicines in pregnancy database</w:t>
        </w:r>
      </w:hyperlink>
      <w:r w:rsidR="002B4733" w:rsidRPr="002B4733">
        <w:rPr>
          <w:rStyle w:val="Hyperlink"/>
          <w:rFonts w:asciiTheme="minorHAnsi" w:hAnsiTheme="minorHAnsi"/>
          <w:color w:val="auto"/>
          <w:u w:val="none"/>
        </w:rPr>
        <w:t>.</w:t>
      </w:r>
    </w:p>
    <w:p w14:paraId="5B8A6D82" w14:textId="0223C831" w:rsidR="00D6337C" w:rsidRPr="00FD789C" w:rsidRDefault="00D6337C" w:rsidP="00EB1099">
      <w:pPr>
        <w:pStyle w:val="ListBullet"/>
        <w:numPr>
          <w:ilvl w:val="0"/>
          <w:numId w:val="83"/>
        </w:numPr>
      </w:pPr>
      <w:r w:rsidRPr="00FD789C">
        <w:t xml:space="preserve">There are no warning statements pertaining to </w:t>
      </w:r>
      <w:r w:rsidR="00FD789C" w:rsidRPr="00FD789C">
        <w:t>animal blood products</w:t>
      </w:r>
      <w:r w:rsidRPr="00FD789C">
        <w:t xml:space="preserve"> in the </w:t>
      </w:r>
      <w:hyperlink r:id="rId175" w:history="1">
        <w:r w:rsidRPr="008007EB">
          <w:rPr>
            <w:rStyle w:val="Hyperlink"/>
            <w:rFonts w:asciiTheme="minorHAnsi" w:hAnsiTheme="minorHAnsi"/>
          </w:rPr>
          <w:t>Therapeutic Goods (Medicines Advisory Statements) Specification 2021</w:t>
        </w:r>
      </w:hyperlink>
      <w:r w:rsidR="002B4733" w:rsidRPr="002B4733">
        <w:rPr>
          <w:rStyle w:val="Hyperlink"/>
          <w:rFonts w:asciiTheme="minorHAnsi" w:hAnsiTheme="minorHAnsi"/>
          <w:color w:val="auto"/>
          <w:u w:val="none"/>
        </w:rPr>
        <w:t>.</w:t>
      </w:r>
    </w:p>
    <w:p w14:paraId="60082D05" w14:textId="3A83925B" w:rsidR="00D6337C" w:rsidRPr="00FD789C" w:rsidRDefault="00D6337C" w:rsidP="00EB1099">
      <w:pPr>
        <w:pStyle w:val="ListBullet"/>
        <w:numPr>
          <w:ilvl w:val="0"/>
          <w:numId w:val="83"/>
        </w:numPr>
        <w:rPr>
          <w:i/>
          <w:color w:val="8496B0" w:themeColor="text2" w:themeTint="99"/>
        </w:rPr>
      </w:pPr>
      <w:r w:rsidRPr="00655AA6">
        <w:t xml:space="preserve">As of </w:t>
      </w:r>
      <w:r w:rsidR="00EB1099">
        <w:t>August</w:t>
      </w:r>
      <w:r w:rsidR="00EB1099" w:rsidRPr="00655AA6">
        <w:t xml:space="preserve"> </w:t>
      </w:r>
      <w:r w:rsidR="008B0FEB" w:rsidRPr="00655AA6">
        <w:t>2023</w:t>
      </w:r>
      <w:r w:rsidRPr="00655AA6">
        <w:t xml:space="preserve">, there were </w:t>
      </w:r>
      <w:r w:rsidR="00FD789C" w:rsidRPr="00655AA6">
        <w:t>no</w:t>
      </w:r>
      <w:r w:rsidRPr="00655AA6">
        <w:t xml:space="preserve"> reports of adverse events for products containing </w:t>
      </w:r>
      <w:r w:rsidR="00FD789C" w:rsidRPr="00655AA6">
        <w:t>animal blood products</w:t>
      </w:r>
      <w:r w:rsidRPr="00655AA6">
        <w:t xml:space="preserve"> as an active ingredient on the </w:t>
      </w:r>
      <w:hyperlink r:id="rId176" w:history="1">
        <w:r w:rsidR="00EB1099">
          <w:rPr>
            <w:rStyle w:val="Hyperlink"/>
            <w:rFonts w:asciiTheme="minorHAnsi" w:hAnsiTheme="minorHAnsi"/>
          </w:rPr>
          <w:t>Database of Adverse Event Notifications</w:t>
        </w:r>
      </w:hyperlink>
      <w:r w:rsidR="00EB1099" w:rsidRPr="00EB1099">
        <w:rPr>
          <w:rStyle w:val="Hyperlink"/>
          <w:rFonts w:asciiTheme="minorHAnsi" w:hAnsiTheme="minorHAnsi"/>
          <w:color w:val="auto"/>
          <w:u w:val="none"/>
        </w:rPr>
        <w:t xml:space="preserve"> (DAEN)</w:t>
      </w:r>
      <w:r w:rsidR="00FD789C" w:rsidRPr="00FD789C">
        <w:t xml:space="preserve">. </w:t>
      </w:r>
    </w:p>
    <w:p w14:paraId="34B3F474" w14:textId="1A41E8D9" w:rsidR="00D6337C" w:rsidRPr="008007EB" w:rsidRDefault="00D6337C" w:rsidP="00EB1099">
      <w:pPr>
        <w:pStyle w:val="ListBullet"/>
        <w:numPr>
          <w:ilvl w:val="0"/>
          <w:numId w:val="83"/>
        </w:numPr>
      </w:pPr>
      <w:r w:rsidRPr="00FD789C">
        <w:t xml:space="preserve">As of </w:t>
      </w:r>
      <w:r w:rsidR="00EB1099">
        <w:t xml:space="preserve">August </w:t>
      </w:r>
      <w:r w:rsidR="008B0FEB">
        <w:t>2023</w:t>
      </w:r>
      <w:r w:rsidRPr="00FD789C">
        <w:t xml:space="preserve">, there were </w:t>
      </w:r>
      <w:r w:rsidR="00FD789C" w:rsidRPr="00FD789C">
        <w:t xml:space="preserve">3 </w:t>
      </w:r>
      <w:r w:rsidRPr="00FD789C">
        <w:t xml:space="preserve">products containing </w:t>
      </w:r>
      <w:r w:rsidR="00FD789C" w:rsidRPr="00FD789C">
        <w:t>animal blood products</w:t>
      </w:r>
      <w:r w:rsidRPr="00FD789C">
        <w:t xml:space="preserve"> listed on the </w:t>
      </w:r>
      <w:hyperlink r:id="rId177"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w:t>
      </w:r>
      <w:proofErr w:type="spellStart"/>
      <w:r w:rsidR="00EB1099" w:rsidRPr="00EB1099">
        <w:rPr>
          <w:rStyle w:val="Hyperlink"/>
          <w:rFonts w:asciiTheme="minorHAnsi" w:hAnsiTheme="minorHAnsi"/>
          <w:color w:val="auto"/>
          <w:u w:val="none"/>
        </w:rPr>
        <w:t>PubCRIS</w:t>
      </w:r>
      <w:proofErr w:type="spellEnd"/>
      <w:r w:rsidR="00EB1099" w:rsidRPr="00EB1099">
        <w:rPr>
          <w:rStyle w:val="Hyperlink"/>
          <w:rFonts w:asciiTheme="minorHAnsi" w:hAnsiTheme="minorHAnsi"/>
          <w:color w:val="auto"/>
          <w:u w:val="none"/>
        </w:rPr>
        <w:t>)</w:t>
      </w:r>
      <w:r w:rsidRPr="008007EB">
        <w:t>.</w:t>
      </w:r>
    </w:p>
    <w:p w14:paraId="6CF77C45" w14:textId="22958049" w:rsidR="00D6337C" w:rsidRPr="00CB687C" w:rsidRDefault="00D6337C" w:rsidP="00D6337C">
      <w:pPr>
        <w:pStyle w:val="Heading4"/>
      </w:pPr>
      <w:bookmarkStart w:id="174" w:name="_Toc144110959"/>
      <w:r>
        <w:t>International regulations</w:t>
      </w:r>
      <w:bookmarkEnd w:id="174"/>
    </w:p>
    <w:p w14:paraId="7FE9711F" w14:textId="289BC57B" w:rsidR="00D6337C" w:rsidRPr="00DC6D55" w:rsidRDefault="00DC6D55" w:rsidP="00EB1099">
      <w:pPr>
        <w:pStyle w:val="ListBullet"/>
        <w:numPr>
          <w:ilvl w:val="0"/>
          <w:numId w:val="83"/>
        </w:numPr>
      </w:pPr>
      <w:r w:rsidRPr="00DC6D55">
        <w:t>Animal blood products in the U</w:t>
      </w:r>
      <w:r>
        <w:t xml:space="preserve">nited </w:t>
      </w:r>
      <w:r w:rsidRPr="00DC6D55">
        <w:t>K</w:t>
      </w:r>
      <w:r>
        <w:t>ingdom</w:t>
      </w:r>
      <w:r w:rsidRPr="00DC6D55">
        <w:t xml:space="preserve"> are regulated by the </w:t>
      </w:r>
      <w:hyperlink r:id="rId178" w:history="1">
        <w:r w:rsidRPr="005106C4">
          <w:rPr>
            <w:rStyle w:val="Hyperlink"/>
            <w:rFonts w:asciiTheme="minorHAnsi" w:hAnsiTheme="minorHAnsi"/>
            <w:szCs w:val="22"/>
          </w:rPr>
          <w:t>Veterinary Medicines Directorate</w:t>
        </w:r>
      </w:hyperlink>
      <w:r w:rsidRPr="00DC6D55">
        <w:t xml:space="preserve">, an executive agency </w:t>
      </w:r>
      <w:r>
        <w:t xml:space="preserve">who are sponsored by </w:t>
      </w:r>
      <w:hyperlink r:id="rId179" w:history="1">
        <w:r w:rsidRPr="005106C4">
          <w:rPr>
            <w:rStyle w:val="Hyperlink"/>
            <w:rFonts w:asciiTheme="minorHAnsi" w:hAnsiTheme="minorHAnsi"/>
            <w:szCs w:val="22"/>
          </w:rPr>
          <w:t>The Department for Environment, Food and Rural Affairs</w:t>
        </w:r>
      </w:hyperlink>
      <w:r w:rsidRPr="00DC6D55">
        <w:t>.</w:t>
      </w:r>
      <w:r>
        <w:t xml:space="preserve"> A permit granted by the </w:t>
      </w:r>
      <w:hyperlink r:id="rId180" w:anchor="non-food-animal-blood-bank-authorisation-nfabba" w:history="1">
        <w:r w:rsidRPr="00DC6D55">
          <w:rPr>
            <w:rStyle w:val="Hyperlink"/>
            <w:rFonts w:asciiTheme="minorHAnsi" w:hAnsiTheme="minorHAnsi"/>
            <w:szCs w:val="22"/>
          </w:rPr>
          <w:t>Non-Food Animal Blood Bank Authorisation</w:t>
        </w:r>
      </w:hyperlink>
      <w:r>
        <w:t xml:space="preserve"> is </w:t>
      </w:r>
      <w:r w:rsidRPr="00163F51">
        <w:t xml:space="preserve">required in order to collect, store and supply animal blood to a veterinary surgeon for treatment of non-food producing animals. </w:t>
      </w:r>
      <w:r w:rsidR="005106C4" w:rsidRPr="00163F51">
        <w:t>These products can only</w:t>
      </w:r>
      <w:r w:rsidR="00EB1099">
        <w:t xml:space="preserve"> be</w:t>
      </w:r>
      <w:r w:rsidR="005106C4" w:rsidRPr="00163F51">
        <w:t xml:space="preserve"> </w:t>
      </w:r>
      <w:hyperlink r:id="rId181" w:anchor="non-food-animal-blood-bank-authorisation-nfabba" w:history="1">
        <w:r w:rsidR="00EB1099">
          <w:rPr>
            <w:rStyle w:val="Hyperlink"/>
            <w:rFonts w:asciiTheme="minorHAnsi" w:hAnsiTheme="minorHAnsi"/>
          </w:rPr>
          <w:t>supplied</w:t>
        </w:r>
      </w:hyperlink>
      <w:r w:rsidR="005106C4" w:rsidRPr="00163F51">
        <w:t xml:space="preserve"> to a vet and o</w:t>
      </w:r>
      <w:r w:rsidRPr="00163F51">
        <w:t>nly a veterinarian surgeon, or someone acting under a veterinary surgeon’s direction may administer the animal blood products.</w:t>
      </w:r>
    </w:p>
    <w:p w14:paraId="52EDC392" w14:textId="1EB0C1DE" w:rsidR="00DF2343" w:rsidRDefault="001D5CC5" w:rsidP="00DF2343">
      <w:pPr>
        <w:pStyle w:val="Heading3"/>
      </w:pPr>
      <w:bookmarkStart w:id="175" w:name="_Toc144110960"/>
      <w:bookmarkStart w:id="176" w:name="_Toc122614237"/>
      <w:r>
        <w:t>3.2</w:t>
      </w:r>
      <w:r>
        <w:tab/>
      </w:r>
      <w:r w:rsidR="00DF2343">
        <w:t>Bile acids</w:t>
      </w:r>
      <w:bookmarkEnd w:id="175"/>
    </w:p>
    <w:p w14:paraId="06748A9D" w14:textId="23BCFE31" w:rsidR="00DF2343" w:rsidRDefault="00DF2343" w:rsidP="00DF2343">
      <w:pPr>
        <w:pStyle w:val="Heading4"/>
      </w:pPr>
      <w:bookmarkStart w:id="177" w:name="_Toc144110961"/>
      <w:r>
        <w:t>Proposal</w:t>
      </w:r>
      <w:bookmarkEnd w:id="177"/>
    </w:p>
    <w:p w14:paraId="3D0A65D0" w14:textId="373DAB1F" w:rsidR="00352BEA" w:rsidRDefault="00352BEA" w:rsidP="00352BEA">
      <w:r>
        <w:t>The applicant proposed to amend the Schedule 4 entry for three bile acids (</w:t>
      </w:r>
      <w:r w:rsidR="002B4733">
        <w:t>c</w:t>
      </w:r>
      <w:r w:rsidRPr="00481A8B">
        <w:t xml:space="preserve">henodeoxycholic acid, </w:t>
      </w:r>
      <w:r w:rsidR="002B4733">
        <w:t>c</w:t>
      </w:r>
      <w:r w:rsidRPr="00481A8B">
        <w:t>holic acid,</w:t>
      </w:r>
      <w:r>
        <w:t xml:space="preserve"> and</w:t>
      </w:r>
      <w:r w:rsidRPr="00481A8B">
        <w:t xml:space="preserve"> </w:t>
      </w:r>
      <w:r w:rsidR="002B4733">
        <w:t>d</w:t>
      </w:r>
      <w:r w:rsidRPr="00481A8B">
        <w:t>eoxycholic acid</w:t>
      </w:r>
      <w:r>
        <w:t xml:space="preserve">). The proposed amendment would exempt these substances </w:t>
      </w:r>
      <w:r w:rsidR="002B4733">
        <w:t xml:space="preserve">from scheduling </w:t>
      </w:r>
      <w:r>
        <w:t>when used as an animal feed additive or in feed pre-mixes.</w:t>
      </w:r>
    </w:p>
    <w:p w14:paraId="6A3F1423" w14:textId="53DA975B" w:rsidR="00DF2343" w:rsidRDefault="00DF2343" w:rsidP="00DF2343">
      <w:pPr>
        <w:pStyle w:val="Heading4"/>
      </w:pPr>
      <w:bookmarkStart w:id="178" w:name="_Toc144110962"/>
      <w:r>
        <w:t>CAS Number</w:t>
      </w:r>
      <w:bookmarkEnd w:id="178"/>
    </w:p>
    <w:p w14:paraId="14C6B3D1" w14:textId="729A8CC1" w:rsidR="00593624" w:rsidRDefault="00593624" w:rsidP="00593624">
      <w:r w:rsidRPr="00A25C5F">
        <w:t>Chenodeoxycholic acid</w:t>
      </w:r>
      <w:r>
        <w:t>: 474-25-9</w:t>
      </w:r>
    </w:p>
    <w:p w14:paraId="25ED0E5A" w14:textId="2E16C8EB" w:rsidR="00593624" w:rsidRDefault="00593624" w:rsidP="00593624">
      <w:r>
        <w:t>Cholic acid:</w:t>
      </w:r>
      <w:r w:rsidRPr="00A25C5F">
        <w:t xml:space="preserve"> 81-25-4</w:t>
      </w:r>
    </w:p>
    <w:p w14:paraId="10F47954" w14:textId="3B269C23" w:rsidR="00DF2343" w:rsidRDefault="00593624" w:rsidP="00DF2343">
      <w:r>
        <w:t xml:space="preserve">Deoxycholic acid: </w:t>
      </w:r>
      <w:r w:rsidRPr="00A25C5F">
        <w:t>83-44-3</w:t>
      </w:r>
    </w:p>
    <w:p w14:paraId="0DDF539A" w14:textId="77777777" w:rsidR="00DF2343" w:rsidRDefault="00DF2343" w:rsidP="00DF2343">
      <w:pPr>
        <w:pStyle w:val="Heading4"/>
      </w:pPr>
      <w:bookmarkStart w:id="179" w:name="_Toc144110963"/>
      <w:r>
        <w:t>Alternative names</w:t>
      </w:r>
      <w:bookmarkEnd w:id="179"/>
    </w:p>
    <w:p w14:paraId="60AFEBBE" w14:textId="77777777" w:rsidR="00593624" w:rsidRDefault="00593624" w:rsidP="00593624">
      <w:r w:rsidRPr="00A25C5F">
        <w:t>Chenodeoxycholic acid</w:t>
      </w:r>
      <w:r>
        <w:t xml:space="preserve">: </w:t>
      </w:r>
      <w:r w:rsidRPr="003C1683">
        <w:t>3α,7α-Dihydroxy-5β-</w:t>
      </w:r>
      <w:proofErr w:type="spellStart"/>
      <w:r w:rsidRPr="003C1683">
        <w:t>cholanic</w:t>
      </w:r>
      <w:proofErr w:type="spellEnd"/>
      <w:r w:rsidRPr="003C1683">
        <w:t xml:space="preserve"> acid, 5β-</w:t>
      </w:r>
      <w:proofErr w:type="spellStart"/>
      <w:r w:rsidRPr="003C1683">
        <w:t>Cholanic</w:t>
      </w:r>
      <w:proofErr w:type="spellEnd"/>
      <w:r w:rsidRPr="003C1683">
        <w:t xml:space="preserve"> acid-3α,7α-diol, </w:t>
      </w:r>
      <w:proofErr w:type="spellStart"/>
      <w:r w:rsidRPr="003C1683">
        <w:t>Chenodiol</w:t>
      </w:r>
      <w:proofErr w:type="spellEnd"/>
    </w:p>
    <w:p w14:paraId="57F3D261" w14:textId="77777777" w:rsidR="00593624" w:rsidRPr="00593624" w:rsidRDefault="00593624" w:rsidP="00593624">
      <w:r>
        <w:t xml:space="preserve">Cholic </w:t>
      </w:r>
      <w:r w:rsidRPr="00A25C5F">
        <w:t>acid</w:t>
      </w:r>
      <w:r>
        <w:t xml:space="preserve">: </w:t>
      </w:r>
      <w:r w:rsidRPr="00593624">
        <w:t>3α,7α,12α-Trihydroxy-5β-</w:t>
      </w:r>
      <w:proofErr w:type="spellStart"/>
      <w:r w:rsidRPr="00593624">
        <w:t>cholanic</w:t>
      </w:r>
      <w:proofErr w:type="spellEnd"/>
      <w:r w:rsidRPr="00593624">
        <w:t xml:space="preserve"> acid, </w:t>
      </w:r>
      <w:proofErr w:type="spellStart"/>
      <w:r w:rsidRPr="00593624">
        <w:t>Cholanic</w:t>
      </w:r>
      <w:proofErr w:type="spellEnd"/>
      <w:r w:rsidRPr="00593624">
        <w:t xml:space="preserve"> acid</w:t>
      </w:r>
    </w:p>
    <w:p w14:paraId="3FDAC4D4" w14:textId="77777777" w:rsidR="00593624" w:rsidRPr="003C1683" w:rsidRDefault="00593624" w:rsidP="00593624">
      <w:r>
        <w:t xml:space="preserve">Deoxycholic acid: </w:t>
      </w:r>
      <w:r w:rsidRPr="00593624">
        <w:t xml:space="preserve">Deoxycholate, </w:t>
      </w:r>
      <w:proofErr w:type="spellStart"/>
      <w:r w:rsidRPr="00593624">
        <w:t>Desoxycholic</w:t>
      </w:r>
      <w:proofErr w:type="spellEnd"/>
      <w:r w:rsidRPr="00593624">
        <w:t xml:space="preserve"> acid, 3α, 12α-Dihydroxy-</w:t>
      </w:r>
      <w:r w:rsidRPr="003C1683">
        <w:t>5β-</w:t>
      </w:r>
      <w:proofErr w:type="spellStart"/>
      <w:r w:rsidRPr="003C1683">
        <w:t>cholanic</w:t>
      </w:r>
      <w:proofErr w:type="spellEnd"/>
      <w:r w:rsidRPr="003C1683">
        <w:t xml:space="preserve"> acid</w:t>
      </w:r>
    </w:p>
    <w:p w14:paraId="76C4483C" w14:textId="77777777" w:rsidR="00DF2343" w:rsidRDefault="00DF2343" w:rsidP="00DF2343">
      <w:pPr>
        <w:pStyle w:val="Heading4"/>
      </w:pPr>
      <w:bookmarkStart w:id="180" w:name="_Toc144110964"/>
      <w:r>
        <w:t>Applicant</w:t>
      </w:r>
      <w:bookmarkEnd w:id="180"/>
    </w:p>
    <w:p w14:paraId="61013B84" w14:textId="77777777" w:rsidR="00593624" w:rsidRDefault="00593624" w:rsidP="00593624">
      <w:r w:rsidRPr="006C5028">
        <w:t>Private applicant</w:t>
      </w:r>
    </w:p>
    <w:p w14:paraId="1376489E" w14:textId="77777777" w:rsidR="00DF2343" w:rsidRDefault="00DF2343" w:rsidP="00DF2343">
      <w:pPr>
        <w:pStyle w:val="Heading4"/>
      </w:pPr>
      <w:bookmarkStart w:id="181" w:name="_Toc144110965"/>
      <w:r>
        <w:t>Proposed Scheduling</w:t>
      </w:r>
      <w:bookmarkEnd w:id="181"/>
    </w:p>
    <w:p w14:paraId="4FB3CFC7" w14:textId="68F999BF" w:rsidR="00593624" w:rsidRPr="00FA052C" w:rsidRDefault="00593624" w:rsidP="0072362E">
      <w:r w:rsidRPr="00A25C5F">
        <w:t xml:space="preserve">Chenodeoxycholic </w:t>
      </w:r>
      <w:r>
        <w:t>acid, Cholic acid, and Deoxycholic acid are</w:t>
      </w:r>
      <w:r w:rsidRPr="00AF12F6">
        <w:rPr>
          <w:rFonts w:cstheme="minorHAnsi"/>
        </w:rPr>
        <w:t xml:space="preserve"> currently listed in Schedule </w:t>
      </w:r>
      <w:r>
        <w:rPr>
          <w:rFonts w:cstheme="minorHAnsi"/>
        </w:rPr>
        <w:t>4 of the Poisons Standard</w:t>
      </w:r>
      <w:r w:rsidR="001B3E4F">
        <w:rPr>
          <w:rFonts w:cstheme="minorHAnsi"/>
        </w:rPr>
        <w:t>.</w:t>
      </w:r>
    </w:p>
    <w:p w14:paraId="4036D398" w14:textId="47053CC9" w:rsidR="00593624" w:rsidRPr="0072362E" w:rsidRDefault="00593624" w:rsidP="00593624">
      <w:pPr>
        <w:rPr>
          <w:bCs/>
        </w:rPr>
      </w:pPr>
      <w:r w:rsidRPr="0072362E">
        <w:rPr>
          <w:bCs/>
        </w:rPr>
        <w:t xml:space="preserve">The </w:t>
      </w:r>
      <w:r w:rsidRPr="000F6508">
        <w:rPr>
          <w:bCs/>
        </w:rPr>
        <w:t xml:space="preserve">applicant’s </w:t>
      </w:r>
      <w:r w:rsidRPr="0072362E">
        <w:rPr>
          <w:bCs/>
        </w:rPr>
        <w:t>proposed amendments to the Poisons Standard are</w:t>
      </w:r>
      <w:r w:rsidR="002B4733">
        <w:rPr>
          <w:bCs/>
        </w:rPr>
        <w:t>:</w:t>
      </w:r>
      <w:r w:rsidRPr="0072362E">
        <w:rPr>
          <w:rStyle w:val="FootnoteReference"/>
          <w:bCs/>
        </w:rPr>
        <w:footnoteReference w:id="15"/>
      </w:r>
    </w:p>
    <w:p w14:paraId="126040F1" w14:textId="77777777" w:rsidR="00593624" w:rsidRPr="00CD40FB" w:rsidRDefault="00593624" w:rsidP="00593624">
      <w:pPr>
        <w:ind w:left="426"/>
        <w:rPr>
          <w:b/>
        </w:rPr>
      </w:pPr>
      <w:r w:rsidRPr="00FA052C">
        <w:rPr>
          <w:b/>
        </w:rPr>
        <w:t>Schedule 4 –</w:t>
      </w:r>
      <w:r>
        <w:rPr>
          <w:b/>
        </w:rPr>
        <w:t xml:space="preserve"> </w:t>
      </w:r>
      <w:r w:rsidRPr="00FA052C">
        <w:rPr>
          <w:b/>
        </w:rPr>
        <w:t>Amend Entry</w:t>
      </w:r>
    </w:p>
    <w:p w14:paraId="11A82569" w14:textId="77777777" w:rsidR="00593624" w:rsidRDefault="00593624" w:rsidP="00593624">
      <w:pPr>
        <w:ind w:left="720"/>
        <w:rPr>
          <w:rFonts w:cstheme="minorHAnsi"/>
          <w:color w:val="00B050"/>
          <w:u w:val="single"/>
        </w:rPr>
      </w:pPr>
      <w:r w:rsidRPr="00A25C5F">
        <w:t>CHENODEOXYCHOLIC ACID</w:t>
      </w:r>
      <w:r>
        <w:rPr>
          <w:b/>
        </w:rPr>
        <w:t xml:space="preserve"> </w:t>
      </w:r>
      <w:r>
        <w:rPr>
          <w:rFonts w:cstheme="minorHAnsi"/>
          <w:b/>
          <w:bCs/>
          <w:color w:val="00B050"/>
          <w:u w:val="single"/>
        </w:rPr>
        <w:t xml:space="preserve">except </w:t>
      </w:r>
      <w:r>
        <w:rPr>
          <w:rFonts w:cstheme="minorHAnsi"/>
          <w:color w:val="00B050"/>
          <w:u w:val="single"/>
        </w:rPr>
        <w:t>when used as an animal feed additive or in animal feed pre-mixes.</w:t>
      </w:r>
    </w:p>
    <w:p w14:paraId="7AAFE809" w14:textId="77777777" w:rsidR="00593624" w:rsidRPr="00FA052C" w:rsidRDefault="00593624" w:rsidP="00593624">
      <w:pPr>
        <w:ind w:left="426"/>
        <w:rPr>
          <w:b/>
        </w:rPr>
      </w:pPr>
      <w:r w:rsidRPr="00FA052C">
        <w:rPr>
          <w:b/>
        </w:rPr>
        <w:t>Schedule 4 –</w:t>
      </w:r>
      <w:r>
        <w:rPr>
          <w:b/>
        </w:rPr>
        <w:t xml:space="preserve"> </w:t>
      </w:r>
      <w:r w:rsidRPr="00FA052C">
        <w:rPr>
          <w:b/>
        </w:rPr>
        <w:t>Amend Entry</w:t>
      </w:r>
    </w:p>
    <w:p w14:paraId="496598A1" w14:textId="77777777" w:rsidR="00593624" w:rsidRDefault="00593624" w:rsidP="00593624">
      <w:pPr>
        <w:ind w:left="720"/>
        <w:rPr>
          <w:rFonts w:cstheme="minorHAnsi"/>
          <w:color w:val="00B050"/>
          <w:u w:val="single"/>
        </w:rPr>
      </w:pPr>
      <w:r>
        <w:t xml:space="preserve">CHOLIC </w:t>
      </w:r>
      <w:r w:rsidRPr="00A25C5F">
        <w:t>ACID</w:t>
      </w:r>
      <w:r w:rsidRPr="002F224C">
        <w:rPr>
          <w:rFonts w:cstheme="minorHAnsi"/>
          <w:b/>
          <w:bCs/>
          <w:color w:val="00B050"/>
        </w:rPr>
        <w:t xml:space="preserve"> </w:t>
      </w:r>
      <w:r>
        <w:rPr>
          <w:rFonts w:cstheme="minorHAnsi"/>
          <w:b/>
          <w:bCs/>
          <w:color w:val="00B050"/>
          <w:u w:val="single"/>
        </w:rPr>
        <w:t xml:space="preserve">except </w:t>
      </w:r>
      <w:r>
        <w:rPr>
          <w:rFonts w:cstheme="minorHAnsi"/>
          <w:color w:val="00B050"/>
          <w:u w:val="single"/>
        </w:rPr>
        <w:t>when used as an animal feed additive or in animal feed pre-mixes.</w:t>
      </w:r>
    </w:p>
    <w:p w14:paraId="599D3FF7" w14:textId="77777777" w:rsidR="00593624" w:rsidRDefault="00593624" w:rsidP="0072362E">
      <w:pPr>
        <w:keepNext/>
        <w:ind w:left="425"/>
        <w:rPr>
          <w:b/>
        </w:rPr>
      </w:pPr>
      <w:r w:rsidRPr="00FA052C">
        <w:rPr>
          <w:b/>
        </w:rPr>
        <w:t>Schedule 4 –</w:t>
      </w:r>
      <w:r>
        <w:rPr>
          <w:b/>
        </w:rPr>
        <w:t xml:space="preserve"> </w:t>
      </w:r>
      <w:r w:rsidRPr="00FA052C">
        <w:rPr>
          <w:b/>
        </w:rPr>
        <w:t>Amend Entry</w:t>
      </w:r>
    </w:p>
    <w:p w14:paraId="00ABBAA8" w14:textId="77777777" w:rsidR="00593624" w:rsidRDefault="00593624" w:rsidP="00593624">
      <w:pPr>
        <w:ind w:left="720"/>
      </w:pPr>
      <w:r>
        <w:t>DEOXYCHOLIC ACID</w:t>
      </w:r>
      <w:r w:rsidRPr="002F224C">
        <w:rPr>
          <w:rFonts w:cstheme="minorHAnsi"/>
          <w:b/>
          <w:bCs/>
          <w:color w:val="00B050"/>
        </w:rPr>
        <w:t xml:space="preserve"> </w:t>
      </w:r>
      <w:r>
        <w:rPr>
          <w:rFonts w:cstheme="minorHAnsi"/>
          <w:b/>
          <w:bCs/>
          <w:color w:val="00B050"/>
          <w:u w:val="single"/>
        </w:rPr>
        <w:t xml:space="preserve">except </w:t>
      </w:r>
      <w:r>
        <w:rPr>
          <w:rFonts w:cstheme="minorHAnsi"/>
          <w:color w:val="00B050"/>
          <w:u w:val="single"/>
        </w:rPr>
        <w:t>when used as an animal feed additive or in animal feed pre-mixes.</w:t>
      </w:r>
    </w:p>
    <w:p w14:paraId="2A1E1954" w14:textId="40968F1A" w:rsidR="00593624" w:rsidRPr="005133F7" w:rsidRDefault="00593624" w:rsidP="00593624">
      <w:pPr>
        <w:ind w:left="426"/>
        <w:rPr>
          <w:b/>
        </w:rPr>
      </w:pPr>
      <w:r>
        <w:rPr>
          <w:b/>
        </w:rPr>
        <w:t>Index</w:t>
      </w:r>
      <w:r w:rsidR="002F224C">
        <w:rPr>
          <w:b/>
        </w:rPr>
        <w:t xml:space="preserve"> – Amend Entries</w:t>
      </w:r>
    </w:p>
    <w:p w14:paraId="5FBE61E9" w14:textId="134B9453" w:rsidR="00593624" w:rsidRDefault="00593624" w:rsidP="006D7D84">
      <w:pPr>
        <w:ind w:left="720"/>
      </w:pPr>
      <w:r w:rsidRPr="00FA052C">
        <w:rPr>
          <w:b/>
          <w:bCs/>
        </w:rPr>
        <w:t>CHENODEOXYCHOLIC ACID</w:t>
      </w:r>
    </w:p>
    <w:p w14:paraId="01682B7D" w14:textId="23906FDC" w:rsidR="002F224C" w:rsidRDefault="002B4733" w:rsidP="002F224C">
      <w:pPr>
        <w:spacing w:before="120"/>
        <w:rPr>
          <w:rFonts w:cstheme="minorHAnsi"/>
          <w:color w:val="00B050"/>
          <w:u w:val="single"/>
        </w:rPr>
      </w:pPr>
      <w:r>
        <w:rPr>
          <w:b/>
          <w:bCs/>
        </w:rPr>
        <w:tab/>
      </w:r>
      <w:r w:rsidR="00593624">
        <w:t>Schedule 4</w:t>
      </w:r>
    </w:p>
    <w:p w14:paraId="2315BE79" w14:textId="4E4C41FF" w:rsidR="00593624" w:rsidRDefault="00593624" w:rsidP="002F224C">
      <w:pPr>
        <w:spacing w:before="240"/>
        <w:ind w:firstLine="720"/>
      </w:pPr>
      <w:r w:rsidRPr="00FA052C">
        <w:rPr>
          <w:b/>
          <w:bCs/>
        </w:rPr>
        <w:t>CHOLIC ACID</w:t>
      </w:r>
    </w:p>
    <w:p w14:paraId="09CFA41C" w14:textId="12D80AE3" w:rsidR="002B4733" w:rsidRDefault="00593624" w:rsidP="002F224C">
      <w:pPr>
        <w:spacing w:before="120"/>
        <w:ind w:firstLine="720"/>
        <w:rPr>
          <w:rFonts w:cstheme="minorHAnsi"/>
          <w:color w:val="00B050"/>
          <w:u w:val="single"/>
        </w:rPr>
      </w:pPr>
      <w:r>
        <w:t>Schedule 4</w:t>
      </w:r>
    </w:p>
    <w:p w14:paraId="34B7F513" w14:textId="210C16D6" w:rsidR="00593624" w:rsidRDefault="00593624" w:rsidP="002F224C">
      <w:pPr>
        <w:spacing w:before="240"/>
        <w:ind w:firstLine="720"/>
        <w:rPr>
          <w:b/>
          <w:bCs/>
        </w:rPr>
      </w:pPr>
      <w:r w:rsidRPr="00FA052C">
        <w:rPr>
          <w:b/>
          <w:bCs/>
        </w:rPr>
        <w:t>DEOXYCHOLIC ACID</w:t>
      </w:r>
    </w:p>
    <w:p w14:paraId="435FD448" w14:textId="7B151495" w:rsidR="00593624" w:rsidRPr="004C4102" w:rsidRDefault="00593624" w:rsidP="002F224C">
      <w:pPr>
        <w:ind w:firstLine="720"/>
        <w:rPr>
          <w:rFonts w:cstheme="minorHAnsi"/>
          <w:color w:val="00B050"/>
          <w:u w:val="single"/>
        </w:rPr>
      </w:pPr>
      <w:r>
        <w:t>Schedule 4</w:t>
      </w:r>
    </w:p>
    <w:p w14:paraId="778B6A94" w14:textId="77777777" w:rsidR="00DF2343" w:rsidRDefault="00DF2343" w:rsidP="00DF2343">
      <w:pPr>
        <w:pStyle w:val="Heading4"/>
      </w:pPr>
      <w:bookmarkStart w:id="182" w:name="_Toc144110966"/>
      <w:r>
        <w:t>Background</w:t>
      </w:r>
      <w:bookmarkEnd w:id="182"/>
    </w:p>
    <w:p w14:paraId="0B601A06" w14:textId="543CD4B9" w:rsidR="00593624" w:rsidRDefault="00593624" w:rsidP="009441F8">
      <w:r w:rsidRPr="00D86851">
        <w:t xml:space="preserve">Chenodeoxycholic acid, </w:t>
      </w:r>
      <w:r w:rsidR="002F224C">
        <w:t>c</w:t>
      </w:r>
      <w:r w:rsidRPr="00D86851">
        <w:t xml:space="preserve">holic acid and </w:t>
      </w:r>
      <w:r w:rsidR="002F224C">
        <w:t>d</w:t>
      </w:r>
      <w:r w:rsidRPr="00D86851">
        <w:t xml:space="preserve">eoxycholic acid are bile acids naturally found in </w:t>
      </w:r>
      <w:r w:rsidR="00EB1099">
        <w:t>mammals</w:t>
      </w:r>
      <w:r w:rsidR="00C449ED">
        <w:t>.</w:t>
      </w:r>
      <w:r w:rsidR="009441F8">
        <w:t xml:space="preserve"> </w:t>
      </w:r>
      <w:r w:rsidR="00C449ED">
        <w:t xml:space="preserve">These substances </w:t>
      </w:r>
      <w:r w:rsidR="002F224C">
        <w:t xml:space="preserve">have </w:t>
      </w:r>
      <w:r w:rsidRPr="00D86851">
        <w:t>therapeutic applications in the treatment of primary biliary cirrhosis and gallstones</w:t>
      </w:r>
      <w:r w:rsidR="00C449ED">
        <w:t xml:space="preserve">, </w:t>
      </w:r>
      <w:r>
        <w:t xml:space="preserve">bile acid synthesis disorders due to single enzyme defects, and for peroxisomal disorder such as Zellweger syndrome. </w:t>
      </w:r>
      <w:r w:rsidR="00C449ED">
        <w:t xml:space="preserve">There are also cosmetic applications as they can be used to </w:t>
      </w:r>
      <w:r>
        <w:t xml:space="preserve">destroy submental fat cells and </w:t>
      </w:r>
      <w:r w:rsidRPr="00A1650E">
        <w:t>reduce facial fullness or convexity</w:t>
      </w:r>
      <w:r>
        <w:t xml:space="preserve"> in adults.</w:t>
      </w:r>
    </w:p>
    <w:p w14:paraId="00D30EE2" w14:textId="258499A9" w:rsidR="00593624" w:rsidRDefault="00593624" w:rsidP="009441F8">
      <w:r w:rsidRPr="00D86851">
        <w:t>Chenodeoxycholic acid</w:t>
      </w:r>
      <w:r>
        <w:t xml:space="preserve"> was first listed </w:t>
      </w:r>
      <w:r w:rsidR="0072362E">
        <w:t xml:space="preserve">in </w:t>
      </w:r>
      <w:r>
        <w:t xml:space="preserve">Schedule 4 in March 1980, whilst </w:t>
      </w:r>
      <w:r w:rsidR="0072362E">
        <w:t>c</w:t>
      </w:r>
      <w:r>
        <w:t xml:space="preserve">holic acid and </w:t>
      </w:r>
      <w:r w:rsidR="0072362E">
        <w:t>d</w:t>
      </w:r>
      <w:r>
        <w:t>eoxycholic acid were listed under Schedule 4 in March 2015 and March 2016 respectively.</w:t>
      </w:r>
    </w:p>
    <w:p w14:paraId="0C3AB30E" w14:textId="77777777" w:rsidR="00DF2343" w:rsidRDefault="00DF2343" w:rsidP="00DF2343">
      <w:pPr>
        <w:pStyle w:val="Heading4"/>
      </w:pPr>
      <w:bookmarkStart w:id="183" w:name="_Toc144110967"/>
      <w:r>
        <w:t>Summary of applicant’s reasons for the proposal</w:t>
      </w:r>
      <w:bookmarkEnd w:id="183"/>
    </w:p>
    <w:p w14:paraId="4D0354BC" w14:textId="35401BE7" w:rsidR="00CD0782" w:rsidRPr="00EB1099" w:rsidRDefault="00760A80" w:rsidP="004C7298">
      <w:pPr>
        <w:pStyle w:val="ListParagraph"/>
        <w:numPr>
          <w:ilvl w:val="0"/>
          <w:numId w:val="23"/>
        </w:numPr>
        <w:spacing w:before="0" w:after="120" w:line="259" w:lineRule="auto"/>
        <w:ind w:left="419" w:hanging="357"/>
        <w:rPr>
          <w:rFonts w:cstheme="minorHAnsi"/>
        </w:rPr>
      </w:pPr>
      <w:r w:rsidRPr="00EB1099">
        <w:rPr>
          <w:rFonts w:asciiTheme="minorHAnsi" w:hAnsiTheme="minorHAnsi" w:cstheme="minorHAnsi"/>
        </w:rPr>
        <w:t xml:space="preserve">Chenodeoxycholic acid, </w:t>
      </w:r>
      <w:r w:rsidR="002F224C" w:rsidRPr="00EB1099">
        <w:rPr>
          <w:rFonts w:asciiTheme="minorHAnsi" w:hAnsiTheme="minorHAnsi" w:cstheme="minorHAnsi"/>
        </w:rPr>
        <w:t>c</w:t>
      </w:r>
      <w:r w:rsidRPr="00EB1099">
        <w:rPr>
          <w:rFonts w:asciiTheme="minorHAnsi" w:hAnsiTheme="minorHAnsi" w:cstheme="minorHAnsi"/>
        </w:rPr>
        <w:t xml:space="preserve">holic acid and </w:t>
      </w:r>
      <w:r w:rsidR="002F224C" w:rsidRPr="00EB1099">
        <w:rPr>
          <w:rFonts w:asciiTheme="minorHAnsi" w:hAnsiTheme="minorHAnsi" w:cstheme="minorHAnsi"/>
        </w:rPr>
        <w:t>d</w:t>
      </w:r>
      <w:r w:rsidRPr="00EB1099">
        <w:rPr>
          <w:rFonts w:asciiTheme="minorHAnsi" w:hAnsiTheme="minorHAnsi" w:cstheme="minorHAnsi"/>
        </w:rPr>
        <w:t xml:space="preserve">eoxycholic acid are naturally occurring </w:t>
      </w:r>
      <w:r w:rsidR="005F3195" w:rsidRPr="00EB1099">
        <w:rPr>
          <w:rFonts w:asciiTheme="minorHAnsi" w:hAnsiTheme="minorHAnsi" w:cstheme="minorHAnsi"/>
        </w:rPr>
        <w:t>steroid</w:t>
      </w:r>
      <w:r w:rsidRPr="00EB1099">
        <w:rPr>
          <w:rFonts w:asciiTheme="minorHAnsi" w:hAnsiTheme="minorHAnsi" w:cstheme="minorHAnsi"/>
        </w:rPr>
        <w:t xml:space="preserve"> acids</w:t>
      </w:r>
      <w:r w:rsidR="005F3195" w:rsidRPr="00EB1099">
        <w:rPr>
          <w:rFonts w:asciiTheme="minorHAnsi" w:hAnsiTheme="minorHAnsi" w:cstheme="minorHAnsi"/>
        </w:rPr>
        <w:t xml:space="preserve"> found in the bile of mammals and other vertebrates</w:t>
      </w:r>
      <w:r w:rsidR="00CD0782" w:rsidRPr="00EB1099">
        <w:rPr>
          <w:rFonts w:asciiTheme="minorHAnsi" w:hAnsiTheme="minorHAnsi" w:cstheme="minorHAnsi"/>
        </w:rPr>
        <w:t>.</w:t>
      </w:r>
    </w:p>
    <w:p w14:paraId="1D03BAD3" w14:textId="237A0B0A" w:rsidR="00CD0782" w:rsidRPr="00EB1099" w:rsidRDefault="00CD0782" w:rsidP="004C7298">
      <w:pPr>
        <w:pStyle w:val="ListParagraph"/>
        <w:numPr>
          <w:ilvl w:val="0"/>
          <w:numId w:val="23"/>
        </w:numPr>
        <w:spacing w:before="0" w:after="120" w:line="259" w:lineRule="auto"/>
        <w:ind w:left="419" w:hanging="357"/>
      </w:pPr>
      <w:r w:rsidRPr="00EB1099">
        <w:rPr>
          <w:rFonts w:asciiTheme="minorHAnsi" w:hAnsiTheme="minorHAnsi" w:cstheme="minorHAnsi"/>
        </w:rPr>
        <w:t xml:space="preserve">The addition of exogenous bile acid to animal feed </w:t>
      </w:r>
      <w:r w:rsidRPr="00CD0782">
        <w:rPr>
          <w:rFonts w:asciiTheme="minorHAnsi" w:eastAsiaTheme="minorHAnsi" w:hAnsiTheme="minorHAnsi" w:cstheme="minorHAnsi"/>
        </w:rPr>
        <w:t>in conventional or reduced protein diets is intended to enhance animal health and performance.</w:t>
      </w:r>
      <w:r w:rsidRPr="00CD0782">
        <w:t xml:space="preserve"> </w:t>
      </w:r>
      <w:r w:rsidRPr="00CD0782">
        <w:rPr>
          <w:rFonts w:asciiTheme="minorHAnsi" w:eastAsiaTheme="minorHAnsi" w:hAnsiTheme="minorHAnsi" w:cstheme="minorHAnsi"/>
        </w:rPr>
        <w:t xml:space="preserve">It </w:t>
      </w:r>
      <w:r>
        <w:rPr>
          <w:rFonts w:asciiTheme="minorHAnsi" w:eastAsiaTheme="minorHAnsi" w:hAnsiTheme="minorHAnsi" w:cstheme="minorHAnsi"/>
        </w:rPr>
        <w:t xml:space="preserve">is not </w:t>
      </w:r>
      <w:r w:rsidRPr="00CD0782">
        <w:rPr>
          <w:rFonts w:asciiTheme="minorHAnsi" w:eastAsiaTheme="minorHAnsi" w:hAnsiTheme="minorHAnsi" w:cstheme="minorHAnsi"/>
        </w:rPr>
        <w:t>intend</w:t>
      </w:r>
      <w:r>
        <w:rPr>
          <w:rFonts w:asciiTheme="minorHAnsi" w:eastAsiaTheme="minorHAnsi" w:hAnsiTheme="minorHAnsi" w:cstheme="minorHAnsi"/>
        </w:rPr>
        <w:t>ed</w:t>
      </w:r>
      <w:r w:rsidRPr="00CD0782">
        <w:rPr>
          <w:rFonts w:asciiTheme="minorHAnsi" w:eastAsiaTheme="minorHAnsi" w:hAnsiTheme="minorHAnsi" w:cstheme="minorHAnsi"/>
        </w:rPr>
        <w:t xml:space="preserve"> to alleviate any animal illness or disease</w:t>
      </w:r>
      <w:r>
        <w:rPr>
          <w:rFonts w:asciiTheme="minorHAnsi" w:eastAsiaTheme="minorHAnsi" w:hAnsiTheme="minorHAnsi" w:cstheme="minorHAnsi"/>
        </w:rPr>
        <w:t>.</w:t>
      </w:r>
    </w:p>
    <w:p w14:paraId="1A2C67CA" w14:textId="0D884539" w:rsidR="00760A80" w:rsidRPr="000F3020" w:rsidRDefault="00760A80" w:rsidP="004C7298">
      <w:pPr>
        <w:pStyle w:val="ListParagraph"/>
        <w:numPr>
          <w:ilvl w:val="0"/>
          <w:numId w:val="23"/>
        </w:numPr>
        <w:spacing w:before="0" w:after="120" w:line="259" w:lineRule="auto"/>
        <w:ind w:left="419" w:hanging="357"/>
      </w:pPr>
      <w:r>
        <w:rPr>
          <w:rFonts w:asciiTheme="minorHAnsi" w:eastAsiaTheme="minorHAnsi" w:hAnsiTheme="minorHAnsi" w:cstheme="minorBidi"/>
        </w:rPr>
        <w:t>The proposed animal feed formulation comprises 30% bile acids</w:t>
      </w:r>
      <w:r w:rsidR="00EB1099">
        <w:rPr>
          <w:rFonts w:asciiTheme="minorHAnsi" w:eastAsiaTheme="minorHAnsi" w:hAnsiTheme="minorHAnsi" w:cstheme="minorBidi"/>
        </w:rPr>
        <w:t>,</w:t>
      </w:r>
      <w:r>
        <w:rPr>
          <w:rFonts w:asciiTheme="minorHAnsi" w:eastAsiaTheme="minorHAnsi" w:hAnsiTheme="minorHAnsi" w:cstheme="minorBidi"/>
        </w:rPr>
        <w:t xml:space="preserve"> made up of a minimum </w:t>
      </w:r>
      <w:r w:rsidR="00EB1099">
        <w:rPr>
          <w:rFonts w:asciiTheme="minorHAnsi" w:eastAsiaTheme="minorHAnsi" w:hAnsiTheme="minorHAnsi" w:cstheme="minorBidi"/>
        </w:rPr>
        <w:t xml:space="preserve">of </w:t>
      </w:r>
      <w:r>
        <w:rPr>
          <w:rFonts w:asciiTheme="minorHAnsi" w:eastAsiaTheme="minorHAnsi" w:hAnsiTheme="minorHAnsi" w:cstheme="minorBidi"/>
        </w:rPr>
        <w:t>3</w:t>
      </w:r>
      <w:r w:rsidR="00EB1099">
        <w:rPr>
          <w:rFonts w:asciiTheme="minorHAnsi" w:eastAsiaTheme="minorHAnsi" w:hAnsiTheme="minorHAnsi" w:cstheme="minorBidi"/>
        </w:rPr>
        <w:t>% c</w:t>
      </w:r>
      <w:r>
        <w:rPr>
          <w:rFonts w:asciiTheme="minorHAnsi" w:eastAsiaTheme="minorHAnsi" w:hAnsiTheme="minorHAnsi" w:cstheme="minorBidi"/>
        </w:rPr>
        <w:t xml:space="preserve">holic acid, 21% </w:t>
      </w:r>
      <w:r w:rsidR="00EB1099">
        <w:rPr>
          <w:rFonts w:asciiTheme="minorHAnsi" w:eastAsiaTheme="minorHAnsi" w:hAnsiTheme="minorHAnsi" w:cstheme="minorBidi"/>
        </w:rPr>
        <w:t>d</w:t>
      </w:r>
      <w:r>
        <w:rPr>
          <w:rFonts w:asciiTheme="minorHAnsi" w:eastAsiaTheme="minorHAnsi" w:hAnsiTheme="minorHAnsi" w:cstheme="minorBidi"/>
        </w:rPr>
        <w:t xml:space="preserve">eoxycholic acid, and 6% </w:t>
      </w:r>
      <w:r w:rsidR="00EB1099">
        <w:rPr>
          <w:rFonts w:asciiTheme="minorHAnsi" w:eastAsiaTheme="minorHAnsi" w:hAnsiTheme="minorHAnsi" w:cstheme="minorBidi"/>
        </w:rPr>
        <w:t>c</w:t>
      </w:r>
      <w:r>
        <w:rPr>
          <w:rFonts w:asciiTheme="minorHAnsi" w:eastAsiaTheme="minorHAnsi" w:hAnsiTheme="minorHAnsi" w:cstheme="minorBidi"/>
        </w:rPr>
        <w:t>henodeoxycholic acid.</w:t>
      </w:r>
    </w:p>
    <w:p w14:paraId="34965D44" w14:textId="24C43448" w:rsidR="00760A80" w:rsidRDefault="00760A80" w:rsidP="0072362E">
      <w:pPr>
        <w:pStyle w:val="ListParagraph"/>
        <w:numPr>
          <w:ilvl w:val="0"/>
          <w:numId w:val="23"/>
        </w:numPr>
        <w:spacing w:before="0"/>
        <w:ind w:left="425" w:hanging="357"/>
        <w:contextualSpacing w:val="0"/>
        <w:rPr>
          <w:rFonts w:asciiTheme="minorHAnsi" w:eastAsiaTheme="minorHAnsi" w:hAnsiTheme="minorHAnsi" w:cstheme="minorBidi"/>
        </w:rPr>
      </w:pPr>
      <w:r>
        <w:rPr>
          <w:rFonts w:asciiTheme="minorHAnsi" w:eastAsiaTheme="minorHAnsi" w:hAnsiTheme="minorHAnsi" w:cstheme="minorBidi"/>
        </w:rPr>
        <w:t xml:space="preserve">The product </w:t>
      </w:r>
      <w:r w:rsidR="00471508">
        <w:rPr>
          <w:rFonts w:asciiTheme="minorHAnsi" w:eastAsiaTheme="minorHAnsi" w:hAnsiTheme="minorHAnsi" w:cstheme="minorBidi"/>
        </w:rPr>
        <w:t xml:space="preserve">is classified as follows under </w:t>
      </w:r>
      <w:r>
        <w:rPr>
          <w:rFonts w:asciiTheme="minorHAnsi" w:eastAsiaTheme="minorHAnsi" w:hAnsiTheme="minorHAnsi" w:cstheme="minorBidi"/>
        </w:rPr>
        <w:t>the GHS:</w:t>
      </w:r>
    </w:p>
    <w:p w14:paraId="0784D77B" w14:textId="12E2C304" w:rsidR="00760A80" w:rsidRDefault="00760A80" w:rsidP="00EB1099">
      <w:pPr>
        <w:pStyle w:val="ListParagraph"/>
        <w:numPr>
          <w:ilvl w:val="1"/>
          <w:numId w:val="56"/>
        </w:numPr>
        <w:ind w:left="714" w:hanging="357"/>
        <w:contextualSpacing w:val="0"/>
        <w:rPr>
          <w:rFonts w:asciiTheme="minorHAnsi" w:eastAsiaTheme="minorHAnsi" w:hAnsiTheme="minorHAnsi" w:cstheme="minorBidi"/>
        </w:rPr>
      </w:pPr>
      <w:r>
        <w:rPr>
          <w:rFonts w:asciiTheme="minorHAnsi" w:eastAsiaTheme="minorHAnsi" w:hAnsiTheme="minorHAnsi" w:cstheme="minorBidi"/>
        </w:rPr>
        <w:t xml:space="preserve">H303: May be harmful if </w:t>
      </w:r>
      <w:proofErr w:type="gramStart"/>
      <w:r>
        <w:rPr>
          <w:rFonts w:asciiTheme="minorHAnsi" w:eastAsiaTheme="minorHAnsi" w:hAnsiTheme="minorHAnsi" w:cstheme="minorBidi"/>
        </w:rPr>
        <w:t>swallowed</w:t>
      </w:r>
      <w:proofErr w:type="gramEnd"/>
    </w:p>
    <w:p w14:paraId="0E4B3662" w14:textId="3A83E3F1" w:rsidR="00760A80" w:rsidRDefault="00760A80" w:rsidP="00EB1099">
      <w:pPr>
        <w:pStyle w:val="ListParagraph"/>
        <w:numPr>
          <w:ilvl w:val="1"/>
          <w:numId w:val="56"/>
        </w:numPr>
        <w:ind w:left="714" w:hanging="357"/>
        <w:contextualSpacing w:val="0"/>
        <w:rPr>
          <w:rFonts w:asciiTheme="minorHAnsi" w:eastAsiaTheme="minorHAnsi" w:hAnsiTheme="minorHAnsi" w:cstheme="minorBidi"/>
        </w:rPr>
      </w:pPr>
      <w:r>
        <w:rPr>
          <w:rFonts w:asciiTheme="minorHAnsi" w:eastAsiaTheme="minorHAnsi" w:hAnsiTheme="minorHAnsi" w:cstheme="minorBidi"/>
        </w:rPr>
        <w:t xml:space="preserve">H320: Causes eye </w:t>
      </w:r>
      <w:proofErr w:type="gramStart"/>
      <w:r>
        <w:rPr>
          <w:rFonts w:asciiTheme="minorHAnsi" w:eastAsiaTheme="minorHAnsi" w:hAnsiTheme="minorHAnsi" w:cstheme="minorBidi"/>
        </w:rPr>
        <w:t>irritation</w:t>
      </w:r>
      <w:proofErr w:type="gramEnd"/>
    </w:p>
    <w:p w14:paraId="0DC167F7" w14:textId="7E891CEB" w:rsidR="00760A80" w:rsidRPr="000F3020" w:rsidRDefault="00760A80" w:rsidP="00EB1099">
      <w:pPr>
        <w:pStyle w:val="ListParagraph"/>
        <w:numPr>
          <w:ilvl w:val="1"/>
          <w:numId w:val="56"/>
        </w:numPr>
        <w:ind w:left="714" w:hanging="357"/>
        <w:contextualSpacing w:val="0"/>
      </w:pPr>
      <w:r>
        <w:rPr>
          <w:rFonts w:asciiTheme="minorHAnsi" w:eastAsiaTheme="minorHAnsi" w:hAnsiTheme="minorHAnsi" w:cstheme="minorBidi"/>
        </w:rPr>
        <w:t>H335: May cause respiratory irritation.</w:t>
      </w:r>
    </w:p>
    <w:p w14:paraId="4B24E915" w14:textId="548CE53B" w:rsidR="00760A80" w:rsidRPr="000F3020" w:rsidRDefault="00760A80" w:rsidP="0072362E">
      <w:pPr>
        <w:pStyle w:val="ListParagraph"/>
        <w:numPr>
          <w:ilvl w:val="0"/>
          <w:numId w:val="23"/>
        </w:numPr>
        <w:spacing w:before="0"/>
        <w:ind w:left="425"/>
        <w:contextualSpacing w:val="0"/>
      </w:pPr>
      <w:r>
        <w:rPr>
          <w:rFonts w:asciiTheme="minorHAnsi" w:eastAsiaTheme="minorHAnsi" w:hAnsiTheme="minorHAnsi" w:cstheme="minorBidi"/>
        </w:rPr>
        <w:t>Product toxicity is relatively low with a product oral LD50 of &gt;5</w:t>
      </w:r>
      <w:r w:rsidR="00471508">
        <w:rPr>
          <w:rFonts w:asciiTheme="minorHAnsi" w:eastAsiaTheme="minorHAnsi" w:hAnsiTheme="minorHAnsi" w:cstheme="minorBidi"/>
        </w:rPr>
        <w:t>,</w:t>
      </w:r>
      <w:r>
        <w:rPr>
          <w:rFonts w:asciiTheme="minorHAnsi" w:eastAsiaTheme="minorHAnsi" w:hAnsiTheme="minorHAnsi" w:cstheme="minorBidi"/>
        </w:rPr>
        <w:t xml:space="preserve">000 mg/kg </w:t>
      </w:r>
      <w:proofErr w:type="spellStart"/>
      <w:r>
        <w:rPr>
          <w:rFonts w:asciiTheme="minorHAnsi" w:eastAsiaTheme="minorHAnsi" w:hAnsiTheme="minorHAnsi" w:cstheme="minorBidi"/>
        </w:rPr>
        <w:t>bw</w:t>
      </w:r>
      <w:proofErr w:type="spellEnd"/>
      <w:r>
        <w:rPr>
          <w:rFonts w:asciiTheme="minorHAnsi" w:eastAsiaTheme="minorHAnsi" w:hAnsiTheme="minorHAnsi" w:cstheme="minorBidi"/>
        </w:rPr>
        <w:t xml:space="preserve"> with an oral </w:t>
      </w:r>
      <w:proofErr w:type="spellStart"/>
      <w:r>
        <w:rPr>
          <w:rFonts w:asciiTheme="minorHAnsi" w:eastAsiaTheme="minorHAnsi" w:hAnsiTheme="minorHAnsi" w:cstheme="minorBidi"/>
        </w:rPr>
        <w:t>subchronic</w:t>
      </w:r>
      <w:proofErr w:type="spellEnd"/>
      <w:r>
        <w:rPr>
          <w:rFonts w:asciiTheme="minorHAnsi" w:eastAsiaTheme="minorHAnsi" w:hAnsiTheme="minorHAnsi" w:cstheme="minorBidi"/>
        </w:rPr>
        <w:t xml:space="preserve"> NOAEL of 3</w:t>
      </w:r>
      <w:r w:rsidR="00471508">
        <w:rPr>
          <w:rFonts w:asciiTheme="minorHAnsi" w:eastAsiaTheme="minorHAnsi" w:hAnsiTheme="minorHAnsi" w:cstheme="minorBidi"/>
        </w:rPr>
        <w:t>,</w:t>
      </w:r>
      <w:r>
        <w:rPr>
          <w:rFonts w:asciiTheme="minorHAnsi" w:eastAsiaTheme="minorHAnsi" w:hAnsiTheme="minorHAnsi" w:cstheme="minorBidi"/>
        </w:rPr>
        <w:t>000 mg/kg.</w:t>
      </w:r>
    </w:p>
    <w:p w14:paraId="620EA7C3" w14:textId="431C8462" w:rsidR="00760A80" w:rsidRDefault="00760A80" w:rsidP="00EB1099">
      <w:pPr>
        <w:pStyle w:val="ListParagraph"/>
        <w:numPr>
          <w:ilvl w:val="0"/>
          <w:numId w:val="23"/>
        </w:numPr>
        <w:spacing w:before="0"/>
        <w:ind w:left="419" w:hanging="357"/>
        <w:contextualSpacing w:val="0"/>
        <w:rPr>
          <w:rFonts w:asciiTheme="minorHAnsi" w:eastAsiaTheme="minorHAnsi" w:hAnsiTheme="minorHAnsi" w:cstheme="minorBidi"/>
        </w:rPr>
      </w:pPr>
      <w:r>
        <w:rPr>
          <w:rFonts w:asciiTheme="minorHAnsi" w:eastAsiaTheme="minorHAnsi" w:hAnsiTheme="minorHAnsi" w:cstheme="minorBidi"/>
        </w:rPr>
        <w:t>The potential for misuse or abuse is very low as the proposed preparation is for an animal feed additive and feed pre-mix.</w:t>
      </w:r>
    </w:p>
    <w:p w14:paraId="380F781F" w14:textId="47534EF1" w:rsidR="00CD0782" w:rsidRPr="00EB1099" w:rsidRDefault="00CD0782" w:rsidP="00EB1099">
      <w:pPr>
        <w:pStyle w:val="ListParagraph"/>
        <w:numPr>
          <w:ilvl w:val="0"/>
          <w:numId w:val="23"/>
        </w:numPr>
        <w:ind w:left="419" w:hanging="357"/>
        <w:rPr>
          <w:rFonts w:asciiTheme="minorHAnsi" w:eastAsiaTheme="minorHAnsi" w:hAnsiTheme="minorHAnsi" w:cstheme="minorHAnsi"/>
        </w:rPr>
      </w:pPr>
      <w:r w:rsidRPr="00CD0782">
        <w:rPr>
          <w:rFonts w:asciiTheme="minorHAnsi" w:eastAsiaTheme="minorHAnsi" w:hAnsiTheme="minorHAnsi" w:cstheme="minorHAnsi"/>
        </w:rPr>
        <w:t>The preparation and administration of animal feed containing bile acids does</w:t>
      </w:r>
      <w:r>
        <w:rPr>
          <w:rFonts w:asciiTheme="minorHAnsi" w:eastAsiaTheme="minorHAnsi" w:hAnsiTheme="minorHAnsi" w:cstheme="minorHAnsi"/>
        </w:rPr>
        <w:t xml:space="preserve"> </w:t>
      </w:r>
      <w:r w:rsidRPr="00EB1099">
        <w:rPr>
          <w:rFonts w:asciiTheme="minorHAnsi" w:hAnsiTheme="minorHAnsi" w:cstheme="minorHAnsi"/>
        </w:rPr>
        <w:t>not require specialised handling.</w:t>
      </w:r>
    </w:p>
    <w:p w14:paraId="20751C90" w14:textId="77777777" w:rsidR="00DF2343" w:rsidRDefault="00DF2343" w:rsidP="00DF2343">
      <w:pPr>
        <w:pStyle w:val="Heading4"/>
      </w:pPr>
      <w:bookmarkStart w:id="184" w:name="_Toc144110968"/>
      <w:r>
        <w:t xml:space="preserve">Key uses / expected </w:t>
      </w:r>
      <w:proofErr w:type="gramStart"/>
      <w:r>
        <w:t>use</w:t>
      </w:r>
      <w:bookmarkEnd w:id="184"/>
      <w:proofErr w:type="gramEnd"/>
    </w:p>
    <w:p w14:paraId="5892AE89" w14:textId="77777777" w:rsidR="00760A80" w:rsidRDefault="00760A80" w:rsidP="00760A80">
      <w:r w:rsidRPr="008C1A51">
        <w:t>Agriculture</w:t>
      </w:r>
    </w:p>
    <w:p w14:paraId="64C4A729" w14:textId="77777777" w:rsidR="00DF2343" w:rsidRDefault="00DF2343" w:rsidP="00DF2343">
      <w:pPr>
        <w:pStyle w:val="Heading4"/>
      </w:pPr>
      <w:bookmarkStart w:id="185" w:name="_Toc144110969"/>
      <w:r>
        <w:t>Australian regulations</w:t>
      </w:r>
      <w:bookmarkEnd w:id="185"/>
    </w:p>
    <w:p w14:paraId="059A57E8" w14:textId="16167604" w:rsidR="00760A80" w:rsidRPr="00163F51" w:rsidRDefault="00760A80" w:rsidP="00EB1099">
      <w:pPr>
        <w:pStyle w:val="ListBullet"/>
        <w:numPr>
          <w:ilvl w:val="0"/>
          <w:numId w:val="83"/>
        </w:numPr>
        <w:rPr>
          <w:rFonts w:eastAsiaTheme="minorHAnsi" w:cstheme="minorBidi"/>
        </w:rPr>
      </w:pPr>
      <w:r w:rsidRPr="00163F51">
        <w:t xml:space="preserve">According to the </w:t>
      </w:r>
      <w:hyperlink r:id="rId182" w:history="1">
        <w:r w:rsidRPr="008007EB">
          <w:rPr>
            <w:rStyle w:val="Hyperlink"/>
            <w:rFonts w:asciiTheme="minorHAnsi" w:hAnsiTheme="minorHAnsi"/>
          </w:rPr>
          <w:t>TGA Ingredient Database</w:t>
        </w:r>
      </w:hyperlink>
      <w:r w:rsidRPr="008007EB">
        <w:t xml:space="preserve">, </w:t>
      </w:r>
      <w:r w:rsidR="002F224C">
        <w:rPr>
          <w:rFonts w:eastAsiaTheme="minorHAnsi" w:cstheme="minorBidi"/>
        </w:rPr>
        <w:t>c</w:t>
      </w:r>
      <w:r w:rsidRPr="00163F51">
        <w:rPr>
          <w:rFonts w:eastAsiaTheme="minorHAnsi" w:cstheme="minorBidi"/>
        </w:rPr>
        <w:t xml:space="preserve">henodeoxycholic acid, </w:t>
      </w:r>
      <w:r w:rsidR="002F224C">
        <w:rPr>
          <w:rFonts w:eastAsiaTheme="minorHAnsi" w:cstheme="minorBidi"/>
        </w:rPr>
        <w:t>c</w:t>
      </w:r>
      <w:r w:rsidRPr="00163F51">
        <w:rPr>
          <w:rFonts w:eastAsiaTheme="minorHAnsi" w:cstheme="minorBidi"/>
        </w:rPr>
        <w:t xml:space="preserve">holic acid, and </w:t>
      </w:r>
      <w:r w:rsidR="002F224C">
        <w:rPr>
          <w:rFonts w:eastAsiaTheme="minorHAnsi" w:cstheme="minorBidi"/>
        </w:rPr>
        <w:t>d</w:t>
      </w:r>
      <w:r w:rsidRPr="00163F51">
        <w:rPr>
          <w:rFonts w:eastAsiaTheme="minorHAnsi" w:cstheme="minorBidi"/>
        </w:rPr>
        <w:t>eoxycholic acid are:</w:t>
      </w:r>
    </w:p>
    <w:p w14:paraId="0D2B10AA" w14:textId="18785EC4" w:rsidR="00760A80" w:rsidRPr="00163F51" w:rsidRDefault="00760A80" w:rsidP="00EB1099">
      <w:pPr>
        <w:pStyle w:val="ListBullet2"/>
        <w:numPr>
          <w:ilvl w:val="1"/>
          <w:numId w:val="83"/>
        </w:numPr>
        <w:ind w:left="782" w:hanging="425"/>
        <w:rPr>
          <w:rFonts w:eastAsiaTheme="minorHAnsi" w:cstheme="minorBidi"/>
          <w:color w:val="auto"/>
        </w:rPr>
      </w:pPr>
      <w:r w:rsidRPr="00163F51">
        <w:rPr>
          <w:rFonts w:eastAsiaTheme="minorHAnsi" w:cstheme="minorBidi"/>
          <w:color w:val="auto"/>
        </w:rPr>
        <w:t>Available for use as an Active Ingredient in Biologicals, Prescription Medicines</w:t>
      </w:r>
    </w:p>
    <w:p w14:paraId="482AF1C5" w14:textId="5CD84664" w:rsidR="00760A80" w:rsidRPr="00163F51" w:rsidRDefault="00760A80" w:rsidP="00EB1099">
      <w:pPr>
        <w:pStyle w:val="ListBullet2"/>
        <w:numPr>
          <w:ilvl w:val="1"/>
          <w:numId w:val="83"/>
        </w:numPr>
        <w:ind w:left="782" w:hanging="425"/>
        <w:rPr>
          <w:rFonts w:eastAsiaTheme="minorHAnsi" w:cstheme="minorBidi"/>
          <w:color w:val="auto"/>
        </w:rPr>
      </w:pPr>
      <w:r w:rsidRPr="00163F51">
        <w:rPr>
          <w:rFonts w:eastAsiaTheme="minorHAnsi" w:cstheme="minorBidi"/>
          <w:color w:val="auto"/>
        </w:rPr>
        <w:t>Available for use as an Excipient Ingredient in Biologicals, Devices, Prescription Medicines</w:t>
      </w:r>
    </w:p>
    <w:p w14:paraId="3289EC42" w14:textId="51DA2EAB" w:rsidR="00760A80" w:rsidRPr="00163F51" w:rsidRDefault="00760A80" w:rsidP="00EB1099">
      <w:pPr>
        <w:pStyle w:val="ListBullet2"/>
        <w:numPr>
          <w:ilvl w:val="1"/>
          <w:numId w:val="83"/>
        </w:numPr>
        <w:ind w:left="782" w:hanging="425"/>
        <w:rPr>
          <w:rFonts w:eastAsiaTheme="minorHAnsi" w:cstheme="minorBidi"/>
          <w:color w:val="auto"/>
        </w:rPr>
      </w:pPr>
      <w:r w:rsidRPr="00163F51">
        <w:rPr>
          <w:rFonts w:eastAsiaTheme="minorHAnsi" w:cstheme="minorBidi"/>
          <w:color w:val="auto"/>
        </w:rPr>
        <w:t>Not available as an Equivalent Ingredient in any application</w:t>
      </w:r>
      <w:r w:rsidR="00EB1099">
        <w:rPr>
          <w:rFonts w:eastAsiaTheme="minorHAnsi" w:cstheme="minorBidi"/>
          <w:color w:val="auto"/>
        </w:rPr>
        <w:t>.</w:t>
      </w:r>
    </w:p>
    <w:p w14:paraId="703963B6" w14:textId="23BC3A0D" w:rsidR="00760A80" w:rsidRPr="008007EB" w:rsidRDefault="00760A80" w:rsidP="00EB1099">
      <w:pPr>
        <w:pStyle w:val="ListBullet"/>
        <w:numPr>
          <w:ilvl w:val="0"/>
          <w:numId w:val="83"/>
        </w:numPr>
      </w:pPr>
      <w:r w:rsidRPr="00163F51">
        <w:t xml:space="preserve">As of </w:t>
      </w:r>
      <w:r w:rsidR="004C7298">
        <w:t>August</w:t>
      </w:r>
      <w:r w:rsidR="004C7298" w:rsidRPr="00163F51">
        <w:t xml:space="preserve"> </w:t>
      </w:r>
      <w:r w:rsidRPr="00163F51">
        <w:t xml:space="preserve">2023, there was </w:t>
      </w:r>
      <w:r w:rsidR="002F224C">
        <w:t>one</w:t>
      </w:r>
      <w:r w:rsidRPr="00163F51">
        <w:t xml:space="preserve"> medicine currently active on the </w:t>
      </w:r>
      <w:hyperlink r:id="rId183" w:history="1">
        <w:r w:rsidR="00EB1099">
          <w:rPr>
            <w:rStyle w:val="Hyperlink"/>
            <w:rFonts w:asciiTheme="minorHAnsi" w:hAnsiTheme="minorHAnsi"/>
          </w:rPr>
          <w:t>Australian Register of Therapeutic Goods</w:t>
        </w:r>
      </w:hyperlink>
      <w:r w:rsidR="00EB1099" w:rsidRPr="00EB1099">
        <w:rPr>
          <w:rStyle w:val="Hyperlink"/>
          <w:rFonts w:asciiTheme="minorHAnsi" w:hAnsiTheme="minorHAnsi"/>
          <w:color w:val="auto"/>
          <w:u w:val="none"/>
        </w:rPr>
        <w:t xml:space="preserve"> (ARTG)</w:t>
      </w:r>
      <w:r w:rsidRPr="008007EB">
        <w:t xml:space="preserve"> </w:t>
      </w:r>
      <w:r w:rsidRPr="00163F51">
        <w:t xml:space="preserve">that contains </w:t>
      </w:r>
      <w:r w:rsidR="002F224C">
        <w:t>d</w:t>
      </w:r>
      <w:r w:rsidRPr="00163F51">
        <w:t xml:space="preserve">eoxycholic acid as an active ingredient, </w:t>
      </w:r>
      <w:r w:rsidR="002F224C">
        <w:t xml:space="preserve">which is a prescription medicine, </w:t>
      </w:r>
      <w:r w:rsidRPr="00163F51">
        <w:t xml:space="preserve">and </w:t>
      </w:r>
      <w:r w:rsidR="002F224C">
        <w:t>no</w:t>
      </w:r>
      <w:r w:rsidRPr="00163F51">
        <w:t xml:space="preserve"> medicines containing </w:t>
      </w:r>
      <w:r w:rsidR="002F224C">
        <w:t>c</w:t>
      </w:r>
      <w:r w:rsidRPr="00163F51">
        <w:t xml:space="preserve">henodeoxycholic acid or </w:t>
      </w:r>
      <w:r w:rsidR="002F224C">
        <w:t>c</w:t>
      </w:r>
      <w:r w:rsidRPr="00163F51">
        <w:t>holic acid.</w:t>
      </w:r>
    </w:p>
    <w:p w14:paraId="64B31EBF" w14:textId="37567F23" w:rsidR="00760A80" w:rsidRPr="008007EB" w:rsidRDefault="00760A80" w:rsidP="00EB1099">
      <w:pPr>
        <w:pStyle w:val="ListBullet"/>
        <w:numPr>
          <w:ilvl w:val="0"/>
          <w:numId w:val="83"/>
        </w:numPr>
      </w:pPr>
      <w:r w:rsidRPr="00163F51">
        <w:t xml:space="preserve">Chenodeoxycholic acid, </w:t>
      </w:r>
      <w:r w:rsidR="002F224C">
        <w:t>c</w:t>
      </w:r>
      <w:r w:rsidRPr="00163F51">
        <w:t xml:space="preserve">holic acid and </w:t>
      </w:r>
      <w:r w:rsidR="002F224C">
        <w:t>d</w:t>
      </w:r>
      <w:r w:rsidRPr="00163F51">
        <w:t xml:space="preserve">eoxycholic acid are not permitted to be included in listed medicines as </w:t>
      </w:r>
      <w:r w:rsidR="002F224C">
        <w:t xml:space="preserve">they are </w:t>
      </w:r>
      <w:r w:rsidRPr="00163F51">
        <w:t xml:space="preserve">not included in the </w:t>
      </w:r>
      <w:hyperlink r:id="rId184" w:history="1">
        <w:r w:rsidRPr="008007EB">
          <w:rPr>
            <w:rStyle w:val="Hyperlink"/>
            <w:rFonts w:asciiTheme="minorHAnsi" w:hAnsiTheme="minorHAnsi"/>
          </w:rPr>
          <w:t>Therapeutic Goods (Permissible Ingredients) Determination</w:t>
        </w:r>
      </w:hyperlink>
      <w:r w:rsidRPr="00163F51">
        <w:t xml:space="preserve"> No.3 of 2023.</w:t>
      </w:r>
    </w:p>
    <w:p w14:paraId="46AF794D" w14:textId="18D0D06D" w:rsidR="00760A80" w:rsidRPr="008007EB" w:rsidRDefault="00760A80" w:rsidP="00EB1099">
      <w:pPr>
        <w:pStyle w:val="ListBullet"/>
        <w:numPr>
          <w:ilvl w:val="0"/>
          <w:numId w:val="83"/>
        </w:numPr>
      </w:pPr>
      <w:r w:rsidRPr="00163F51">
        <w:t>The</w:t>
      </w:r>
      <w:r w:rsidRPr="008007EB">
        <w:t xml:space="preserve"> </w:t>
      </w:r>
      <w:hyperlink r:id="rId185" w:history="1">
        <w:r w:rsidRPr="008007EB">
          <w:rPr>
            <w:rStyle w:val="Hyperlink"/>
            <w:rFonts w:asciiTheme="minorHAnsi" w:hAnsiTheme="minorHAnsi"/>
          </w:rPr>
          <w:t>TGA prescribing medicines in pregnancy database</w:t>
        </w:r>
      </w:hyperlink>
      <w:r w:rsidRPr="00163F51">
        <w:t xml:space="preserve"> classifies </w:t>
      </w:r>
      <w:r w:rsidR="002F224C">
        <w:t>c</w:t>
      </w:r>
      <w:r w:rsidRPr="00163F51">
        <w:t xml:space="preserve">henodeoxycholic acid, </w:t>
      </w:r>
      <w:r w:rsidR="002F224C">
        <w:t>c</w:t>
      </w:r>
      <w:r w:rsidRPr="00163F51">
        <w:t xml:space="preserve">holic acid and </w:t>
      </w:r>
      <w:r w:rsidR="002F224C">
        <w:t>d</w:t>
      </w:r>
      <w:r w:rsidRPr="00163F51">
        <w:t>eoxycholic acid as:</w:t>
      </w:r>
    </w:p>
    <w:tbl>
      <w:tblPr>
        <w:tblStyle w:val="TableTGAblue"/>
        <w:tblW w:w="8670" w:type="dxa"/>
        <w:tblInd w:w="392" w:type="dxa"/>
        <w:tblLook w:val="04A0" w:firstRow="1" w:lastRow="0" w:firstColumn="1" w:lastColumn="0" w:noHBand="0" w:noVBand="1"/>
      </w:tblPr>
      <w:tblGrid>
        <w:gridCol w:w="1698"/>
        <w:gridCol w:w="1019"/>
        <w:gridCol w:w="1984"/>
        <w:gridCol w:w="1985"/>
        <w:gridCol w:w="1984"/>
      </w:tblGrid>
      <w:tr w:rsidR="00760A80" w:rsidRPr="002F224C" w14:paraId="11A9AAAA" w14:textId="77777777" w:rsidTr="002F2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54CD58BC" w14:textId="77777777" w:rsidR="00760A80" w:rsidRPr="002F224C" w:rsidRDefault="00760A80" w:rsidP="002F224C">
            <w:pPr>
              <w:keepLines/>
              <w:spacing w:before="60" w:after="60"/>
              <w:rPr>
                <w:rFonts w:asciiTheme="minorHAnsi" w:hAnsiTheme="minorHAnsi" w:cstheme="minorHAnsi"/>
                <w:sz w:val="20"/>
                <w:szCs w:val="20"/>
              </w:rPr>
            </w:pPr>
            <w:r w:rsidRPr="002F224C">
              <w:rPr>
                <w:rFonts w:asciiTheme="minorHAnsi" w:hAnsiTheme="minorHAnsi" w:cstheme="minorHAnsi"/>
                <w:sz w:val="20"/>
                <w:szCs w:val="20"/>
              </w:rPr>
              <w:t>Drug name</w:t>
            </w:r>
          </w:p>
        </w:tc>
        <w:tc>
          <w:tcPr>
            <w:tcW w:w="1019" w:type="dxa"/>
          </w:tcPr>
          <w:p w14:paraId="64D2155D" w14:textId="77777777" w:rsidR="00760A80" w:rsidRPr="002F224C" w:rsidRDefault="00760A80" w:rsidP="002F224C">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Category</w:t>
            </w:r>
          </w:p>
        </w:tc>
        <w:tc>
          <w:tcPr>
            <w:tcW w:w="1984" w:type="dxa"/>
          </w:tcPr>
          <w:p w14:paraId="6A8A6E4B" w14:textId="77777777" w:rsidR="00760A80" w:rsidRPr="002F224C" w:rsidRDefault="00760A80" w:rsidP="002F224C">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Classification Level 1</w:t>
            </w:r>
          </w:p>
        </w:tc>
        <w:tc>
          <w:tcPr>
            <w:tcW w:w="1985" w:type="dxa"/>
          </w:tcPr>
          <w:p w14:paraId="5BB62775" w14:textId="77777777" w:rsidR="00760A80" w:rsidRPr="002F224C" w:rsidRDefault="00760A80" w:rsidP="002F224C">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Classification Level 2</w:t>
            </w:r>
          </w:p>
        </w:tc>
        <w:tc>
          <w:tcPr>
            <w:tcW w:w="1984" w:type="dxa"/>
          </w:tcPr>
          <w:p w14:paraId="7614A923" w14:textId="77777777" w:rsidR="00760A80" w:rsidRPr="002F224C" w:rsidRDefault="00760A80" w:rsidP="002F224C">
            <w:pPr>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Classification Level 3</w:t>
            </w:r>
          </w:p>
        </w:tc>
      </w:tr>
      <w:tr w:rsidR="00760A80" w:rsidRPr="002F224C" w14:paraId="35618ABF" w14:textId="77777777" w:rsidTr="002F224C">
        <w:tc>
          <w:tcPr>
            <w:cnfStyle w:val="001000000000" w:firstRow="0" w:lastRow="0" w:firstColumn="1" w:lastColumn="0" w:oddVBand="0" w:evenVBand="0" w:oddHBand="0" w:evenHBand="0" w:firstRowFirstColumn="0" w:firstRowLastColumn="0" w:lastRowFirstColumn="0" w:lastRowLastColumn="0"/>
            <w:tcW w:w="1698" w:type="dxa"/>
          </w:tcPr>
          <w:p w14:paraId="3504F47B" w14:textId="77777777" w:rsidR="00760A80" w:rsidRPr="002F224C" w:rsidRDefault="00760A80" w:rsidP="002F224C">
            <w:pPr>
              <w:keepNext/>
              <w:keepLines/>
              <w:spacing w:before="60" w:after="60"/>
              <w:rPr>
                <w:rFonts w:asciiTheme="minorHAnsi" w:hAnsiTheme="minorHAnsi" w:cstheme="minorHAnsi"/>
                <w:sz w:val="20"/>
                <w:szCs w:val="20"/>
              </w:rPr>
            </w:pPr>
            <w:r w:rsidRPr="002F224C">
              <w:rPr>
                <w:rFonts w:asciiTheme="minorHAnsi" w:hAnsiTheme="minorHAnsi" w:cstheme="minorHAnsi"/>
                <w:sz w:val="20"/>
                <w:szCs w:val="20"/>
              </w:rPr>
              <w:t>Chenodeoxycholic acid</w:t>
            </w:r>
          </w:p>
        </w:tc>
        <w:tc>
          <w:tcPr>
            <w:tcW w:w="1019" w:type="dxa"/>
          </w:tcPr>
          <w:p w14:paraId="1A23D96B"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B3</w:t>
            </w:r>
          </w:p>
        </w:tc>
        <w:tc>
          <w:tcPr>
            <w:tcW w:w="1984" w:type="dxa"/>
          </w:tcPr>
          <w:p w14:paraId="6C58A354"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Alimentary System</w:t>
            </w:r>
          </w:p>
        </w:tc>
        <w:tc>
          <w:tcPr>
            <w:tcW w:w="1985" w:type="dxa"/>
          </w:tcPr>
          <w:p w14:paraId="1F7EB5F8"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2F224C">
              <w:rPr>
                <w:rFonts w:asciiTheme="minorHAnsi" w:hAnsiTheme="minorHAnsi" w:cstheme="minorHAnsi"/>
                <w:sz w:val="20"/>
                <w:szCs w:val="20"/>
              </w:rPr>
              <w:t>Cholelitholytics</w:t>
            </w:r>
            <w:proofErr w:type="spellEnd"/>
          </w:p>
        </w:tc>
        <w:tc>
          <w:tcPr>
            <w:tcW w:w="1984" w:type="dxa"/>
          </w:tcPr>
          <w:p w14:paraId="5B17A6A9"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760A80" w:rsidRPr="002F224C" w14:paraId="747811A3" w14:textId="77777777" w:rsidTr="002F224C">
        <w:tc>
          <w:tcPr>
            <w:cnfStyle w:val="001000000000" w:firstRow="0" w:lastRow="0" w:firstColumn="1" w:lastColumn="0" w:oddVBand="0" w:evenVBand="0" w:oddHBand="0" w:evenHBand="0" w:firstRowFirstColumn="0" w:firstRowLastColumn="0" w:lastRowFirstColumn="0" w:lastRowLastColumn="0"/>
            <w:tcW w:w="1698" w:type="dxa"/>
          </w:tcPr>
          <w:p w14:paraId="7A1483B2" w14:textId="77777777" w:rsidR="00760A80" w:rsidRPr="002F224C" w:rsidRDefault="00760A80" w:rsidP="002F224C">
            <w:pPr>
              <w:keepNext/>
              <w:keepLines/>
              <w:spacing w:before="60" w:after="60"/>
              <w:rPr>
                <w:rFonts w:asciiTheme="minorHAnsi" w:hAnsiTheme="minorHAnsi" w:cstheme="minorHAnsi"/>
                <w:sz w:val="20"/>
                <w:szCs w:val="20"/>
              </w:rPr>
            </w:pPr>
            <w:r w:rsidRPr="002F224C">
              <w:rPr>
                <w:rFonts w:asciiTheme="minorHAnsi" w:hAnsiTheme="minorHAnsi" w:cstheme="minorHAnsi"/>
                <w:sz w:val="20"/>
                <w:szCs w:val="20"/>
              </w:rPr>
              <w:t>Cholic acid</w:t>
            </w:r>
          </w:p>
        </w:tc>
        <w:tc>
          <w:tcPr>
            <w:tcW w:w="1019" w:type="dxa"/>
          </w:tcPr>
          <w:p w14:paraId="000D3A5B"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B2</w:t>
            </w:r>
          </w:p>
        </w:tc>
        <w:tc>
          <w:tcPr>
            <w:tcW w:w="1984" w:type="dxa"/>
          </w:tcPr>
          <w:p w14:paraId="16845DBF"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Alimentary System</w:t>
            </w:r>
          </w:p>
        </w:tc>
        <w:tc>
          <w:tcPr>
            <w:tcW w:w="1985" w:type="dxa"/>
          </w:tcPr>
          <w:p w14:paraId="6F0D3410"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2F224C">
              <w:rPr>
                <w:rFonts w:asciiTheme="minorHAnsi" w:hAnsiTheme="minorHAnsi" w:cstheme="minorHAnsi"/>
                <w:sz w:val="20"/>
                <w:szCs w:val="20"/>
              </w:rPr>
              <w:t>Cholelitholytics</w:t>
            </w:r>
            <w:proofErr w:type="spellEnd"/>
          </w:p>
        </w:tc>
        <w:tc>
          <w:tcPr>
            <w:tcW w:w="1984" w:type="dxa"/>
          </w:tcPr>
          <w:p w14:paraId="689342D7"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60A80" w:rsidRPr="002F224C" w14:paraId="39658D5B" w14:textId="77777777" w:rsidTr="002F224C">
        <w:tc>
          <w:tcPr>
            <w:cnfStyle w:val="001000000000" w:firstRow="0" w:lastRow="0" w:firstColumn="1" w:lastColumn="0" w:oddVBand="0" w:evenVBand="0" w:oddHBand="0" w:evenHBand="0" w:firstRowFirstColumn="0" w:firstRowLastColumn="0" w:lastRowFirstColumn="0" w:lastRowLastColumn="0"/>
            <w:tcW w:w="1698" w:type="dxa"/>
          </w:tcPr>
          <w:p w14:paraId="3D498AC2" w14:textId="77777777" w:rsidR="00760A80" w:rsidRPr="002F224C" w:rsidRDefault="00760A80" w:rsidP="002F224C">
            <w:pPr>
              <w:keepNext/>
              <w:keepLines/>
              <w:spacing w:before="60" w:after="60"/>
              <w:rPr>
                <w:rFonts w:asciiTheme="minorHAnsi" w:hAnsiTheme="minorHAnsi" w:cstheme="minorHAnsi"/>
                <w:sz w:val="20"/>
                <w:szCs w:val="20"/>
              </w:rPr>
            </w:pPr>
            <w:r w:rsidRPr="002F224C">
              <w:rPr>
                <w:rFonts w:asciiTheme="minorHAnsi" w:hAnsiTheme="minorHAnsi" w:cstheme="minorHAnsi"/>
                <w:sz w:val="20"/>
                <w:szCs w:val="20"/>
              </w:rPr>
              <w:t>Deoxycholic acid</w:t>
            </w:r>
          </w:p>
        </w:tc>
        <w:tc>
          <w:tcPr>
            <w:tcW w:w="1019" w:type="dxa"/>
          </w:tcPr>
          <w:p w14:paraId="495D07B9"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B1</w:t>
            </w:r>
          </w:p>
        </w:tc>
        <w:tc>
          <w:tcPr>
            <w:tcW w:w="1984" w:type="dxa"/>
          </w:tcPr>
          <w:p w14:paraId="10FE167B"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F224C">
              <w:rPr>
                <w:rFonts w:asciiTheme="minorHAnsi" w:hAnsiTheme="minorHAnsi" w:cstheme="minorHAnsi"/>
                <w:sz w:val="20"/>
                <w:szCs w:val="20"/>
              </w:rPr>
              <w:t>Drug Used in Dermatology</w:t>
            </w:r>
          </w:p>
        </w:tc>
        <w:tc>
          <w:tcPr>
            <w:tcW w:w="1985" w:type="dxa"/>
          </w:tcPr>
          <w:p w14:paraId="7EB13117"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984" w:type="dxa"/>
          </w:tcPr>
          <w:p w14:paraId="6EB53956" w14:textId="77777777" w:rsidR="00760A80" w:rsidRPr="002F224C" w:rsidRDefault="00760A80" w:rsidP="002F224C">
            <w:pPr>
              <w:keepNext/>
              <w:keepLines/>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60A80" w:rsidRPr="002F224C" w14:paraId="7A55BB4B" w14:textId="77777777" w:rsidTr="00AC5E26">
        <w:tc>
          <w:tcPr>
            <w:cnfStyle w:val="001000000000" w:firstRow="0" w:lastRow="0" w:firstColumn="1" w:lastColumn="0" w:oddVBand="0" w:evenVBand="0" w:oddHBand="0" w:evenHBand="0" w:firstRowFirstColumn="0" w:firstRowLastColumn="0" w:lastRowFirstColumn="0" w:lastRowLastColumn="0"/>
            <w:tcW w:w="8670" w:type="dxa"/>
            <w:gridSpan w:val="5"/>
          </w:tcPr>
          <w:p w14:paraId="07ECB24E" w14:textId="77777777" w:rsidR="00760A80" w:rsidRPr="002F224C" w:rsidRDefault="00760A80" w:rsidP="002F224C">
            <w:pPr>
              <w:keepNext/>
              <w:keepLines/>
              <w:spacing w:before="60" w:after="60"/>
              <w:rPr>
                <w:rFonts w:asciiTheme="minorHAnsi" w:hAnsiTheme="minorHAnsi" w:cstheme="minorHAnsi"/>
                <w:sz w:val="18"/>
                <w:szCs w:val="18"/>
              </w:rPr>
            </w:pPr>
            <w:r w:rsidRPr="002F224C">
              <w:rPr>
                <w:rFonts w:asciiTheme="minorHAnsi" w:hAnsiTheme="minorHAnsi" w:cstheme="minorHAnsi"/>
                <w:b/>
                <w:sz w:val="18"/>
                <w:szCs w:val="18"/>
              </w:rPr>
              <w:t>Category B1</w:t>
            </w:r>
            <w:r w:rsidRPr="002F224C">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1E811070" w14:textId="77777777" w:rsidR="00760A80" w:rsidRPr="002F224C" w:rsidRDefault="00760A80" w:rsidP="002F224C">
            <w:pPr>
              <w:keepNext/>
              <w:keepLines/>
              <w:spacing w:before="60" w:after="60"/>
              <w:rPr>
                <w:rFonts w:asciiTheme="minorHAnsi" w:hAnsiTheme="minorHAnsi" w:cstheme="minorHAnsi"/>
                <w:sz w:val="18"/>
                <w:szCs w:val="18"/>
              </w:rPr>
            </w:pPr>
            <w:r w:rsidRPr="002F224C">
              <w:rPr>
                <w:rFonts w:asciiTheme="minorHAnsi" w:hAnsiTheme="minorHAnsi" w:cstheme="minorHAnsi"/>
                <w:sz w:val="18"/>
                <w:szCs w:val="18"/>
              </w:rPr>
              <w:t>Studies in animals have not shown evidence of an increased occurrence of foetal damage.</w:t>
            </w:r>
          </w:p>
          <w:p w14:paraId="586051B5" w14:textId="77777777" w:rsidR="00760A80" w:rsidRPr="002F224C" w:rsidRDefault="00760A80" w:rsidP="002F224C">
            <w:pPr>
              <w:keepNext/>
              <w:keepLines/>
              <w:spacing w:before="60" w:after="60"/>
              <w:rPr>
                <w:rFonts w:asciiTheme="minorHAnsi" w:hAnsiTheme="minorHAnsi" w:cstheme="minorHAnsi"/>
                <w:sz w:val="18"/>
                <w:szCs w:val="18"/>
              </w:rPr>
            </w:pPr>
            <w:r w:rsidRPr="002F224C">
              <w:rPr>
                <w:rFonts w:asciiTheme="minorHAnsi" w:hAnsiTheme="minorHAnsi" w:cstheme="minorHAnsi"/>
                <w:b/>
                <w:sz w:val="18"/>
                <w:szCs w:val="18"/>
              </w:rPr>
              <w:t>Category B2</w:t>
            </w:r>
            <w:r w:rsidRPr="002F224C">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022B6F5D" w14:textId="77777777" w:rsidR="00760A80" w:rsidRPr="002F224C" w:rsidRDefault="00760A80" w:rsidP="002F224C">
            <w:pPr>
              <w:keepNext/>
              <w:keepLines/>
              <w:spacing w:before="60" w:after="60"/>
              <w:rPr>
                <w:rFonts w:asciiTheme="minorHAnsi" w:hAnsiTheme="minorHAnsi" w:cstheme="minorHAnsi"/>
                <w:sz w:val="18"/>
                <w:szCs w:val="18"/>
              </w:rPr>
            </w:pPr>
            <w:r w:rsidRPr="002F224C">
              <w:rPr>
                <w:rFonts w:asciiTheme="minorHAnsi" w:hAnsiTheme="minorHAnsi" w:cstheme="minorHAnsi"/>
                <w:sz w:val="18"/>
                <w:szCs w:val="18"/>
              </w:rPr>
              <w:t>Studies in animals are inadequate or may be lacking, but available data show no evidence of an increased occurrence of foetal damage.</w:t>
            </w:r>
          </w:p>
          <w:p w14:paraId="575BF7C2" w14:textId="77777777" w:rsidR="00760A80" w:rsidRPr="002F224C" w:rsidRDefault="00760A80" w:rsidP="002F224C">
            <w:pPr>
              <w:keepNext/>
              <w:keepLines/>
              <w:spacing w:before="60" w:after="60"/>
              <w:rPr>
                <w:rFonts w:asciiTheme="minorHAnsi" w:hAnsiTheme="minorHAnsi" w:cstheme="minorHAnsi"/>
                <w:sz w:val="18"/>
                <w:szCs w:val="18"/>
              </w:rPr>
            </w:pPr>
            <w:r w:rsidRPr="002F224C">
              <w:rPr>
                <w:rFonts w:asciiTheme="minorHAnsi" w:hAnsiTheme="minorHAnsi" w:cstheme="minorHAnsi"/>
                <w:b/>
                <w:sz w:val="18"/>
                <w:szCs w:val="18"/>
              </w:rPr>
              <w:t>Category B3</w:t>
            </w:r>
            <w:r w:rsidRPr="002F224C">
              <w:rPr>
                <w:rFonts w:asciiTheme="minorHAnsi" w:hAnsiTheme="minorHAnsi" w:cstheme="minorHAnsi"/>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7E3CB76D" w14:textId="77777777" w:rsidR="00760A80" w:rsidRPr="002F224C" w:rsidRDefault="00760A80" w:rsidP="002F224C">
            <w:pPr>
              <w:keepNext/>
              <w:keepLines/>
              <w:spacing w:before="60" w:after="60"/>
              <w:rPr>
                <w:rFonts w:asciiTheme="minorHAnsi" w:hAnsiTheme="minorHAnsi" w:cstheme="minorHAnsi"/>
                <w:sz w:val="20"/>
                <w:szCs w:val="20"/>
              </w:rPr>
            </w:pPr>
            <w:r w:rsidRPr="002F224C">
              <w:rPr>
                <w:rFonts w:asciiTheme="minorHAnsi" w:hAnsiTheme="minorHAnsi" w:cstheme="minorHAnsi"/>
                <w:sz w:val="18"/>
                <w:szCs w:val="18"/>
              </w:rPr>
              <w:t>Studies in animals have shown evidence of an increased occurrence of foetal damage, the significance of which is considered uncertain in humans.</w:t>
            </w:r>
          </w:p>
        </w:tc>
      </w:tr>
    </w:tbl>
    <w:p w14:paraId="45FF1F43" w14:textId="43E8FC58" w:rsidR="00760A80" w:rsidRPr="003429BB" w:rsidRDefault="00760A80" w:rsidP="00EB1099">
      <w:pPr>
        <w:pStyle w:val="ListBullet"/>
        <w:numPr>
          <w:ilvl w:val="0"/>
          <w:numId w:val="83"/>
        </w:numPr>
      </w:pPr>
      <w:r w:rsidRPr="00163F51">
        <w:t xml:space="preserve">There are no warning statements </w:t>
      </w:r>
      <w:r w:rsidR="00EB1099">
        <w:t>for</w:t>
      </w:r>
      <w:r w:rsidRPr="00163F51">
        <w:t xml:space="preserve"> </w:t>
      </w:r>
      <w:r w:rsidR="002F224C">
        <w:t>c</w:t>
      </w:r>
      <w:r w:rsidRPr="00163F51">
        <w:t xml:space="preserve">henodeoxycholic acid, </w:t>
      </w:r>
      <w:r w:rsidR="002F224C">
        <w:t>c</w:t>
      </w:r>
      <w:r w:rsidRPr="00163F51">
        <w:t xml:space="preserve">holic acid or </w:t>
      </w:r>
      <w:r w:rsidR="002F224C">
        <w:t>d</w:t>
      </w:r>
      <w:r w:rsidRPr="00163F51">
        <w:t xml:space="preserve">eoxycholic acid in the </w:t>
      </w:r>
      <w:hyperlink r:id="rId186" w:history="1">
        <w:r w:rsidRPr="008007EB">
          <w:rPr>
            <w:rStyle w:val="Hyperlink"/>
            <w:rFonts w:asciiTheme="minorHAnsi" w:hAnsiTheme="minorHAnsi"/>
          </w:rPr>
          <w:t>Therapeutic Goods (Medicines Advisory Statements) Specification 2021</w:t>
        </w:r>
      </w:hyperlink>
      <w:r w:rsidR="002F224C" w:rsidRPr="002F224C">
        <w:rPr>
          <w:rStyle w:val="Hyperlink"/>
          <w:rFonts w:asciiTheme="minorHAnsi" w:hAnsiTheme="minorHAnsi"/>
          <w:color w:val="auto"/>
          <w:u w:val="none"/>
        </w:rPr>
        <w:t>.</w:t>
      </w:r>
    </w:p>
    <w:p w14:paraId="77CDF7E9" w14:textId="31EFA5E5" w:rsidR="00D932DF" w:rsidRDefault="00760A80" w:rsidP="00EB1099">
      <w:pPr>
        <w:pStyle w:val="ListBullet"/>
        <w:numPr>
          <w:ilvl w:val="0"/>
          <w:numId w:val="83"/>
        </w:numPr>
      </w:pPr>
      <w:r w:rsidRPr="00AC69AB">
        <w:t xml:space="preserve">As of July 2023, </w:t>
      </w:r>
      <w:r w:rsidR="00EB1099">
        <w:t xml:space="preserve">on the </w:t>
      </w:r>
      <w:hyperlink r:id="rId187" w:history="1">
        <w:r w:rsidR="00EB1099">
          <w:rPr>
            <w:rStyle w:val="Hyperlink"/>
            <w:rFonts w:asciiTheme="minorHAnsi" w:hAnsiTheme="minorHAnsi"/>
          </w:rPr>
          <w:t>Database of Adverse Event Notifications</w:t>
        </w:r>
      </w:hyperlink>
      <w:r w:rsidR="00EB1099" w:rsidRPr="0040314F">
        <w:rPr>
          <w:rStyle w:val="Hyperlink"/>
          <w:rFonts w:asciiTheme="minorHAnsi" w:hAnsiTheme="minorHAnsi"/>
          <w:color w:val="auto"/>
          <w:u w:val="none"/>
        </w:rPr>
        <w:t xml:space="preserve"> (DAEN)</w:t>
      </w:r>
      <w:r w:rsidR="00EB1099">
        <w:rPr>
          <w:rStyle w:val="Hyperlink"/>
          <w:rFonts w:asciiTheme="minorHAnsi" w:hAnsiTheme="minorHAnsi"/>
          <w:color w:val="auto"/>
          <w:u w:val="none"/>
        </w:rPr>
        <w:t xml:space="preserve"> </w:t>
      </w:r>
      <w:r w:rsidRPr="00AC69AB">
        <w:t>there were</w:t>
      </w:r>
      <w:r w:rsidR="00D932DF">
        <w:t>:</w:t>
      </w:r>
    </w:p>
    <w:p w14:paraId="4B13B8CC" w14:textId="2CC2B315" w:rsidR="00D932DF" w:rsidRDefault="00760A80" w:rsidP="00EB1099">
      <w:pPr>
        <w:pStyle w:val="ListBullet2"/>
        <w:numPr>
          <w:ilvl w:val="1"/>
          <w:numId w:val="83"/>
        </w:numPr>
        <w:ind w:left="782" w:hanging="425"/>
      </w:pPr>
      <w:r w:rsidRPr="00EB1099">
        <w:rPr>
          <w:color w:val="auto"/>
        </w:rPr>
        <w:t xml:space="preserve">9 reports of adverse events for products containing </w:t>
      </w:r>
      <w:r w:rsidR="002F224C" w:rsidRPr="00EB1099">
        <w:rPr>
          <w:color w:val="auto"/>
        </w:rPr>
        <w:t>c</w:t>
      </w:r>
      <w:r w:rsidRPr="00EB1099">
        <w:rPr>
          <w:color w:val="auto"/>
        </w:rPr>
        <w:t xml:space="preserve">henodeoxycholic acid as an active ingredient, with 7 reports where </w:t>
      </w:r>
      <w:r w:rsidR="002F224C" w:rsidRPr="00EB1099">
        <w:rPr>
          <w:color w:val="auto"/>
        </w:rPr>
        <w:t>c</w:t>
      </w:r>
      <w:r w:rsidRPr="00EB1099">
        <w:rPr>
          <w:color w:val="auto"/>
        </w:rPr>
        <w:t>henodeoxycholic acid was the single suspected medicine</w:t>
      </w:r>
      <w:r w:rsidR="00D932DF" w:rsidRPr="00EB1099">
        <w:rPr>
          <w:color w:val="auto"/>
        </w:rPr>
        <w:t>.</w:t>
      </w:r>
    </w:p>
    <w:p w14:paraId="3D53BC74" w14:textId="5F0C2051" w:rsidR="00D932DF" w:rsidRPr="00EB1099" w:rsidRDefault="00760A80" w:rsidP="00EB1099">
      <w:pPr>
        <w:pStyle w:val="ListBullet2"/>
        <w:numPr>
          <w:ilvl w:val="1"/>
          <w:numId w:val="83"/>
        </w:numPr>
        <w:ind w:left="782" w:hanging="425"/>
        <w:rPr>
          <w:color w:val="auto"/>
        </w:rPr>
      </w:pPr>
      <w:r w:rsidRPr="00EB1099">
        <w:rPr>
          <w:color w:val="auto"/>
        </w:rPr>
        <w:t>1</w:t>
      </w:r>
      <w:r w:rsidR="003A1869" w:rsidRPr="00EB1099">
        <w:rPr>
          <w:color w:val="auto"/>
        </w:rPr>
        <w:t>5</w:t>
      </w:r>
      <w:r w:rsidRPr="00EB1099">
        <w:rPr>
          <w:color w:val="auto"/>
        </w:rPr>
        <w:t xml:space="preserve"> reports of adverse events for products containing </w:t>
      </w:r>
      <w:r w:rsidR="00D932DF" w:rsidRPr="00EB1099">
        <w:rPr>
          <w:color w:val="auto"/>
        </w:rPr>
        <w:t>d</w:t>
      </w:r>
      <w:r w:rsidRPr="00EB1099">
        <w:rPr>
          <w:color w:val="auto"/>
        </w:rPr>
        <w:t xml:space="preserve">eoxycholic acid </w:t>
      </w:r>
      <w:r w:rsidR="003A1869" w:rsidRPr="00EB1099">
        <w:rPr>
          <w:color w:val="auto"/>
        </w:rPr>
        <w:t xml:space="preserve">(or sodium salt) </w:t>
      </w:r>
      <w:r w:rsidRPr="00EB1099">
        <w:rPr>
          <w:color w:val="auto"/>
        </w:rPr>
        <w:t>as an active ingredient</w:t>
      </w:r>
      <w:r w:rsidR="00EB1099">
        <w:rPr>
          <w:color w:val="auto"/>
        </w:rPr>
        <w:t xml:space="preserve">, </w:t>
      </w:r>
      <w:r w:rsidRPr="00EB1099">
        <w:rPr>
          <w:color w:val="auto"/>
        </w:rPr>
        <w:t xml:space="preserve">with </w:t>
      </w:r>
      <w:r w:rsidR="003A1869" w:rsidRPr="00EB1099">
        <w:rPr>
          <w:color w:val="auto"/>
        </w:rPr>
        <w:t>11</w:t>
      </w:r>
      <w:r w:rsidRPr="00EB1099">
        <w:rPr>
          <w:color w:val="auto"/>
        </w:rPr>
        <w:t xml:space="preserve"> reports where </w:t>
      </w:r>
      <w:r w:rsidR="00D932DF" w:rsidRPr="00EB1099">
        <w:rPr>
          <w:color w:val="auto"/>
        </w:rPr>
        <w:t>d</w:t>
      </w:r>
      <w:r w:rsidRPr="00EB1099">
        <w:rPr>
          <w:color w:val="auto"/>
        </w:rPr>
        <w:t>eoxycholic acid was the single suspected medicine.</w:t>
      </w:r>
    </w:p>
    <w:p w14:paraId="152453AC" w14:textId="0FBB4361" w:rsidR="003A1869" w:rsidRDefault="00760A80" w:rsidP="00EB1099">
      <w:pPr>
        <w:pStyle w:val="ListBullet2"/>
        <w:numPr>
          <w:ilvl w:val="1"/>
          <w:numId w:val="83"/>
        </w:numPr>
        <w:ind w:left="782" w:hanging="425"/>
        <w:rPr>
          <w:rStyle w:val="Hyperlink"/>
          <w:rFonts w:asciiTheme="minorHAnsi" w:hAnsiTheme="minorHAnsi"/>
          <w:color w:val="333F48"/>
          <w:u w:val="none"/>
        </w:rPr>
      </w:pPr>
      <w:r w:rsidRPr="00EB1099">
        <w:rPr>
          <w:color w:val="auto"/>
        </w:rPr>
        <w:t xml:space="preserve">No listed medicines containing </w:t>
      </w:r>
      <w:r w:rsidR="00D932DF" w:rsidRPr="00EB1099">
        <w:rPr>
          <w:color w:val="auto"/>
        </w:rPr>
        <w:t>c</w:t>
      </w:r>
      <w:r w:rsidRPr="00EB1099">
        <w:rPr>
          <w:color w:val="auto"/>
        </w:rPr>
        <w:t>holic acid as an active ingredient</w:t>
      </w:r>
      <w:r w:rsidR="00EB1099">
        <w:rPr>
          <w:color w:val="auto"/>
        </w:rPr>
        <w:t>.</w:t>
      </w:r>
    </w:p>
    <w:p w14:paraId="0061FB98" w14:textId="630A74BC" w:rsidR="003A1869" w:rsidRPr="00EB1099" w:rsidRDefault="003A1869" w:rsidP="003A1869">
      <w:pPr>
        <w:pStyle w:val="ListBullet2"/>
        <w:numPr>
          <w:ilvl w:val="0"/>
          <w:numId w:val="0"/>
        </w:numPr>
        <w:ind w:left="425"/>
        <w:rPr>
          <w:color w:val="auto"/>
        </w:rPr>
      </w:pPr>
      <w:r w:rsidRPr="00EB1099">
        <w:rPr>
          <w:rStyle w:val="Hyperlink"/>
          <w:rFonts w:asciiTheme="minorHAnsi" w:hAnsiTheme="minorHAnsi"/>
          <w:color w:val="auto"/>
          <w:u w:val="none"/>
        </w:rPr>
        <w:t>The reported adverse events were diverse in nature.</w:t>
      </w:r>
    </w:p>
    <w:p w14:paraId="60066C43" w14:textId="2890D049" w:rsidR="00DF2343" w:rsidRPr="00760A80" w:rsidRDefault="00760A80" w:rsidP="00EB1099">
      <w:pPr>
        <w:pStyle w:val="ListBullet"/>
        <w:numPr>
          <w:ilvl w:val="0"/>
          <w:numId w:val="83"/>
        </w:numPr>
      </w:pPr>
      <w:r w:rsidRPr="00AC69AB">
        <w:t xml:space="preserve">As of July 2023, there were no products containing </w:t>
      </w:r>
      <w:r w:rsidR="00D932DF">
        <w:t>c</w:t>
      </w:r>
      <w:r w:rsidRPr="00AC69AB">
        <w:t xml:space="preserve">henodeoxycholic acid, </w:t>
      </w:r>
      <w:r w:rsidR="00D932DF">
        <w:t>c</w:t>
      </w:r>
      <w:r w:rsidRPr="00AC69AB">
        <w:t xml:space="preserve">holic acid or </w:t>
      </w:r>
      <w:r w:rsidR="00D932DF">
        <w:t>d</w:t>
      </w:r>
      <w:r w:rsidRPr="00AC69AB">
        <w:t xml:space="preserve">eoxycholic acid as an active ingredient/constituent or scheduled substance listed on the </w:t>
      </w:r>
      <w:hyperlink r:id="rId188" w:history="1">
        <w:r w:rsidR="00EB1099">
          <w:rPr>
            <w:rStyle w:val="Hyperlink"/>
            <w:rFonts w:asciiTheme="minorHAnsi" w:hAnsiTheme="minorHAnsi"/>
          </w:rPr>
          <w:t>Public Chemical Registration Information System Search</w:t>
        </w:r>
      </w:hyperlink>
      <w:r w:rsidR="00EB1099" w:rsidRPr="00EB1099">
        <w:rPr>
          <w:rStyle w:val="Hyperlink"/>
          <w:rFonts w:asciiTheme="minorHAnsi" w:hAnsiTheme="minorHAnsi"/>
          <w:color w:val="auto"/>
          <w:u w:val="none"/>
        </w:rPr>
        <w:t xml:space="preserve"> (</w:t>
      </w:r>
      <w:proofErr w:type="spellStart"/>
      <w:r w:rsidR="00EB1099" w:rsidRPr="00EB1099">
        <w:rPr>
          <w:rStyle w:val="Hyperlink"/>
          <w:rFonts w:asciiTheme="minorHAnsi" w:hAnsiTheme="minorHAnsi"/>
          <w:color w:val="auto"/>
          <w:u w:val="none"/>
        </w:rPr>
        <w:t>PubCRIS</w:t>
      </w:r>
      <w:proofErr w:type="spellEnd"/>
      <w:r w:rsidR="00EB1099" w:rsidRPr="00EB1099">
        <w:rPr>
          <w:rStyle w:val="Hyperlink"/>
          <w:rFonts w:asciiTheme="minorHAnsi" w:hAnsiTheme="minorHAnsi"/>
          <w:color w:val="auto"/>
          <w:u w:val="none"/>
        </w:rPr>
        <w:t>)</w:t>
      </w:r>
      <w:r w:rsidRPr="008007EB">
        <w:t>.</w:t>
      </w:r>
    </w:p>
    <w:p w14:paraId="71743CCC" w14:textId="77777777" w:rsidR="00DF2343" w:rsidRPr="00CB687C" w:rsidRDefault="00DF2343" w:rsidP="00DF2343">
      <w:pPr>
        <w:pStyle w:val="Heading4"/>
      </w:pPr>
      <w:bookmarkStart w:id="186" w:name="_Toc144110970"/>
      <w:r>
        <w:t>International regulations</w:t>
      </w:r>
      <w:bookmarkEnd w:id="186"/>
    </w:p>
    <w:p w14:paraId="4D8B8422" w14:textId="242E5301" w:rsidR="008D0FBD" w:rsidRPr="00AC69AB" w:rsidRDefault="008D0FBD" w:rsidP="00EB1099">
      <w:pPr>
        <w:pStyle w:val="ListBullet"/>
        <w:numPr>
          <w:ilvl w:val="0"/>
          <w:numId w:val="83"/>
        </w:numPr>
      </w:pPr>
      <w:r w:rsidRPr="00AC69AB">
        <w:t xml:space="preserve">Chenodeoxycholic acid, </w:t>
      </w:r>
      <w:r w:rsidR="00D932DF">
        <w:t>c</w:t>
      </w:r>
      <w:r w:rsidRPr="00AC69AB">
        <w:t xml:space="preserve">holic acid and </w:t>
      </w:r>
      <w:r w:rsidR="00D932DF">
        <w:t>d</w:t>
      </w:r>
      <w:r w:rsidRPr="00AC69AB">
        <w:t xml:space="preserve">eoxycholic acid are approved as prescription-only medicines in the United States. Two products containing </w:t>
      </w:r>
      <w:r w:rsidR="00D932DF">
        <w:t>c</w:t>
      </w:r>
      <w:r w:rsidRPr="00AC69AB">
        <w:t xml:space="preserve">henodeoxycholic acid are approved by the </w:t>
      </w:r>
      <w:hyperlink r:id="rId189" w:history="1">
        <w:r w:rsidRPr="00710D2F">
          <w:rPr>
            <w:rStyle w:val="Hyperlink"/>
            <w:rFonts w:asciiTheme="minorHAnsi" w:hAnsiTheme="minorHAnsi"/>
            <w:szCs w:val="22"/>
          </w:rPr>
          <w:t>United States’ FDA</w:t>
        </w:r>
      </w:hyperlink>
      <w:r w:rsidR="00D932DF">
        <w:t>,</w:t>
      </w:r>
      <w:r w:rsidRPr="00AC69AB">
        <w:t xml:space="preserve"> whilst </w:t>
      </w:r>
      <w:r w:rsidR="00D932DF">
        <w:t xml:space="preserve">12 </w:t>
      </w:r>
      <w:r w:rsidRPr="00AC69AB">
        <w:t xml:space="preserve">approved products contain </w:t>
      </w:r>
      <w:r w:rsidR="00D932DF">
        <w:t>c</w:t>
      </w:r>
      <w:r w:rsidRPr="00AC69AB">
        <w:t>holic acid or a therapeutic equivalent (</w:t>
      </w:r>
      <w:proofErr w:type="spellStart"/>
      <w:r w:rsidRPr="00AC69AB">
        <w:t>Obeticholic</w:t>
      </w:r>
      <w:proofErr w:type="spellEnd"/>
      <w:r w:rsidRPr="00AC69AB">
        <w:t xml:space="preserve"> acid), with </w:t>
      </w:r>
      <w:r w:rsidR="00D932DF">
        <w:t xml:space="preserve">2 </w:t>
      </w:r>
      <w:r w:rsidRPr="00AC69AB">
        <w:t xml:space="preserve">products indicated as subcutaneous solutions. Deoxycholic acid is an active ingredient in </w:t>
      </w:r>
      <w:r w:rsidR="00D932DF">
        <w:t xml:space="preserve">2 </w:t>
      </w:r>
      <w:r w:rsidRPr="00AC69AB">
        <w:t>approved products within the United States.</w:t>
      </w:r>
    </w:p>
    <w:p w14:paraId="49646196" w14:textId="11FB0326" w:rsidR="00D932DF" w:rsidRDefault="00471508" w:rsidP="00EB1099">
      <w:pPr>
        <w:pStyle w:val="ListBullet"/>
        <w:numPr>
          <w:ilvl w:val="0"/>
          <w:numId w:val="83"/>
        </w:numPr>
      </w:pPr>
      <w:r>
        <w:t xml:space="preserve">The </w:t>
      </w:r>
      <w:hyperlink r:id="rId190" w:history="1">
        <w:r>
          <w:rPr>
            <w:rStyle w:val="Hyperlink"/>
            <w:rFonts w:asciiTheme="minorHAnsi" w:hAnsiTheme="minorHAnsi"/>
            <w:szCs w:val="22"/>
          </w:rPr>
          <w:t>European Chemicals Agency</w:t>
        </w:r>
      </w:hyperlink>
      <w:r w:rsidRPr="00EB1099">
        <w:rPr>
          <w:rStyle w:val="Hyperlink"/>
          <w:rFonts w:asciiTheme="minorHAnsi" w:hAnsiTheme="minorHAnsi"/>
          <w:color w:val="auto"/>
          <w:szCs w:val="22"/>
          <w:u w:val="none"/>
        </w:rPr>
        <w:t xml:space="preserve"> (ECHA</w:t>
      </w:r>
      <w:r w:rsidR="008D0FBD" w:rsidRPr="00163F51">
        <w:t>)</w:t>
      </w:r>
      <w:r w:rsidR="008D0FBD" w:rsidRPr="004C7298">
        <w:fldChar w:fldCharType="begin"/>
      </w:r>
      <w:r w:rsidR="008D0FBD" w:rsidRPr="004C7298">
        <w:instrText xml:space="preserve"> NOTEREF _Ref141440898 \h  \* MERGEFORMAT </w:instrText>
      </w:r>
      <w:r w:rsidR="008D0FBD" w:rsidRPr="004C7298">
        <w:fldChar w:fldCharType="separate"/>
      </w:r>
      <w:r w:rsidR="008D0FBD" w:rsidRPr="004C7298">
        <w:rPr>
          <w:rStyle w:val="FootnoteReference"/>
          <w:szCs w:val="22"/>
          <w:vertAlign w:val="baseline"/>
        </w:rPr>
        <w:t xml:space="preserve"> </w:t>
      </w:r>
      <w:r w:rsidR="008D0FBD" w:rsidRPr="004C7298">
        <w:fldChar w:fldCharType="end"/>
      </w:r>
      <w:r w:rsidR="00EB1099">
        <w:t>lists</w:t>
      </w:r>
      <w:r w:rsidR="00EB1099" w:rsidRPr="004C7298">
        <w:t xml:space="preserve"> </w:t>
      </w:r>
      <w:r w:rsidR="008D0FBD" w:rsidRPr="00163F51">
        <w:t>hazard classification</w:t>
      </w:r>
      <w:r w:rsidR="00EB1099">
        <w:t>s</w:t>
      </w:r>
      <w:r w:rsidR="008D0FBD" w:rsidRPr="00163F51">
        <w:t xml:space="preserve"> for</w:t>
      </w:r>
      <w:r w:rsidR="00D932DF">
        <w:t xml:space="preserve"> these substances </w:t>
      </w:r>
      <w:r w:rsidR="00EB1099">
        <w:t>(from n</w:t>
      </w:r>
      <w:r w:rsidR="00EB1099" w:rsidRPr="00EB1099">
        <w:t>otifications under the Classification, Labelling and Packaging (CLP) Regulation</w:t>
      </w:r>
      <w:r w:rsidR="00EB1099">
        <w:t>)</w:t>
      </w:r>
      <w:r w:rsidR="00D932DF">
        <w:t xml:space="preserve"> as follows:</w:t>
      </w:r>
    </w:p>
    <w:p w14:paraId="0417CA11" w14:textId="77777777" w:rsidR="00D932DF" w:rsidRPr="00EB1099" w:rsidRDefault="00D932DF" w:rsidP="00EB1099">
      <w:pPr>
        <w:pStyle w:val="ListBullet2"/>
        <w:numPr>
          <w:ilvl w:val="1"/>
          <w:numId w:val="83"/>
        </w:numPr>
        <w:ind w:left="782" w:hanging="425"/>
        <w:rPr>
          <w:color w:val="auto"/>
        </w:rPr>
      </w:pPr>
      <w:r w:rsidRPr="00EB1099">
        <w:rPr>
          <w:color w:val="auto"/>
        </w:rPr>
        <w:t>C</w:t>
      </w:r>
      <w:r w:rsidR="008D0FBD" w:rsidRPr="00EB1099">
        <w:rPr>
          <w:color w:val="auto"/>
        </w:rPr>
        <w:t>henodeoxycholic acid: ‘Danger… this substance causes serious eye irritation, is suspected of damaging fertility or the unborn child, is harmful if swallowed, is harmful in contact with skin, is harmful if inhaled, may cause long lasting harmful effects to aquatic life, causes skin irritation, may cause respiratory irritation, may cause an allergic skin reaction and may cause allergy or asthma symptoms or breathing difficulties if inhaled.’</w:t>
      </w:r>
    </w:p>
    <w:p w14:paraId="779A843E" w14:textId="6BABC179" w:rsidR="00D932DF" w:rsidRPr="00EB1099" w:rsidRDefault="008D0FBD" w:rsidP="00EB1099">
      <w:pPr>
        <w:pStyle w:val="ListBullet2"/>
        <w:numPr>
          <w:ilvl w:val="1"/>
          <w:numId w:val="83"/>
        </w:numPr>
        <w:ind w:left="782" w:hanging="425"/>
        <w:rPr>
          <w:color w:val="auto"/>
        </w:rPr>
      </w:pPr>
      <w:r w:rsidRPr="00EB1099">
        <w:rPr>
          <w:color w:val="auto"/>
        </w:rPr>
        <w:t>Cholic acid: ‘Warning… th</w:t>
      </w:r>
      <w:r w:rsidR="00EB1099">
        <w:rPr>
          <w:color w:val="auto"/>
        </w:rPr>
        <w:t xml:space="preserve">is substance </w:t>
      </w:r>
      <w:r w:rsidR="00EB1099" w:rsidRPr="00EB1099">
        <w:rPr>
          <w:color w:val="auto"/>
        </w:rPr>
        <w:t>is harmful in contact with skin and may cause an allergic skin reaction</w:t>
      </w:r>
      <w:r w:rsidRPr="00EB1099">
        <w:rPr>
          <w:color w:val="auto"/>
        </w:rPr>
        <w:t>.’</w:t>
      </w:r>
    </w:p>
    <w:p w14:paraId="21590B62" w14:textId="7DD0440B" w:rsidR="008D0FBD" w:rsidRPr="00EB1099" w:rsidRDefault="008D0FBD" w:rsidP="00EB1099">
      <w:pPr>
        <w:pStyle w:val="ListBullet2"/>
        <w:numPr>
          <w:ilvl w:val="1"/>
          <w:numId w:val="83"/>
        </w:numPr>
        <w:ind w:left="782" w:hanging="425"/>
        <w:rPr>
          <w:color w:val="auto"/>
        </w:rPr>
      </w:pPr>
      <w:r w:rsidRPr="00EB1099">
        <w:rPr>
          <w:color w:val="auto"/>
        </w:rPr>
        <w:t>Deoxycholic acid: ‘Warning… this substance is harmful if swallowed, causes serious eye irritation, causes skin irritation and may cause respiratory irritation.’</w:t>
      </w:r>
    </w:p>
    <w:p w14:paraId="701674A8" w14:textId="7A2D7001" w:rsidR="008D0FBD" w:rsidRPr="00163F51" w:rsidRDefault="008D0FBD" w:rsidP="00EB1099">
      <w:pPr>
        <w:pStyle w:val="ListBullet"/>
        <w:numPr>
          <w:ilvl w:val="0"/>
          <w:numId w:val="83"/>
        </w:numPr>
      </w:pPr>
      <w:r w:rsidRPr="00163F51">
        <w:t xml:space="preserve">The </w:t>
      </w:r>
      <w:hyperlink r:id="rId191" w:history="1">
        <w:r w:rsidRPr="00710D2F">
          <w:rPr>
            <w:rStyle w:val="Hyperlink"/>
            <w:rFonts w:asciiTheme="minorHAnsi" w:hAnsiTheme="minorHAnsi"/>
            <w:szCs w:val="22"/>
          </w:rPr>
          <w:t>European Union</w:t>
        </w:r>
      </w:hyperlink>
      <w:r w:rsidRPr="00163F51">
        <w:t xml:space="preserve"> lists </w:t>
      </w:r>
      <w:r w:rsidR="00D932DF">
        <w:t>d</w:t>
      </w:r>
      <w:r w:rsidRPr="00163F51">
        <w:t xml:space="preserve">eoxycholic acid as a cosmetic ingredient with therapeutic functions as a skin emollient, </w:t>
      </w:r>
      <w:proofErr w:type="gramStart"/>
      <w:r w:rsidRPr="00163F51">
        <w:t>humectant</w:t>
      </w:r>
      <w:proofErr w:type="gramEnd"/>
      <w:r w:rsidRPr="00163F51">
        <w:t xml:space="preserve"> and condition agent. The EU Register of medicinal products</w:t>
      </w:r>
      <w:r w:rsidRPr="00163F51">
        <w:rPr>
          <w:rStyle w:val="FootnoteReference"/>
          <w:szCs w:val="22"/>
        </w:rPr>
        <w:footnoteReference w:id="16"/>
      </w:r>
      <w:r w:rsidRPr="00163F51">
        <w:t xml:space="preserve"> includes </w:t>
      </w:r>
      <w:r w:rsidR="00D932DF">
        <w:t>c</w:t>
      </w:r>
      <w:r w:rsidRPr="00163F51">
        <w:t xml:space="preserve">henodeoxycholic acid and </w:t>
      </w:r>
      <w:r w:rsidR="00D932DF">
        <w:t>c</w:t>
      </w:r>
      <w:r w:rsidRPr="00163F51">
        <w:t>holic acid products indicated for the treatment of inborn errors in primary bile acid synthesis and primary biliary cirrhosis.</w:t>
      </w:r>
    </w:p>
    <w:p w14:paraId="28864ADE" w14:textId="12A5AEAE" w:rsidR="008D0FBD" w:rsidRPr="00163F51" w:rsidRDefault="008D0FBD" w:rsidP="00EB1099">
      <w:pPr>
        <w:pStyle w:val="ListBullet"/>
        <w:numPr>
          <w:ilvl w:val="0"/>
          <w:numId w:val="83"/>
        </w:numPr>
      </w:pPr>
      <w:r w:rsidRPr="00163F51">
        <w:t xml:space="preserve">In New Zealand </w:t>
      </w:r>
      <w:r w:rsidR="00D932DF">
        <w:t>d</w:t>
      </w:r>
      <w:r w:rsidRPr="00163F51">
        <w:t xml:space="preserve">eoxycholic acid and </w:t>
      </w:r>
      <w:r w:rsidR="00D932DF">
        <w:t>c</w:t>
      </w:r>
      <w:r w:rsidRPr="00163F51">
        <w:t xml:space="preserve">holic acid are listed on the </w:t>
      </w:r>
      <w:hyperlink r:id="rId192" w:history="1">
        <w:r w:rsidRPr="00710D2F">
          <w:rPr>
            <w:rStyle w:val="Hyperlink"/>
            <w:rFonts w:asciiTheme="minorHAnsi" w:hAnsiTheme="minorHAnsi"/>
            <w:szCs w:val="22"/>
          </w:rPr>
          <w:t>Inventory of Chemicals</w:t>
        </w:r>
      </w:hyperlink>
      <w:r w:rsidRPr="00163F51">
        <w:t xml:space="preserve"> without individual approval but may be used under an appropriate group standard. </w:t>
      </w:r>
      <w:hyperlink r:id="rId193" w:history="1">
        <w:r w:rsidRPr="00710D2F">
          <w:rPr>
            <w:rStyle w:val="Hyperlink"/>
            <w:rFonts w:asciiTheme="minorHAnsi" w:hAnsiTheme="minorHAnsi"/>
            <w:szCs w:val="22"/>
          </w:rPr>
          <w:t xml:space="preserve">New Zealand </w:t>
        </w:r>
        <w:proofErr w:type="spellStart"/>
        <w:r w:rsidRPr="00710D2F">
          <w:rPr>
            <w:rStyle w:val="Hyperlink"/>
            <w:rFonts w:asciiTheme="minorHAnsi" w:hAnsiTheme="minorHAnsi"/>
            <w:szCs w:val="22"/>
          </w:rPr>
          <w:t>MedSafe</w:t>
        </w:r>
        <w:proofErr w:type="spellEnd"/>
      </w:hyperlink>
      <w:r w:rsidRPr="00163F51">
        <w:t xml:space="preserve"> classifies </w:t>
      </w:r>
      <w:r w:rsidR="00C449ED">
        <w:t>c</w:t>
      </w:r>
      <w:r w:rsidRPr="00163F51">
        <w:t xml:space="preserve">henodeoxycholic acid and </w:t>
      </w:r>
      <w:r w:rsidR="00C449ED">
        <w:t>c</w:t>
      </w:r>
      <w:r w:rsidRPr="00163F51">
        <w:t>holic acid as prescription medicines. Deoxycholic acid is prescription-only when for injection, though is available for general sale in oral usage preparations.</w:t>
      </w:r>
    </w:p>
    <w:p w14:paraId="42F2E79D" w14:textId="3102FE1B" w:rsidR="008D0FBD" w:rsidRPr="00163F51" w:rsidRDefault="008D0FBD" w:rsidP="00EB1099">
      <w:pPr>
        <w:pStyle w:val="ListBullet"/>
        <w:numPr>
          <w:ilvl w:val="0"/>
          <w:numId w:val="83"/>
        </w:numPr>
      </w:pPr>
      <w:r w:rsidRPr="00163F51">
        <w:t xml:space="preserve">Deoxycholic acid is a prescription medicine in </w:t>
      </w:r>
      <w:hyperlink r:id="rId194" w:history="1">
        <w:r w:rsidRPr="00710D2F">
          <w:rPr>
            <w:rStyle w:val="Hyperlink"/>
            <w:rFonts w:asciiTheme="minorHAnsi" w:hAnsiTheme="minorHAnsi"/>
            <w:szCs w:val="22"/>
          </w:rPr>
          <w:t>Canada</w:t>
        </w:r>
      </w:hyperlink>
      <w:r w:rsidRPr="00163F51">
        <w:t xml:space="preserve"> and </w:t>
      </w:r>
      <w:hyperlink r:id="rId195" w:history="1">
        <w:r w:rsidRPr="00710D2F">
          <w:rPr>
            <w:rStyle w:val="Hyperlink"/>
            <w:rFonts w:asciiTheme="minorHAnsi" w:hAnsiTheme="minorHAnsi"/>
            <w:szCs w:val="22"/>
          </w:rPr>
          <w:t>Ireland</w:t>
        </w:r>
      </w:hyperlink>
      <w:r w:rsidR="0072362E">
        <w:t>.</w:t>
      </w:r>
    </w:p>
    <w:p w14:paraId="32600EC6" w14:textId="77777777" w:rsidR="00170F56" w:rsidRDefault="00170F56">
      <w:pPr>
        <w:rPr>
          <w:rFonts w:eastAsia="Times New Roman" w:cstheme="minorHAnsi"/>
          <w:b/>
          <w:bCs/>
          <w:color w:val="001871"/>
          <w:sz w:val="38"/>
          <w:szCs w:val="38"/>
        </w:rPr>
      </w:pPr>
      <w:bookmarkStart w:id="187" w:name="_How_to_respond"/>
      <w:bookmarkStart w:id="188" w:name="_Toc122614249"/>
      <w:bookmarkEnd w:id="176"/>
      <w:bookmarkEnd w:id="187"/>
      <w:r>
        <w:rPr>
          <w:rFonts w:cstheme="minorHAnsi"/>
        </w:rPr>
        <w:br w:type="page"/>
      </w:r>
    </w:p>
    <w:p w14:paraId="0A8F58FE" w14:textId="4BA68791" w:rsidR="00685E72" w:rsidRDefault="00685E72" w:rsidP="009C26DB">
      <w:pPr>
        <w:pStyle w:val="Heading2"/>
      </w:pPr>
      <w:bookmarkStart w:id="189" w:name="_Toc144110971"/>
      <w:r>
        <w:t>How to respond</w:t>
      </w:r>
      <w:bookmarkEnd w:id="188"/>
      <w:bookmarkEnd w:id="189"/>
    </w:p>
    <w:p w14:paraId="3855C80A" w14:textId="514AD09B" w:rsidR="00685E72" w:rsidRPr="008F6897" w:rsidRDefault="00685E72" w:rsidP="008F6897">
      <w:pPr>
        <w:rPr>
          <w:rFonts w:cstheme="minorHAnsi"/>
        </w:rPr>
      </w:pPr>
      <w:r w:rsidRPr="008F6897">
        <w:rPr>
          <w:rFonts w:cstheme="minorHAnsi"/>
        </w:rPr>
        <w:t xml:space="preserve">Submissions must be provided by the closing date of </w:t>
      </w:r>
      <w:r w:rsidR="00A83DFC">
        <w:rPr>
          <w:rFonts w:cstheme="minorHAnsi"/>
          <w:b/>
        </w:rPr>
        <w:t xml:space="preserve">29 September </w:t>
      </w:r>
      <w:r w:rsidRPr="008F6897">
        <w:rPr>
          <w:rFonts w:cstheme="minorHAnsi"/>
          <w:b/>
        </w:rPr>
        <w:t>20</w:t>
      </w:r>
      <w:r w:rsidR="00357751">
        <w:rPr>
          <w:rFonts w:cstheme="minorHAnsi"/>
          <w:b/>
        </w:rPr>
        <w:t>23</w:t>
      </w:r>
      <w:r w:rsidRPr="008F6897">
        <w:rPr>
          <w:rFonts w:cstheme="minorHAnsi"/>
        </w:rPr>
        <w:t xml:space="preserve"> through </w:t>
      </w:r>
      <w:r w:rsidRPr="009C634A">
        <w:rPr>
          <w:rFonts w:cstheme="minorHAnsi"/>
        </w:rPr>
        <w:t>our </w:t>
      </w:r>
      <w:hyperlink r:id="rId196" w:history="1">
        <w:r w:rsidRPr="0072362E">
          <w:rPr>
            <w:rStyle w:val="Hyperlink"/>
            <w:rFonts w:asciiTheme="minorHAnsi" w:hAnsiTheme="minorHAnsi" w:cstheme="minorHAnsi"/>
          </w:rPr>
          <w:t>consultation hub</w:t>
        </w:r>
      </w:hyperlink>
      <w:r w:rsidRPr="009C634A">
        <w:rPr>
          <w:rFonts w:cstheme="minorHAnsi"/>
        </w:rPr>
        <w:t>. A</w:t>
      </w:r>
      <w:r w:rsidRPr="008F6897">
        <w:rPr>
          <w:rFonts w:cstheme="minorHAnsi"/>
        </w:rPr>
        <w:t>ny submission about any of the proposals to amend the Poisons Standard will be considered at the next meeting of the </w:t>
      </w:r>
      <w:hyperlink r:id="rId197" w:history="1">
        <w:r w:rsidR="00EB1099">
          <w:rPr>
            <w:rStyle w:val="Hyperlink"/>
            <w:rFonts w:asciiTheme="minorHAnsi" w:hAnsiTheme="minorHAnsi" w:cstheme="minorHAnsi"/>
          </w:rPr>
          <w:t>Advisory Committee on Medicines Scheduling</w:t>
        </w:r>
      </w:hyperlink>
      <w:r w:rsidR="00EB1099" w:rsidRPr="00EB1099">
        <w:rPr>
          <w:rStyle w:val="Hyperlink"/>
          <w:rFonts w:asciiTheme="minorHAnsi" w:hAnsiTheme="minorHAnsi" w:cstheme="minorHAnsi"/>
          <w:color w:val="auto"/>
          <w:u w:val="none"/>
        </w:rPr>
        <w:t xml:space="preserve"> (ACMS)</w:t>
      </w:r>
      <w:r w:rsidRPr="008F6897">
        <w:rPr>
          <w:rFonts w:cstheme="minorHAnsi"/>
        </w:rPr>
        <w:t>, meeting of the </w:t>
      </w:r>
      <w:hyperlink r:id="rId198" w:history="1">
        <w:r w:rsidR="00EB1099">
          <w:rPr>
            <w:rStyle w:val="Hyperlink"/>
            <w:rFonts w:asciiTheme="minorHAnsi" w:hAnsiTheme="minorHAnsi" w:cstheme="minorHAnsi"/>
          </w:rPr>
          <w:t>Advisory Committee on Chemicals Scheduling</w:t>
        </w:r>
      </w:hyperlink>
      <w:r w:rsidR="00EB1099" w:rsidRPr="00EB1099">
        <w:rPr>
          <w:rStyle w:val="Hyperlink"/>
          <w:rFonts w:asciiTheme="minorHAnsi" w:hAnsiTheme="minorHAnsi" w:cstheme="minorHAnsi"/>
          <w:color w:val="auto"/>
          <w:u w:val="none"/>
        </w:rPr>
        <w:t xml:space="preserve"> (ACCS)</w:t>
      </w:r>
      <w:r w:rsidRPr="008F6897">
        <w:rPr>
          <w:rFonts w:cstheme="minorHAnsi"/>
        </w:rPr>
        <w:t>, or a joint meeting of these two committees.</w:t>
      </w:r>
    </w:p>
    <w:p w14:paraId="4DE7F136" w14:textId="77777777" w:rsidR="00685E72" w:rsidRDefault="00685E72" w:rsidP="00685E72">
      <w:pPr>
        <w:pStyle w:val="Heading2"/>
      </w:pPr>
      <w:bookmarkStart w:id="190" w:name="_Toc122614250"/>
      <w:bookmarkStart w:id="191" w:name="_Toc144110972"/>
      <w:r>
        <w:t xml:space="preserve">What will </w:t>
      </w:r>
      <w:proofErr w:type="gramStart"/>
      <w:r>
        <w:t>happen</w:t>
      </w:r>
      <w:bookmarkEnd w:id="190"/>
      <w:bookmarkEnd w:id="191"/>
      <w:proofErr w:type="gramEnd"/>
    </w:p>
    <w:p w14:paraId="561D8CB1" w14:textId="77777777" w:rsidR="00685E72" w:rsidRPr="008F6897" w:rsidRDefault="00685E72" w:rsidP="00685E72">
      <w:pPr>
        <w:rPr>
          <w:rFonts w:cstheme="minorHAnsi"/>
        </w:rPr>
      </w:pPr>
      <w:r w:rsidRPr="008F6897">
        <w:rPr>
          <w:rFonts w:cstheme="minorHAnsi"/>
        </w:rPr>
        <w:t xml:space="preserve">All public submissions will be published on the TGA website at </w:t>
      </w:r>
      <w:hyperlink r:id="rId199" w:history="1">
        <w:r w:rsidRPr="008F6897">
          <w:rPr>
            <w:rStyle w:val="Hyperlink"/>
            <w:rFonts w:asciiTheme="minorHAnsi" w:hAnsiTheme="minorHAnsi" w:cstheme="minorHAnsi"/>
          </w:rPr>
          <w:t>Public submissions on scheduling matters</w:t>
        </w:r>
      </w:hyperlink>
      <w:r w:rsidRPr="008F6897">
        <w:rPr>
          <w:rFonts w:cstheme="minorHAnsi"/>
        </w:rPr>
        <w:t xml:space="preserve">, unless marked confidential or indicated otherwise in the submission coversheet (see </w:t>
      </w:r>
      <w:hyperlink r:id="rId200" w:history="1">
        <w:r w:rsidRPr="008F6897">
          <w:rPr>
            <w:rStyle w:val="Hyperlink"/>
            <w:rFonts w:asciiTheme="minorHAnsi" w:hAnsiTheme="minorHAnsi" w:cstheme="minorHAnsi"/>
          </w:rPr>
          <w:t>Privacy information</w:t>
        </w:r>
      </w:hyperlink>
      <w:r w:rsidRPr="008F6897">
        <w:rPr>
          <w:rFonts w:cstheme="minorHAnsi"/>
        </w:rPr>
        <w:t>).</w:t>
      </w:r>
    </w:p>
    <w:p w14:paraId="46AB479B" w14:textId="2328A644" w:rsidR="00685E72" w:rsidRPr="008F6897" w:rsidRDefault="00685E72" w:rsidP="00685E72">
      <w:pPr>
        <w:rPr>
          <w:rFonts w:cstheme="minorHAnsi"/>
        </w:rPr>
      </w:pPr>
      <w:r w:rsidRPr="00AF299A">
        <w:rPr>
          <w:rFonts w:cstheme="minorHAnsi"/>
        </w:rPr>
        <w:t>Following consideration of public submissions received before the closing date and advice from the expert advisory committees, decisions on the proposed amendments will be published as interim decisions on the TGA website</w:t>
      </w:r>
      <w:r w:rsidRPr="008F6897">
        <w:rPr>
          <w:rFonts w:cstheme="minorHAnsi"/>
        </w:rPr>
        <w:t xml:space="preserve">: </w:t>
      </w:r>
      <w:hyperlink r:id="rId201" w:history="1">
        <w:r w:rsidR="00EB1099">
          <w:rPr>
            <w:rStyle w:val="Hyperlink"/>
            <w:rFonts w:asciiTheme="minorHAnsi" w:hAnsiTheme="minorHAnsi" w:cstheme="minorHAnsi"/>
          </w:rPr>
          <w:t>Scheduling delegate's interim decisions &amp; invitations for further comment</w:t>
        </w:r>
      </w:hyperlink>
      <w:r w:rsidRPr="008F6897">
        <w:rPr>
          <w:rFonts w:cstheme="minorHAnsi"/>
        </w:rPr>
        <w:t xml:space="preserve"> </w:t>
      </w:r>
      <w:r w:rsidR="00357751" w:rsidRPr="00A83DFC">
        <w:rPr>
          <w:rFonts w:cstheme="minorHAnsi"/>
        </w:rPr>
        <w:t xml:space="preserve">in </w:t>
      </w:r>
      <w:r w:rsidR="00A83DFC" w:rsidRPr="00A83DFC">
        <w:rPr>
          <w:rFonts w:cstheme="minorHAnsi"/>
          <w:b/>
        </w:rPr>
        <w:t>February</w:t>
      </w:r>
      <w:r w:rsidRPr="00A83DFC">
        <w:rPr>
          <w:rFonts w:cstheme="minorHAnsi"/>
          <w:b/>
        </w:rPr>
        <w:t xml:space="preserve"> 20</w:t>
      </w:r>
      <w:r w:rsidR="00357751" w:rsidRPr="00A83DFC">
        <w:rPr>
          <w:rFonts w:cstheme="minorHAnsi"/>
          <w:b/>
        </w:rPr>
        <w:t xml:space="preserve">24. </w:t>
      </w:r>
    </w:p>
    <w:p w14:paraId="6BD7A14D" w14:textId="77777777" w:rsidR="00685E72" w:rsidRPr="00685E72" w:rsidRDefault="00685E72" w:rsidP="00685E72"/>
    <w:p w14:paraId="14380530" w14:textId="77777777" w:rsidR="00F02AEC" w:rsidRPr="00215D48" w:rsidRDefault="00F02AEC" w:rsidP="00AC5E26">
      <w:pPr>
        <w:spacing w:after="0" w:line="240" w:lineRule="auto"/>
        <w:sectPr w:rsidR="00F02AEC" w:rsidRPr="00215D48" w:rsidSect="00AC5E26">
          <w:headerReference w:type="default" r:id="rId202"/>
          <w:footerReference w:type="default" r:id="rId203"/>
          <w:pgSz w:w="11906" w:h="16838" w:code="9"/>
          <w:pgMar w:top="1134" w:right="1418" w:bottom="1361" w:left="1418" w:header="573" w:footer="567" w:gutter="0"/>
          <w:cols w:space="708"/>
          <w:docGrid w:linePitch="360"/>
        </w:sectPr>
      </w:pPr>
    </w:p>
    <w:tbl>
      <w:tblPr>
        <w:tblStyle w:val="GridTable1Light"/>
        <w:tblpPr w:leftFromText="180" w:rightFromText="180" w:vertAnchor="page" w:horzAnchor="margin" w:tblpY="14009"/>
        <w:tblW w:w="9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45"/>
      </w:tblGrid>
      <w:tr w:rsidR="00F02AEC" w:rsidRPr="00215D48" w14:paraId="5F4CFCE1" w14:textId="77777777" w:rsidTr="0072362E">
        <w:trPr>
          <w:cnfStyle w:val="100000000000" w:firstRow="1" w:lastRow="0" w:firstColumn="0" w:lastColumn="0" w:oddVBand="0" w:evenVBand="0" w:oddHBand="0"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tcPr>
          <w:p w14:paraId="442BCC64" w14:textId="77777777" w:rsidR="00F02AEC" w:rsidRPr="0072362E" w:rsidRDefault="00F02AEC" w:rsidP="009C634A">
            <w:pPr>
              <w:pStyle w:val="TGASignoff"/>
              <w:rPr>
                <w:b/>
                <w:bCs w:val="0"/>
              </w:rPr>
            </w:pPr>
            <w:r w:rsidRPr="0072362E">
              <w:rPr>
                <w:color w:val="auto"/>
              </w:rPr>
              <w:t>Therapeutic Goods Administration</w:t>
            </w:r>
          </w:p>
        </w:tc>
      </w:tr>
      <w:tr w:rsidR="00F02AEC" w:rsidRPr="00215D48" w14:paraId="7A4D9E91" w14:textId="77777777" w:rsidTr="0072362E">
        <w:trPr>
          <w:trHeight w:val="963"/>
        </w:trPr>
        <w:tc>
          <w:tcPr>
            <w:cnfStyle w:val="001000000000" w:firstRow="0" w:lastRow="0" w:firstColumn="1" w:lastColumn="0" w:oddVBand="0" w:evenVBand="0" w:oddHBand="0" w:evenHBand="0" w:firstRowFirstColumn="0" w:firstRowLastColumn="0" w:lastRowFirstColumn="0" w:lastRowLastColumn="0"/>
            <w:tcW w:w="0" w:type="dxa"/>
          </w:tcPr>
          <w:p w14:paraId="278E3ACD" w14:textId="77777777" w:rsidR="00F02AEC" w:rsidRPr="00215D48" w:rsidRDefault="00F02AEC" w:rsidP="009C634A">
            <w:pPr>
              <w:pStyle w:val="Address"/>
              <w:jc w:val="center"/>
            </w:pPr>
            <w:r w:rsidRPr="00215D48">
              <w:t>PO Box 100 Woden ACT 2606 Australia</w:t>
            </w:r>
          </w:p>
          <w:p w14:paraId="16729601" w14:textId="32FE80DE" w:rsidR="00F02AEC" w:rsidRDefault="00F02AEC" w:rsidP="009C634A">
            <w:pPr>
              <w:pStyle w:val="Address"/>
              <w:jc w:val="center"/>
              <w:rPr>
                <w:sz w:val="22"/>
                <w:szCs w:val="22"/>
              </w:rPr>
            </w:pPr>
            <w:r w:rsidRPr="00215D48">
              <w:t xml:space="preserve">Email: </w:t>
            </w:r>
            <w:hyperlink r:id="rId204" w:history="1">
              <w:r w:rsidRPr="00215D48">
                <w:rPr>
                  <w:rStyle w:val="Hyperlink"/>
                </w:rPr>
                <w:t>info@tga.gov.au</w:t>
              </w:r>
            </w:hyperlink>
            <w:r w:rsidRPr="00215D48">
              <w:t xml:space="preserve">  Phone: 1800 020 653 Fax: </w:t>
            </w:r>
            <w:r w:rsidRPr="00BA0DFC">
              <w:t>02 6203 1605</w:t>
            </w:r>
          </w:p>
          <w:p w14:paraId="44F15B70" w14:textId="77777777" w:rsidR="00F02AEC" w:rsidRPr="00215D48" w:rsidRDefault="00A13E49" w:rsidP="009C634A">
            <w:pPr>
              <w:pStyle w:val="Address"/>
              <w:jc w:val="center"/>
              <w:rPr>
                <w:rStyle w:val="Hyperlink"/>
                <w:b w:val="0"/>
                <w:color w:val="auto"/>
                <w:sz w:val="22"/>
              </w:rPr>
            </w:pPr>
            <w:hyperlink r:id="rId205" w:history="1">
              <w:r w:rsidR="00F02AEC" w:rsidRPr="00C4721A">
                <w:rPr>
                  <w:rStyle w:val="Hyperlink"/>
                </w:rPr>
                <w:t>https://www.tga.gov.au</w:t>
              </w:r>
            </w:hyperlink>
          </w:p>
        </w:tc>
      </w:tr>
    </w:tbl>
    <w:p w14:paraId="39E12073" w14:textId="77777777" w:rsidR="00AC5E26" w:rsidRDefault="00AC5E26"/>
    <w:sectPr w:rsidR="00AC5E26" w:rsidSect="00AC5E26">
      <w:headerReference w:type="first" r:id="rId206"/>
      <w:footerReference w:type="first" r:id="rId20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D1F2" w14:textId="77777777" w:rsidR="003C2B8B" w:rsidRDefault="003C2B8B" w:rsidP="00F02AEC">
      <w:pPr>
        <w:spacing w:after="0" w:line="240" w:lineRule="auto"/>
      </w:pPr>
      <w:r>
        <w:separator/>
      </w:r>
    </w:p>
  </w:endnote>
  <w:endnote w:type="continuationSeparator" w:id="0">
    <w:p w14:paraId="13DA29C3" w14:textId="77777777" w:rsidR="003C2B8B" w:rsidRDefault="003C2B8B"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4CFC1A7C" w14:textId="77777777" w:rsidTr="00AC5E26">
      <w:trPr>
        <w:trHeight w:val="423"/>
      </w:trPr>
      <w:tc>
        <w:tcPr>
          <w:tcW w:w="4360" w:type="dxa"/>
          <w:tcBorders>
            <w:top w:val="single" w:sz="4" w:space="0" w:color="auto"/>
          </w:tcBorders>
        </w:tcPr>
        <w:p w14:paraId="1B77F06E" w14:textId="77777777" w:rsidR="00F02AEC" w:rsidRDefault="00F02AEC" w:rsidP="00AC5E26">
          <w:pPr>
            <w:pStyle w:val="Footer"/>
          </w:pPr>
        </w:p>
        <w:p w14:paraId="634F6009" w14:textId="77777777" w:rsidR="00F02AEC" w:rsidRPr="00257138" w:rsidRDefault="00F02AEC" w:rsidP="00AC5E26">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7241C52" w14:textId="77777777" w:rsidR="00F02AEC" w:rsidRDefault="00F02AEC" w:rsidP="00AC5E26">
              <w:pPr>
                <w:pStyle w:val="Footer"/>
                <w:jc w:val="right"/>
              </w:pPr>
            </w:p>
            <w:p w14:paraId="3F5F7AF0" w14:textId="77777777" w:rsidR="00F02AEC" w:rsidRPr="00257138" w:rsidRDefault="00F02AEC" w:rsidP="00AC5E26">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A13E49">
                <w:fldChar w:fldCharType="begin"/>
              </w:r>
              <w:r w:rsidR="00A13E49">
                <w:instrText xml:space="preserve"> NUMPAGES  </w:instrText>
              </w:r>
              <w:r w:rsidR="00A13E49">
                <w:fldChar w:fldCharType="separate"/>
              </w:r>
              <w:r>
                <w:rPr>
                  <w:noProof/>
                </w:rPr>
                <w:t>2</w:t>
              </w:r>
              <w:r w:rsidR="00A13E49">
                <w:rPr>
                  <w:noProof/>
                </w:rPr>
                <w:fldChar w:fldCharType="end"/>
              </w:r>
            </w:p>
          </w:sdtContent>
        </w:sdt>
      </w:tc>
    </w:tr>
    <w:tr w:rsidR="00F02AEC" w:rsidRPr="00257138" w14:paraId="0D40ABB3" w14:textId="77777777" w:rsidTr="00AC5E26">
      <w:trPr>
        <w:trHeight w:val="263"/>
      </w:trPr>
      <w:tc>
        <w:tcPr>
          <w:tcW w:w="4360" w:type="dxa"/>
        </w:tcPr>
        <w:p w14:paraId="7E90E3F4" w14:textId="77777777" w:rsidR="00F02AEC" w:rsidRPr="00257138" w:rsidRDefault="00F02AEC" w:rsidP="00AC5E26">
          <w:pPr>
            <w:pStyle w:val="Footer"/>
          </w:pPr>
          <w:r w:rsidRPr="00257138">
            <w:t xml:space="preserve">V1.0 </w:t>
          </w:r>
          <w:r>
            <w:t>Month</w:t>
          </w:r>
          <w:r w:rsidRPr="00257138">
            <w:t xml:space="preserve"> 201</w:t>
          </w:r>
          <w:r>
            <w:t>2</w:t>
          </w:r>
        </w:p>
      </w:tc>
      <w:tc>
        <w:tcPr>
          <w:tcW w:w="4360" w:type="dxa"/>
        </w:tcPr>
        <w:p w14:paraId="178610D6" w14:textId="77777777" w:rsidR="00F02AEC" w:rsidRPr="00257138" w:rsidRDefault="00F02AEC" w:rsidP="00AC5E26">
          <w:pPr>
            <w:pStyle w:val="Footer"/>
            <w:jc w:val="right"/>
          </w:pPr>
        </w:p>
      </w:tc>
    </w:tr>
  </w:tbl>
  <w:p w14:paraId="0507B039" w14:textId="77777777" w:rsidR="00F02AEC" w:rsidRPr="00826007" w:rsidRDefault="00F02AEC" w:rsidP="00AC5E26">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57EE" w14:textId="77777777" w:rsidR="00F02AEC" w:rsidRDefault="00F02AEC" w:rsidP="00AC5E26">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796620" w14:paraId="5ABB6CD7" w14:textId="77777777" w:rsidTr="00AC5E26">
      <w:trPr>
        <w:trHeight w:val="423"/>
      </w:trPr>
      <w:tc>
        <w:tcPr>
          <w:tcW w:w="7338" w:type="dxa"/>
          <w:tcBorders>
            <w:top w:val="single" w:sz="4" w:space="0" w:color="auto"/>
          </w:tcBorders>
        </w:tcPr>
        <w:p w14:paraId="102C175F" w14:textId="233F7EBF" w:rsidR="00F02AEC" w:rsidRPr="00796620" w:rsidRDefault="003610AE" w:rsidP="003C6F67">
          <w:pPr>
            <w:pStyle w:val="Footer"/>
            <w:ind w:left="-104"/>
            <w:rPr>
              <w:rFonts w:asciiTheme="minorHAnsi" w:hAnsiTheme="minorHAnsi" w:cstheme="minorHAnsi"/>
            </w:rPr>
          </w:pPr>
          <w:r w:rsidRPr="00796620">
            <w:rPr>
              <w:rFonts w:asciiTheme="minorHAnsi" w:hAnsiTheme="minorHAnsi" w:cstheme="minorHAnsi"/>
            </w:rPr>
            <w:t>Consultation: Proposed amendments to the Poisons Standard – ACCS, ACMS and Joint ACMS-ACCS meetings, November 2023</w:t>
          </w:r>
        </w:p>
      </w:tc>
      <w:tc>
        <w:tcPr>
          <w:tcW w:w="1734" w:type="dxa"/>
          <w:tcBorders>
            <w:top w:val="single" w:sz="4" w:space="0" w:color="auto"/>
          </w:tcBorders>
        </w:tcPr>
        <w:sdt>
          <w:sdtPr>
            <w:rPr>
              <w:rFonts w:asciiTheme="minorHAnsi" w:hAnsiTheme="minorHAnsi" w:cstheme="minorHAnsi"/>
            </w:rPr>
            <w:id w:val="11571659"/>
            <w:docPartObj>
              <w:docPartGallery w:val="Page Numbers (Top of Page)"/>
              <w:docPartUnique/>
            </w:docPartObj>
          </w:sdtPr>
          <w:sdtEndPr/>
          <w:sdtContent>
            <w:p w14:paraId="06894226" w14:textId="77777777" w:rsidR="00F02AEC" w:rsidRPr="00796620" w:rsidRDefault="00F02AEC" w:rsidP="003C6F67">
              <w:pPr>
                <w:pStyle w:val="Footer"/>
                <w:ind w:right="-109"/>
                <w:jc w:val="right"/>
                <w:rPr>
                  <w:rFonts w:asciiTheme="minorHAnsi" w:hAnsiTheme="minorHAnsi" w:cstheme="minorHAnsi"/>
                </w:rPr>
              </w:pPr>
              <w:r w:rsidRPr="00796620">
                <w:rPr>
                  <w:rFonts w:asciiTheme="minorHAnsi" w:hAnsiTheme="minorHAnsi" w:cstheme="minorHAnsi"/>
                </w:rPr>
                <w:t xml:space="preserve">Page </w:t>
              </w:r>
              <w:r w:rsidRPr="00796620">
                <w:rPr>
                  <w:rFonts w:asciiTheme="minorHAnsi" w:hAnsiTheme="minorHAnsi" w:cstheme="minorHAnsi"/>
                </w:rPr>
                <w:fldChar w:fldCharType="begin"/>
              </w:r>
              <w:r w:rsidRPr="00796620">
                <w:rPr>
                  <w:rFonts w:asciiTheme="minorHAnsi" w:hAnsiTheme="minorHAnsi" w:cstheme="minorHAnsi"/>
                </w:rPr>
                <w:instrText xml:space="preserve"> PAGE </w:instrText>
              </w:r>
              <w:r w:rsidRPr="00796620">
                <w:rPr>
                  <w:rFonts w:asciiTheme="minorHAnsi" w:hAnsiTheme="minorHAnsi" w:cstheme="minorHAnsi"/>
                </w:rPr>
                <w:fldChar w:fldCharType="separate"/>
              </w:r>
              <w:r w:rsidRPr="00796620">
                <w:rPr>
                  <w:rFonts w:asciiTheme="minorHAnsi" w:hAnsiTheme="minorHAnsi" w:cstheme="minorHAnsi"/>
                  <w:noProof/>
                </w:rPr>
                <w:t>6</w:t>
              </w:r>
              <w:r w:rsidRPr="00796620">
                <w:rPr>
                  <w:rFonts w:asciiTheme="minorHAnsi" w:hAnsiTheme="minorHAnsi" w:cstheme="minorHAnsi"/>
                  <w:noProof/>
                </w:rPr>
                <w:fldChar w:fldCharType="end"/>
              </w:r>
              <w:r w:rsidRPr="00796620">
                <w:rPr>
                  <w:rFonts w:asciiTheme="minorHAnsi" w:hAnsiTheme="minorHAnsi" w:cstheme="minorHAnsi"/>
                </w:rPr>
                <w:t xml:space="preserve"> of </w:t>
              </w:r>
              <w:r w:rsidR="00A8397C" w:rsidRPr="00796620">
                <w:rPr>
                  <w:rFonts w:asciiTheme="minorHAnsi" w:hAnsiTheme="minorHAnsi" w:cstheme="minorHAnsi"/>
                </w:rPr>
                <w:fldChar w:fldCharType="begin"/>
              </w:r>
              <w:r w:rsidR="00A8397C" w:rsidRPr="00796620">
                <w:rPr>
                  <w:rFonts w:asciiTheme="minorHAnsi" w:hAnsiTheme="minorHAnsi" w:cstheme="minorHAnsi"/>
                </w:rPr>
                <w:instrText xml:space="preserve"> NUMPAGES  </w:instrText>
              </w:r>
              <w:r w:rsidR="00A8397C" w:rsidRPr="00796620">
                <w:rPr>
                  <w:rFonts w:asciiTheme="minorHAnsi" w:hAnsiTheme="minorHAnsi" w:cstheme="minorHAnsi"/>
                </w:rPr>
                <w:fldChar w:fldCharType="separate"/>
              </w:r>
              <w:r w:rsidRPr="00796620">
                <w:rPr>
                  <w:rFonts w:asciiTheme="minorHAnsi" w:hAnsiTheme="minorHAnsi" w:cstheme="minorHAnsi"/>
                  <w:noProof/>
                </w:rPr>
                <w:t>7</w:t>
              </w:r>
              <w:r w:rsidR="00A8397C" w:rsidRPr="00796620">
                <w:rPr>
                  <w:rFonts w:asciiTheme="minorHAnsi" w:hAnsiTheme="minorHAnsi" w:cstheme="minorHAnsi"/>
                  <w:noProof/>
                </w:rPr>
                <w:fldChar w:fldCharType="end"/>
              </w:r>
            </w:p>
          </w:sdtContent>
        </w:sdt>
      </w:tc>
    </w:tr>
  </w:tbl>
  <w:p w14:paraId="634B676B" w14:textId="77777777" w:rsidR="00F02AEC" w:rsidRPr="00796620" w:rsidRDefault="00F02AEC" w:rsidP="00AC5E26">
    <w:pPr>
      <w:pStyle w:val="Footer"/>
      <w:tabs>
        <w:tab w:val="left" w:pos="7620"/>
        <w:tab w:val="right" w:pos="8504"/>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58BA" w14:textId="77777777" w:rsidR="00AC5E26" w:rsidRPr="008E3C43" w:rsidRDefault="00AC5E26" w:rsidP="00AC5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7EBA" w14:textId="77777777" w:rsidR="003C2B8B" w:rsidRDefault="003C2B8B" w:rsidP="00F02AEC">
      <w:pPr>
        <w:spacing w:after="0" w:line="240" w:lineRule="auto"/>
      </w:pPr>
      <w:r>
        <w:separator/>
      </w:r>
    </w:p>
  </w:footnote>
  <w:footnote w:type="continuationSeparator" w:id="0">
    <w:p w14:paraId="1769CFEA" w14:textId="77777777" w:rsidR="003C2B8B" w:rsidRDefault="003C2B8B" w:rsidP="00F02AEC">
      <w:pPr>
        <w:spacing w:after="0" w:line="240" w:lineRule="auto"/>
      </w:pPr>
      <w:r>
        <w:continuationSeparator/>
      </w:r>
    </w:p>
  </w:footnote>
  <w:footnote w:id="1">
    <w:p w14:paraId="5B4763CC" w14:textId="77777777" w:rsidR="00685E72" w:rsidRPr="00687F35" w:rsidRDefault="00685E72" w:rsidP="008007EB">
      <w:pPr>
        <w:rPr>
          <w:rFonts w:cstheme="minorHAnsi"/>
          <w:sz w:val="18"/>
          <w:szCs w:val="18"/>
        </w:rPr>
      </w:pPr>
      <w:r w:rsidRPr="00687F35">
        <w:rPr>
          <w:rStyle w:val="FootnoteReference"/>
          <w:rFonts w:cstheme="minorHAnsi"/>
          <w:sz w:val="18"/>
          <w:szCs w:val="18"/>
        </w:rPr>
        <w:footnoteRef/>
      </w:r>
      <w:r w:rsidRPr="00687F35">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2">
    <w:p w14:paraId="11A6D60A" w14:textId="6C8CCDAB" w:rsidR="00B21C87" w:rsidRPr="00B21C87" w:rsidRDefault="00B21C87">
      <w:pPr>
        <w:pStyle w:val="FootnoteText"/>
        <w:rPr>
          <w:rFonts w:asciiTheme="minorHAnsi" w:hAnsiTheme="minorHAnsi" w:cstheme="minorHAnsi"/>
          <w:color w:val="auto"/>
          <w:sz w:val="18"/>
          <w:szCs w:val="18"/>
        </w:rPr>
      </w:pPr>
      <w:r w:rsidRPr="00B21C87">
        <w:rPr>
          <w:rFonts w:asciiTheme="minorHAnsi" w:hAnsiTheme="minorHAnsi" w:cstheme="minorHAnsi"/>
          <w:color w:val="auto"/>
          <w:sz w:val="18"/>
          <w:szCs w:val="18"/>
        </w:rPr>
        <w:footnoteRef/>
      </w:r>
      <w:r w:rsidRPr="00B21C87">
        <w:rPr>
          <w:rFonts w:asciiTheme="minorHAnsi" w:hAnsiTheme="minorHAnsi" w:cstheme="minorHAnsi"/>
          <w:color w:val="auto"/>
          <w:sz w:val="18"/>
          <w:szCs w:val="18"/>
        </w:rPr>
        <w:t xml:space="preserve"> Proposed additions are shown in green underlined font, proposed deletions are shown in red strikethrough font, and text without this formatting represents the current text in the Poisons Standard.</w:t>
      </w:r>
    </w:p>
  </w:footnote>
  <w:footnote w:id="3">
    <w:p w14:paraId="7DE8F0EA" w14:textId="77777777" w:rsidR="000E7528" w:rsidRPr="00E22509" w:rsidRDefault="000E7528" w:rsidP="000E7528">
      <w:pPr>
        <w:rPr>
          <w:rFonts w:cstheme="minorHAnsi"/>
          <w:sz w:val="18"/>
          <w:szCs w:val="18"/>
        </w:rPr>
      </w:pPr>
      <w:r w:rsidRPr="00E22509">
        <w:rPr>
          <w:rStyle w:val="FootnoteReference"/>
          <w:rFonts w:cstheme="minorHAnsi"/>
          <w:sz w:val="18"/>
          <w:szCs w:val="18"/>
        </w:rPr>
        <w:footnoteRef/>
      </w:r>
      <w:r w:rsidRPr="00E22509">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4">
    <w:p w14:paraId="535D8C7A" w14:textId="242DCF86" w:rsidR="00B94718" w:rsidRPr="00EB1099" w:rsidRDefault="00B94718">
      <w:pPr>
        <w:pStyle w:val="FootnoteText"/>
        <w:rPr>
          <w:rFonts w:asciiTheme="minorHAnsi" w:hAnsiTheme="minorHAnsi" w:cstheme="minorHAnsi"/>
          <w:sz w:val="18"/>
          <w:szCs w:val="18"/>
        </w:rPr>
      </w:pPr>
    </w:p>
  </w:footnote>
  <w:footnote w:id="5">
    <w:p w14:paraId="2826B88A" w14:textId="7AB87215" w:rsidR="008D4FF7" w:rsidRPr="008D4FF7" w:rsidRDefault="008D4FF7">
      <w:pPr>
        <w:pStyle w:val="FootnoteText"/>
        <w:rPr>
          <w:rFonts w:asciiTheme="minorHAnsi" w:hAnsiTheme="minorHAnsi" w:cstheme="minorHAnsi"/>
          <w:sz w:val="18"/>
          <w:szCs w:val="18"/>
        </w:rPr>
      </w:pPr>
      <w:r w:rsidRPr="008D4FF7">
        <w:rPr>
          <w:rStyle w:val="FootnoteReference"/>
          <w:rFonts w:asciiTheme="minorHAnsi" w:hAnsiTheme="minorHAnsi" w:cstheme="minorHAnsi"/>
          <w:sz w:val="18"/>
          <w:szCs w:val="18"/>
        </w:rPr>
        <w:footnoteRef/>
      </w:r>
      <w:r w:rsidRPr="008D4FF7">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6">
    <w:p w14:paraId="3E230A90" w14:textId="57CE07AA" w:rsidR="008D4FF7" w:rsidRPr="008D4FF7" w:rsidRDefault="008D4FF7">
      <w:pPr>
        <w:pStyle w:val="FootnoteText"/>
        <w:rPr>
          <w:rFonts w:asciiTheme="minorHAnsi" w:hAnsiTheme="minorHAnsi" w:cstheme="minorHAnsi"/>
          <w:sz w:val="18"/>
          <w:szCs w:val="18"/>
        </w:rPr>
      </w:pPr>
      <w:r w:rsidRPr="008D4FF7">
        <w:rPr>
          <w:rStyle w:val="FootnoteReference"/>
          <w:rFonts w:asciiTheme="minorHAnsi" w:hAnsiTheme="minorHAnsi" w:cstheme="minorHAnsi"/>
          <w:sz w:val="18"/>
          <w:szCs w:val="18"/>
        </w:rPr>
        <w:footnoteRef/>
      </w:r>
      <w:r w:rsidRPr="008D4FF7">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7">
    <w:p w14:paraId="31B2A05B" w14:textId="77777777" w:rsidR="00BA2399" w:rsidRPr="00277240" w:rsidRDefault="00BA2399" w:rsidP="00BA2399">
      <w:pPr>
        <w:rPr>
          <w:rFonts w:cstheme="minorHAnsi"/>
          <w:sz w:val="18"/>
          <w:szCs w:val="18"/>
        </w:rPr>
      </w:pPr>
      <w:r w:rsidRPr="00277240">
        <w:rPr>
          <w:rStyle w:val="FootnoteReference"/>
          <w:rFonts w:cstheme="minorHAnsi"/>
          <w:sz w:val="18"/>
          <w:szCs w:val="18"/>
        </w:rPr>
        <w:footnoteRef/>
      </w:r>
      <w:r w:rsidRPr="00277240">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8">
    <w:p w14:paraId="6F1E3260" w14:textId="19D9BBF7" w:rsidR="0072362E" w:rsidRPr="0072362E" w:rsidRDefault="0072362E">
      <w:pPr>
        <w:pStyle w:val="FootnoteText"/>
        <w:rPr>
          <w:rFonts w:asciiTheme="minorHAnsi" w:hAnsiTheme="minorHAnsi" w:cstheme="minorHAnsi"/>
          <w:sz w:val="18"/>
          <w:szCs w:val="18"/>
        </w:rPr>
      </w:pPr>
      <w:r w:rsidRPr="0072362E">
        <w:rPr>
          <w:rStyle w:val="FootnoteReference"/>
          <w:rFonts w:asciiTheme="minorHAnsi" w:hAnsiTheme="minorHAnsi" w:cstheme="minorHAnsi"/>
          <w:sz w:val="18"/>
          <w:szCs w:val="18"/>
        </w:rPr>
        <w:footnoteRef/>
      </w:r>
      <w:r w:rsidRPr="0072362E">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9">
    <w:p w14:paraId="5D760624" w14:textId="77777777" w:rsidR="00E13CFF" w:rsidRPr="00611EE2" w:rsidRDefault="00E13CFF" w:rsidP="00E13CFF">
      <w:pPr>
        <w:rPr>
          <w:rFonts w:cstheme="minorHAnsi"/>
          <w:sz w:val="18"/>
          <w:szCs w:val="18"/>
        </w:rPr>
      </w:pPr>
      <w:r w:rsidRPr="00611EE2">
        <w:rPr>
          <w:rStyle w:val="FootnoteReference"/>
          <w:rFonts w:cstheme="minorHAnsi"/>
          <w:sz w:val="18"/>
          <w:szCs w:val="18"/>
        </w:rPr>
        <w:footnoteRef/>
      </w:r>
      <w:r w:rsidRPr="00611EE2">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0">
    <w:p w14:paraId="23DE07E4" w14:textId="77777777" w:rsidR="00E13CFF" w:rsidRPr="00611EE2" w:rsidRDefault="00E13CFF" w:rsidP="00E13CFF">
      <w:pPr>
        <w:pStyle w:val="FootnoteText"/>
        <w:rPr>
          <w:rFonts w:asciiTheme="minorHAnsi" w:hAnsiTheme="minorHAnsi" w:cstheme="minorHAnsi"/>
          <w:sz w:val="18"/>
          <w:szCs w:val="18"/>
        </w:rPr>
      </w:pPr>
      <w:r w:rsidRPr="00611EE2">
        <w:rPr>
          <w:rStyle w:val="FootnoteReference"/>
          <w:rFonts w:asciiTheme="minorHAnsi" w:hAnsiTheme="minorHAnsi" w:cstheme="minorHAnsi"/>
          <w:sz w:val="18"/>
          <w:szCs w:val="18"/>
        </w:rPr>
        <w:footnoteRef/>
      </w:r>
      <w:r w:rsidRPr="00611EE2">
        <w:rPr>
          <w:rFonts w:asciiTheme="minorHAnsi" w:hAnsiTheme="minorHAnsi" w:cstheme="minorHAnsi"/>
          <w:sz w:val="18"/>
          <w:szCs w:val="18"/>
        </w:rPr>
        <w:t xml:space="preserve"> Adrenaline is also included in the Ingredient Database as the acid tartrate and hydrochloride </w:t>
      </w:r>
      <w:proofErr w:type="gramStart"/>
      <w:r w:rsidRPr="00611EE2">
        <w:rPr>
          <w:rFonts w:asciiTheme="minorHAnsi" w:hAnsiTheme="minorHAnsi" w:cstheme="minorHAnsi"/>
          <w:sz w:val="18"/>
          <w:szCs w:val="18"/>
        </w:rPr>
        <w:t>salts</w:t>
      </w:r>
      <w:proofErr w:type="gramEnd"/>
    </w:p>
  </w:footnote>
  <w:footnote w:id="11">
    <w:p w14:paraId="53176216" w14:textId="77777777" w:rsidR="00E13CFF" w:rsidRPr="007040B0" w:rsidRDefault="00E13CFF" w:rsidP="00E13CFF">
      <w:pPr>
        <w:pStyle w:val="FootnoteText"/>
        <w:rPr>
          <w:rFonts w:asciiTheme="minorHAnsi" w:hAnsiTheme="minorHAnsi" w:cstheme="minorHAnsi"/>
          <w:sz w:val="18"/>
          <w:szCs w:val="18"/>
        </w:rPr>
      </w:pPr>
      <w:r w:rsidRPr="007040B0">
        <w:rPr>
          <w:rStyle w:val="FootnoteReference"/>
          <w:rFonts w:asciiTheme="minorHAnsi" w:hAnsiTheme="minorHAnsi" w:cstheme="minorHAnsi"/>
          <w:sz w:val="18"/>
          <w:szCs w:val="18"/>
        </w:rPr>
        <w:footnoteRef/>
      </w:r>
      <w:r w:rsidRPr="007040B0">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2">
    <w:p w14:paraId="6E322B3F" w14:textId="77777777" w:rsidR="00E13CFF" w:rsidRPr="007040B0" w:rsidRDefault="00E13CFF" w:rsidP="00E13CFF">
      <w:pPr>
        <w:pStyle w:val="FootnoteText"/>
        <w:rPr>
          <w:rFonts w:asciiTheme="minorHAnsi" w:hAnsiTheme="minorHAnsi" w:cstheme="minorHAnsi"/>
          <w:sz w:val="18"/>
          <w:szCs w:val="18"/>
        </w:rPr>
      </w:pPr>
      <w:r w:rsidRPr="007040B0">
        <w:rPr>
          <w:rStyle w:val="FootnoteReference"/>
          <w:rFonts w:asciiTheme="minorHAnsi" w:hAnsiTheme="minorHAnsi" w:cstheme="minorHAnsi"/>
          <w:sz w:val="18"/>
          <w:szCs w:val="18"/>
        </w:rPr>
        <w:footnoteRef/>
      </w:r>
      <w:r w:rsidRPr="007040B0">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3">
    <w:p w14:paraId="5DA69950" w14:textId="77777777" w:rsidR="00D74E12" w:rsidRPr="007040B0" w:rsidRDefault="00D74E12" w:rsidP="00D74E12">
      <w:pPr>
        <w:pStyle w:val="FootnoteText"/>
        <w:rPr>
          <w:rFonts w:asciiTheme="minorHAnsi" w:hAnsiTheme="minorHAnsi" w:cstheme="minorHAnsi"/>
          <w:sz w:val="18"/>
          <w:szCs w:val="18"/>
        </w:rPr>
      </w:pPr>
      <w:r w:rsidRPr="007040B0">
        <w:rPr>
          <w:rStyle w:val="FootnoteReference"/>
          <w:rFonts w:asciiTheme="minorHAnsi" w:hAnsiTheme="minorHAnsi" w:cstheme="minorHAnsi"/>
          <w:sz w:val="18"/>
          <w:szCs w:val="18"/>
        </w:rPr>
        <w:footnoteRef/>
      </w:r>
      <w:r w:rsidRPr="007040B0">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4">
    <w:p w14:paraId="7B1300C0" w14:textId="77777777" w:rsidR="00DC1C7F" w:rsidRPr="002B4733" w:rsidRDefault="00DC1C7F" w:rsidP="00DC1C7F">
      <w:pPr>
        <w:rPr>
          <w:rFonts w:cstheme="minorHAnsi"/>
          <w:sz w:val="18"/>
          <w:szCs w:val="18"/>
        </w:rPr>
      </w:pPr>
      <w:r w:rsidRPr="002B4733">
        <w:rPr>
          <w:rStyle w:val="FootnoteReference"/>
          <w:rFonts w:cstheme="minorHAnsi"/>
          <w:sz w:val="18"/>
          <w:szCs w:val="18"/>
        </w:rPr>
        <w:footnoteRef/>
      </w:r>
      <w:r w:rsidRPr="002B4733">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5">
    <w:p w14:paraId="4E5FAD3D" w14:textId="77777777" w:rsidR="00593624" w:rsidRPr="002F224C" w:rsidRDefault="00593624" w:rsidP="00593624">
      <w:pPr>
        <w:rPr>
          <w:rFonts w:cstheme="minorHAnsi"/>
          <w:sz w:val="18"/>
          <w:szCs w:val="18"/>
        </w:rPr>
      </w:pPr>
      <w:r w:rsidRPr="002F224C">
        <w:rPr>
          <w:rStyle w:val="FootnoteReference"/>
          <w:rFonts w:cstheme="minorHAnsi"/>
          <w:sz w:val="18"/>
          <w:szCs w:val="18"/>
        </w:rPr>
        <w:footnoteRef/>
      </w:r>
      <w:r w:rsidRPr="002F224C">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16">
    <w:p w14:paraId="795CE2CB" w14:textId="77777777" w:rsidR="008D0FBD" w:rsidRPr="0072362E" w:rsidRDefault="008D0FBD" w:rsidP="008D0FBD">
      <w:pPr>
        <w:spacing w:after="0"/>
        <w:rPr>
          <w:rFonts w:cstheme="minorHAnsi"/>
          <w:sz w:val="18"/>
          <w:szCs w:val="18"/>
        </w:rPr>
      </w:pPr>
      <w:r w:rsidRPr="0072362E">
        <w:rPr>
          <w:rStyle w:val="FootnoteReference"/>
          <w:rFonts w:cstheme="minorHAnsi"/>
          <w:sz w:val="18"/>
          <w:szCs w:val="18"/>
        </w:rPr>
        <w:footnoteRef/>
      </w:r>
      <w:r w:rsidRPr="0072362E">
        <w:rPr>
          <w:rFonts w:cstheme="minorHAnsi"/>
          <w:sz w:val="18"/>
          <w:szCs w:val="18"/>
        </w:rPr>
        <w:t xml:space="preserve"> European Commission </w:t>
      </w:r>
      <w:hyperlink r:id="rId1" w:history="1">
        <w:r w:rsidRPr="0072362E">
          <w:rPr>
            <w:rStyle w:val="Hyperlink"/>
            <w:rFonts w:asciiTheme="minorHAnsi" w:hAnsiTheme="minorHAnsi" w:cstheme="minorHAnsi"/>
            <w:sz w:val="18"/>
            <w:szCs w:val="18"/>
          </w:rPr>
          <w:t>https://ec.europa.eu/health/documents/community-register/html/reg_index_inn.htm</w:t>
        </w:r>
      </w:hyperlink>
      <w:r w:rsidRPr="0072362E">
        <w:rPr>
          <w:rFonts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1BED"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35940C1E" w14:textId="77777777" w:rsidTr="00AC5E26">
      <w:trPr>
        <w:trHeight w:hRule="exact" w:val="8845"/>
      </w:trPr>
      <w:tc>
        <w:tcPr>
          <w:tcW w:w="11964" w:type="dxa"/>
          <w:vAlign w:val="center"/>
        </w:tcPr>
        <w:p w14:paraId="0799E287" w14:textId="10E55BE8" w:rsidR="00F02AEC" w:rsidRPr="002B29B2" w:rsidRDefault="00F02AEC" w:rsidP="00AC5E26">
          <w:pPr>
            <w:ind w:left="-57"/>
            <w:rPr>
              <w:noProof/>
            </w:rPr>
          </w:pPr>
        </w:p>
      </w:tc>
    </w:tr>
  </w:tbl>
  <w:p w14:paraId="0BA1A1C9" w14:textId="77777777" w:rsidR="00F02AEC" w:rsidRDefault="00CB0550" w:rsidP="00AC5E26">
    <w:pPr>
      <w:rPr>
        <w:noProof/>
      </w:rPr>
    </w:pPr>
    <w:r>
      <w:rPr>
        <w:noProof/>
        <w:lang w:eastAsia="en-AU"/>
      </w:rPr>
      <w:drawing>
        <wp:anchor distT="0" distB="0" distL="114300" distR="114300" simplePos="0" relativeHeight="251661312" behindDoc="0" locked="0" layoutInCell="1" allowOverlap="1" wp14:anchorId="30FCA57B" wp14:editId="67652F2E">
          <wp:simplePos x="0" y="0"/>
          <wp:positionH relativeFrom="column">
            <wp:posOffset>-400050</wp:posOffset>
          </wp:positionH>
          <wp:positionV relativeFrom="paragraph">
            <wp:posOffset>-116205</wp:posOffset>
          </wp:positionV>
          <wp:extent cx="2676525" cy="621665"/>
          <wp:effectExtent l="0" t="0" r="9525" b="698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2FCFED33" wp14:editId="56CB902C">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0FA4" w14:textId="77777777" w:rsidR="00F02AEC" w:rsidRPr="00796620" w:rsidRDefault="00F02AEC" w:rsidP="00AC5E26">
    <w:pPr>
      <w:pStyle w:val="Header"/>
      <w:rPr>
        <w:rFonts w:asciiTheme="minorHAnsi" w:hAnsiTheme="minorHAnsi" w:cstheme="minorHAnsi"/>
        <w:color w:val="auto"/>
      </w:rPr>
    </w:pPr>
    <w:bookmarkStart w:id="192" w:name="_Hlk139891503"/>
    <w:bookmarkStart w:id="193" w:name="_Hlk139891504"/>
    <w:bookmarkStart w:id="194" w:name="_Hlk139891507"/>
    <w:bookmarkStart w:id="195" w:name="_Hlk139891508"/>
    <w:bookmarkStart w:id="196" w:name="_Hlk139891512"/>
    <w:bookmarkStart w:id="197" w:name="_Hlk139891513"/>
    <w:bookmarkStart w:id="198" w:name="_Hlk139891537"/>
    <w:bookmarkStart w:id="199" w:name="_Hlk139891538"/>
    <w:r w:rsidRPr="00796620">
      <w:rPr>
        <w:rFonts w:asciiTheme="minorHAnsi" w:hAnsiTheme="minorHAnsi" w:cstheme="minorHAnsi"/>
        <w:color w:val="auto"/>
      </w:rPr>
      <w:t>Therapeutic Goods Administration</w:t>
    </w:r>
    <w:bookmarkEnd w:id="192"/>
    <w:bookmarkEnd w:id="193"/>
    <w:bookmarkEnd w:id="194"/>
    <w:bookmarkEnd w:id="195"/>
    <w:bookmarkEnd w:id="196"/>
    <w:bookmarkEnd w:id="197"/>
    <w:bookmarkEnd w:id="198"/>
    <w:bookmarkEnd w:id="19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0CB5" w14:textId="77777777" w:rsidR="00AC5E26" w:rsidRPr="00FE501F" w:rsidRDefault="00AC5E26" w:rsidP="00AC5E26">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F74"/>
    <w:multiLevelType w:val="hybridMultilevel"/>
    <w:tmpl w:val="5776D846"/>
    <w:lvl w:ilvl="0" w:tplc="7A3CCC44">
      <w:start w:val="1"/>
      <w:numFmt w:val="bullet"/>
      <w:lvlText w:val=""/>
      <w:lvlJc w:val="left"/>
      <w:pPr>
        <w:ind w:left="1440" w:hanging="360"/>
      </w:pPr>
      <w:rPr>
        <w:rFonts w:ascii="Symbol" w:hAnsi="Symbol" w:hint="default"/>
        <w:sz w:val="16"/>
        <w:szCs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26F1E67"/>
    <w:multiLevelType w:val="multilevel"/>
    <w:tmpl w:val="21CE23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914922"/>
    <w:multiLevelType w:val="hybridMultilevel"/>
    <w:tmpl w:val="F1F28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51011"/>
    <w:multiLevelType w:val="hybridMultilevel"/>
    <w:tmpl w:val="4A12EA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14B303B"/>
    <w:multiLevelType w:val="hybridMultilevel"/>
    <w:tmpl w:val="B27E16A8"/>
    <w:lvl w:ilvl="0" w:tplc="FFFFFFFF">
      <w:start w:val="1"/>
      <w:numFmt w:val="lowerLetter"/>
      <w:lvlText w:val="%1)"/>
      <w:lvlJc w:val="left"/>
      <w:pPr>
        <w:ind w:left="1506" w:hanging="360"/>
      </w:pPr>
    </w:lvl>
    <w:lvl w:ilvl="1" w:tplc="87B82D26">
      <w:start w:val="1"/>
      <w:numFmt w:val="upperLetter"/>
      <w:lvlText w:val="(%2)"/>
      <w:lvlJc w:val="left"/>
      <w:pPr>
        <w:ind w:left="2061" w:hanging="360"/>
      </w:pPr>
      <w:rPr>
        <w:rFonts w:hint="default"/>
      </w:rPr>
    </w:lvl>
    <w:lvl w:ilvl="2" w:tplc="FFFFFFFF">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6" w15:restartNumberingAfterBreak="0">
    <w:nsid w:val="119D631B"/>
    <w:multiLevelType w:val="hybridMultilevel"/>
    <w:tmpl w:val="981C12E2"/>
    <w:lvl w:ilvl="0" w:tplc="EB64F340">
      <w:start w:val="8"/>
      <w:numFmt w:val="decimal"/>
      <w:lvlText w:val="%1."/>
      <w:lvlJc w:val="left"/>
      <w:pPr>
        <w:ind w:left="1080" w:hanging="360"/>
      </w:pPr>
      <w:rPr>
        <w:rFonts w:asciiTheme="minorHAnsi" w:eastAsia="Times New Roman"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2B1DBA"/>
    <w:multiLevelType w:val="hybridMultilevel"/>
    <w:tmpl w:val="273A5B0C"/>
    <w:lvl w:ilvl="0" w:tplc="467EA93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059CA5E6"/>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87C12D1"/>
    <w:multiLevelType w:val="hybridMultilevel"/>
    <w:tmpl w:val="3446DF42"/>
    <w:lvl w:ilvl="0" w:tplc="7A26A5C6">
      <w:start w:val="1"/>
      <w:numFmt w:val="decimal"/>
      <w:lvlText w:val="%1."/>
      <w:lvlJc w:val="left"/>
      <w:pPr>
        <w:ind w:left="1080" w:hanging="360"/>
      </w:pPr>
      <w:rPr>
        <w:rFonts w:asciiTheme="minorHAnsi" w:eastAsia="Times New Roman" w:hAnsiTheme="minorHAnsi" w:cs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91C732B"/>
    <w:multiLevelType w:val="hybridMultilevel"/>
    <w:tmpl w:val="2A9CF8C6"/>
    <w:lvl w:ilvl="0" w:tplc="87B82D26">
      <w:start w:val="1"/>
      <w:numFmt w:val="upperLetter"/>
      <w:lvlText w:val="(%1)"/>
      <w:lvlJc w:val="left"/>
      <w:pPr>
        <w:ind w:left="2228" w:hanging="360"/>
      </w:pPr>
      <w:rPr>
        <w:rFonts w:hint="default"/>
      </w:rPr>
    </w:lvl>
    <w:lvl w:ilvl="1" w:tplc="0C090019">
      <w:start w:val="1"/>
      <w:numFmt w:val="lowerLetter"/>
      <w:lvlText w:val="%2."/>
      <w:lvlJc w:val="left"/>
      <w:pPr>
        <w:ind w:left="2948" w:hanging="360"/>
      </w:pPr>
    </w:lvl>
    <w:lvl w:ilvl="2" w:tplc="0C09001B" w:tentative="1">
      <w:start w:val="1"/>
      <w:numFmt w:val="lowerRoman"/>
      <w:lvlText w:val="%3."/>
      <w:lvlJc w:val="right"/>
      <w:pPr>
        <w:ind w:left="3668" w:hanging="180"/>
      </w:pPr>
    </w:lvl>
    <w:lvl w:ilvl="3" w:tplc="0C09000F" w:tentative="1">
      <w:start w:val="1"/>
      <w:numFmt w:val="decimal"/>
      <w:lvlText w:val="%4."/>
      <w:lvlJc w:val="left"/>
      <w:pPr>
        <w:ind w:left="4388" w:hanging="360"/>
      </w:pPr>
    </w:lvl>
    <w:lvl w:ilvl="4" w:tplc="0C090019" w:tentative="1">
      <w:start w:val="1"/>
      <w:numFmt w:val="lowerLetter"/>
      <w:lvlText w:val="%5."/>
      <w:lvlJc w:val="left"/>
      <w:pPr>
        <w:ind w:left="5108" w:hanging="360"/>
      </w:pPr>
    </w:lvl>
    <w:lvl w:ilvl="5" w:tplc="0C09001B" w:tentative="1">
      <w:start w:val="1"/>
      <w:numFmt w:val="lowerRoman"/>
      <w:lvlText w:val="%6."/>
      <w:lvlJc w:val="right"/>
      <w:pPr>
        <w:ind w:left="5828" w:hanging="180"/>
      </w:pPr>
    </w:lvl>
    <w:lvl w:ilvl="6" w:tplc="0C09000F" w:tentative="1">
      <w:start w:val="1"/>
      <w:numFmt w:val="decimal"/>
      <w:lvlText w:val="%7."/>
      <w:lvlJc w:val="left"/>
      <w:pPr>
        <w:ind w:left="6548" w:hanging="360"/>
      </w:pPr>
    </w:lvl>
    <w:lvl w:ilvl="7" w:tplc="0C090019" w:tentative="1">
      <w:start w:val="1"/>
      <w:numFmt w:val="lowerLetter"/>
      <w:lvlText w:val="%8."/>
      <w:lvlJc w:val="left"/>
      <w:pPr>
        <w:ind w:left="7268" w:hanging="360"/>
      </w:pPr>
    </w:lvl>
    <w:lvl w:ilvl="8" w:tplc="0C09001B" w:tentative="1">
      <w:start w:val="1"/>
      <w:numFmt w:val="lowerRoman"/>
      <w:lvlText w:val="%9."/>
      <w:lvlJc w:val="right"/>
      <w:pPr>
        <w:ind w:left="7988" w:hanging="180"/>
      </w:pPr>
    </w:lvl>
  </w:abstractNum>
  <w:abstractNum w:abstractNumId="12" w15:restartNumberingAfterBreak="0">
    <w:nsid w:val="1ABD74D0"/>
    <w:multiLevelType w:val="hybridMultilevel"/>
    <w:tmpl w:val="BAA85400"/>
    <w:lvl w:ilvl="0" w:tplc="1E7E3E92">
      <w:start w:val="1"/>
      <w:numFmt w:val="lowerRoman"/>
      <w:pStyle w:val="ListBulleti"/>
      <w:lvlText w:val="%1)"/>
      <w:lvlJc w:val="left"/>
      <w:pPr>
        <w:ind w:left="1506" w:hanging="360"/>
      </w:pPr>
      <w:rPr>
        <w:rFonts w:hint="default"/>
        <w:color w:val="auto"/>
        <w:u w:val="none"/>
      </w:rPr>
    </w:lvl>
    <w:lvl w:ilvl="1" w:tplc="0C090019">
      <w:start w:val="1"/>
      <w:numFmt w:val="lowerLetter"/>
      <w:lvlText w:val="%2."/>
      <w:lvlJc w:val="left"/>
      <w:pPr>
        <w:ind w:left="1931" w:hanging="360"/>
      </w:pPr>
    </w:lvl>
    <w:lvl w:ilvl="2" w:tplc="0C09001B" w:tentative="1">
      <w:start w:val="1"/>
      <w:numFmt w:val="lowerRoman"/>
      <w:lvlText w:val="%3."/>
      <w:lvlJc w:val="right"/>
      <w:pPr>
        <w:ind w:left="3252" w:hanging="180"/>
      </w:pPr>
    </w:lvl>
    <w:lvl w:ilvl="3" w:tplc="0C09000F" w:tentative="1">
      <w:start w:val="1"/>
      <w:numFmt w:val="decimal"/>
      <w:lvlText w:val="%4."/>
      <w:lvlJc w:val="left"/>
      <w:pPr>
        <w:ind w:left="3972" w:hanging="360"/>
      </w:pPr>
    </w:lvl>
    <w:lvl w:ilvl="4" w:tplc="0C090019" w:tentative="1">
      <w:start w:val="1"/>
      <w:numFmt w:val="lowerLetter"/>
      <w:lvlText w:val="%5."/>
      <w:lvlJc w:val="left"/>
      <w:pPr>
        <w:ind w:left="4692" w:hanging="360"/>
      </w:pPr>
    </w:lvl>
    <w:lvl w:ilvl="5" w:tplc="0C09001B" w:tentative="1">
      <w:start w:val="1"/>
      <w:numFmt w:val="lowerRoman"/>
      <w:lvlText w:val="%6."/>
      <w:lvlJc w:val="right"/>
      <w:pPr>
        <w:ind w:left="5412" w:hanging="180"/>
      </w:pPr>
    </w:lvl>
    <w:lvl w:ilvl="6" w:tplc="0C09000F" w:tentative="1">
      <w:start w:val="1"/>
      <w:numFmt w:val="decimal"/>
      <w:lvlText w:val="%7."/>
      <w:lvlJc w:val="left"/>
      <w:pPr>
        <w:ind w:left="6132" w:hanging="360"/>
      </w:pPr>
    </w:lvl>
    <w:lvl w:ilvl="7" w:tplc="0C090019" w:tentative="1">
      <w:start w:val="1"/>
      <w:numFmt w:val="lowerLetter"/>
      <w:lvlText w:val="%8."/>
      <w:lvlJc w:val="left"/>
      <w:pPr>
        <w:ind w:left="6852" w:hanging="360"/>
      </w:pPr>
    </w:lvl>
    <w:lvl w:ilvl="8" w:tplc="0C09001B" w:tentative="1">
      <w:start w:val="1"/>
      <w:numFmt w:val="lowerRoman"/>
      <w:lvlText w:val="%9."/>
      <w:lvlJc w:val="right"/>
      <w:pPr>
        <w:ind w:left="7572" w:hanging="180"/>
      </w:pPr>
    </w:lvl>
  </w:abstractNum>
  <w:abstractNum w:abstractNumId="13" w15:restartNumberingAfterBreak="0">
    <w:nsid w:val="20297CB5"/>
    <w:multiLevelType w:val="hybridMultilevel"/>
    <w:tmpl w:val="5CD6EDE4"/>
    <w:lvl w:ilvl="0" w:tplc="05005110">
      <w:start w:val="1"/>
      <w:numFmt w:val="bullet"/>
      <w:lvlText w:val=""/>
      <w:lvlJc w:val="left"/>
      <w:pPr>
        <w:ind w:left="360" w:hanging="360"/>
      </w:pPr>
      <w:rPr>
        <w:rFonts w:ascii="Symbol" w:hAnsi="Symbol" w:hint="default"/>
        <w:color w:val="auto"/>
        <w:sz w:val="16"/>
        <w:szCs w:val="16"/>
      </w:rPr>
    </w:lvl>
    <w:lvl w:ilvl="1" w:tplc="BA3E729A">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EB1BE1"/>
    <w:multiLevelType w:val="hybridMultilevel"/>
    <w:tmpl w:val="8DFA1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6" w15:restartNumberingAfterBreak="0">
    <w:nsid w:val="27384745"/>
    <w:multiLevelType w:val="hybridMultilevel"/>
    <w:tmpl w:val="17822B58"/>
    <w:lvl w:ilvl="0" w:tplc="2278B20E">
      <w:start w:val="1"/>
      <w:numFmt w:val="lowerLetter"/>
      <w:lvlText w:val="%1)"/>
      <w:lvlJc w:val="left"/>
      <w:pPr>
        <w:ind w:left="78" w:hanging="360"/>
      </w:pPr>
      <w:rPr>
        <w:rFonts w:hint="default"/>
        <w:b w:val="0"/>
        <w:color w:val="00B050"/>
        <w:u w:val="single"/>
      </w:rPr>
    </w:lvl>
    <w:lvl w:ilvl="1" w:tplc="0C090019" w:tentative="1">
      <w:start w:val="1"/>
      <w:numFmt w:val="lowerLetter"/>
      <w:lvlText w:val="%2."/>
      <w:lvlJc w:val="left"/>
      <w:pPr>
        <w:ind w:left="798" w:hanging="360"/>
      </w:pPr>
    </w:lvl>
    <w:lvl w:ilvl="2" w:tplc="0C09001B" w:tentative="1">
      <w:start w:val="1"/>
      <w:numFmt w:val="lowerRoman"/>
      <w:lvlText w:val="%3."/>
      <w:lvlJc w:val="right"/>
      <w:pPr>
        <w:ind w:left="1518" w:hanging="180"/>
      </w:pPr>
    </w:lvl>
    <w:lvl w:ilvl="3" w:tplc="0C09000F" w:tentative="1">
      <w:start w:val="1"/>
      <w:numFmt w:val="decimal"/>
      <w:lvlText w:val="%4."/>
      <w:lvlJc w:val="left"/>
      <w:pPr>
        <w:ind w:left="2238" w:hanging="360"/>
      </w:pPr>
    </w:lvl>
    <w:lvl w:ilvl="4" w:tplc="0C090019" w:tentative="1">
      <w:start w:val="1"/>
      <w:numFmt w:val="lowerLetter"/>
      <w:lvlText w:val="%5."/>
      <w:lvlJc w:val="left"/>
      <w:pPr>
        <w:ind w:left="2958" w:hanging="360"/>
      </w:pPr>
    </w:lvl>
    <w:lvl w:ilvl="5" w:tplc="0C09001B" w:tentative="1">
      <w:start w:val="1"/>
      <w:numFmt w:val="lowerRoman"/>
      <w:lvlText w:val="%6."/>
      <w:lvlJc w:val="right"/>
      <w:pPr>
        <w:ind w:left="3678" w:hanging="180"/>
      </w:pPr>
    </w:lvl>
    <w:lvl w:ilvl="6" w:tplc="0C09000F" w:tentative="1">
      <w:start w:val="1"/>
      <w:numFmt w:val="decimal"/>
      <w:lvlText w:val="%7."/>
      <w:lvlJc w:val="left"/>
      <w:pPr>
        <w:ind w:left="4398" w:hanging="360"/>
      </w:pPr>
    </w:lvl>
    <w:lvl w:ilvl="7" w:tplc="0C090019" w:tentative="1">
      <w:start w:val="1"/>
      <w:numFmt w:val="lowerLetter"/>
      <w:lvlText w:val="%8."/>
      <w:lvlJc w:val="left"/>
      <w:pPr>
        <w:ind w:left="5118" w:hanging="360"/>
      </w:pPr>
    </w:lvl>
    <w:lvl w:ilvl="8" w:tplc="0C09001B" w:tentative="1">
      <w:start w:val="1"/>
      <w:numFmt w:val="lowerRoman"/>
      <w:lvlText w:val="%9."/>
      <w:lvlJc w:val="right"/>
      <w:pPr>
        <w:ind w:left="5838" w:hanging="180"/>
      </w:pPr>
    </w:lvl>
  </w:abstractNum>
  <w:abstractNum w:abstractNumId="17" w15:restartNumberingAfterBreak="0">
    <w:nsid w:val="2CB2737E"/>
    <w:multiLevelType w:val="hybridMultilevel"/>
    <w:tmpl w:val="5FEA2ABC"/>
    <w:lvl w:ilvl="0" w:tplc="B1B88C96">
      <w:start w:val="1"/>
      <w:numFmt w:val="lowerLetter"/>
      <w:lvlText w:val="(%1)"/>
      <w:lvlJc w:val="left"/>
      <w:pPr>
        <w:ind w:left="1069" w:hanging="360"/>
      </w:pPr>
      <w:rPr>
        <w:rFonts w:hint="default"/>
        <w:color w:val="00B050"/>
        <w:u w:val="single"/>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2E924211"/>
    <w:multiLevelType w:val="hybridMultilevel"/>
    <w:tmpl w:val="2BEC5FDE"/>
    <w:lvl w:ilvl="0" w:tplc="5E685644">
      <w:start w:val="1"/>
      <w:numFmt w:val="lowerLetter"/>
      <w:pStyle w:val="ListBulleta"/>
      <w:lvlText w:val="%1)"/>
      <w:lvlJc w:val="left"/>
      <w:pPr>
        <w:ind w:left="1506" w:hanging="360"/>
      </w:pPr>
    </w:lvl>
    <w:lvl w:ilvl="1" w:tplc="87B82D26">
      <w:start w:val="1"/>
      <w:numFmt w:val="upperLetter"/>
      <w:lvlText w:val="(%2)"/>
      <w:lvlJc w:val="left"/>
      <w:pPr>
        <w:ind w:left="6738" w:hanging="360"/>
      </w:pPr>
      <w:rPr>
        <w:rFonts w:hint="default"/>
      </w:rPr>
    </w:lvl>
    <w:lvl w:ilvl="2" w:tplc="0C09001B">
      <w:start w:val="1"/>
      <w:numFmt w:val="lowerRoman"/>
      <w:lvlText w:val="%3."/>
      <w:lvlJc w:val="right"/>
      <w:pPr>
        <w:ind w:left="2946" w:hanging="180"/>
      </w:pPr>
    </w:lvl>
    <w:lvl w:ilvl="3" w:tplc="26E46C54">
      <w:start w:val="1"/>
      <w:numFmt w:val="upperLetter"/>
      <w:lvlText w:val="%4)"/>
      <w:lvlJc w:val="left"/>
      <w:pPr>
        <w:ind w:left="3666" w:hanging="360"/>
      </w:pPr>
      <w:rPr>
        <w:rFonts w:hint="default"/>
      </w:r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19" w15:restartNumberingAfterBreak="0">
    <w:nsid w:val="2FF21AD6"/>
    <w:multiLevelType w:val="multilevel"/>
    <w:tmpl w:val="5B6825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76694E"/>
    <w:multiLevelType w:val="hybridMultilevel"/>
    <w:tmpl w:val="C092310A"/>
    <w:lvl w:ilvl="0" w:tplc="FFFFFFFF">
      <w:start w:val="3"/>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704523"/>
    <w:multiLevelType w:val="hybridMultilevel"/>
    <w:tmpl w:val="2E909A4C"/>
    <w:lvl w:ilvl="0" w:tplc="B1B88C96">
      <w:start w:val="1"/>
      <w:numFmt w:val="lowerLetter"/>
      <w:lvlText w:val="(%1)"/>
      <w:lvlJc w:val="left"/>
      <w:pPr>
        <w:ind w:left="1713" w:hanging="360"/>
      </w:pPr>
      <w:rPr>
        <w:rFonts w:hint="default"/>
        <w:color w:val="00B050"/>
        <w:u w:val="single"/>
      </w:rPr>
    </w:lvl>
    <w:lvl w:ilvl="1" w:tplc="0C090019">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2" w15:restartNumberingAfterBreak="0">
    <w:nsid w:val="32B514DC"/>
    <w:multiLevelType w:val="hybridMultilevel"/>
    <w:tmpl w:val="8DDCA6FA"/>
    <w:lvl w:ilvl="0" w:tplc="FFFFFFFF">
      <w:start w:val="1"/>
      <w:numFmt w:val="lowerLetter"/>
      <w:lvlText w:val="(%1)"/>
      <w:lvlJc w:val="left"/>
      <w:pPr>
        <w:ind w:left="1713" w:hanging="360"/>
      </w:pPr>
      <w:rPr>
        <w:rFonts w:hint="default"/>
        <w:color w:val="00B050"/>
        <w:u w:val="single"/>
      </w:rPr>
    </w:lvl>
    <w:lvl w:ilvl="1" w:tplc="B1B88C96">
      <w:start w:val="1"/>
      <w:numFmt w:val="lowerLetter"/>
      <w:lvlText w:val="(%2)"/>
      <w:lvlJc w:val="left"/>
      <w:pPr>
        <w:ind w:left="720" w:hanging="360"/>
      </w:pPr>
      <w:rPr>
        <w:rFonts w:hint="default"/>
        <w:color w:val="00B050"/>
        <w:u w:val="single"/>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3" w15:restartNumberingAfterBreak="0">
    <w:nsid w:val="33032547"/>
    <w:multiLevelType w:val="hybridMultilevel"/>
    <w:tmpl w:val="C092310A"/>
    <w:lvl w:ilvl="0" w:tplc="0B3A31EC">
      <w:start w:val="3"/>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C5A7E66"/>
    <w:multiLevelType w:val="multilevel"/>
    <w:tmpl w:val="B4EAF5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4C3B40"/>
    <w:multiLevelType w:val="hybridMultilevel"/>
    <w:tmpl w:val="90628228"/>
    <w:lvl w:ilvl="0" w:tplc="87B82D26">
      <w:start w:val="1"/>
      <w:numFmt w:val="upperLetter"/>
      <w:lvlText w:val="(%1)"/>
      <w:lvlJc w:val="left"/>
      <w:pPr>
        <w:ind w:left="2228" w:hanging="360"/>
      </w:pPr>
      <w:rPr>
        <w:rFonts w:hint="default"/>
      </w:rPr>
    </w:lvl>
    <w:lvl w:ilvl="1" w:tplc="0C090019">
      <w:start w:val="1"/>
      <w:numFmt w:val="lowerLetter"/>
      <w:lvlText w:val="%2."/>
      <w:lvlJc w:val="left"/>
      <w:pPr>
        <w:ind w:left="2948" w:hanging="360"/>
      </w:pPr>
    </w:lvl>
    <w:lvl w:ilvl="2" w:tplc="0C09001B" w:tentative="1">
      <w:start w:val="1"/>
      <w:numFmt w:val="lowerRoman"/>
      <w:lvlText w:val="%3."/>
      <w:lvlJc w:val="right"/>
      <w:pPr>
        <w:ind w:left="3668" w:hanging="180"/>
      </w:pPr>
    </w:lvl>
    <w:lvl w:ilvl="3" w:tplc="0C09000F" w:tentative="1">
      <w:start w:val="1"/>
      <w:numFmt w:val="decimal"/>
      <w:lvlText w:val="%4."/>
      <w:lvlJc w:val="left"/>
      <w:pPr>
        <w:ind w:left="4388" w:hanging="360"/>
      </w:pPr>
    </w:lvl>
    <w:lvl w:ilvl="4" w:tplc="0C090019" w:tentative="1">
      <w:start w:val="1"/>
      <w:numFmt w:val="lowerLetter"/>
      <w:lvlText w:val="%5."/>
      <w:lvlJc w:val="left"/>
      <w:pPr>
        <w:ind w:left="5108" w:hanging="360"/>
      </w:pPr>
    </w:lvl>
    <w:lvl w:ilvl="5" w:tplc="0C09001B" w:tentative="1">
      <w:start w:val="1"/>
      <w:numFmt w:val="lowerRoman"/>
      <w:lvlText w:val="%6."/>
      <w:lvlJc w:val="right"/>
      <w:pPr>
        <w:ind w:left="5828" w:hanging="180"/>
      </w:pPr>
    </w:lvl>
    <w:lvl w:ilvl="6" w:tplc="0C09000F" w:tentative="1">
      <w:start w:val="1"/>
      <w:numFmt w:val="decimal"/>
      <w:lvlText w:val="%7."/>
      <w:lvlJc w:val="left"/>
      <w:pPr>
        <w:ind w:left="6548" w:hanging="360"/>
      </w:pPr>
    </w:lvl>
    <w:lvl w:ilvl="7" w:tplc="0C090019" w:tentative="1">
      <w:start w:val="1"/>
      <w:numFmt w:val="lowerLetter"/>
      <w:lvlText w:val="%8."/>
      <w:lvlJc w:val="left"/>
      <w:pPr>
        <w:ind w:left="7268" w:hanging="360"/>
      </w:pPr>
    </w:lvl>
    <w:lvl w:ilvl="8" w:tplc="0C09001B" w:tentative="1">
      <w:start w:val="1"/>
      <w:numFmt w:val="lowerRoman"/>
      <w:lvlText w:val="%9."/>
      <w:lvlJc w:val="right"/>
      <w:pPr>
        <w:ind w:left="7988" w:hanging="180"/>
      </w:pPr>
    </w:lvl>
  </w:abstractNum>
  <w:abstractNum w:abstractNumId="26" w15:restartNumberingAfterBreak="0">
    <w:nsid w:val="3E7E168F"/>
    <w:multiLevelType w:val="hybridMultilevel"/>
    <w:tmpl w:val="27EAB216"/>
    <w:lvl w:ilvl="0" w:tplc="FFFFFFFF">
      <w:start w:val="1"/>
      <w:numFmt w:val="bullet"/>
      <w:lvlText w:val=""/>
      <w:lvlJc w:val="left"/>
      <w:pPr>
        <w:ind w:left="360" w:hanging="360"/>
      </w:pPr>
      <w:rPr>
        <w:rFonts w:ascii="Symbol" w:hAnsi="Symbol" w:hint="default"/>
        <w:sz w:val="16"/>
        <w:szCs w:val="16"/>
      </w:rPr>
    </w:lvl>
    <w:lvl w:ilvl="1" w:tplc="BA3E729A">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4890F80"/>
    <w:multiLevelType w:val="hybridMultilevel"/>
    <w:tmpl w:val="0404632A"/>
    <w:lvl w:ilvl="0" w:tplc="CED8E0BA">
      <w:start w:val="1"/>
      <w:numFmt w:val="bullet"/>
      <w:lvlText w:val=""/>
      <w:lvlJc w:val="left"/>
      <w:pPr>
        <w:ind w:left="1080" w:hanging="360"/>
      </w:pPr>
      <w:rPr>
        <w:rFonts w:ascii="Symbol" w:hAnsi="Symbol" w:hint="default"/>
        <w:sz w:val="16"/>
        <w:szCs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4AE0ED5"/>
    <w:multiLevelType w:val="hybridMultilevel"/>
    <w:tmpl w:val="69880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432E37"/>
    <w:multiLevelType w:val="multilevel"/>
    <w:tmpl w:val="6FB611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7FD014D"/>
    <w:multiLevelType w:val="hybridMultilevel"/>
    <w:tmpl w:val="2C7AC98C"/>
    <w:lvl w:ilvl="0" w:tplc="BA3E7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06280C"/>
    <w:multiLevelType w:val="hybridMultilevel"/>
    <w:tmpl w:val="166ED15E"/>
    <w:lvl w:ilvl="0" w:tplc="BB9CF9C8">
      <w:start w:val="1"/>
      <w:numFmt w:val="bullet"/>
      <w:lvlText w:val=""/>
      <w:lvlJc w:val="left"/>
      <w:pPr>
        <w:ind w:left="360" w:hanging="360"/>
      </w:pPr>
      <w:rPr>
        <w:rFonts w:ascii="Symbol" w:hAnsi="Symbol" w:hint="default"/>
        <w:sz w:val="16"/>
        <w:szCs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D132270"/>
    <w:multiLevelType w:val="multilevel"/>
    <w:tmpl w:val="D26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CB1466"/>
    <w:multiLevelType w:val="hybridMultilevel"/>
    <w:tmpl w:val="FB4896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04E1150"/>
    <w:multiLevelType w:val="multilevel"/>
    <w:tmpl w:val="9BBAD156"/>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513E7618"/>
    <w:multiLevelType w:val="hybridMultilevel"/>
    <w:tmpl w:val="710EB926"/>
    <w:lvl w:ilvl="0" w:tplc="734C8AF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1D78B2"/>
    <w:multiLevelType w:val="hybridMultilevel"/>
    <w:tmpl w:val="006680C0"/>
    <w:lvl w:ilvl="0" w:tplc="BA3E72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2CE776F"/>
    <w:multiLevelType w:val="hybridMultilevel"/>
    <w:tmpl w:val="B942B4EC"/>
    <w:lvl w:ilvl="0" w:tplc="3C90BC24">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6F215B"/>
    <w:multiLevelType w:val="hybridMultilevel"/>
    <w:tmpl w:val="5FE435B4"/>
    <w:lvl w:ilvl="0" w:tplc="BA3E72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5A85527"/>
    <w:multiLevelType w:val="hybridMultilevel"/>
    <w:tmpl w:val="FF5AAB3C"/>
    <w:lvl w:ilvl="0" w:tplc="FFFFFFFF">
      <w:start w:val="1"/>
      <w:numFmt w:val="lowerRoman"/>
      <w:lvlText w:val="%1)"/>
      <w:lvlJc w:val="left"/>
      <w:pPr>
        <w:ind w:left="1800" w:hanging="360"/>
      </w:pPr>
      <w:rPr>
        <w:rFonts w:hint="default"/>
      </w:rPr>
    </w:lvl>
    <w:lvl w:ilvl="1" w:tplc="87B82D26">
      <w:start w:val="1"/>
      <w:numFmt w:val="upperLetter"/>
      <w:lvlText w:val="(%2)"/>
      <w:lvlJc w:val="left"/>
      <w:pPr>
        <w:ind w:left="1866"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55C77F98"/>
    <w:multiLevelType w:val="hybridMultilevel"/>
    <w:tmpl w:val="68F88AE4"/>
    <w:lvl w:ilvl="0" w:tplc="D6D8B654">
      <w:numFmt w:val="bullet"/>
      <w:lvlText w:val="-"/>
      <w:lvlJc w:val="left"/>
      <w:pPr>
        <w:ind w:left="1800" w:hanging="360"/>
      </w:pPr>
      <w:rPr>
        <w:rFonts w:ascii="Cambria" w:eastAsia="Cambria" w:hAnsi="Cambria" w:cstheme="minorHAns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579B24A8"/>
    <w:multiLevelType w:val="hybridMultilevel"/>
    <w:tmpl w:val="9A3C8206"/>
    <w:lvl w:ilvl="0" w:tplc="7E1EE6C6">
      <w:start w:val="1"/>
      <w:numFmt w:val="bullet"/>
      <w:lvlText w:val=""/>
      <w:lvlJc w:val="left"/>
      <w:pPr>
        <w:ind w:left="720" w:hanging="360"/>
      </w:pPr>
      <w:rPr>
        <w:rFonts w:ascii="Symbol" w:hAnsi="Symbol" w:hint="default"/>
        <w:sz w:val="16"/>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7C15954"/>
    <w:multiLevelType w:val="multilevel"/>
    <w:tmpl w:val="6884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F075D7B"/>
    <w:multiLevelType w:val="hybridMultilevel"/>
    <w:tmpl w:val="43127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125856"/>
    <w:multiLevelType w:val="hybridMultilevel"/>
    <w:tmpl w:val="2566217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606D72D1"/>
    <w:multiLevelType w:val="hybridMultilevel"/>
    <w:tmpl w:val="002CDDA8"/>
    <w:lvl w:ilvl="0" w:tplc="137AA8E2">
      <w:start w:val="1"/>
      <w:numFmt w:val="lowerLetter"/>
      <w:lvlText w:val="%1)"/>
      <w:lvlJc w:val="left"/>
      <w:pPr>
        <w:ind w:left="720" w:hanging="360"/>
      </w:pPr>
      <w:rPr>
        <w:rFonts w:hint="default"/>
        <w:color w:val="00B050"/>
        <w:u w:val="single"/>
      </w:r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0F5619F"/>
    <w:multiLevelType w:val="hybridMultilevel"/>
    <w:tmpl w:val="B18861B4"/>
    <w:lvl w:ilvl="0" w:tplc="053ADE1E">
      <w:start w:val="1"/>
      <w:numFmt w:val="upperLetter"/>
      <w:lvlText w:val="(%1)"/>
      <w:lvlJc w:val="left"/>
      <w:pPr>
        <w:ind w:left="1866" w:hanging="360"/>
      </w:pPr>
      <w:rPr>
        <w:rFonts w:hint="default"/>
      </w:rPr>
    </w:lvl>
    <w:lvl w:ilvl="1" w:tplc="0C090019" w:tentative="1">
      <w:start w:val="1"/>
      <w:numFmt w:val="lowerLetter"/>
      <w:lvlText w:val="%2."/>
      <w:lvlJc w:val="left"/>
      <w:pPr>
        <w:ind w:left="2586" w:hanging="360"/>
      </w:pPr>
    </w:lvl>
    <w:lvl w:ilvl="2" w:tplc="0C09001B" w:tentative="1">
      <w:start w:val="1"/>
      <w:numFmt w:val="lowerRoman"/>
      <w:lvlText w:val="%3."/>
      <w:lvlJc w:val="right"/>
      <w:pPr>
        <w:ind w:left="3306" w:hanging="180"/>
      </w:pPr>
    </w:lvl>
    <w:lvl w:ilvl="3" w:tplc="0C09000F" w:tentative="1">
      <w:start w:val="1"/>
      <w:numFmt w:val="decimal"/>
      <w:lvlText w:val="%4."/>
      <w:lvlJc w:val="left"/>
      <w:pPr>
        <w:ind w:left="4026" w:hanging="360"/>
      </w:pPr>
    </w:lvl>
    <w:lvl w:ilvl="4" w:tplc="0C090019" w:tentative="1">
      <w:start w:val="1"/>
      <w:numFmt w:val="lowerLetter"/>
      <w:lvlText w:val="%5."/>
      <w:lvlJc w:val="left"/>
      <w:pPr>
        <w:ind w:left="4746" w:hanging="360"/>
      </w:pPr>
    </w:lvl>
    <w:lvl w:ilvl="5" w:tplc="0C09001B" w:tentative="1">
      <w:start w:val="1"/>
      <w:numFmt w:val="lowerRoman"/>
      <w:lvlText w:val="%6."/>
      <w:lvlJc w:val="right"/>
      <w:pPr>
        <w:ind w:left="5466" w:hanging="180"/>
      </w:pPr>
    </w:lvl>
    <w:lvl w:ilvl="6" w:tplc="0C09000F" w:tentative="1">
      <w:start w:val="1"/>
      <w:numFmt w:val="decimal"/>
      <w:lvlText w:val="%7."/>
      <w:lvlJc w:val="left"/>
      <w:pPr>
        <w:ind w:left="6186" w:hanging="360"/>
      </w:pPr>
    </w:lvl>
    <w:lvl w:ilvl="7" w:tplc="0C090019" w:tentative="1">
      <w:start w:val="1"/>
      <w:numFmt w:val="lowerLetter"/>
      <w:lvlText w:val="%8."/>
      <w:lvlJc w:val="left"/>
      <w:pPr>
        <w:ind w:left="6906" w:hanging="360"/>
      </w:pPr>
    </w:lvl>
    <w:lvl w:ilvl="8" w:tplc="0C09001B" w:tentative="1">
      <w:start w:val="1"/>
      <w:numFmt w:val="lowerRoman"/>
      <w:lvlText w:val="%9."/>
      <w:lvlJc w:val="right"/>
      <w:pPr>
        <w:ind w:left="7626" w:hanging="180"/>
      </w:pPr>
    </w:lvl>
  </w:abstractNum>
  <w:abstractNum w:abstractNumId="49" w15:restartNumberingAfterBreak="0">
    <w:nsid w:val="622B447F"/>
    <w:multiLevelType w:val="hybridMultilevel"/>
    <w:tmpl w:val="C87E1252"/>
    <w:lvl w:ilvl="0" w:tplc="FC12D926">
      <w:start w:val="1"/>
      <w:numFmt w:val="upperLetter"/>
      <w:lvlText w:val="(%1)"/>
      <w:lvlJc w:val="left"/>
      <w:pPr>
        <w:ind w:left="1854" w:hanging="360"/>
      </w:pPr>
      <w:rPr>
        <w:rFonts w:hint="default"/>
      </w:rPr>
    </w:lvl>
    <w:lvl w:ilvl="1" w:tplc="343EA654">
      <w:start w:val="1"/>
      <w:numFmt w:val="lowerLetter"/>
      <w:lvlText w:val="%2)"/>
      <w:lvlJc w:val="left"/>
      <w:pPr>
        <w:ind w:left="2574" w:hanging="360"/>
      </w:pPr>
      <w:rPr>
        <w:rFonts w:hint="default"/>
        <w:color w:val="00B050"/>
        <w:u w:val="single"/>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50" w15:restartNumberingAfterBreak="0">
    <w:nsid w:val="64351C63"/>
    <w:multiLevelType w:val="hybridMultilevel"/>
    <w:tmpl w:val="D35291AA"/>
    <w:lvl w:ilvl="0" w:tplc="99FE496E">
      <w:start w:val="1"/>
      <w:numFmt w:val="bullet"/>
      <w:lvlText w:val=""/>
      <w:lvlJc w:val="left"/>
      <w:pPr>
        <w:ind w:left="720" w:hanging="360"/>
      </w:pPr>
      <w:rPr>
        <w:rFonts w:ascii="Symbol" w:hAnsi="Symbol"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7115025"/>
    <w:multiLevelType w:val="hybridMultilevel"/>
    <w:tmpl w:val="A0C66FCA"/>
    <w:lvl w:ilvl="0" w:tplc="3392ADEA">
      <w:start w:val="1"/>
      <w:numFmt w:val="bullet"/>
      <w:lvlText w:val=""/>
      <w:lvlJc w:val="left"/>
      <w:pPr>
        <w:ind w:left="720" w:hanging="360"/>
      </w:pPr>
      <w:rPr>
        <w:rFonts w:ascii="Symbol" w:hAnsi="Symbol" w:hint="default"/>
        <w:sz w:val="16"/>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8722BB4"/>
    <w:multiLevelType w:val="multilevel"/>
    <w:tmpl w:val="1DA6B62C"/>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3" w15:restartNumberingAfterBreak="0">
    <w:nsid w:val="68CA6D3C"/>
    <w:multiLevelType w:val="hybridMultilevel"/>
    <w:tmpl w:val="265E3E00"/>
    <w:lvl w:ilvl="0" w:tplc="E834D63A">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652609"/>
    <w:multiLevelType w:val="hybridMultilevel"/>
    <w:tmpl w:val="9A1A7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A0A419F"/>
    <w:multiLevelType w:val="hybridMultilevel"/>
    <w:tmpl w:val="940E7BB6"/>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A3C48D6"/>
    <w:multiLevelType w:val="hybridMultilevel"/>
    <w:tmpl w:val="CC94CE00"/>
    <w:lvl w:ilvl="0" w:tplc="888AACD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A5914AD"/>
    <w:multiLevelType w:val="hybridMultilevel"/>
    <w:tmpl w:val="2638B14C"/>
    <w:lvl w:ilvl="0" w:tplc="E5C6771C">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D5527DE"/>
    <w:multiLevelType w:val="hybridMultilevel"/>
    <w:tmpl w:val="5E9C0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ED93DB5"/>
    <w:multiLevelType w:val="hybridMultilevel"/>
    <w:tmpl w:val="2F6C8D2A"/>
    <w:lvl w:ilvl="0" w:tplc="B1B88C96">
      <w:start w:val="1"/>
      <w:numFmt w:val="lowerLetter"/>
      <w:lvlText w:val="(%1)"/>
      <w:lvlJc w:val="left"/>
      <w:pPr>
        <w:ind w:left="720" w:hanging="360"/>
      </w:pPr>
      <w:rPr>
        <w:rFonts w:hint="default"/>
        <w:strike w:val="0"/>
        <w:color w:val="00B050"/>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F850B2E"/>
    <w:multiLevelType w:val="hybridMultilevel"/>
    <w:tmpl w:val="F8EAF516"/>
    <w:lvl w:ilvl="0" w:tplc="1B783F90">
      <w:start w:val="1"/>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1116984"/>
    <w:multiLevelType w:val="hybridMultilevel"/>
    <w:tmpl w:val="121E462E"/>
    <w:lvl w:ilvl="0" w:tplc="FFFFFFFF">
      <w:start w:val="1"/>
      <w:numFmt w:val="bullet"/>
      <w:lvlText w:val=""/>
      <w:lvlJc w:val="left"/>
      <w:pPr>
        <w:ind w:left="360" w:hanging="360"/>
      </w:pPr>
      <w:rPr>
        <w:rFonts w:ascii="Symbol" w:hAnsi="Symbol" w:hint="default"/>
      </w:rPr>
    </w:lvl>
    <w:lvl w:ilvl="1" w:tplc="BA3E729A">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71CA240B"/>
    <w:multiLevelType w:val="hybridMultilevel"/>
    <w:tmpl w:val="D69A5B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61F540D"/>
    <w:multiLevelType w:val="hybridMultilevel"/>
    <w:tmpl w:val="E1DA1706"/>
    <w:lvl w:ilvl="0" w:tplc="FFFFFFFF">
      <w:start w:val="1"/>
      <w:numFmt w:val="bullet"/>
      <w:lvlText w:val=""/>
      <w:lvlJc w:val="left"/>
      <w:pPr>
        <w:ind w:left="720" w:hanging="360"/>
      </w:pPr>
      <w:rPr>
        <w:rFonts w:ascii="Symbol" w:hAnsi="Symbol" w:hint="default"/>
      </w:rPr>
    </w:lvl>
    <w:lvl w:ilvl="1" w:tplc="BA3E729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6335C94"/>
    <w:multiLevelType w:val="hybridMultilevel"/>
    <w:tmpl w:val="E55EDB64"/>
    <w:lvl w:ilvl="0" w:tplc="AC62D68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8FF30EA"/>
    <w:multiLevelType w:val="hybridMultilevel"/>
    <w:tmpl w:val="5FD607E4"/>
    <w:lvl w:ilvl="0" w:tplc="87B82D26">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6" w15:restartNumberingAfterBreak="0">
    <w:nsid w:val="798D5626"/>
    <w:multiLevelType w:val="multilevel"/>
    <w:tmpl w:val="7C66BA66"/>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7" w15:restartNumberingAfterBreak="0">
    <w:nsid w:val="7D131E2D"/>
    <w:multiLevelType w:val="multilevel"/>
    <w:tmpl w:val="98461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7E50063A"/>
    <w:multiLevelType w:val="hybridMultilevel"/>
    <w:tmpl w:val="30823564"/>
    <w:lvl w:ilvl="0" w:tplc="BA3E7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E9D1893"/>
    <w:multiLevelType w:val="hybridMultilevel"/>
    <w:tmpl w:val="2B78248E"/>
    <w:lvl w:ilvl="0" w:tplc="BA3E7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1757976">
    <w:abstractNumId w:val="9"/>
    <w:lvlOverride w:ilvl="0">
      <w:lvl w:ilvl="0">
        <w:start w:val="4"/>
        <w:numFmt w:val="bullet"/>
        <w:pStyle w:val="ListBullet"/>
        <w:lvlText w:val="•"/>
        <w:lvlJc w:val="left"/>
        <w:pPr>
          <w:ind w:left="360" w:hanging="360"/>
        </w:pPr>
        <w:rPr>
          <w:rFonts w:asciiTheme="minorHAnsi" w:eastAsia="Cambria" w:hAnsiTheme="minorHAnsi" w:cstheme="minorHAnsi" w:hint="default"/>
          <w:color w:val="auto"/>
          <w:sz w:val="16"/>
          <w:szCs w:val="16"/>
        </w:rPr>
      </w:lvl>
    </w:lvlOverride>
  </w:num>
  <w:num w:numId="2" w16cid:durableId="1310939776">
    <w:abstractNumId w:val="4"/>
  </w:num>
  <w:num w:numId="3" w16cid:durableId="1856310740">
    <w:abstractNumId w:val="8"/>
  </w:num>
  <w:num w:numId="4" w16cid:durableId="1469590265">
    <w:abstractNumId w:val="35"/>
  </w:num>
  <w:num w:numId="5" w16cid:durableId="1308169253">
    <w:abstractNumId w:val="15"/>
  </w:num>
  <w:num w:numId="6" w16cid:durableId="1443065198">
    <w:abstractNumId w:val="34"/>
  </w:num>
  <w:num w:numId="7" w16cid:durableId="652485307">
    <w:abstractNumId w:val="42"/>
  </w:num>
  <w:num w:numId="8" w16cid:durableId="1349332527">
    <w:abstractNumId w:val="54"/>
  </w:num>
  <w:num w:numId="9" w16cid:durableId="2045861648">
    <w:abstractNumId w:val="46"/>
  </w:num>
  <w:num w:numId="10" w16cid:durableId="1890068056">
    <w:abstractNumId w:val="14"/>
  </w:num>
  <w:num w:numId="11" w16cid:durableId="296646691">
    <w:abstractNumId w:val="33"/>
  </w:num>
  <w:num w:numId="12" w16cid:durableId="148333441">
    <w:abstractNumId w:val="58"/>
  </w:num>
  <w:num w:numId="13" w16cid:durableId="1447583353">
    <w:abstractNumId w:val="28"/>
  </w:num>
  <w:num w:numId="14" w16cid:durableId="325210299">
    <w:abstractNumId w:val="18"/>
  </w:num>
  <w:num w:numId="15" w16cid:durableId="185098735">
    <w:abstractNumId w:val="12"/>
  </w:num>
  <w:num w:numId="16" w16cid:durableId="1091588219">
    <w:abstractNumId w:val="9"/>
  </w:num>
  <w:num w:numId="17" w16cid:durableId="1619677173">
    <w:abstractNumId w:val="39"/>
  </w:num>
  <w:num w:numId="18" w16cid:durableId="244533294">
    <w:abstractNumId w:val="16"/>
  </w:num>
  <w:num w:numId="19" w16cid:durableId="1582175725">
    <w:abstractNumId w:val="60"/>
  </w:num>
  <w:num w:numId="20" w16cid:durableId="653990621">
    <w:abstractNumId w:val="37"/>
  </w:num>
  <w:num w:numId="21" w16cid:durableId="1637106080">
    <w:abstractNumId w:val="69"/>
  </w:num>
  <w:num w:numId="22" w16cid:durableId="1251625771">
    <w:abstractNumId w:val="43"/>
  </w:num>
  <w:num w:numId="23" w16cid:durableId="1942178688">
    <w:abstractNumId w:val="50"/>
  </w:num>
  <w:num w:numId="24" w16cid:durableId="472141705">
    <w:abstractNumId w:val="18"/>
    <w:lvlOverride w:ilvl="0">
      <w:startOverride w:val="1"/>
    </w:lvlOverride>
  </w:num>
  <w:num w:numId="25" w16cid:durableId="622922063">
    <w:abstractNumId w:val="18"/>
    <w:lvlOverride w:ilvl="0">
      <w:startOverride w:val="1"/>
    </w:lvlOverride>
  </w:num>
  <w:num w:numId="26" w16cid:durableId="709887503">
    <w:abstractNumId w:val="18"/>
    <w:lvlOverride w:ilvl="0">
      <w:startOverride w:val="1"/>
    </w:lvlOverride>
  </w:num>
  <w:num w:numId="27" w16cid:durableId="1502354818">
    <w:abstractNumId w:val="18"/>
    <w:lvlOverride w:ilvl="0">
      <w:startOverride w:val="1"/>
    </w:lvlOverride>
  </w:num>
  <w:num w:numId="28" w16cid:durableId="1687438700">
    <w:abstractNumId w:val="18"/>
    <w:lvlOverride w:ilvl="0">
      <w:startOverride w:val="1"/>
    </w:lvlOverride>
  </w:num>
  <w:num w:numId="29" w16cid:durableId="518083349">
    <w:abstractNumId w:val="12"/>
    <w:lvlOverride w:ilvl="0">
      <w:startOverride w:val="1"/>
    </w:lvlOverride>
  </w:num>
  <w:num w:numId="30" w16cid:durableId="1159080848">
    <w:abstractNumId w:val="9"/>
    <w:lvlOverride w:ilvl="0">
      <w:startOverride w:val="4"/>
      <w:lvl w:ilvl="0">
        <w:start w:val="4"/>
        <w:numFmt w:val="decimal"/>
        <w:pStyle w:val="ListBullet"/>
        <w:lvlText w:val="•"/>
        <w:lvlJc w:val="left"/>
        <w:pPr>
          <w:ind w:left="360" w:hanging="360"/>
        </w:pPr>
        <w:rPr>
          <w:rFonts w:ascii="Arial" w:eastAsia="Cambria" w:hAnsi="Arial"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decimal"/>
        <w:pStyle w:val="ListBullet2"/>
        <w:lvlText w:val=""/>
        <w:lvlJc w:val="left"/>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16cid:durableId="452358955">
    <w:abstractNumId w:val="9"/>
    <w:lvlOverride w:ilvl="0">
      <w:lvl w:ilvl="0">
        <w:start w:val="4"/>
        <w:numFmt w:val="decimal"/>
        <w:pStyle w:val="ListBullet"/>
        <w:lvlText w:val="•"/>
        <w:lvlJc w:val="left"/>
        <w:pPr>
          <w:ind w:left="360" w:hanging="360"/>
        </w:pPr>
        <w:rPr>
          <w:rFonts w:ascii="Arial" w:eastAsia="Cambria" w:hAnsi="Arial" w:cs="Times New Roman" w:hint="default"/>
          <w:color w:val="auto"/>
        </w:rPr>
      </w:lvl>
    </w:lvlOverride>
    <w:lvlOverride w:ilvl="1">
      <w:lvl w:ilvl="1">
        <w:start w:val="1"/>
        <w:numFmt w:val="decimal"/>
        <w:pStyle w:val="ListBullet2"/>
        <w:lvlText w:val=""/>
        <w:lvlJc w:val="left"/>
        <w:pPr>
          <w:ind w:left="0" w:firstLine="0"/>
        </w:pPr>
        <w:rPr>
          <w:rFonts w:ascii="Arial" w:hAnsi="Arial" w:cs="Times New Roman" w:hint="default"/>
        </w:rPr>
      </w:lvl>
    </w:lvlOverride>
    <w:lvlOverride w:ilvl="2">
      <w:lvl w:ilvl="2">
        <w:start w:val="1"/>
        <w:numFmt w:val="decimal"/>
        <w:lvlText w:val=""/>
        <w:lvlJc w:val="left"/>
        <w:pPr>
          <w:ind w:left="0" w:firstLine="0"/>
        </w:pPr>
        <w:rPr>
          <w:rFonts w:ascii="Wingdings" w:hAnsi="Wingdings" w:hint="default"/>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2" w16cid:durableId="160506921">
    <w:abstractNumId w:val="0"/>
  </w:num>
  <w:num w:numId="33" w16cid:durableId="222721557">
    <w:abstractNumId w:val="31"/>
  </w:num>
  <w:num w:numId="34" w16cid:durableId="481124695">
    <w:abstractNumId w:val="7"/>
  </w:num>
  <w:num w:numId="35" w16cid:durableId="953900303">
    <w:abstractNumId w:val="18"/>
    <w:lvlOverride w:ilvl="0">
      <w:startOverride w:val="1"/>
    </w:lvlOverride>
  </w:num>
  <w:num w:numId="36" w16cid:durableId="1318727254">
    <w:abstractNumId w:val="47"/>
  </w:num>
  <w:num w:numId="37" w16cid:durableId="1432438063">
    <w:abstractNumId w:val="59"/>
  </w:num>
  <w:num w:numId="38" w16cid:durableId="576598501">
    <w:abstractNumId w:val="56"/>
  </w:num>
  <w:num w:numId="39" w16cid:durableId="482043520">
    <w:abstractNumId w:val="9"/>
    <w:lvlOverride w:ilvl="0">
      <w:lvl w:ilvl="0">
        <w:start w:val="4"/>
        <w:numFmt w:val="bullet"/>
        <w:pStyle w:val="ListBullet"/>
        <w:lvlText w:val="•"/>
        <w:lvlJc w:val="left"/>
        <w:pPr>
          <w:ind w:left="360" w:hanging="360"/>
        </w:pPr>
        <w:rPr>
          <w:rFonts w:ascii="Cambria" w:eastAsia="Cambria" w:hAnsi="Cambria" w:hint="default"/>
          <w:color w:val="auto"/>
          <w:sz w:val="16"/>
          <w:szCs w:val="16"/>
        </w:rPr>
      </w:lvl>
    </w:lvlOverride>
  </w:num>
  <w:num w:numId="40" w16cid:durableId="374237639">
    <w:abstractNumId w:val="24"/>
  </w:num>
  <w:num w:numId="41" w16cid:durableId="1335644510">
    <w:abstractNumId w:val="29"/>
  </w:num>
  <w:num w:numId="42" w16cid:durableId="1258640170">
    <w:abstractNumId w:val="1"/>
  </w:num>
  <w:num w:numId="43" w16cid:durableId="1085418060">
    <w:abstractNumId w:val="19"/>
  </w:num>
  <w:num w:numId="44" w16cid:durableId="270285069">
    <w:abstractNumId w:val="51"/>
  </w:num>
  <w:num w:numId="45" w16cid:durableId="106583636">
    <w:abstractNumId w:val="67"/>
  </w:num>
  <w:num w:numId="46" w16cid:durableId="649208820">
    <w:abstractNumId w:val="44"/>
  </w:num>
  <w:num w:numId="47" w16cid:durableId="325745434">
    <w:abstractNumId w:val="32"/>
  </w:num>
  <w:num w:numId="48" w16cid:durableId="502400262">
    <w:abstractNumId w:val="53"/>
  </w:num>
  <w:num w:numId="49" w16cid:durableId="1399324903">
    <w:abstractNumId w:val="27"/>
  </w:num>
  <w:num w:numId="50" w16cid:durableId="323708214">
    <w:abstractNumId w:val="3"/>
  </w:num>
  <w:num w:numId="51" w16cid:durableId="488399633">
    <w:abstractNumId w:val="30"/>
  </w:num>
  <w:num w:numId="52" w16cid:durableId="974915757">
    <w:abstractNumId w:val="61"/>
  </w:num>
  <w:num w:numId="53" w16cid:durableId="1430152506">
    <w:abstractNumId w:val="40"/>
  </w:num>
  <w:num w:numId="54" w16cid:durableId="1531914636">
    <w:abstractNumId w:val="52"/>
  </w:num>
  <w:num w:numId="55" w16cid:durableId="902910175">
    <w:abstractNumId w:val="66"/>
  </w:num>
  <w:num w:numId="56" w16cid:durableId="995843094">
    <w:abstractNumId w:val="63"/>
  </w:num>
  <w:num w:numId="57" w16cid:durableId="582642464">
    <w:abstractNumId w:val="38"/>
  </w:num>
  <w:num w:numId="58" w16cid:durableId="2051109915">
    <w:abstractNumId w:val="62"/>
  </w:num>
  <w:num w:numId="59" w16cid:durableId="1039092336">
    <w:abstractNumId w:val="57"/>
  </w:num>
  <w:num w:numId="60" w16cid:durableId="524246298">
    <w:abstractNumId w:val="64"/>
  </w:num>
  <w:num w:numId="61" w16cid:durableId="1068770430">
    <w:abstractNumId w:val="23"/>
  </w:num>
  <w:num w:numId="62" w16cid:durableId="690037350">
    <w:abstractNumId w:val="20"/>
  </w:num>
  <w:num w:numId="63" w16cid:durableId="1556770865">
    <w:abstractNumId w:val="36"/>
  </w:num>
  <w:num w:numId="64" w16cid:durableId="361706344">
    <w:abstractNumId w:val="17"/>
  </w:num>
  <w:num w:numId="65" w16cid:durableId="736903822">
    <w:abstractNumId w:val="9"/>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66" w16cid:durableId="957567667">
    <w:abstractNumId w:val="55"/>
  </w:num>
  <w:num w:numId="67" w16cid:durableId="1435244174">
    <w:abstractNumId w:val="10"/>
  </w:num>
  <w:num w:numId="68" w16cid:durableId="217397950">
    <w:abstractNumId w:val="6"/>
  </w:num>
  <w:num w:numId="69" w16cid:durableId="1590843581">
    <w:abstractNumId w:val="68"/>
  </w:num>
  <w:num w:numId="70" w16cid:durableId="231083712">
    <w:abstractNumId w:val="45"/>
  </w:num>
  <w:num w:numId="71" w16cid:durableId="1531608042">
    <w:abstractNumId w:val="2"/>
  </w:num>
  <w:num w:numId="72" w16cid:durableId="2027320864">
    <w:abstractNumId w:val="41"/>
  </w:num>
  <w:num w:numId="73" w16cid:durableId="2048797245">
    <w:abstractNumId w:val="11"/>
  </w:num>
  <w:num w:numId="74" w16cid:durableId="82578041">
    <w:abstractNumId w:val="5"/>
  </w:num>
  <w:num w:numId="75" w16cid:durableId="482770166">
    <w:abstractNumId w:val="25"/>
  </w:num>
  <w:num w:numId="76" w16cid:durableId="989019392">
    <w:abstractNumId w:val="65"/>
  </w:num>
  <w:num w:numId="77" w16cid:durableId="1459251973">
    <w:abstractNumId w:val="12"/>
    <w:lvlOverride w:ilvl="0">
      <w:startOverride w:val="1"/>
    </w:lvlOverride>
  </w:num>
  <w:num w:numId="78" w16cid:durableId="1772314506">
    <w:abstractNumId w:val="49"/>
  </w:num>
  <w:num w:numId="79" w16cid:durableId="890729288">
    <w:abstractNumId w:val="18"/>
  </w:num>
  <w:num w:numId="80" w16cid:durableId="1017586567">
    <w:abstractNumId w:val="12"/>
    <w:lvlOverride w:ilvl="0">
      <w:startOverride w:val="1"/>
    </w:lvlOverride>
  </w:num>
  <w:num w:numId="81" w16cid:durableId="1597247471">
    <w:abstractNumId w:val="48"/>
  </w:num>
  <w:num w:numId="82" w16cid:durableId="659237002">
    <w:abstractNumId w:val="12"/>
    <w:lvlOverride w:ilvl="0">
      <w:startOverride w:val="1"/>
    </w:lvlOverride>
  </w:num>
  <w:num w:numId="83" w16cid:durableId="1478495106">
    <w:abstractNumId w:val="13"/>
  </w:num>
  <w:num w:numId="84" w16cid:durableId="844129793">
    <w:abstractNumId w:val="26"/>
  </w:num>
  <w:num w:numId="85" w16cid:durableId="956642298">
    <w:abstractNumId w:val="21"/>
  </w:num>
  <w:num w:numId="86" w16cid:durableId="1795752928">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72"/>
    <w:rsid w:val="00001C67"/>
    <w:rsid w:val="000041D8"/>
    <w:rsid w:val="000047C4"/>
    <w:rsid w:val="00004E21"/>
    <w:rsid w:val="000074BA"/>
    <w:rsid w:val="000416C1"/>
    <w:rsid w:val="00051BF4"/>
    <w:rsid w:val="0005721D"/>
    <w:rsid w:val="00060D75"/>
    <w:rsid w:val="000643D1"/>
    <w:rsid w:val="0007259E"/>
    <w:rsid w:val="00072F82"/>
    <w:rsid w:val="0007591A"/>
    <w:rsid w:val="00077C0B"/>
    <w:rsid w:val="00087545"/>
    <w:rsid w:val="00092AB5"/>
    <w:rsid w:val="00094B81"/>
    <w:rsid w:val="00094EF3"/>
    <w:rsid w:val="000A5B39"/>
    <w:rsid w:val="000A63B2"/>
    <w:rsid w:val="000A7851"/>
    <w:rsid w:val="000B01FC"/>
    <w:rsid w:val="000B7C23"/>
    <w:rsid w:val="000C30C1"/>
    <w:rsid w:val="000C3EA6"/>
    <w:rsid w:val="000E7528"/>
    <w:rsid w:val="000F3020"/>
    <w:rsid w:val="000F6508"/>
    <w:rsid w:val="00103B79"/>
    <w:rsid w:val="00117E07"/>
    <w:rsid w:val="0012473C"/>
    <w:rsid w:val="00130019"/>
    <w:rsid w:val="00154AA1"/>
    <w:rsid w:val="00157963"/>
    <w:rsid w:val="00161EE5"/>
    <w:rsid w:val="0016311C"/>
    <w:rsid w:val="001635AE"/>
    <w:rsid w:val="00163F51"/>
    <w:rsid w:val="001654D5"/>
    <w:rsid w:val="00170F56"/>
    <w:rsid w:val="00172771"/>
    <w:rsid w:val="00173237"/>
    <w:rsid w:val="00175CD8"/>
    <w:rsid w:val="0019160B"/>
    <w:rsid w:val="001B12C9"/>
    <w:rsid w:val="001B3E4F"/>
    <w:rsid w:val="001D24D7"/>
    <w:rsid w:val="001D3DC0"/>
    <w:rsid w:val="001D5CC5"/>
    <w:rsid w:val="001E277E"/>
    <w:rsid w:val="001F3814"/>
    <w:rsid w:val="00201827"/>
    <w:rsid w:val="00207D1F"/>
    <w:rsid w:val="00223430"/>
    <w:rsid w:val="002234D4"/>
    <w:rsid w:val="00224C68"/>
    <w:rsid w:val="00224E3B"/>
    <w:rsid w:val="002327B4"/>
    <w:rsid w:val="00236BE1"/>
    <w:rsid w:val="00245F2E"/>
    <w:rsid w:val="00263FFD"/>
    <w:rsid w:val="00277240"/>
    <w:rsid w:val="00280C98"/>
    <w:rsid w:val="00294281"/>
    <w:rsid w:val="00294592"/>
    <w:rsid w:val="002B4733"/>
    <w:rsid w:val="002C6128"/>
    <w:rsid w:val="002C746C"/>
    <w:rsid w:val="002D0386"/>
    <w:rsid w:val="002F1910"/>
    <w:rsid w:val="002F224C"/>
    <w:rsid w:val="003008D8"/>
    <w:rsid w:val="00304F34"/>
    <w:rsid w:val="00304FD2"/>
    <w:rsid w:val="00320FBA"/>
    <w:rsid w:val="00343CFA"/>
    <w:rsid w:val="00346982"/>
    <w:rsid w:val="00352BEA"/>
    <w:rsid w:val="0035444D"/>
    <w:rsid w:val="00357751"/>
    <w:rsid w:val="003610AE"/>
    <w:rsid w:val="003628F4"/>
    <w:rsid w:val="00364278"/>
    <w:rsid w:val="003642D8"/>
    <w:rsid w:val="00370305"/>
    <w:rsid w:val="003710EE"/>
    <w:rsid w:val="00372025"/>
    <w:rsid w:val="0037341B"/>
    <w:rsid w:val="0038013C"/>
    <w:rsid w:val="003833E2"/>
    <w:rsid w:val="00394D09"/>
    <w:rsid w:val="003960A3"/>
    <w:rsid w:val="00397354"/>
    <w:rsid w:val="003A1869"/>
    <w:rsid w:val="003B06CB"/>
    <w:rsid w:val="003B28D7"/>
    <w:rsid w:val="003B5878"/>
    <w:rsid w:val="003C2B8B"/>
    <w:rsid w:val="003C6F67"/>
    <w:rsid w:val="003D1B7B"/>
    <w:rsid w:val="003D6060"/>
    <w:rsid w:val="003F3DD2"/>
    <w:rsid w:val="00406BA8"/>
    <w:rsid w:val="00411BAB"/>
    <w:rsid w:val="00415152"/>
    <w:rsid w:val="00422FE2"/>
    <w:rsid w:val="00423F5F"/>
    <w:rsid w:val="004246B8"/>
    <w:rsid w:val="004246BD"/>
    <w:rsid w:val="0043169E"/>
    <w:rsid w:val="00431F73"/>
    <w:rsid w:val="00440DCE"/>
    <w:rsid w:val="004438B0"/>
    <w:rsid w:val="004455AB"/>
    <w:rsid w:val="004465D7"/>
    <w:rsid w:val="00451FEF"/>
    <w:rsid w:val="00462D73"/>
    <w:rsid w:val="00470294"/>
    <w:rsid w:val="00471508"/>
    <w:rsid w:val="00472E5B"/>
    <w:rsid w:val="00481ED2"/>
    <w:rsid w:val="004919C0"/>
    <w:rsid w:val="00494C70"/>
    <w:rsid w:val="00496370"/>
    <w:rsid w:val="00497432"/>
    <w:rsid w:val="004A3ADB"/>
    <w:rsid w:val="004A5739"/>
    <w:rsid w:val="004A7F95"/>
    <w:rsid w:val="004B5116"/>
    <w:rsid w:val="004B7DD7"/>
    <w:rsid w:val="004C7298"/>
    <w:rsid w:val="004C751C"/>
    <w:rsid w:val="004D0875"/>
    <w:rsid w:val="004D54CB"/>
    <w:rsid w:val="00501BBE"/>
    <w:rsid w:val="00501F49"/>
    <w:rsid w:val="005049D2"/>
    <w:rsid w:val="005078BC"/>
    <w:rsid w:val="005106C4"/>
    <w:rsid w:val="00513509"/>
    <w:rsid w:val="005151F4"/>
    <w:rsid w:val="00516F6C"/>
    <w:rsid w:val="00526491"/>
    <w:rsid w:val="0053650B"/>
    <w:rsid w:val="00536E73"/>
    <w:rsid w:val="00540802"/>
    <w:rsid w:val="00541A27"/>
    <w:rsid w:val="00550F3A"/>
    <w:rsid w:val="00561BD9"/>
    <w:rsid w:val="00570D70"/>
    <w:rsid w:val="00571A6E"/>
    <w:rsid w:val="005773EB"/>
    <w:rsid w:val="0058575E"/>
    <w:rsid w:val="00586A6E"/>
    <w:rsid w:val="00592FEE"/>
    <w:rsid w:val="00593624"/>
    <w:rsid w:val="0059548A"/>
    <w:rsid w:val="005A2DDB"/>
    <w:rsid w:val="005C1F31"/>
    <w:rsid w:val="005C746C"/>
    <w:rsid w:val="005E4412"/>
    <w:rsid w:val="005F3195"/>
    <w:rsid w:val="005F34D2"/>
    <w:rsid w:val="005F3750"/>
    <w:rsid w:val="00603580"/>
    <w:rsid w:val="00611EE2"/>
    <w:rsid w:val="006234EF"/>
    <w:rsid w:val="006249CF"/>
    <w:rsid w:val="006269E4"/>
    <w:rsid w:val="006347A1"/>
    <w:rsid w:val="00646C33"/>
    <w:rsid w:val="006478D3"/>
    <w:rsid w:val="00655AA6"/>
    <w:rsid w:val="00657EF9"/>
    <w:rsid w:val="00664349"/>
    <w:rsid w:val="00665DA7"/>
    <w:rsid w:val="00676454"/>
    <w:rsid w:val="00683A90"/>
    <w:rsid w:val="00685E72"/>
    <w:rsid w:val="00686370"/>
    <w:rsid w:val="00687F35"/>
    <w:rsid w:val="00690650"/>
    <w:rsid w:val="00691A9C"/>
    <w:rsid w:val="006A1F0B"/>
    <w:rsid w:val="006B159D"/>
    <w:rsid w:val="006B2623"/>
    <w:rsid w:val="006B5DC8"/>
    <w:rsid w:val="006B6406"/>
    <w:rsid w:val="006B656B"/>
    <w:rsid w:val="006D47E7"/>
    <w:rsid w:val="006D7D84"/>
    <w:rsid w:val="006E4B99"/>
    <w:rsid w:val="006F018E"/>
    <w:rsid w:val="007004B5"/>
    <w:rsid w:val="007040B0"/>
    <w:rsid w:val="00705046"/>
    <w:rsid w:val="00710D2F"/>
    <w:rsid w:val="00710E22"/>
    <w:rsid w:val="007144AC"/>
    <w:rsid w:val="00717F6A"/>
    <w:rsid w:val="0072362E"/>
    <w:rsid w:val="00736132"/>
    <w:rsid w:val="007405F1"/>
    <w:rsid w:val="00740B9B"/>
    <w:rsid w:val="00741833"/>
    <w:rsid w:val="00746990"/>
    <w:rsid w:val="00747422"/>
    <w:rsid w:val="0075101C"/>
    <w:rsid w:val="00760A80"/>
    <w:rsid w:val="00761C77"/>
    <w:rsid w:val="0076461D"/>
    <w:rsid w:val="00772A25"/>
    <w:rsid w:val="007745CE"/>
    <w:rsid w:val="007841FF"/>
    <w:rsid w:val="00796620"/>
    <w:rsid w:val="007A3B6C"/>
    <w:rsid w:val="007C0C83"/>
    <w:rsid w:val="007C7483"/>
    <w:rsid w:val="007D561C"/>
    <w:rsid w:val="007E0F88"/>
    <w:rsid w:val="007E5B66"/>
    <w:rsid w:val="007E6B9E"/>
    <w:rsid w:val="007F04C6"/>
    <w:rsid w:val="007F0A77"/>
    <w:rsid w:val="007F0D81"/>
    <w:rsid w:val="00800740"/>
    <w:rsid w:val="008007EB"/>
    <w:rsid w:val="00811E6C"/>
    <w:rsid w:val="00817840"/>
    <w:rsid w:val="008329DB"/>
    <w:rsid w:val="008343F6"/>
    <w:rsid w:val="00834FD3"/>
    <w:rsid w:val="00835201"/>
    <w:rsid w:val="008414DE"/>
    <w:rsid w:val="00861E03"/>
    <w:rsid w:val="00863257"/>
    <w:rsid w:val="00864CB0"/>
    <w:rsid w:val="0086555A"/>
    <w:rsid w:val="00877804"/>
    <w:rsid w:val="0088292E"/>
    <w:rsid w:val="00883C24"/>
    <w:rsid w:val="00892C42"/>
    <w:rsid w:val="008B0FEB"/>
    <w:rsid w:val="008B4FA7"/>
    <w:rsid w:val="008C43B7"/>
    <w:rsid w:val="008C5788"/>
    <w:rsid w:val="008D0FBD"/>
    <w:rsid w:val="008D4FF7"/>
    <w:rsid w:val="008E7DB8"/>
    <w:rsid w:val="008F2D16"/>
    <w:rsid w:val="008F6897"/>
    <w:rsid w:val="009058AB"/>
    <w:rsid w:val="0091057E"/>
    <w:rsid w:val="00914807"/>
    <w:rsid w:val="00916E3F"/>
    <w:rsid w:val="00917689"/>
    <w:rsid w:val="00921856"/>
    <w:rsid w:val="00923A0D"/>
    <w:rsid w:val="00930D58"/>
    <w:rsid w:val="009356E8"/>
    <w:rsid w:val="0093722C"/>
    <w:rsid w:val="009377DC"/>
    <w:rsid w:val="009414DA"/>
    <w:rsid w:val="00943F93"/>
    <w:rsid w:val="009441F8"/>
    <w:rsid w:val="00945641"/>
    <w:rsid w:val="00946F2C"/>
    <w:rsid w:val="009531B4"/>
    <w:rsid w:val="00963E9B"/>
    <w:rsid w:val="00964E1E"/>
    <w:rsid w:val="00971F88"/>
    <w:rsid w:val="00980379"/>
    <w:rsid w:val="00991BC7"/>
    <w:rsid w:val="009B0232"/>
    <w:rsid w:val="009B313A"/>
    <w:rsid w:val="009C26DB"/>
    <w:rsid w:val="009C55B5"/>
    <w:rsid w:val="009C634A"/>
    <w:rsid w:val="009C7818"/>
    <w:rsid w:val="009F285A"/>
    <w:rsid w:val="009F7231"/>
    <w:rsid w:val="00A13E49"/>
    <w:rsid w:val="00A16339"/>
    <w:rsid w:val="00A2365B"/>
    <w:rsid w:val="00A24B5A"/>
    <w:rsid w:val="00A34DB6"/>
    <w:rsid w:val="00A34F10"/>
    <w:rsid w:val="00A35340"/>
    <w:rsid w:val="00A3550F"/>
    <w:rsid w:val="00A50294"/>
    <w:rsid w:val="00A51FE1"/>
    <w:rsid w:val="00A626C4"/>
    <w:rsid w:val="00A73AC6"/>
    <w:rsid w:val="00A8397C"/>
    <w:rsid w:val="00A83DFC"/>
    <w:rsid w:val="00A83E4F"/>
    <w:rsid w:val="00A95B6F"/>
    <w:rsid w:val="00AB253E"/>
    <w:rsid w:val="00AB2A5D"/>
    <w:rsid w:val="00AB4D39"/>
    <w:rsid w:val="00AB7CBF"/>
    <w:rsid w:val="00AC5E26"/>
    <w:rsid w:val="00AC69AB"/>
    <w:rsid w:val="00AC6F78"/>
    <w:rsid w:val="00AC7938"/>
    <w:rsid w:val="00AD23CD"/>
    <w:rsid w:val="00AD4F61"/>
    <w:rsid w:val="00AE5D07"/>
    <w:rsid w:val="00AE7276"/>
    <w:rsid w:val="00AF299A"/>
    <w:rsid w:val="00AF4FD3"/>
    <w:rsid w:val="00B05BCF"/>
    <w:rsid w:val="00B12BF7"/>
    <w:rsid w:val="00B13323"/>
    <w:rsid w:val="00B206FD"/>
    <w:rsid w:val="00B216B2"/>
    <w:rsid w:val="00B21C87"/>
    <w:rsid w:val="00B26063"/>
    <w:rsid w:val="00B26D8B"/>
    <w:rsid w:val="00B2729D"/>
    <w:rsid w:val="00B27DC8"/>
    <w:rsid w:val="00B27F70"/>
    <w:rsid w:val="00B3076B"/>
    <w:rsid w:val="00B35724"/>
    <w:rsid w:val="00B46BC0"/>
    <w:rsid w:val="00B575EE"/>
    <w:rsid w:val="00B57EB5"/>
    <w:rsid w:val="00B638C9"/>
    <w:rsid w:val="00B8496C"/>
    <w:rsid w:val="00B85375"/>
    <w:rsid w:val="00B935E1"/>
    <w:rsid w:val="00B94718"/>
    <w:rsid w:val="00BA2399"/>
    <w:rsid w:val="00BA4CDF"/>
    <w:rsid w:val="00BA6CB6"/>
    <w:rsid w:val="00BA7703"/>
    <w:rsid w:val="00BC03E0"/>
    <w:rsid w:val="00BC60BD"/>
    <w:rsid w:val="00BD4DFE"/>
    <w:rsid w:val="00C0546B"/>
    <w:rsid w:val="00C12EE3"/>
    <w:rsid w:val="00C34837"/>
    <w:rsid w:val="00C34CF0"/>
    <w:rsid w:val="00C41085"/>
    <w:rsid w:val="00C41FAD"/>
    <w:rsid w:val="00C449ED"/>
    <w:rsid w:val="00C6047E"/>
    <w:rsid w:val="00C63338"/>
    <w:rsid w:val="00C66551"/>
    <w:rsid w:val="00C67045"/>
    <w:rsid w:val="00C743D5"/>
    <w:rsid w:val="00C82500"/>
    <w:rsid w:val="00C85610"/>
    <w:rsid w:val="00C87241"/>
    <w:rsid w:val="00CB0550"/>
    <w:rsid w:val="00CC0B19"/>
    <w:rsid w:val="00CD0782"/>
    <w:rsid w:val="00D078BE"/>
    <w:rsid w:val="00D10FD9"/>
    <w:rsid w:val="00D12920"/>
    <w:rsid w:val="00D137F8"/>
    <w:rsid w:val="00D13F8A"/>
    <w:rsid w:val="00D24795"/>
    <w:rsid w:val="00D31660"/>
    <w:rsid w:val="00D3329A"/>
    <w:rsid w:val="00D4218F"/>
    <w:rsid w:val="00D4264A"/>
    <w:rsid w:val="00D44CC1"/>
    <w:rsid w:val="00D55A76"/>
    <w:rsid w:val="00D60DC1"/>
    <w:rsid w:val="00D6337C"/>
    <w:rsid w:val="00D63639"/>
    <w:rsid w:val="00D709ED"/>
    <w:rsid w:val="00D72441"/>
    <w:rsid w:val="00D72536"/>
    <w:rsid w:val="00D74E12"/>
    <w:rsid w:val="00D82C05"/>
    <w:rsid w:val="00D85AA6"/>
    <w:rsid w:val="00D918D5"/>
    <w:rsid w:val="00D932DF"/>
    <w:rsid w:val="00D94172"/>
    <w:rsid w:val="00D97403"/>
    <w:rsid w:val="00DB0881"/>
    <w:rsid w:val="00DB1CB0"/>
    <w:rsid w:val="00DC1C7F"/>
    <w:rsid w:val="00DC6D55"/>
    <w:rsid w:val="00DD3AFB"/>
    <w:rsid w:val="00DE0214"/>
    <w:rsid w:val="00DE078A"/>
    <w:rsid w:val="00DE093C"/>
    <w:rsid w:val="00DE62D5"/>
    <w:rsid w:val="00DF0A9C"/>
    <w:rsid w:val="00DF2343"/>
    <w:rsid w:val="00DF28C7"/>
    <w:rsid w:val="00E06610"/>
    <w:rsid w:val="00E125D7"/>
    <w:rsid w:val="00E13CFF"/>
    <w:rsid w:val="00E14342"/>
    <w:rsid w:val="00E22509"/>
    <w:rsid w:val="00E32F16"/>
    <w:rsid w:val="00E332F8"/>
    <w:rsid w:val="00E33CE4"/>
    <w:rsid w:val="00E41640"/>
    <w:rsid w:val="00E4433A"/>
    <w:rsid w:val="00E521E0"/>
    <w:rsid w:val="00E53562"/>
    <w:rsid w:val="00E53D3F"/>
    <w:rsid w:val="00E5512A"/>
    <w:rsid w:val="00E63FCC"/>
    <w:rsid w:val="00E72C66"/>
    <w:rsid w:val="00E73FB7"/>
    <w:rsid w:val="00E76828"/>
    <w:rsid w:val="00E80E3F"/>
    <w:rsid w:val="00EA07D8"/>
    <w:rsid w:val="00EA19A0"/>
    <w:rsid w:val="00EA3F74"/>
    <w:rsid w:val="00EA438E"/>
    <w:rsid w:val="00EA644F"/>
    <w:rsid w:val="00EB1099"/>
    <w:rsid w:val="00EB5194"/>
    <w:rsid w:val="00EB7EBF"/>
    <w:rsid w:val="00EC14ED"/>
    <w:rsid w:val="00ED4FE9"/>
    <w:rsid w:val="00ED776D"/>
    <w:rsid w:val="00EE4793"/>
    <w:rsid w:val="00EF335F"/>
    <w:rsid w:val="00EF37AB"/>
    <w:rsid w:val="00EF5091"/>
    <w:rsid w:val="00EF7AAA"/>
    <w:rsid w:val="00F01A56"/>
    <w:rsid w:val="00F02AEC"/>
    <w:rsid w:val="00F0481F"/>
    <w:rsid w:val="00F2313E"/>
    <w:rsid w:val="00F302FC"/>
    <w:rsid w:val="00F318D9"/>
    <w:rsid w:val="00F41CF5"/>
    <w:rsid w:val="00F564F9"/>
    <w:rsid w:val="00F70417"/>
    <w:rsid w:val="00F729C6"/>
    <w:rsid w:val="00F736E0"/>
    <w:rsid w:val="00F906C0"/>
    <w:rsid w:val="00F9259D"/>
    <w:rsid w:val="00FA49C3"/>
    <w:rsid w:val="00FB27EC"/>
    <w:rsid w:val="00FC0CF6"/>
    <w:rsid w:val="00FC34B2"/>
    <w:rsid w:val="00FC39DC"/>
    <w:rsid w:val="00FC7CDD"/>
    <w:rsid w:val="00FD6A98"/>
    <w:rsid w:val="00FD789C"/>
    <w:rsid w:val="00FE5EF0"/>
    <w:rsid w:val="00FE5F20"/>
    <w:rsid w:val="00FF77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0F104"/>
  <w15:chartTrackingRefBased/>
  <w15:docId w15:val="{537A3165-6759-478F-BDBF-09C661EB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580"/>
    <w:rPr>
      <w:sz w:val="22"/>
    </w:rPr>
  </w:style>
  <w:style w:type="paragraph" w:styleId="Heading1">
    <w:name w:val="heading 1"/>
    <w:basedOn w:val="Normal"/>
    <w:next w:val="Normal"/>
    <w:link w:val="Heading1Char"/>
    <w:rsid w:val="00685E72"/>
    <w:pPr>
      <w:keepNext/>
      <w:keepLines/>
      <w:spacing w:before="360" w:after="240" w:line="240" w:lineRule="atLeast"/>
      <w:outlineLvl w:val="0"/>
    </w:pPr>
    <w:rPr>
      <w:rFonts w:ascii="Arial" w:eastAsia="Times New Roman" w:hAnsi="Arial" w:cs="Times New Roman"/>
      <w:b/>
      <w:bCs/>
      <w:sz w:val="48"/>
      <w:szCs w:val="48"/>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685E72"/>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uiPriority w:val="9"/>
    <w:semiHidden/>
    <w:unhideWhenUsed/>
    <w:qFormat/>
    <w:rsid w:val="00685E72"/>
    <w:pPr>
      <w:keepNext/>
      <w:keepLines/>
      <w:spacing w:before="200" w:after="0" w:line="240" w:lineRule="atLeast"/>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85E72"/>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603580"/>
    <w:pPr>
      <w:numPr>
        <w:numId w:val="1"/>
      </w:numPr>
      <w:spacing w:before="120" w:after="180" w:line="240" w:lineRule="atLeast"/>
    </w:pPr>
    <w:rPr>
      <w:rFonts w:eastAsia="Cambria" w:cstheme="minorHAnsi"/>
    </w:rPr>
  </w:style>
  <w:style w:type="paragraph" w:styleId="ListBullet2">
    <w:name w:val="List Bullet 2"/>
    <w:basedOn w:val="Normal"/>
    <w:uiPriority w:val="2"/>
    <w:qFormat/>
    <w:rsid w:val="00611EE2"/>
    <w:pPr>
      <w:numPr>
        <w:ilvl w:val="1"/>
        <w:numId w:val="1"/>
      </w:numPr>
      <w:spacing w:before="120" w:after="180" w:line="240" w:lineRule="atLeast"/>
      <w:ind w:left="850" w:hanging="425"/>
    </w:pPr>
    <w:rPr>
      <w:rFonts w:eastAsia="Cambria"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6"/>
      </w:numPr>
    </w:pPr>
  </w:style>
  <w:style w:type="paragraph" w:customStyle="1" w:styleId="Numberbullet0">
    <w:name w:val="Number bullet"/>
    <w:basedOn w:val="ListBullet"/>
    <w:qFormat/>
    <w:rsid w:val="00B46BC0"/>
    <w:pPr>
      <w:numPr>
        <w:numId w:val="2"/>
      </w:numPr>
    </w:pPr>
  </w:style>
  <w:style w:type="paragraph" w:customStyle="1" w:styleId="Numberbullet2">
    <w:name w:val="Number bullet 2"/>
    <w:basedOn w:val="ListBullet2"/>
    <w:qFormat/>
    <w:rsid w:val="00F02AEC"/>
    <w:pPr>
      <w:numPr>
        <w:numId w:val="2"/>
      </w:numPr>
      <w:ind w:left="850" w:hanging="425"/>
    </w:pPr>
  </w:style>
  <w:style w:type="paragraph" w:customStyle="1" w:styleId="Numberbullet3">
    <w:name w:val="Number bullet 3"/>
    <w:basedOn w:val="Normal"/>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aliases w:val="Tabellenanmerkung,FT"/>
    <w:basedOn w:val="Normal"/>
    <w:link w:val="FootnoteTextChar"/>
    <w:qFormat/>
    <w:rsid w:val="00F02AEC"/>
    <w:pPr>
      <w:keepLines/>
      <w:spacing w:after="0" w:line="240" w:lineRule="atLeast"/>
    </w:pPr>
    <w:rPr>
      <w:rFonts w:ascii="Arial" w:eastAsia="Cambria" w:hAnsi="Arial" w:cs="Times New Roman"/>
      <w:color w:val="333F48"/>
    </w:rPr>
  </w:style>
  <w:style w:type="character" w:customStyle="1" w:styleId="FootnoteTextChar">
    <w:name w:val="Footnote Text Char"/>
    <w:aliases w:val="Tabellenanmerkung Char,F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rsid w:val="00685E72"/>
    <w:rPr>
      <w:rFonts w:ascii="Arial" w:eastAsia="Times New Roman" w:hAnsi="Arial" w:cs="Times New Roman"/>
      <w:b/>
      <w:bCs/>
      <w:sz w:val="48"/>
      <w:szCs w:val="48"/>
    </w:rPr>
  </w:style>
  <w:style w:type="character" w:customStyle="1" w:styleId="Heading7Char">
    <w:name w:val="Heading 7 Char"/>
    <w:basedOn w:val="DefaultParagraphFont"/>
    <w:link w:val="Heading7"/>
    <w:uiPriority w:val="9"/>
    <w:rsid w:val="00685E72"/>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685E7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85E72"/>
    <w:rPr>
      <w:rFonts w:asciiTheme="majorHAnsi" w:eastAsiaTheme="majorEastAsia" w:hAnsiTheme="majorHAnsi" w:cstheme="majorBidi"/>
      <w:i/>
      <w:iCs/>
      <w:color w:val="404040" w:themeColor="text1" w:themeTint="BF"/>
    </w:rPr>
  </w:style>
  <w:style w:type="paragraph" w:styleId="DocumentMap">
    <w:name w:val="Document Map"/>
    <w:basedOn w:val="Normal"/>
    <w:link w:val="DocumentMapChar"/>
    <w:uiPriority w:val="99"/>
    <w:semiHidden/>
    <w:unhideWhenUsed/>
    <w:rsid w:val="00685E72"/>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685E72"/>
    <w:rPr>
      <w:rFonts w:ascii="Tahoma" w:eastAsia="Cambria" w:hAnsi="Tahoma" w:cs="Tahoma"/>
      <w:sz w:val="16"/>
      <w:szCs w:val="16"/>
    </w:rPr>
  </w:style>
  <w:style w:type="paragraph" w:styleId="BalloonText">
    <w:name w:val="Balloon Text"/>
    <w:basedOn w:val="Normal"/>
    <w:link w:val="BalloonTextChar"/>
    <w:uiPriority w:val="99"/>
    <w:semiHidden/>
    <w:unhideWhenUsed/>
    <w:rsid w:val="00685E72"/>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685E72"/>
    <w:rPr>
      <w:rFonts w:ascii="Tahoma" w:eastAsia="Cambria" w:hAnsi="Tahoma" w:cs="Tahoma"/>
      <w:sz w:val="16"/>
      <w:szCs w:val="16"/>
    </w:rPr>
  </w:style>
  <w:style w:type="paragraph" w:styleId="TOC4">
    <w:name w:val="toc 4"/>
    <w:basedOn w:val="Normal"/>
    <w:next w:val="Normal"/>
    <w:autoRedefine/>
    <w:uiPriority w:val="39"/>
    <w:unhideWhenUsed/>
    <w:rsid w:val="00685E72"/>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unhideWhenUsed/>
    <w:rsid w:val="00685E72"/>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unhideWhenUsed/>
    <w:rsid w:val="00685E72"/>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unhideWhenUsed/>
    <w:rsid w:val="00685E72"/>
    <w:pPr>
      <w:spacing w:before="120" w:after="100" w:line="240" w:lineRule="atLeast"/>
      <w:ind w:left="2211"/>
    </w:pPr>
    <w:rPr>
      <w:rFonts w:ascii="Cambria" w:eastAsia="Cambria" w:hAnsi="Cambria" w:cs="Times New Roman"/>
    </w:rPr>
  </w:style>
  <w:style w:type="character" w:styleId="FollowedHyperlink">
    <w:name w:val="FollowedHyperlink"/>
    <w:basedOn w:val="DefaultParagraphFont"/>
    <w:semiHidden/>
    <w:unhideWhenUsed/>
    <w:rsid w:val="00685E72"/>
    <w:rPr>
      <w:color w:val="800080"/>
      <w:u w:val="single"/>
    </w:rPr>
  </w:style>
  <w:style w:type="paragraph" w:customStyle="1" w:styleId="HeaderNoLine0">
    <w:name w:val="Header No Line"/>
    <w:basedOn w:val="Header"/>
    <w:rsid w:val="00685E72"/>
    <w:pPr>
      <w:pBdr>
        <w:bottom w:val="none" w:sz="0" w:space="0" w:color="auto"/>
      </w:pBdr>
    </w:pPr>
    <w:rPr>
      <w:rFonts w:ascii="Cambria" w:hAnsi="Cambria"/>
      <w:color w:val="auto"/>
    </w:rPr>
  </w:style>
  <w:style w:type="table" w:styleId="LightShading-Accent2">
    <w:name w:val="Light Shading Accent 2"/>
    <w:basedOn w:val="TableNormal"/>
    <w:uiPriority w:val="60"/>
    <w:rsid w:val="00685E72"/>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685E72"/>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685E72"/>
    <w:rPr>
      <w:color w:val="808080"/>
    </w:rPr>
  </w:style>
  <w:style w:type="paragraph" w:customStyle="1" w:styleId="Reference">
    <w:name w:val="Reference"/>
    <w:basedOn w:val="Normal"/>
    <w:rsid w:val="00685E72"/>
    <w:pPr>
      <w:spacing w:before="40" w:after="0" w:line="240" w:lineRule="atLeast"/>
      <w:ind w:left="170" w:hanging="170"/>
    </w:pPr>
    <w:rPr>
      <w:rFonts w:ascii="Cambria" w:eastAsia="Cambria" w:hAnsi="Cambria" w:cs="Times New Roman"/>
      <w:sz w:val="19"/>
    </w:rPr>
  </w:style>
  <w:style w:type="paragraph" w:styleId="EndnoteText">
    <w:name w:val="endnote text"/>
    <w:basedOn w:val="FootnoteText"/>
    <w:link w:val="EndnoteTextChar"/>
    <w:semiHidden/>
    <w:unhideWhenUsed/>
    <w:rsid w:val="00685E72"/>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685E72"/>
    <w:rPr>
      <w:rFonts w:eastAsia="Cambria"/>
      <w:szCs w:val="22"/>
    </w:rPr>
  </w:style>
  <w:style w:type="table" w:customStyle="1" w:styleId="TableTGAblue">
    <w:name w:val="Table TGA blue"/>
    <w:basedOn w:val="TableNormal"/>
    <w:uiPriority w:val="99"/>
    <w:qFormat/>
    <w:rsid w:val="00685E72"/>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685E72"/>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unhideWhenUsed/>
    <w:qFormat/>
    <w:rsid w:val="00685E72"/>
    <w:pPr>
      <w:spacing w:before="480" w:after="0" w:line="276" w:lineRule="auto"/>
      <w:outlineLvl w:val="9"/>
    </w:pPr>
    <w:rPr>
      <w:color w:val="002035"/>
      <w:sz w:val="28"/>
      <w:lang w:val="en-US"/>
    </w:rPr>
  </w:style>
  <w:style w:type="paragraph" w:styleId="NoSpacing">
    <w:name w:val="No Spacing"/>
    <w:uiPriority w:val="1"/>
    <w:qFormat/>
    <w:rsid w:val="002C746C"/>
    <w:pPr>
      <w:spacing w:after="0" w:line="240" w:lineRule="auto"/>
      <w:jc w:val="both"/>
    </w:pPr>
    <w:rPr>
      <w:rFonts w:eastAsiaTheme="minorEastAsia"/>
      <w:sz w:val="22"/>
      <w:szCs w:val="22"/>
      <w:lang w:eastAsia="en-AU"/>
    </w:rPr>
  </w:style>
  <w:style w:type="character" w:styleId="EndnoteReference">
    <w:name w:val="endnote reference"/>
    <w:basedOn w:val="DefaultParagraphFont"/>
    <w:uiPriority w:val="99"/>
    <w:semiHidden/>
    <w:unhideWhenUsed/>
    <w:rsid w:val="00685E72"/>
    <w:rPr>
      <w:vertAlign w:val="superscript"/>
    </w:rPr>
  </w:style>
  <w:style w:type="table" w:customStyle="1" w:styleId="LightShading1">
    <w:name w:val="Light Shading1"/>
    <w:basedOn w:val="TableNormal"/>
    <w:uiPriority w:val="60"/>
    <w:rsid w:val="00685E72"/>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guredescription">
    <w:name w:val="Figure description"/>
    <w:basedOn w:val="Normal"/>
    <w:next w:val="Normal"/>
    <w:rsid w:val="00685E72"/>
    <w:pPr>
      <w:spacing w:before="120" w:after="240" w:line="180" w:lineRule="atLeast"/>
    </w:pPr>
    <w:rPr>
      <w:rFonts w:ascii="Cambria" w:eastAsia="Cambria" w:hAnsi="Cambria" w:cs="Times New Roman"/>
      <w:sz w:val="18"/>
    </w:rPr>
  </w:style>
  <w:style w:type="paragraph" w:customStyle="1" w:styleId="Figuretitle">
    <w:name w:val="Figure title"/>
    <w:basedOn w:val="Normal"/>
    <w:next w:val="Normal"/>
    <w:rsid w:val="00685E72"/>
    <w:pPr>
      <w:keepNext/>
      <w:keepLines/>
      <w:spacing w:before="120" w:after="180" w:line="240" w:lineRule="atLeast"/>
    </w:pPr>
    <w:rPr>
      <w:rFonts w:ascii="Cambria" w:eastAsia="Cambria" w:hAnsi="Cambria" w:cs="Times New Roman"/>
      <w:b/>
    </w:rPr>
  </w:style>
  <w:style w:type="paragraph" w:customStyle="1" w:styleId="Quotation">
    <w:name w:val="Quotation"/>
    <w:basedOn w:val="Normal"/>
    <w:next w:val="Normal"/>
    <w:uiPriority w:val="4"/>
    <w:qFormat/>
    <w:rsid w:val="00685E72"/>
    <w:pPr>
      <w:spacing w:before="120" w:after="180" w:line="240" w:lineRule="atLeast"/>
      <w:ind w:left="425"/>
    </w:pPr>
    <w:rPr>
      <w:rFonts w:ascii="Cambria" w:eastAsia="Cambria" w:hAnsi="Cambria" w:cs="Times New Roman"/>
    </w:rPr>
  </w:style>
  <w:style w:type="character" w:styleId="CommentReference">
    <w:name w:val="annotation reference"/>
    <w:basedOn w:val="DefaultParagraphFont"/>
    <w:uiPriority w:val="99"/>
    <w:semiHidden/>
    <w:unhideWhenUsed/>
    <w:rsid w:val="00685E72"/>
    <w:rPr>
      <w:sz w:val="16"/>
      <w:szCs w:val="16"/>
    </w:rPr>
  </w:style>
  <w:style w:type="paragraph" w:styleId="CommentText">
    <w:name w:val="annotation text"/>
    <w:basedOn w:val="Normal"/>
    <w:link w:val="CommentTextChar"/>
    <w:uiPriority w:val="99"/>
    <w:unhideWhenUsed/>
    <w:rsid w:val="00685E72"/>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685E72"/>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685E72"/>
    <w:rPr>
      <w:b/>
      <w:bCs/>
    </w:rPr>
  </w:style>
  <w:style w:type="character" w:customStyle="1" w:styleId="CommentSubjectChar">
    <w:name w:val="Comment Subject Char"/>
    <w:basedOn w:val="CommentTextChar"/>
    <w:link w:val="CommentSubject"/>
    <w:uiPriority w:val="99"/>
    <w:semiHidden/>
    <w:rsid w:val="00685E72"/>
    <w:rPr>
      <w:rFonts w:ascii="Cambria" w:eastAsia="Cambria" w:hAnsi="Cambria" w:cs="Times New Roman"/>
      <w:b/>
      <w:bCs/>
    </w:rPr>
  </w:style>
  <w:style w:type="paragraph" w:styleId="ListParagraph">
    <w:name w:val="List Paragraph"/>
    <w:basedOn w:val="Normal"/>
    <w:uiPriority w:val="34"/>
    <w:qFormat/>
    <w:rsid w:val="00685E72"/>
    <w:pPr>
      <w:spacing w:before="120" w:after="180" w:line="240" w:lineRule="atLeast"/>
      <w:ind w:left="720"/>
      <w:contextualSpacing/>
    </w:pPr>
    <w:rPr>
      <w:rFonts w:ascii="Cambria" w:eastAsia="Cambria" w:hAnsi="Cambria" w:cs="Times New Roman"/>
    </w:rPr>
  </w:style>
  <w:style w:type="table" w:styleId="LightList-Accent1">
    <w:name w:val="Light List Accent 1"/>
    <w:basedOn w:val="TableNormal"/>
    <w:uiPriority w:val="61"/>
    <w:rsid w:val="00685E72"/>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OC9">
    <w:name w:val="toc 9"/>
    <w:basedOn w:val="Normal"/>
    <w:next w:val="Normal"/>
    <w:autoRedefine/>
    <w:uiPriority w:val="39"/>
    <w:unhideWhenUsed/>
    <w:rsid w:val="00685E72"/>
    <w:pPr>
      <w:spacing w:before="120" w:after="100" w:line="240" w:lineRule="atLeast"/>
      <w:ind w:left="1760"/>
    </w:pPr>
    <w:rPr>
      <w:rFonts w:ascii="Cambria" w:eastAsia="Cambria" w:hAnsi="Cambria" w:cs="Times New Roman"/>
    </w:rPr>
  </w:style>
  <w:style w:type="paragraph" w:customStyle="1" w:styleId="TableTitle0">
    <w:name w:val="Table Title"/>
    <w:basedOn w:val="Normal"/>
    <w:next w:val="Normal"/>
    <w:qFormat/>
    <w:rsid w:val="00685E72"/>
    <w:pPr>
      <w:spacing w:before="180" w:after="180" w:line="240" w:lineRule="atLeast"/>
    </w:pPr>
    <w:rPr>
      <w:rFonts w:ascii="Cambria" w:eastAsia="Cambria" w:hAnsi="Cambria" w:cs="Times New Roman"/>
      <w:b/>
    </w:rPr>
  </w:style>
  <w:style w:type="character" w:styleId="Strong">
    <w:name w:val="Strong"/>
    <w:basedOn w:val="DefaultParagraphFont"/>
    <w:uiPriority w:val="22"/>
    <w:qFormat/>
    <w:rsid w:val="00685E72"/>
    <w:rPr>
      <w:b/>
      <w:bCs/>
    </w:rPr>
  </w:style>
  <w:style w:type="paragraph" w:customStyle="1" w:styleId="Default">
    <w:name w:val="Default"/>
    <w:rsid w:val="00685E72"/>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character" w:customStyle="1" w:styleId="fontstyle01">
    <w:name w:val="fontstyle01"/>
    <w:basedOn w:val="DefaultParagraphFont"/>
    <w:rsid w:val="00685E72"/>
    <w:rPr>
      <w:rFonts w:ascii="Cambria" w:hAnsi="Cambria" w:hint="default"/>
      <w:b w:val="0"/>
      <w:bCs w:val="0"/>
      <w:i w:val="0"/>
      <w:iCs w:val="0"/>
      <w:color w:val="000000"/>
      <w:sz w:val="22"/>
      <w:szCs w:val="22"/>
    </w:rPr>
  </w:style>
  <w:style w:type="character" w:customStyle="1" w:styleId="fontstyle21">
    <w:name w:val="fontstyle21"/>
    <w:basedOn w:val="DefaultParagraphFont"/>
    <w:rsid w:val="00685E72"/>
    <w:rPr>
      <w:rFonts w:ascii="Cambria-Bold" w:hAnsi="Cambria-Bold" w:hint="default"/>
      <w:b/>
      <w:bCs/>
      <w:i w:val="0"/>
      <w:iCs w:val="0"/>
      <w:color w:val="000000"/>
      <w:sz w:val="22"/>
      <w:szCs w:val="22"/>
    </w:rPr>
  </w:style>
  <w:style w:type="paragraph" w:styleId="Revision">
    <w:name w:val="Revision"/>
    <w:hidden/>
    <w:uiPriority w:val="99"/>
    <w:semiHidden/>
    <w:rsid w:val="00685E72"/>
    <w:pPr>
      <w:spacing w:after="0" w:line="240" w:lineRule="auto"/>
    </w:pPr>
    <w:rPr>
      <w:rFonts w:ascii="Cambria" w:eastAsia="Cambria" w:hAnsi="Cambria" w:cs="Times New Roman"/>
      <w:sz w:val="22"/>
    </w:rPr>
  </w:style>
  <w:style w:type="paragraph" w:customStyle="1" w:styleId="ListBulleta">
    <w:name w:val="List Bullet a)"/>
    <w:basedOn w:val="ListBullet"/>
    <w:uiPriority w:val="1"/>
    <w:qFormat/>
    <w:rsid w:val="00C67045"/>
    <w:pPr>
      <w:numPr>
        <w:numId w:val="14"/>
      </w:numPr>
    </w:pPr>
  </w:style>
  <w:style w:type="paragraph" w:customStyle="1" w:styleId="ListBulleti">
    <w:name w:val="List Bullet i)"/>
    <w:basedOn w:val="ListBullet"/>
    <w:uiPriority w:val="1"/>
    <w:qFormat/>
    <w:rsid w:val="00C67045"/>
    <w:pPr>
      <w:numPr>
        <w:numId w:val="15"/>
      </w:numPr>
    </w:pPr>
  </w:style>
  <w:style w:type="character" w:customStyle="1" w:styleId="Style1">
    <w:name w:val="Style1"/>
    <w:basedOn w:val="DefaultParagraphFont"/>
    <w:uiPriority w:val="1"/>
    <w:rsid w:val="00685E72"/>
    <w:rPr>
      <w:rFonts w:ascii="Cambria" w:hAnsi="Cambria"/>
      <w:sz w:val="22"/>
    </w:rPr>
  </w:style>
  <w:style w:type="paragraph" w:styleId="NormalWeb">
    <w:name w:val="Normal (Web)"/>
    <w:basedOn w:val="Normal"/>
    <w:uiPriority w:val="99"/>
    <w:semiHidden/>
    <w:unhideWhenUsed/>
    <w:rsid w:val="00685E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85E72"/>
    <w:rPr>
      <w:color w:val="605E5C"/>
      <w:shd w:val="clear" w:color="auto" w:fill="E1DFDD"/>
    </w:rPr>
  </w:style>
  <w:style w:type="paragraph" w:styleId="TOC8">
    <w:name w:val="toc 8"/>
    <w:basedOn w:val="Normal"/>
    <w:next w:val="Normal"/>
    <w:autoRedefine/>
    <w:uiPriority w:val="39"/>
    <w:unhideWhenUsed/>
    <w:rsid w:val="00DF2343"/>
    <w:pPr>
      <w:spacing w:after="100"/>
      <w:ind w:left="1540"/>
    </w:pPr>
    <w:rPr>
      <w:rFonts w:eastAsiaTheme="minorEastAsia"/>
      <w:szCs w:val="22"/>
      <w:lang w:eastAsia="en-AU"/>
    </w:rPr>
  </w:style>
  <w:style w:type="paragraph" w:customStyle="1" w:styleId="paragraph">
    <w:name w:val="paragraph"/>
    <w:basedOn w:val="Normal"/>
    <w:rsid w:val="00E416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41640"/>
  </w:style>
  <w:style w:type="character" w:customStyle="1" w:styleId="eop">
    <w:name w:val="eop"/>
    <w:basedOn w:val="DefaultParagraphFont"/>
    <w:rsid w:val="00E41640"/>
  </w:style>
  <w:style w:type="character" w:customStyle="1" w:styleId="superscript">
    <w:name w:val="superscript"/>
    <w:basedOn w:val="DefaultParagraphFont"/>
    <w:rsid w:val="00E41640"/>
  </w:style>
  <w:style w:type="character" w:customStyle="1" w:styleId="scxw25105384">
    <w:name w:val="scxw25105384"/>
    <w:basedOn w:val="DefaultParagraphFont"/>
    <w:rsid w:val="00EF37AB"/>
  </w:style>
  <w:style w:type="character" w:customStyle="1" w:styleId="scxw38869994">
    <w:name w:val="scxw38869994"/>
    <w:basedOn w:val="DefaultParagraphFont"/>
    <w:rsid w:val="00B2729D"/>
  </w:style>
  <w:style w:type="table" w:styleId="GridTable1Light">
    <w:name w:val="Grid Table 1 Light"/>
    <w:basedOn w:val="TableNormal"/>
    <w:uiPriority w:val="46"/>
    <w:rsid w:val="009C63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747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3974">
      <w:bodyDiv w:val="1"/>
      <w:marLeft w:val="0"/>
      <w:marRight w:val="0"/>
      <w:marTop w:val="0"/>
      <w:marBottom w:val="0"/>
      <w:divBdr>
        <w:top w:val="none" w:sz="0" w:space="0" w:color="auto"/>
        <w:left w:val="none" w:sz="0" w:space="0" w:color="auto"/>
        <w:bottom w:val="none" w:sz="0" w:space="0" w:color="auto"/>
        <w:right w:val="none" w:sz="0" w:space="0" w:color="auto"/>
      </w:divBdr>
      <w:divsChild>
        <w:div w:id="288518463">
          <w:marLeft w:val="0"/>
          <w:marRight w:val="0"/>
          <w:marTop w:val="0"/>
          <w:marBottom w:val="0"/>
          <w:divBdr>
            <w:top w:val="none" w:sz="0" w:space="0" w:color="auto"/>
            <w:left w:val="none" w:sz="0" w:space="0" w:color="auto"/>
            <w:bottom w:val="none" w:sz="0" w:space="0" w:color="auto"/>
            <w:right w:val="none" w:sz="0" w:space="0" w:color="auto"/>
          </w:divBdr>
        </w:div>
        <w:div w:id="565146710">
          <w:marLeft w:val="0"/>
          <w:marRight w:val="0"/>
          <w:marTop w:val="0"/>
          <w:marBottom w:val="0"/>
          <w:divBdr>
            <w:top w:val="none" w:sz="0" w:space="0" w:color="auto"/>
            <w:left w:val="none" w:sz="0" w:space="0" w:color="auto"/>
            <w:bottom w:val="none" w:sz="0" w:space="0" w:color="auto"/>
            <w:right w:val="none" w:sz="0" w:space="0" w:color="auto"/>
          </w:divBdr>
        </w:div>
        <w:div w:id="800073597">
          <w:marLeft w:val="0"/>
          <w:marRight w:val="0"/>
          <w:marTop w:val="0"/>
          <w:marBottom w:val="0"/>
          <w:divBdr>
            <w:top w:val="none" w:sz="0" w:space="0" w:color="auto"/>
            <w:left w:val="none" w:sz="0" w:space="0" w:color="auto"/>
            <w:bottom w:val="none" w:sz="0" w:space="0" w:color="auto"/>
            <w:right w:val="none" w:sz="0" w:space="0" w:color="auto"/>
          </w:divBdr>
        </w:div>
        <w:div w:id="847328345">
          <w:marLeft w:val="0"/>
          <w:marRight w:val="0"/>
          <w:marTop w:val="0"/>
          <w:marBottom w:val="0"/>
          <w:divBdr>
            <w:top w:val="none" w:sz="0" w:space="0" w:color="auto"/>
            <w:left w:val="none" w:sz="0" w:space="0" w:color="auto"/>
            <w:bottom w:val="none" w:sz="0" w:space="0" w:color="auto"/>
            <w:right w:val="none" w:sz="0" w:space="0" w:color="auto"/>
          </w:divBdr>
        </w:div>
        <w:div w:id="1193419352">
          <w:marLeft w:val="0"/>
          <w:marRight w:val="0"/>
          <w:marTop w:val="0"/>
          <w:marBottom w:val="0"/>
          <w:divBdr>
            <w:top w:val="none" w:sz="0" w:space="0" w:color="auto"/>
            <w:left w:val="none" w:sz="0" w:space="0" w:color="auto"/>
            <w:bottom w:val="none" w:sz="0" w:space="0" w:color="auto"/>
            <w:right w:val="none" w:sz="0" w:space="0" w:color="auto"/>
          </w:divBdr>
        </w:div>
        <w:div w:id="1539586847">
          <w:marLeft w:val="0"/>
          <w:marRight w:val="0"/>
          <w:marTop w:val="0"/>
          <w:marBottom w:val="0"/>
          <w:divBdr>
            <w:top w:val="none" w:sz="0" w:space="0" w:color="auto"/>
            <w:left w:val="none" w:sz="0" w:space="0" w:color="auto"/>
            <w:bottom w:val="none" w:sz="0" w:space="0" w:color="auto"/>
            <w:right w:val="none" w:sz="0" w:space="0" w:color="auto"/>
          </w:divBdr>
        </w:div>
        <w:div w:id="1540969904">
          <w:marLeft w:val="0"/>
          <w:marRight w:val="0"/>
          <w:marTop w:val="0"/>
          <w:marBottom w:val="0"/>
          <w:divBdr>
            <w:top w:val="none" w:sz="0" w:space="0" w:color="auto"/>
            <w:left w:val="none" w:sz="0" w:space="0" w:color="auto"/>
            <w:bottom w:val="none" w:sz="0" w:space="0" w:color="auto"/>
            <w:right w:val="none" w:sz="0" w:space="0" w:color="auto"/>
          </w:divBdr>
        </w:div>
        <w:div w:id="1638414071">
          <w:marLeft w:val="0"/>
          <w:marRight w:val="0"/>
          <w:marTop w:val="0"/>
          <w:marBottom w:val="0"/>
          <w:divBdr>
            <w:top w:val="none" w:sz="0" w:space="0" w:color="auto"/>
            <w:left w:val="none" w:sz="0" w:space="0" w:color="auto"/>
            <w:bottom w:val="none" w:sz="0" w:space="0" w:color="auto"/>
            <w:right w:val="none" w:sz="0" w:space="0" w:color="auto"/>
          </w:divBdr>
        </w:div>
        <w:div w:id="1845583447">
          <w:marLeft w:val="0"/>
          <w:marRight w:val="0"/>
          <w:marTop w:val="0"/>
          <w:marBottom w:val="0"/>
          <w:divBdr>
            <w:top w:val="none" w:sz="0" w:space="0" w:color="auto"/>
            <w:left w:val="none" w:sz="0" w:space="0" w:color="auto"/>
            <w:bottom w:val="none" w:sz="0" w:space="0" w:color="auto"/>
            <w:right w:val="none" w:sz="0" w:space="0" w:color="auto"/>
          </w:divBdr>
        </w:div>
      </w:divsChild>
    </w:div>
    <w:div w:id="194393217">
      <w:bodyDiv w:val="1"/>
      <w:marLeft w:val="0"/>
      <w:marRight w:val="0"/>
      <w:marTop w:val="0"/>
      <w:marBottom w:val="0"/>
      <w:divBdr>
        <w:top w:val="none" w:sz="0" w:space="0" w:color="auto"/>
        <w:left w:val="none" w:sz="0" w:space="0" w:color="auto"/>
        <w:bottom w:val="none" w:sz="0" w:space="0" w:color="auto"/>
        <w:right w:val="none" w:sz="0" w:space="0" w:color="auto"/>
      </w:divBdr>
      <w:divsChild>
        <w:div w:id="419066583">
          <w:marLeft w:val="0"/>
          <w:marRight w:val="0"/>
          <w:marTop w:val="0"/>
          <w:marBottom w:val="0"/>
          <w:divBdr>
            <w:top w:val="none" w:sz="0" w:space="0" w:color="auto"/>
            <w:left w:val="none" w:sz="0" w:space="0" w:color="auto"/>
            <w:bottom w:val="none" w:sz="0" w:space="0" w:color="auto"/>
            <w:right w:val="none" w:sz="0" w:space="0" w:color="auto"/>
          </w:divBdr>
        </w:div>
        <w:div w:id="637030052">
          <w:marLeft w:val="0"/>
          <w:marRight w:val="0"/>
          <w:marTop w:val="0"/>
          <w:marBottom w:val="0"/>
          <w:divBdr>
            <w:top w:val="none" w:sz="0" w:space="0" w:color="auto"/>
            <w:left w:val="none" w:sz="0" w:space="0" w:color="auto"/>
            <w:bottom w:val="none" w:sz="0" w:space="0" w:color="auto"/>
            <w:right w:val="none" w:sz="0" w:space="0" w:color="auto"/>
          </w:divBdr>
        </w:div>
      </w:divsChild>
    </w:div>
    <w:div w:id="270356557">
      <w:bodyDiv w:val="1"/>
      <w:marLeft w:val="0"/>
      <w:marRight w:val="0"/>
      <w:marTop w:val="0"/>
      <w:marBottom w:val="0"/>
      <w:divBdr>
        <w:top w:val="none" w:sz="0" w:space="0" w:color="auto"/>
        <w:left w:val="none" w:sz="0" w:space="0" w:color="auto"/>
        <w:bottom w:val="none" w:sz="0" w:space="0" w:color="auto"/>
        <w:right w:val="none" w:sz="0" w:space="0" w:color="auto"/>
      </w:divBdr>
      <w:divsChild>
        <w:div w:id="42291985">
          <w:marLeft w:val="0"/>
          <w:marRight w:val="0"/>
          <w:marTop w:val="0"/>
          <w:marBottom w:val="0"/>
          <w:divBdr>
            <w:top w:val="none" w:sz="0" w:space="0" w:color="auto"/>
            <w:left w:val="none" w:sz="0" w:space="0" w:color="auto"/>
            <w:bottom w:val="none" w:sz="0" w:space="0" w:color="auto"/>
            <w:right w:val="none" w:sz="0" w:space="0" w:color="auto"/>
          </w:divBdr>
        </w:div>
        <w:div w:id="110326780">
          <w:marLeft w:val="0"/>
          <w:marRight w:val="0"/>
          <w:marTop w:val="0"/>
          <w:marBottom w:val="0"/>
          <w:divBdr>
            <w:top w:val="none" w:sz="0" w:space="0" w:color="auto"/>
            <w:left w:val="none" w:sz="0" w:space="0" w:color="auto"/>
            <w:bottom w:val="none" w:sz="0" w:space="0" w:color="auto"/>
            <w:right w:val="none" w:sz="0" w:space="0" w:color="auto"/>
          </w:divBdr>
        </w:div>
        <w:div w:id="349139310">
          <w:marLeft w:val="0"/>
          <w:marRight w:val="0"/>
          <w:marTop w:val="0"/>
          <w:marBottom w:val="0"/>
          <w:divBdr>
            <w:top w:val="none" w:sz="0" w:space="0" w:color="auto"/>
            <w:left w:val="none" w:sz="0" w:space="0" w:color="auto"/>
            <w:bottom w:val="none" w:sz="0" w:space="0" w:color="auto"/>
            <w:right w:val="none" w:sz="0" w:space="0" w:color="auto"/>
          </w:divBdr>
        </w:div>
        <w:div w:id="436486791">
          <w:marLeft w:val="0"/>
          <w:marRight w:val="0"/>
          <w:marTop w:val="0"/>
          <w:marBottom w:val="0"/>
          <w:divBdr>
            <w:top w:val="none" w:sz="0" w:space="0" w:color="auto"/>
            <w:left w:val="none" w:sz="0" w:space="0" w:color="auto"/>
            <w:bottom w:val="none" w:sz="0" w:space="0" w:color="auto"/>
            <w:right w:val="none" w:sz="0" w:space="0" w:color="auto"/>
          </w:divBdr>
        </w:div>
        <w:div w:id="466511928">
          <w:marLeft w:val="0"/>
          <w:marRight w:val="0"/>
          <w:marTop w:val="0"/>
          <w:marBottom w:val="0"/>
          <w:divBdr>
            <w:top w:val="none" w:sz="0" w:space="0" w:color="auto"/>
            <w:left w:val="none" w:sz="0" w:space="0" w:color="auto"/>
            <w:bottom w:val="none" w:sz="0" w:space="0" w:color="auto"/>
            <w:right w:val="none" w:sz="0" w:space="0" w:color="auto"/>
          </w:divBdr>
        </w:div>
        <w:div w:id="498616297">
          <w:marLeft w:val="0"/>
          <w:marRight w:val="0"/>
          <w:marTop w:val="0"/>
          <w:marBottom w:val="0"/>
          <w:divBdr>
            <w:top w:val="none" w:sz="0" w:space="0" w:color="auto"/>
            <w:left w:val="none" w:sz="0" w:space="0" w:color="auto"/>
            <w:bottom w:val="none" w:sz="0" w:space="0" w:color="auto"/>
            <w:right w:val="none" w:sz="0" w:space="0" w:color="auto"/>
          </w:divBdr>
        </w:div>
        <w:div w:id="802380560">
          <w:marLeft w:val="0"/>
          <w:marRight w:val="0"/>
          <w:marTop w:val="0"/>
          <w:marBottom w:val="0"/>
          <w:divBdr>
            <w:top w:val="none" w:sz="0" w:space="0" w:color="auto"/>
            <w:left w:val="none" w:sz="0" w:space="0" w:color="auto"/>
            <w:bottom w:val="none" w:sz="0" w:space="0" w:color="auto"/>
            <w:right w:val="none" w:sz="0" w:space="0" w:color="auto"/>
          </w:divBdr>
        </w:div>
        <w:div w:id="913900619">
          <w:marLeft w:val="0"/>
          <w:marRight w:val="0"/>
          <w:marTop w:val="0"/>
          <w:marBottom w:val="0"/>
          <w:divBdr>
            <w:top w:val="none" w:sz="0" w:space="0" w:color="auto"/>
            <w:left w:val="none" w:sz="0" w:space="0" w:color="auto"/>
            <w:bottom w:val="none" w:sz="0" w:space="0" w:color="auto"/>
            <w:right w:val="none" w:sz="0" w:space="0" w:color="auto"/>
          </w:divBdr>
        </w:div>
        <w:div w:id="938877369">
          <w:marLeft w:val="0"/>
          <w:marRight w:val="0"/>
          <w:marTop w:val="0"/>
          <w:marBottom w:val="0"/>
          <w:divBdr>
            <w:top w:val="none" w:sz="0" w:space="0" w:color="auto"/>
            <w:left w:val="none" w:sz="0" w:space="0" w:color="auto"/>
            <w:bottom w:val="none" w:sz="0" w:space="0" w:color="auto"/>
            <w:right w:val="none" w:sz="0" w:space="0" w:color="auto"/>
          </w:divBdr>
        </w:div>
        <w:div w:id="1039626081">
          <w:marLeft w:val="0"/>
          <w:marRight w:val="0"/>
          <w:marTop w:val="0"/>
          <w:marBottom w:val="0"/>
          <w:divBdr>
            <w:top w:val="none" w:sz="0" w:space="0" w:color="auto"/>
            <w:left w:val="none" w:sz="0" w:space="0" w:color="auto"/>
            <w:bottom w:val="none" w:sz="0" w:space="0" w:color="auto"/>
            <w:right w:val="none" w:sz="0" w:space="0" w:color="auto"/>
          </w:divBdr>
        </w:div>
        <w:div w:id="1051997318">
          <w:marLeft w:val="0"/>
          <w:marRight w:val="0"/>
          <w:marTop w:val="0"/>
          <w:marBottom w:val="0"/>
          <w:divBdr>
            <w:top w:val="none" w:sz="0" w:space="0" w:color="auto"/>
            <w:left w:val="none" w:sz="0" w:space="0" w:color="auto"/>
            <w:bottom w:val="none" w:sz="0" w:space="0" w:color="auto"/>
            <w:right w:val="none" w:sz="0" w:space="0" w:color="auto"/>
          </w:divBdr>
        </w:div>
        <w:div w:id="1100831020">
          <w:marLeft w:val="0"/>
          <w:marRight w:val="0"/>
          <w:marTop w:val="0"/>
          <w:marBottom w:val="0"/>
          <w:divBdr>
            <w:top w:val="none" w:sz="0" w:space="0" w:color="auto"/>
            <w:left w:val="none" w:sz="0" w:space="0" w:color="auto"/>
            <w:bottom w:val="none" w:sz="0" w:space="0" w:color="auto"/>
            <w:right w:val="none" w:sz="0" w:space="0" w:color="auto"/>
          </w:divBdr>
        </w:div>
        <w:div w:id="1148665161">
          <w:marLeft w:val="0"/>
          <w:marRight w:val="0"/>
          <w:marTop w:val="0"/>
          <w:marBottom w:val="0"/>
          <w:divBdr>
            <w:top w:val="none" w:sz="0" w:space="0" w:color="auto"/>
            <w:left w:val="none" w:sz="0" w:space="0" w:color="auto"/>
            <w:bottom w:val="none" w:sz="0" w:space="0" w:color="auto"/>
            <w:right w:val="none" w:sz="0" w:space="0" w:color="auto"/>
          </w:divBdr>
        </w:div>
        <w:div w:id="1172406145">
          <w:marLeft w:val="0"/>
          <w:marRight w:val="0"/>
          <w:marTop w:val="0"/>
          <w:marBottom w:val="0"/>
          <w:divBdr>
            <w:top w:val="none" w:sz="0" w:space="0" w:color="auto"/>
            <w:left w:val="none" w:sz="0" w:space="0" w:color="auto"/>
            <w:bottom w:val="none" w:sz="0" w:space="0" w:color="auto"/>
            <w:right w:val="none" w:sz="0" w:space="0" w:color="auto"/>
          </w:divBdr>
        </w:div>
        <w:div w:id="1568027487">
          <w:marLeft w:val="0"/>
          <w:marRight w:val="0"/>
          <w:marTop w:val="0"/>
          <w:marBottom w:val="0"/>
          <w:divBdr>
            <w:top w:val="none" w:sz="0" w:space="0" w:color="auto"/>
            <w:left w:val="none" w:sz="0" w:space="0" w:color="auto"/>
            <w:bottom w:val="none" w:sz="0" w:space="0" w:color="auto"/>
            <w:right w:val="none" w:sz="0" w:space="0" w:color="auto"/>
          </w:divBdr>
        </w:div>
        <w:div w:id="1605571258">
          <w:marLeft w:val="0"/>
          <w:marRight w:val="0"/>
          <w:marTop w:val="0"/>
          <w:marBottom w:val="0"/>
          <w:divBdr>
            <w:top w:val="none" w:sz="0" w:space="0" w:color="auto"/>
            <w:left w:val="none" w:sz="0" w:space="0" w:color="auto"/>
            <w:bottom w:val="none" w:sz="0" w:space="0" w:color="auto"/>
            <w:right w:val="none" w:sz="0" w:space="0" w:color="auto"/>
          </w:divBdr>
        </w:div>
        <w:div w:id="1616592450">
          <w:marLeft w:val="0"/>
          <w:marRight w:val="0"/>
          <w:marTop w:val="0"/>
          <w:marBottom w:val="0"/>
          <w:divBdr>
            <w:top w:val="none" w:sz="0" w:space="0" w:color="auto"/>
            <w:left w:val="none" w:sz="0" w:space="0" w:color="auto"/>
            <w:bottom w:val="none" w:sz="0" w:space="0" w:color="auto"/>
            <w:right w:val="none" w:sz="0" w:space="0" w:color="auto"/>
          </w:divBdr>
        </w:div>
        <w:div w:id="2099401307">
          <w:marLeft w:val="0"/>
          <w:marRight w:val="0"/>
          <w:marTop w:val="0"/>
          <w:marBottom w:val="0"/>
          <w:divBdr>
            <w:top w:val="none" w:sz="0" w:space="0" w:color="auto"/>
            <w:left w:val="none" w:sz="0" w:space="0" w:color="auto"/>
            <w:bottom w:val="none" w:sz="0" w:space="0" w:color="auto"/>
            <w:right w:val="none" w:sz="0" w:space="0" w:color="auto"/>
          </w:divBdr>
        </w:div>
      </w:divsChild>
    </w:div>
    <w:div w:id="537858730">
      <w:bodyDiv w:val="1"/>
      <w:marLeft w:val="0"/>
      <w:marRight w:val="0"/>
      <w:marTop w:val="0"/>
      <w:marBottom w:val="0"/>
      <w:divBdr>
        <w:top w:val="none" w:sz="0" w:space="0" w:color="auto"/>
        <w:left w:val="none" w:sz="0" w:space="0" w:color="auto"/>
        <w:bottom w:val="none" w:sz="0" w:space="0" w:color="auto"/>
        <w:right w:val="none" w:sz="0" w:space="0" w:color="auto"/>
      </w:divBdr>
      <w:divsChild>
        <w:div w:id="547643520">
          <w:marLeft w:val="0"/>
          <w:marRight w:val="0"/>
          <w:marTop w:val="0"/>
          <w:marBottom w:val="0"/>
          <w:divBdr>
            <w:top w:val="none" w:sz="0" w:space="0" w:color="auto"/>
            <w:left w:val="none" w:sz="0" w:space="0" w:color="auto"/>
            <w:bottom w:val="none" w:sz="0" w:space="0" w:color="auto"/>
            <w:right w:val="none" w:sz="0" w:space="0" w:color="auto"/>
          </w:divBdr>
        </w:div>
        <w:div w:id="635840756">
          <w:marLeft w:val="0"/>
          <w:marRight w:val="0"/>
          <w:marTop w:val="0"/>
          <w:marBottom w:val="0"/>
          <w:divBdr>
            <w:top w:val="none" w:sz="0" w:space="0" w:color="auto"/>
            <w:left w:val="none" w:sz="0" w:space="0" w:color="auto"/>
            <w:bottom w:val="none" w:sz="0" w:space="0" w:color="auto"/>
            <w:right w:val="none" w:sz="0" w:space="0" w:color="auto"/>
          </w:divBdr>
        </w:div>
      </w:divsChild>
    </w:div>
    <w:div w:id="670184265">
      <w:bodyDiv w:val="1"/>
      <w:marLeft w:val="0"/>
      <w:marRight w:val="0"/>
      <w:marTop w:val="0"/>
      <w:marBottom w:val="0"/>
      <w:divBdr>
        <w:top w:val="none" w:sz="0" w:space="0" w:color="auto"/>
        <w:left w:val="none" w:sz="0" w:space="0" w:color="auto"/>
        <w:bottom w:val="none" w:sz="0" w:space="0" w:color="auto"/>
        <w:right w:val="none" w:sz="0" w:space="0" w:color="auto"/>
      </w:divBdr>
    </w:div>
    <w:div w:id="863513976">
      <w:bodyDiv w:val="1"/>
      <w:marLeft w:val="0"/>
      <w:marRight w:val="0"/>
      <w:marTop w:val="0"/>
      <w:marBottom w:val="0"/>
      <w:divBdr>
        <w:top w:val="none" w:sz="0" w:space="0" w:color="auto"/>
        <w:left w:val="none" w:sz="0" w:space="0" w:color="auto"/>
        <w:bottom w:val="none" w:sz="0" w:space="0" w:color="auto"/>
        <w:right w:val="none" w:sz="0" w:space="0" w:color="auto"/>
      </w:divBdr>
    </w:div>
    <w:div w:id="865753930">
      <w:bodyDiv w:val="1"/>
      <w:marLeft w:val="0"/>
      <w:marRight w:val="0"/>
      <w:marTop w:val="0"/>
      <w:marBottom w:val="0"/>
      <w:divBdr>
        <w:top w:val="none" w:sz="0" w:space="0" w:color="auto"/>
        <w:left w:val="none" w:sz="0" w:space="0" w:color="auto"/>
        <w:bottom w:val="none" w:sz="0" w:space="0" w:color="auto"/>
        <w:right w:val="none" w:sz="0" w:space="0" w:color="auto"/>
      </w:divBdr>
      <w:divsChild>
        <w:div w:id="264046711">
          <w:marLeft w:val="0"/>
          <w:marRight w:val="0"/>
          <w:marTop w:val="0"/>
          <w:marBottom w:val="0"/>
          <w:divBdr>
            <w:top w:val="none" w:sz="0" w:space="0" w:color="auto"/>
            <w:left w:val="none" w:sz="0" w:space="0" w:color="auto"/>
            <w:bottom w:val="none" w:sz="0" w:space="0" w:color="auto"/>
            <w:right w:val="none" w:sz="0" w:space="0" w:color="auto"/>
          </w:divBdr>
        </w:div>
        <w:div w:id="315425080">
          <w:marLeft w:val="0"/>
          <w:marRight w:val="0"/>
          <w:marTop w:val="0"/>
          <w:marBottom w:val="0"/>
          <w:divBdr>
            <w:top w:val="none" w:sz="0" w:space="0" w:color="auto"/>
            <w:left w:val="none" w:sz="0" w:space="0" w:color="auto"/>
            <w:bottom w:val="none" w:sz="0" w:space="0" w:color="auto"/>
            <w:right w:val="none" w:sz="0" w:space="0" w:color="auto"/>
          </w:divBdr>
        </w:div>
        <w:div w:id="355892780">
          <w:marLeft w:val="0"/>
          <w:marRight w:val="0"/>
          <w:marTop w:val="0"/>
          <w:marBottom w:val="0"/>
          <w:divBdr>
            <w:top w:val="none" w:sz="0" w:space="0" w:color="auto"/>
            <w:left w:val="none" w:sz="0" w:space="0" w:color="auto"/>
            <w:bottom w:val="none" w:sz="0" w:space="0" w:color="auto"/>
            <w:right w:val="none" w:sz="0" w:space="0" w:color="auto"/>
          </w:divBdr>
        </w:div>
        <w:div w:id="751972603">
          <w:marLeft w:val="0"/>
          <w:marRight w:val="0"/>
          <w:marTop w:val="0"/>
          <w:marBottom w:val="0"/>
          <w:divBdr>
            <w:top w:val="none" w:sz="0" w:space="0" w:color="auto"/>
            <w:left w:val="none" w:sz="0" w:space="0" w:color="auto"/>
            <w:bottom w:val="none" w:sz="0" w:space="0" w:color="auto"/>
            <w:right w:val="none" w:sz="0" w:space="0" w:color="auto"/>
          </w:divBdr>
        </w:div>
        <w:div w:id="1095248631">
          <w:marLeft w:val="0"/>
          <w:marRight w:val="0"/>
          <w:marTop w:val="0"/>
          <w:marBottom w:val="0"/>
          <w:divBdr>
            <w:top w:val="none" w:sz="0" w:space="0" w:color="auto"/>
            <w:left w:val="none" w:sz="0" w:space="0" w:color="auto"/>
            <w:bottom w:val="none" w:sz="0" w:space="0" w:color="auto"/>
            <w:right w:val="none" w:sz="0" w:space="0" w:color="auto"/>
          </w:divBdr>
        </w:div>
        <w:div w:id="1245720960">
          <w:marLeft w:val="0"/>
          <w:marRight w:val="0"/>
          <w:marTop w:val="0"/>
          <w:marBottom w:val="0"/>
          <w:divBdr>
            <w:top w:val="none" w:sz="0" w:space="0" w:color="auto"/>
            <w:left w:val="none" w:sz="0" w:space="0" w:color="auto"/>
            <w:bottom w:val="none" w:sz="0" w:space="0" w:color="auto"/>
            <w:right w:val="none" w:sz="0" w:space="0" w:color="auto"/>
          </w:divBdr>
        </w:div>
        <w:div w:id="1308049527">
          <w:marLeft w:val="0"/>
          <w:marRight w:val="0"/>
          <w:marTop w:val="0"/>
          <w:marBottom w:val="0"/>
          <w:divBdr>
            <w:top w:val="none" w:sz="0" w:space="0" w:color="auto"/>
            <w:left w:val="none" w:sz="0" w:space="0" w:color="auto"/>
            <w:bottom w:val="none" w:sz="0" w:space="0" w:color="auto"/>
            <w:right w:val="none" w:sz="0" w:space="0" w:color="auto"/>
          </w:divBdr>
        </w:div>
        <w:div w:id="1354647205">
          <w:marLeft w:val="0"/>
          <w:marRight w:val="0"/>
          <w:marTop w:val="0"/>
          <w:marBottom w:val="0"/>
          <w:divBdr>
            <w:top w:val="none" w:sz="0" w:space="0" w:color="auto"/>
            <w:left w:val="none" w:sz="0" w:space="0" w:color="auto"/>
            <w:bottom w:val="none" w:sz="0" w:space="0" w:color="auto"/>
            <w:right w:val="none" w:sz="0" w:space="0" w:color="auto"/>
          </w:divBdr>
        </w:div>
        <w:div w:id="1458639405">
          <w:marLeft w:val="0"/>
          <w:marRight w:val="0"/>
          <w:marTop w:val="0"/>
          <w:marBottom w:val="0"/>
          <w:divBdr>
            <w:top w:val="none" w:sz="0" w:space="0" w:color="auto"/>
            <w:left w:val="none" w:sz="0" w:space="0" w:color="auto"/>
            <w:bottom w:val="none" w:sz="0" w:space="0" w:color="auto"/>
            <w:right w:val="none" w:sz="0" w:space="0" w:color="auto"/>
          </w:divBdr>
        </w:div>
      </w:divsChild>
    </w:div>
    <w:div w:id="932781161">
      <w:bodyDiv w:val="1"/>
      <w:marLeft w:val="0"/>
      <w:marRight w:val="0"/>
      <w:marTop w:val="0"/>
      <w:marBottom w:val="0"/>
      <w:divBdr>
        <w:top w:val="none" w:sz="0" w:space="0" w:color="auto"/>
        <w:left w:val="none" w:sz="0" w:space="0" w:color="auto"/>
        <w:bottom w:val="none" w:sz="0" w:space="0" w:color="auto"/>
        <w:right w:val="none" w:sz="0" w:space="0" w:color="auto"/>
      </w:divBdr>
      <w:divsChild>
        <w:div w:id="122503164">
          <w:marLeft w:val="0"/>
          <w:marRight w:val="0"/>
          <w:marTop w:val="0"/>
          <w:marBottom w:val="0"/>
          <w:divBdr>
            <w:top w:val="none" w:sz="0" w:space="0" w:color="auto"/>
            <w:left w:val="none" w:sz="0" w:space="0" w:color="auto"/>
            <w:bottom w:val="none" w:sz="0" w:space="0" w:color="auto"/>
            <w:right w:val="none" w:sz="0" w:space="0" w:color="auto"/>
          </w:divBdr>
        </w:div>
        <w:div w:id="242840879">
          <w:marLeft w:val="0"/>
          <w:marRight w:val="0"/>
          <w:marTop w:val="0"/>
          <w:marBottom w:val="0"/>
          <w:divBdr>
            <w:top w:val="none" w:sz="0" w:space="0" w:color="auto"/>
            <w:left w:val="none" w:sz="0" w:space="0" w:color="auto"/>
            <w:bottom w:val="none" w:sz="0" w:space="0" w:color="auto"/>
            <w:right w:val="none" w:sz="0" w:space="0" w:color="auto"/>
          </w:divBdr>
        </w:div>
        <w:div w:id="444693828">
          <w:marLeft w:val="0"/>
          <w:marRight w:val="0"/>
          <w:marTop w:val="0"/>
          <w:marBottom w:val="0"/>
          <w:divBdr>
            <w:top w:val="none" w:sz="0" w:space="0" w:color="auto"/>
            <w:left w:val="none" w:sz="0" w:space="0" w:color="auto"/>
            <w:bottom w:val="none" w:sz="0" w:space="0" w:color="auto"/>
            <w:right w:val="none" w:sz="0" w:space="0" w:color="auto"/>
          </w:divBdr>
          <w:divsChild>
            <w:div w:id="1356541342">
              <w:marLeft w:val="0"/>
              <w:marRight w:val="0"/>
              <w:marTop w:val="0"/>
              <w:marBottom w:val="0"/>
              <w:divBdr>
                <w:top w:val="none" w:sz="0" w:space="0" w:color="auto"/>
                <w:left w:val="none" w:sz="0" w:space="0" w:color="auto"/>
                <w:bottom w:val="none" w:sz="0" w:space="0" w:color="auto"/>
                <w:right w:val="none" w:sz="0" w:space="0" w:color="auto"/>
              </w:divBdr>
            </w:div>
            <w:div w:id="1394230382">
              <w:marLeft w:val="0"/>
              <w:marRight w:val="0"/>
              <w:marTop w:val="0"/>
              <w:marBottom w:val="0"/>
              <w:divBdr>
                <w:top w:val="none" w:sz="0" w:space="0" w:color="auto"/>
                <w:left w:val="none" w:sz="0" w:space="0" w:color="auto"/>
                <w:bottom w:val="none" w:sz="0" w:space="0" w:color="auto"/>
                <w:right w:val="none" w:sz="0" w:space="0" w:color="auto"/>
              </w:divBdr>
            </w:div>
            <w:div w:id="1402025076">
              <w:marLeft w:val="0"/>
              <w:marRight w:val="0"/>
              <w:marTop w:val="0"/>
              <w:marBottom w:val="0"/>
              <w:divBdr>
                <w:top w:val="none" w:sz="0" w:space="0" w:color="auto"/>
                <w:left w:val="none" w:sz="0" w:space="0" w:color="auto"/>
                <w:bottom w:val="none" w:sz="0" w:space="0" w:color="auto"/>
                <w:right w:val="none" w:sz="0" w:space="0" w:color="auto"/>
              </w:divBdr>
            </w:div>
            <w:div w:id="1572151680">
              <w:marLeft w:val="0"/>
              <w:marRight w:val="0"/>
              <w:marTop w:val="0"/>
              <w:marBottom w:val="0"/>
              <w:divBdr>
                <w:top w:val="none" w:sz="0" w:space="0" w:color="auto"/>
                <w:left w:val="none" w:sz="0" w:space="0" w:color="auto"/>
                <w:bottom w:val="none" w:sz="0" w:space="0" w:color="auto"/>
                <w:right w:val="none" w:sz="0" w:space="0" w:color="auto"/>
              </w:divBdr>
            </w:div>
            <w:div w:id="2124567650">
              <w:marLeft w:val="0"/>
              <w:marRight w:val="0"/>
              <w:marTop w:val="0"/>
              <w:marBottom w:val="0"/>
              <w:divBdr>
                <w:top w:val="none" w:sz="0" w:space="0" w:color="auto"/>
                <w:left w:val="none" w:sz="0" w:space="0" w:color="auto"/>
                <w:bottom w:val="none" w:sz="0" w:space="0" w:color="auto"/>
                <w:right w:val="none" w:sz="0" w:space="0" w:color="auto"/>
              </w:divBdr>
            </w:div>
          </w:divsChild>
        </w:div>
        <w:div w:id="1030104697">
          <w:marLeft w:val="0"/>
          <w:marRight w:val="0"/>
          <w:marTop w:val="0"/>
          <w:marBottom w:val="0"/>
          <w:divBdr>
            <w:top w:val="none" w:sz="0" w:space="0" w:color="auto"/>
            <w:left w:val="none" w:sz="0" w:space="0" w:color="auto"/>
            <w:bottom w:val="none" w:sz="0" w:space="0" w:color="auto"/>
            <w:right w:val="none" w:sz="0" w:space="0" w:color="auto"/>
          </w:divBdr>
        </w:div>
        <w:div w:id="1164855860">
          <w:marLeft w:val="0"/>
          <w:marRight w:val="0"/>
          <w:marTop w:val="0"/>
          <w:marBottom w:val="0"/>
          <w:divBdr>
            <w:top w:val="none" w:sz="0" w:space="0" w:color="auto"/>
            <w:left w:val="none" w:sz="0" w:space="0" w:color="auto"/>
            <w:bottom w:val="none" w:sz="0" w:space="0" w:color="auto"/>
            <w:right w:val="none" w:sz="0" w:space="0" w:color="auto"/>
          </w:divBdr>
        </w:div>
        <w:div w:id="1175848572">
          <w:marLeft w:val="0"/>
          <w:marRight w:val="0"/>
          <w:marTop w:val="0"/>
          <w:marBottom w:val="0"/>
          <w:divBdr>
            <w:top w:val="none" w:sz="0" w:space="0" w:color="auto"/>
            <w:left w:val="none" w:sz="0" w:space="0" w:color="auto"/>
            <w:bottom w:val="none" w:sz="0" w:space="0" w:color="auto"/>
            <w:right w:val="none" w:sz="0" w:space="0" w:color="auto"/>
          </w:divBdr>
        </w:div>
        <w:div w:id="1298024293">
          <w:marLeft w:val="0"/>
          <w:marRight w:val="0"/>
          <w:marTop w:val="0"/>
          <w:marBottom w:val="0"/>
          <w:divBdr>
            <w:top w:val="none" w:sz="0" w:space="0" w:color="auto"/>
            <w:left w:val="none" w:sz="0" w:space="0" w:color="auto"/>
            <w:bottom w:val="none" w:sz="0" w:space="0" w:color="auto"/>
            <w:right w:val="none" w:sz="0" w:space="0" w:color="auto"/>
          </w:divBdr>
        </w:div>
      </w:divsChild>
    </w:div>
    <w:div w:id="1061173013">
      <w:bodyDiv w:val="1"/>
      <w:marLeft w:val="0"/>
      <w:marRight w:val="0"/>
      <w:marTop w:val="0"/>
      <w:marBottom w:val="0"/>
      <w:divBdr>
        <w:top w:val="none" w:sz="0" w:space="0" w:color="auto"/>
        <w:left w:val="none" w:sz="0" w:space="0" w:color="auto"/>
        <w:bottom w:val="none" w:sz="0" w:space="0" w:color="auto"/>
        <w:right w:val="none" w:sz="0" w:space="0" w:color="auto"/>
      </w:divBdr>
      <w:divsChild>
        <w:div w:id="200090657">
          <w:marLeft w:val="0"/>
          <w:marRight w:val="0"/>
          <w:marTop w:val="0"/>
          <w:marBottom w:val="0"/>
          <w:divBdr>
            <w:top w:val="none" w:sz="0" w:space="0" w:color="auto"/>
            <w:left w:val="none" w:sz="0" w:space="0" w:color="auto"/>
            <w:bottom w:val="none" w:sz="0" w:space="0" w:color="auto"/>
            <w:right w:val="none" w:sz="0" w:space="0" w:color="auto"/>
          </w:divBdr>
        </w:div>
        <w:div w:id="1562668775">
          <w:marLeft w:val="0"/>
          <w:marRight w:val="0"/>
          <w:marTop w:val="0"/>
          <w:marBottom w:val="0"/>
          <w:divBdr>
            <w:top w:val="none" w:sz="0" w:space="0" w:color="auto"/>
            <w:left w:val="none" w:sz="0" w:space="0" w:color="auto"/>
            <w:bottom w:val="none" w:sz="0" w:space="0" w:color="auto"/>
            <w:right w:val="none" w:sz="0" w:space="0" w:color="auto"/>
          </w:divBdr>
        </w:div>
      </w:divsChild>
    </w:div>
    <w:div w:id="1207181011">
      <w:bodyDiv w:val="1"/>
      <w:marLeft w:val="0"/>
      <w:marRight w:val="0"/>
      <w:marTop w:val="0"/>
      <w:marBottom w:val="0"/>
      <w:divBdr>
        <w:top w:val="none" w:sz="0" w:space="0" w:color="auto"/>
        <w:left w:val="none" w:sz="0" w:space="0" w:color="auto"/>
        <w:bottom w:val="none" w:sz="0" w:space="0" w:color="auto"/>
        <w:right w:val="none" w:sz="0" w:space="0" w:color="auto"/>
      </w:divBdr>
    </w:div>
    <w:div w:id="1254166713">
      <w:bodyDiv w:val="1"/>
      <w:marLeft w:val="0"/>
      <w:marRight w:val="0"/>
      <w:marTop w:val="0"/>
      <w:marBottom w:val="0"/>
      <w:divBdr>
        <w:top w:val="none" w:sz="0" w:space="0" w:color="auto"/>
        <w:left w:val="none" w:sz="0" w:space="0" w:color="auto"/>
        <w:bottom w:val="none" w:sz="0" w:space="0" w:color="auto"/>
        <w:right w:val="none" w:sz="0" w:space="0" w:color="auto"/>
      </w:divBdr>
      <w:divsChild>
        <w:div w:id="655842749">
          <w:marLeft w:val="0"/>
          <w:marRight w:val="0"/>
          <w:marTop w:val="0"/>
          <w:marBottom w:val="0"/>
          <w:divBdr>
            <w:top w:val="none" w:sz="0" w:space="0" w:color="auto"/>
            <w:left w:val="none" w:sz="0" w:space="0" w:color="auto"/>
            <w:bottom w:val="none" w:sz="0" w:space="0" w:color="auto"/>
            <w:right w:val="none" w:sz="0" w:space="0" w:color="auto"/>
          </w:divBdr>
        </w:div>
        <w:div w:id="1098450800">
          <w:marLeft w:val="0"/>
          <w:marRight w:val="0"/>
          <w:marTop w:val="0"/>
          <w:marBottom w:val="0"/>
          <w:divBdr>
            <w:top w:val="none" w:sz="0" w:space="0" w:color="auto"/>
            <w:left w:val="none" w:sz="0" w:space="0" w:color="auto"/>
            <w:bottom w:val="none" w:sz="0" w:space="0" w:color="auto"/>
            <w:right w:val="none" w:sz="0" w:space="0" w:color="auto"/>
          </w:divBdr>
        </w:div>
      </w:divsChild>
    </w:div>
    <w:div w:id="1383215273">
      <w:bodyDiv w:val="1"/>
      <w:marLeft w:val="0"/>
      <w:marRight w:val="0"/>
      <w:marTop w:val="0"/>
      <w:marBottom w:val="0"/>
      <w:divBdr>
        <w:top w:val="none" w:sz="0" w:space="0" w:color="auto"/>
        <w:left w:val="none" w:sz="0" w:space="0" w:color="auto"/>
        <w:bottom w:val="none" w:sz="0" w:space="0" w:color="auto"/>
        <w:right w:val="none" w:sz="0" w:space="0" w:color="auto"/>
      </w:divBdr>
    </w:div>
    <w:div w:id="1408503361">
      <w:bodyDiv w:val="1"/>
      <w:marLeft w:val="0"/>
      <w:marRight w:val="0"/>
      <w:marTop w:val="0"/>
      <w:marBottom w:val="0"/>
      <w:divBdr>
        <w:top w:val="none" w:sz="0" w:space="0" w:color="auto"/>
        <w:left w:val="none" w:sz="0" w:space="0" w:color="auto"/>
        <w:bottom w:val="none" w:sz="0" w:space="0" w:color="auto"/>
        <w:right w:val="none" w:sz="0" w:space="0" w:color="auto"/>
      </w:divBdr>
    </w:div>
    <w:div w:id="1483615258">
      <w:bodyDiv w:val="1"/>
      <w:marLeft w:val="0"/>
      <w:marRight w:val="0"/>
      <w:marTop w:val="0"/>
      <w:marBottom w:val="0"/>
      <w:divBdr>
        <w:top w:val="none" w:sz="0" w:space="0" w:color="auto"/>
        <w:left w:val="none" w:sz="0" w:space="0" w:color="auto"/>
        <w:bottom w:val="none" w:sz="0" w:space="0" w:color="auto"/>
        <w:right w:val="none" w:sz="0" w:space="0" w:color="auto"/>
      </w:divBdr>
    </w:div>
    <w:div w:id="1500580365">
      <w:bodyDiv w:val="1"/>
      <w:marLeft w:val="0"/>
      <w:marRight w:val="0"/>
      <w:marTop w:val="0"/>
      <w:marBottom w:val="0"/>
      <w:divBdr>
        <w:top w:val="none" w:sz="0" w:space="0" w:color="auto"/>
        <w:left w:val="none" w:sz="0" w:space="0" w:color="auto"/>
        <w:bottom w:val="none" w:sz="0" w:space="0" w:color="auto"/>
        <w:right w:val="none" w:sz="0" w:space="0" w:color="auto"/>
      </w:divBdr>
      <w:divsChild>
        <w:div w:id="496844596">
          <w:marLeft w:val="0"/>
          <w:marRight w:val="0"/>
          <w:marTop w:val="0"/>
          <w:marBottom w:val="0"/>
          <w:divBdr>
            <w:top w:val="none" w:sz="0" w:space="0" w:color="auto"/>
            <w:left w:val="none" w:sz="0" w:space="0" w:color="auto"/>
            <w:bottom w:val="none" w:sz="0" w:space="0" w:color="auto"/>
            <w:right w:val="none" w:sz="0" w:space="0" w:color="auto"/>
          </w:divBdr>
        </w:div>
        <w:div w:id="603921922">
          <w:marLeft w:val="0"/>
          <w:marRight w:val="0"/>
          <w:marTop w:val="0"/>
          <w:marBottom w:val="0"/>
          <w:divBdr>
            <w:top w:val="none" w:sz="0" w:space="0" w:color="auto"/>
            <w:left w:val="none" w:sz="0" w:space="0" w:color="auto"/>
            <w:bottom w:val="none" w:sz="0" w:space="0" w:color="auto"/>
            <w:right w:val="none" w:sz="0" w:space="0" w:color="auto"/>
          </w:divBdr>
        </w:div>
        <w:div w:id="877821031">
          <w:marLeft w:val="0"/>
          <w:marRight w:val="0"/>
          <w:marTop w:val="0"/>
          <w:marBottom w:val="0"/>
          <w:divBdr>
            <w:top w:val="none" w:sz="0" w:space="0" w:color="auto"/>
            <w:left w:val="none" w:sz="0" w:space="0" w:color="auto"/>
            <w:bottom w:val="none" w:sz="0" w:space="0" w:color="auto"/>
            <w:right w:val="none" w:sz="0" w:space="0" w:color="auto"/>
          </w:divBdr>
        </w:div>
        <w:div w:id="967051967">
          <w:marLeft w:val="0"/>
          <w:marRight w:val="0"/>
          <w:marTop w:val="0"/>
          <w:marBottom w:val="0"/>
          <w:divBdr>
            <w:top w:val="none" w:sz="0" w:space="0" w:color="auto"/>
            <w:left w:val="none" w:sz="0" w:space="0" w:color="auto"/>
            <w:bottom w:val="none" w:sz="0" w:space="0" w:color="auto"/>
            <w:right w:val="none" w:sz="0" w:space="0" w:color="auto"/>
          </w:divBdr>
        </w:div>
        <w:div w:id="991786142">
          <w:marLeft w:val="0"/>
          <w:marRight w:val="0"/>
          <w:marTop w:val="0"/>
          <w:marBottom w:val="0"/>
          <w:divBdr>
            <w:top w:val="none" w:sz="0" w:space="0" w:color="auto"/>
            <w:left w:val="none" w:sz="0" w:space="0" w:color="auto"/>
            <w:bottom w:val="none" w:sz="0" w:space="0" w:color="auto"/>
            <w:right w:val="none" w:sz="0" w:space="0" w:color="auto"/>
          </w:divBdr>
        </w:div>
        <w:div w:id="1045910140">
          <w:marLeft w:val="-75"/>
          <w:marRight w:val="0"/>
          <w:marTop w:val="30"/>
          <w:marBottom w:val="30"/>
          <w:divBdr>
            <w:top w:val="none" w:sz="0" w:space="0" w:color="auto"/>
            <w:left w:val="none" w:sz="0" w:space="0" w:color="auto"/>
            <w:bottom w:val="none" w:sz="0" w:space="0" w:color="auto"/>
            <w:right w:val="none" w:sz="0" w:space="0" w:color="auto"/>
          </w:divBdr>
          <w:divsChild>
            <w:div w:id="305546631">
              <w:marLeft w:val="0"/>
              <w:marRight w:val="0"/>
              <w:marTop w:val="0"/>
              <w:marBottom w:val="0"/>
              <w:divBdr>
                <w:top w:val="none" w:sz="0" w:space="0" w:color="auto"/>
                <w:left w:val="none" w:sz="0" w:space="0" w:color="auto"/>
                <w:bottom w:val="none" w:sz="0" w:space="0" w:color="auto"/>
                <w:right w:val="none" w:sz="0" w:space="0" w:color="auto"/>
              </w:divBdr>
              <w:divsChild>
                <w:div w:id="1066538259">
                  <w:marLeft w:val="0"/>
                  <w:marRight w:val="0"/>
                  <w:marTop w:val="0"/>
                  <w:marBottom w:val="0"/>
                  <w:divBdr>
                    <w:top w:val="none" w:sz="0" w:space="0" w:color="auto"/>
                    <w:left w:val="none" w:sz="0" w:space="0" w:color="auto"/>
                    <w:bottom w:val="none" w:sz="0" w:space="0" w:color="auto"/>
                    <w:right w:val="none" w:sz="0" w:space="0" w:color="auto"/>
                  </w:divBdr>
                </w:div>
              </w:divsChild>
            </w:div>
            <w:div w:id="551234177">
              <w:marLeft w:val="0"/>
              <w:marRight w:val="0"/>
              <w:marTop w:val="0"/>
              <w:marBottom w:val="0"/>
              <w:divBdr>
                <w:top w:val="none" w:sz="0" w:space="0" w:color="auto"/>
                <w:left w:val="none" w:sz="0" w:space="0" w:color="auto"/>
                <w:bottom w:val="none" w:sz="0" w:space="0" w:color="auto"/>
                <w:right w:val="none" w:sz="0" w:space="0" w:color="auto"/>
              </w:divBdr>
              <w:divsChild>
                <w:div w:id="1882741584">
                  <w:marLeft w:val="0"/>
                  <w:marRight w:val="0"/>
                  <w:marTop w:val="0"/>
                  <w:marBottom w:val="0"/>
                  <w:divBdr>
                    <w:top w:val="none" w:sz="0" w:space="0" w:color="auto"/>
                    <w:left w:val="none" w:sz="0" w:space="0" w:color="auto"/>
                    <w:bottom w:val="none" w:sz="0" w:space="0" w:color="auto"/>
                    <w:right w:val="none" w:sz="0" w:space="0" w:color="auto"/>
                  </w:divBdr>
                </w:div>
              </w:divsChild>
            </w:div>
            <w:div w:id="646858437">
              <w:marLeft w:val="0"/>
              <w:marRight w:val="0"/>
              <w:marTop w:val="0"/>
              <w:marBottom w:val="0"/>
              <w:divBdr>
                <w:top w:val="none" w:sz="0" w:space="0" w:color="auto"/>
                <w:left w:val="none" w:sz="0" w:space="0" w:color="auto"/>
                <w:bottom w:val="none" w:sz="0" w:space="0" w:color="auto"/>
                <w:right w:val="none" w:sz="0" w:space="0" w:color="auto"/>
              </w:divBdr>
              <w:divsChild>
                <w:div w:id="1088229665">
                  <w:marLeft w:val="0"/>
                  <w:marRight w:val="0"/>
                  <w:marTop w:val="0"/>
                  <w:marBottom w:val="0"/>
                  <w:divBdr>
                    <w:top w:val="none" w:sz="0" w:space="0" w:color="auto"/>
                    <w:left w:val="none" w:sz="0" w:space="0" w:color="auto"/>
                    <w:bottom w:val="none" w:sz="0" w:space="0" w:color="auto"/>
                    <w:right w:val="none" w:sz="0" w:space="0" w:color="auto"/>
                  </w:divBdr>
                </w:div>
              </w:divsChild>
            </w:div>
            <w:div w:id="881794576">
              <w:marLeft w:val="0"/>
              <w:marRight w:val="0"/>
              <w:marTop w:val="0"/>
              <w:marBottom w:val="0"/>
              <w:divBdr>
                <w:top w:val="none" w:sz="0" w:space="0" w:color="auto"/>
                <w:left w:val="none" w:sz="0" w:space="0" w:color="auto"/>
                <w:bottom w:val="none" w:sz="0" w:space="0" w:color="auto"/>
                <w:right w:val="none" w:sz="0" w:space="0" w:color="auto"/>
              </w:divBdr>
              <w:divsChild>
                <w:div w:id="1295016331">
                  <w:marLeft w:val="0"/>
                  <w:marRight w:val="0"/>
                  <w:marTop w:val="0"/>
                  <w:marBottom w:val="0"/>
                  <w:divBdr>
                    <w:top w:val="none" w:sz="0" w:space="0" w:color="auto"/>
                    <w:left w:val="none" w:sz="0" w:space="0" w:color="auto"/>
                    <w:bottom w:val="none" w:sz="0" w:space="0" w:color="auto"/>
                    <w:right w:val="none" w:sz="0" w:space="0" w:color="auto"/>
                  </w:divBdr>
                </w:div>
              </w:divsChild>
            </w:div>
            <w:div w:id="1102527414">
              <w:marLeft w:val="0"/>
              <w:marRight w:val="0"/>
              <w:marTop w:val="0"/>
              <w:marBottom w:val="0"/>
              <w:divBdr>
                <w:top w:val="none" w:sz="0" w:space="0" w:color="auto"/>
                <w:left w:val="none" w:sz="0" w:space="0" w:color="auto"/>
                <w:bottom w:val="none" w:sz="0" w:space="0" w:color="auto"/>
                <w:right w:val="none" w:sz="0" w:space="0" w:color="auto"/>
              </w:divBdr>
              <w:divsChild>
                <w:div w:id="760106111">
                  <w:marLeft w:val="0"/>
                  <w:marRight w:val="0"/>
                  <w:marTop w:val="0"/>
                  <w:marBottom w:val="0"/>
                  <w:divBdr>
                    <w:top w:val="none" w:sz="0" w:space="0" w:color="auto"/>
                    <w:left w:val="none" w:sz="0" w:space="0" w:color="auto"/>
                    <w:bottom w:val="none" w:sz="0" w:space="0" w:color="auto"/>
                    <w:right w:val="none" w:sz="0" w:space="0" w:color="auto"/>
                  </w:divBdr>
                </w:div>
              </w:divsChild>
            </w:div>
            <w:div w:id="1111165472">
              <w:marLeft w:val="0"/>
              <w:marRight w:val="0"/>
              <w:marTop w:val="0"/>
              <w:marBottom w:val="0"/>
              <w:divBdr>
                <w:top w:val="none" w:sz="0" w:space="0" w:color="auto"/>
                <w:left w:val="none" w:sz="0" w:space="0" w:color="auto"/>
                <w:bottom w:val="none" w:sz="0" w:space="0" w:color="auto"/>
                <w:right w:val="none" w:sz="0" w:space="0" w:color="auto"/>
              </w:divBdr>
              <w:divsChild>
                <w:div w:id="493760460">
                  <w:marLeft w:val="0"/>
                  <w:marRight w:val="0"/>
                  <w:marTop w:val="0"/>
                  <w:marBottom w:val="0"/>
                  <w:divBdr>
                    <w:top w:val="none" w:sz="0" w:space="0" w:color="auto"/>
                    <w:left w:val="none" w:sz="0" w:space="0" w:color="auto"/>
                    <w:bottom w:val="none" w:sz="0" w:space="0" w:color="auto"/>
                    <w:right w:val="none" w:sz="0" w:space="0" w:color="auto"/>
                  </w:divBdr>
                </w:div>
              </w:divsChild>
            </w:div>
            <w:div w:id="1111629067">
              <w:marLeft w:val="0"/>
              <w:marRight w:val="0"/>
              <w:marTop w:val="0"/>
              <w:marBottom w:val="0"/>
              <w:divBdr>
                <w:top w:val="none" w:sz="0" w:space="0" w:color="auto"/>
                <w:left w:val="none" w:sz="0" w:space="0" w:color="auto"/>
                <w:bottom w:val="none" w:sz="0" w:space="0" w:color="auto"/>
                <w:right w:val="none" w:sz="0" w:space="0" w:color="auto"/>
              </w:divBdr>
              <w:divsChild>
                <w:div w:id="1404058690">
                  <w:marLeft w:val="0"/>
                  <w:marRight w:val="0"/>
                  <w:marTop w:val="0"/>
                  <w:marBottom w:val="0"/>
                  <w:divBdr>
                    <w:top w:val="none" w:sz="0" w:space="0" w:color="auto"/>
                    <w:left w:val="none" w:sz="0" w:space="0" w:color="auto"/>
                    <w:bottom w:val="none" w:sz="0" w:space="0" w:color="auto"/>
                    <w:right w:val="none" w:sz="0" w:space="0" w:color="auto"/>
                  </w:divBdr>
                </w:div>
              </w:divsChild>
            </w:div>
            <w:div w:id="1504393012">
              <w:marLeft w:val="0"/>
              <w:marRight w:val="0"/>
              <w:marTop w:val="0"/>
              <w:marBottom w:val="0"/>
              <w:divBdr>
                <w:top w:val="none" w:sz="0" w:space="0" w:color="auto"/>
                <w:left w:val="none" w:sz="0" w:space="0" w:color="auto"/>
                <w:bottom w:val="none" w:sz="0" w:space="0" w:color="auto"/>
                <w:right w:val="none" w:sz="0" w:space="0" w:color="auto"/>
              </w:divBdr>
              <w:divsChild>
                <w:div w:id="329990081">
                  <w:marLeft w:val="0"/>
                  <w:marRight w:val="0"/>
                  <w:marTop w:val="0"/>
                  <w:marBottom w:val="0"/>
                  <w:divBdr>
                    <w:top w:val="none" w:sz="0" w:space="0" w:color="auto"/>
                    <w:left w:val="none" w:sz="0" w:space="0" w:color="auto"/>
                    <w:bottom w:val="none" w:sz="0" w:space="0" w:color="auto"/>
                    <w:right w:val="none" w:sz="0" w:space="0" w:color="auto"/>
                  </w:divBdr>
                </w:div>
              </w:divsChild>
            </w:div>
            <w:div w:id="1669747709">
              <w:marLeft w:val="0"/>
              <w:marRight w:val="0"/>
              <w:marTop w:val="0"/>
              <w:marBottom w:val="0"/>
              <w:divBdr>
                <w:top w:val="none" w:sz="0" w:space="0" w:color="auto"/>
                <w:left w:val="none" w:sz="0" w:space="0" w:color="auto"/>
                <w:bottom w:val="none" w:sz="0" w:space="0" w:color="auto"/>
                <w:right w:val="none" w:sz="0" w:space="0" w:color="auto"/>
              </w:divBdr>
              <w:divsChild>
                <w:div w:id="877547401">
                  <w:marLeft w:val="0"/>
                  <w:marRight w:val="0"/>
                  <w:marTop w:val="0"/>
                  <w:marBottom w:val="0"/>
                  <w:divBdr>
                    <w:top w:val="none" w:sz="0" w:space="0" w:color="auto"/>
                    <w:left w:val="none" w:sz="0" w:space="0" w:color="auto"/>
                    <w:bottom w:val="none" w:sz="0" w:space="0" w:color="auto"/>
                    <w:right w:val="none" w:sz="0" w:space="0" w:color="auto"/>
                  </w:divBdr>
                </w:div>
              </w:divsChild>
            </w:div>
            <w:div w:id="2006395729">
              <w:marLeft w:val="0"/>
              <w:marRight w:val="0"/>
              <w:marTop w:val="0"/>
              <w:marBottom w:val="0"/>
              <w:divBdr>
                <w:top w:val="none" w:sz="0" w:space="0" w:color="auto"/>
                <w:left w:val="none" w:sz="0" w:space="0" w:color="auto"/>
                <w:bottom w:val="none" w:sz="0" w:space="0" w:color="auto"/>
                <w:right w:val="none" w:sz="0" w:space="0" w:color="auto"/>
              </w:divBdr>
              <w:divsChild>
                <w:div w:id="1493452607">
                  <w:marLeft w:val="0"/>
                  <w:marRight w:val="0"/>
                  <w:marTop w:val="0"/>
                  <w:marBottom w:val="0"/>
                  <w:divBdr>
                    <w:top w:val="none" w:sz="0" w:space="0" w:color="auto"/>
                    <w:left w:val="none" w:sz="0" w:space="0" w:color="auto"/>
                    <w:bottom w:val="none" w:sz="0" w:space="0" w:color="auto"/>
                    <w:right w:val="none" w:sz="0" w:space="0" w:color="auto"/>
                  </w:divBdr>
                </w:div>
                <w:div w:id="1772819083">
                  <w:marLeft w:val="0"/>
                  <w:marRight w:val="0"/>
                  <w:marTop w:val="0"/>
                  <w:marBottom w:val="0"/>
                  <w:divBdr>
                    <w:top w:val="none" w:sz="0" w:space="0" w:color="auto"/>
                    <w:left w:val="none" w:sz="0" w:space="0" w:color="auto"/>
                    <w:bottom w:val="none" w:sz="0" w:space="0" w:color="auto"/>
                    <w:right w:val="none" w:sz="0" w:space="0" w:color="auto"/>
                  </w:divBdr>
                </w:div>
              </w:divsChild>
            </w:div>
            <w:div w:id="2142336684">
              <w:marLeft w:val="0"/>
              <w:marRight w:val="0"/>
              <w:marTop w:val="0"/>
              <w:marBottom w:val="0"/>
              <w:divBdr>
                <w:top w:val="none" w:sz="0" w:space="0" w:color="auto"/>
                <w:left w:val="none" w:sz="0" w:space="0" w:color="auto"/>
                <w:bottom w:val="none" w:sz="0" w:space="0" w:color="auto"/>
                <w:right w:val="none" w:sz="0" w:space="0" w:color="auto"/>
              </w:divBdr>
              <w:divsChild>
                <w:div w:id="17310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4780">
          <w:marLeft w:val="0"/>
          <w:marRight w:val="0"/>
          <w:marTop w:val="0"/>
          <w:marBottom w:val="0"/>
          <w:divBdr>
            <w:top w:val="none" w:sz="0" w:space="0" w:color="auto"/>
            <w:left w:val="none" w:sz="0" w:space="0" w:color="auto"/>
            <w:bottom w:val="none" w:sz="0" w:space="0" w:color="auto"/>
            <w:right w:val="none" w:sz="0" w:space="0" w:color="auto"/>
          </w:divBdr>
        </w:div>
      </w:divsChild>
    </w:div>
    <w:div w:id="1529025871">
      <w:bodyDiv w:val="1"/>
      <w:marLeft w:val="0"/>
      <w:marRight w:val="0"/>
      <w:marTop w:val="0"/>
      <w:marBottom w:val="0"/>
      <w:divBdr>
        <w:top w:val="none" w:sz="0" w:space="0" w:color="auto"/>
        <w:left w:val="none" w:sz="0" w:space="0" w:color="auto"/>
        <w:bottom w:val="none" w:sz="0" w:space="0" w:color="auto"/>
        <w:right w:val="none" w:sz="0" w:space="0" w:color="auto"/>
      </w:divBdr>
      <w:divsChild>
        <w:div w:id="242683976">
          <w:marLeft w:val="0"/>
          <w:marRight w:val="0"/>
          <w:marTop w:val="0"/>
          <w:marBottom w:val="0"/>
          <w:divBdr>
            <w:top w:val="none" w:sz="0" w:space="0" w:color="auto"/>
            <w:left w:val="none" w:sz="0" w:space="0" w:color="auto"/>
            <w:bottom w:val="none" w:sz="0" w:space="0" w:color="auto"/>
            <w:right w:val="none" w:sz="0" w:space="0" w:color="auto"/>
          </w:divBdr>
        </w:div>
        <w:div w:id="403839375">
          <w:marLeft w:val="0"/>
          <w:marRight w:val="0"/>
          <w:marTop w:val="0"/>
          <w:marBottom w:val="0"/>
          <w:divBdr>
            <w:top w:val="none" w:sz="0" w:space="0" w:color="auto"/>
            <w:left w:val="none" w:sz="0" w:space="0" w:color="auto"/>
            <w:bottom w:val="none" w:sz="0" w:space="0" w:color="auto"/>
            <w:right w:val="none" w:sz="0" w:space="0" w:color="auto"/>
          </w:divBdr>
        </w:div>
        <w:div w:id="544878004">
          <w:marLeft w:val="0"/>
          <w:marRight w:val="0"/>
          <w:marTop w:val="0"/>
          <w:marBottom w:val="0"/>
          <w:divBdr>
            <w:top w:val="none" w:sz="0" w:space="0" w:color="auto"/>
            <w:left w:val="none" w:sz="0" w:space="0" w:color="auto"/>
            <w:bottom w:val="none" w:sz="0" w:space="0" w:color="auto"/>
            <w:right w:val="none" w:sz="0" w:space="0" w:color="auto"/>
          </w:divBdr>
        </w:div>
        <w:div w:id="577860220">
          <w:marLeft w:val="0"/>
          <w:marRight w:val="0"/>
          <w:marTop w:val="0"/>
          <w:marBottom w:val="0"/>
          <w:divBdr>
            <w:top w:val="none" w:sz="0" w:space="0" w:color="auto"/>
            <w:left w:val="none" w:sz="0" w:space="0" w:color="auto"/>
            <w:bottom w:val="none" w:sz="0" w:space="0" w:color="auto"/>
            <w:right w:val="none" w:sz="0" w:space="0" w:color="auto"/>
          </w:divBdr>
        </w:div>
        <w:div w:id="684984349">
          <w:marLeft w:val="0"/>
          <w:marRight w:val="0"/>
          <w:marTop w:val="0"/>
          <w:marBottom w:val="0"/>
          <w:divBdr>
            <w:top w:val="none" w:sz="0" w:space="0" w:color="auto"/>
            <w:left w:val="none" w:sz="0" w:space="0" w:color="auto"/>
            <w:bottom w:val="none" w:sz="0" w:space="0" w:color="auto"/>
            <w:right w:val="none" w:sz="0" w:space="0" w:color="auto"/>
          </w:divBdr>
        </w:div>
        <w:div w:id="793452121">
          <w:marLeft w:val="0"/>
          <w:marRight w:val="0"/>
          <w:marTop w:val="0"/>
          <w:marBottom w:val="0"/>
          <w:divBdr>
            <w:top w:val="none" w:sz="0" w:space="0" w:color="auto"/>
            <w:left w:val="none" w:sz="0" w:space="0" w:color="auto"/>
            <w:bottom w:val="none" w:sz="0" w:space="0" w:color="auto"/>
            <w:right w:val="none" w:sz="0" w:space="0" w:color="auto"/>
          </w:divBdr>
        </w:div>
        <w:div w:id="936981508">
          <w:marLeft w:val="0"/>
          <w:marRight w:val="0"/>
          <w:marTop w:val="0"/>
          <w:marBottom w:val="0"/>
          <w:divBdr>
            <w:top w:val="none" w:sz="0" w:space="0" w:color="auto"/>
            <w:left w:val="none" w:sz="0" w:space="0" w:color="auto"/>
            <w:bottom w:val="none" w:sz="0" w:space="0" w:color="auto"/>
            <w:right w:val="none" w:sz="0" w:space="0" w:color="auto"/>
          </w:divBdr>
        </w:div>
        <w:div w:id="1629121941">
          <w:marLeft w:val="0"/>
          <w:marRight w:val="0"/>
          <w:marTop w:val="0"/>
          <w:marBottom w:val="0"/>
          <w:divBdr>
            <w:top w:val="none" w:sz="0" w:space="0" w:color="auto"/>
            <w:left w:val="none" w:sz="0" w:space="0" w:color="auto"/>
            <w:bottom w:val="none" w:sz="0" w:space="0" w:color="auto"/>
            <w:right w:val="none" w:sz="0" w:space="0" w:color="auto"/>
          </w:divBdr>
        </w:div>
        <w:div w:id="1858422728">
          <w:marLeft w:val="0"/>
          <w:marRight w:val="0"/>
          <w:marTop w:val="0"/>
          <w:marBottom w:val="0"/>
          <w:divBdr>
            <w:top w:val="none" w:sz="0" w:space="0" w:color="auto"/>
            <w:left w:val="none" w:sz="0" w:space="0" w:color="auto"/>
            <w:bottom w:val="none" w:sz="0" w:space="0" w:color="auto"/>
            <w:right w:val="none" w:sz="0" w:space="0" w:color="auto"/>
          </w:divBdr>
        </w:div>
      </w:divsChild>
    </w:div>
    <w:div w:id="1593659200">
      <w:bodyDiv w:val="1"/>
      <w:marLeft w:val="0"/>
      <w:marRight w:val="0"/>
      <w:marTop w:val="0"/>
      <w:marBottom w:val="0"/>
      <w:divBdr>
        <w:top w:val="none" w:sz="0" w:space="0" w:color="auto"/>
        <w:left w:val="none" w:sz="0" w:space="0" w:color="auto"/>
        <w:bottom w:val="none" w:sz="0" w:space="0" w:color="auto"/>
        <w:right w:val="none" w:sz="0" w:space="0" w:color="auto"/>
      </w:divBdr>
      <w:divsChild>
        <w:div w:id="650796261">
          <w:marLeft w:val="0"/>
          <w:marRight w:val="0"/>
          <w:marTop w:val="0"/>
          <w:marBottom w:val="0"/>
          <w:divBdr>
            <w:top w:val="none" w:sz="0" w:space="0" w:color="auto"/>
            <w:left w:val="none" w:sz="0" w:space="0" w:color="auto"/>
            <w:bottom w:val="none" w:sz="0" w:space="0" w:color="auto"/>
            <w:right w:val="none" w:sz="0" w:space="0" w:color="auto"/>
          </w:divBdr>
        </w:div>
        <w:div w:id="880898469">
          <w:marLeft w:val="0"/>
          <w:marRight w:val="0"/>
          <w:marTop w:val="0"/>
          <w:marBottom w:val="0"/>
          <w:divBdr>
            <w:top w:val="none" w:sz="0" w:space="0" w:color="auto"/>
            <w:left w:val="none" w:sz="0" w:space="0" w:color="auto"/>
            <w:bottom w:val="none" w:sz="0" w:space="0" w:color="auto"/>
            <w:right w:val="none" w:sz="0" w:space="0" w:color="auto"/>
          </w:divBdr>
        </w:div>
        <w:div w:id="1526946060">
          <w:marLeft w:val="0"/>
          <w:marRight w:val="0"/>
          <w:marTop w:val="0"/>
          <w:marBottom w:val="0"/>
          <w:divBdr>
            <w:top w:val="none" w:sz="0" w:space="0" w:color="auto"/>
            <w:left w:val="none" w:sz="0" w:space="0" w:color="auto"/>
            <w:bottom w:val="none" w:sz="0" w:space="0" w:color="auto"/>
            <w:right w:val="none" w:sz="0" w:space="0" w:color="auto"/>
          </w:divBdr>
        </w:div>
        <w:div w:id="1705132623">
          <w:marLeft w:val="0"/>
          <w:marRight w:val="0"/>
          <w:marTop w:val="0"/>
          <w:marBottom w:val="0"/>
          <w:divBdr>
            <w:top w:val="none" w:sz="0" w:space="0" w:color="auto"/>
            <w:left w:val="none" w:sz="0" w:space="0" w:color="auto"/>
            <w:bottom w:val="none" w:sz="0" w:space="0" w:color="auto"/>
            <w:right w:val="none" w:sz="0" w:space="0" w:color="auto"/>
          </w:divBdr>
        </w:div>
        <w:div w:id="1887796683">
          <w:marLeft w:val="0"/>
          <w:marRight w:val="0"/>
          <w:marTop w:val="0"/>
          <w:marBottom w:val="0"/>
          <w:divBdr>
            <w:top w:val="none" w:sz="0" w:space="0" w:color="auto"/>
            <w:left w:val="none" w:sz="0" w:space="0" w:color="auto"/>
            <w:bottom w:val="none" w:sz="0" w:space="0" w:color="auto"/>
            <w:right w:val="none" w:sz="0" w:space="0" w:color="auto"/>
          </w:divBdr>
        </w:div>
      </w:divsChild>
    </w:div>
    <w:div w:id="1615749424">
      <w:bodyDiv w:val="1"/>
      <w:marLeft w:val="0"/>
      <w:marRight w:val="0"/>
      <w:marTop w:val="0"/>
      <w:marBottom w:val="0"/>
      <w:divBdr>
        <w:top w:val="none" w:sz="0" w:space="0" w:color="auto"/>
        <w:left w:val="none" w:sz="0" w:space="0" w:color="auto"/>
        <w:bottom w:val="none" w:sz="0" w:space="0" w:color="auto"/>
        <w:right w:val="none" w:sz="0" w:space="0" w:color="auto"/>
      </w:divBdr>
      <w:divsChild>
        <w:div w:id="674037809">
          <w:marLeft w:val="0"/>
          <w:marRight w:val="0"/>
          <w:marTop w:val="0"/>
          <w:marBottom w:val="0"/>
          <w:divBdr>
            <w:top w:val="none" w:sz="0" w:space="0" w:color="auto"/>
            <w:left w:val="none" w:sz="0" w:space="0" w:color="auto"/>
            <w:bottom w:val="none" w:sz="0" w:space="0" w:color="auto"/>
            <w:right w:val="none" w:sz="0" w:space="0" w:color="auto"/>
          </w:divBdr>
        </w:div>
        <w:div w:id="924339117">
          <w:marLeft w:val="0"/>
          <w:marRight w:val="0"/>
          <w:marTop w:val="0"/>
          <w:marBottom w:val="0"/>
          <w:divBdr>
            <w:top w:val="none" w:sz="0" w:space="0" w:color="auto"/>
            <w:left w:val="none" w:sz="0" w:space="0" w:color="auto"/>
            <w:bottom w:val="none" w:sz="0" w:space="0" w:color="auto"/>
            <w:right w:val="none" w:sz="0" w:space="0" w:color="auto"/>
          </w:divBdr>
        </w:div>
        <w:div w:id="934557684">
          <w:marLeft w:val="0"/>
          <w:marRight w:val="0"/>
          <w:marTop w:val="0"/>
          <w:marBottom w:val="0"/>
          <w:divBdr>
            <w:top w:val="none" w:sz="0" w:space="0" w:color="auto"/>
            <w:left w:val="none" w:sz="0" w:space="0" w:color="auto"/>
            <w:bottom w:val="none" w:sz="0" w:space="0" w:color="auto"/>
            <w:right w:val="none" w:sz="0" w:space="0" w:color="auto"/>
          </w:divBdr>
        </w:div>
        <w:div w:id="1009798235">
          <w:marLeft w:val="0"/>
          <w:marRight w:val="0"/>
          <w:marTop w:val="0"/>
          <w:marBottom w:val="0"/>
          <w:divBdr>
            <w:top w:val="none" w:sz="0" w:space="0" w:color="auto"/>
            <w:left w:val="none" w:sz="0" w:space="0" w:color="auto"/>
            <w:bottom w:val="none" w:sz="0" w:space="0" w:color="auto"/>
            <w:right w:val="none" w:sz="0" w:space="0" w:color="auto"/>
          </w:divBdr>
        </w:div>
        <w:div w:id="1312320931">
          <w:marLeft w:val="0"/>
          <w:marRight w:val="0"/>
          <w:marTop w:val="0"/>
          <w:marBottom w:val="0"/>
          <w:divBdr>
            <w:top w:val="none" w:sz="0" w:space="0" w:color="auto"/>
            <w:left w:val="none" w:sz="0" w:space="0" w:color="auto"/>
            <w:bottom w:val="none" w:sz="0" w:space="0" w:color="auto"/>
            <w:right w:val="none" w:sz="0" w:space="0" w:color="auto"/>
          </w:divBdr>
        </w:div>
        <w:div w:id="1352104824">
          <w:marLeft w:val="0"/>
          <w:marRight w:val="0"/>
          <w:marTop w:val="0"/>
          <w:marBottom w:val="0"/>
          <w:divBdr>
            <w:top w:val="none" w:sz="0" w:space="0" w:color="auto"/>
            <w:left w:val="none" w:sz="0" w:space="0" w:color="auto"/>
            <w:bottom w:val="none" w:sz="0" w:space="0" w:color="auto"/>
            <w:right w:val="none" w:sz="0" w:space="0" w:color="auto"/>
          </w:divBdr>
        </w:div>
        <w:div w:id="1428034820">
          <w:marLeft w:val="0"/>
          <w:marRight w:val="0"/>
          <w:marTop w:val="0"/>
          <w:marBottom w:val="0"/>
          <w:divBdr>
            <w:top w:val="none" w:sz="0" w:space="0" w:color="auto"/>
            <w:left w:val="none" w:sz="0" w:space="0" w:color="auto"/>
            <w:bottom w:val="none" w:sz="0" w:space="0" w:color="auto"/>
            <w:right w:val="none" w:sz="0" w:space="0" w:color="auto"/>
          </w:divBdr>
        </w:div>
        <w:div w:id="1530797246">
          <w:marLeft w:val="0"/>
          <w:marRight w:val="0"/>
          <w:marTop w:val="0"/>
          <w:marBottom w:val="0"/>
          <w:divBdr>
            <w:top w:val="none" w:sz="0" w:space="0" w:color="auto"/>
            <w:left w:val="none" w:sz="0" w:space="0" w:color="auto"/>
            <w:bottom w:val="none" w:sz="0" w:space="0" w:color="auto"/>
            <w:right w:val="none" w:sz="0" w:space="0" w:color="auto"/>
          </w:divBdr>
        </w:div>
        <w:div w:id="1992100884">
          <w:marLeft w:val="0"/>
          <w:marRight w:val="0"/>
          <w:marTop w:val="0"/>
          <w:marBottom w:val="0"/>
          <w:divBdr>
            <w:top w:val="none" w:sz="0" w:space="0" w:color="auto"/>
            <w:left w:val="none" w:sz="0" w:space="0" w:color="auto"/>
            <w:bottom w:val="none" w:sz="0" w:space="0" w:color="auto"/>
            <w:right w:val="none" w:sz="0" w:space="0" w:color="auto"/>
          </w:divBdr>
        </w:div>
      </w:divsChild>
    </w:div>
    <w:div w:id="1692487353">
      <w:bodyDiv w:val="1"/>
      <w:marLeft w:val="0"/>
      <w:marRight w:val="0"/>
      <w:marTop w:val="0"/>
      <w:marBottom w:val="0"/>
      <w:divBdr>
        <w:top w:val="none" w:sz="0" w:space="0" w:color="auto"/>
        <w:left w:val="none" w:sz="0" w:space="0" w:color="auto"/>
        <w:bottom w:val="none" w:sz="0" w:space="0" w:color="auto"/>
        <w:right w:val="none" w:sz="0" w:space="0" w:color="auto"/>
      </w:divBdr>
      <w:divsChild>
        <w:div w:id="136071357">
          <w:marLeft w:val="0"/>
          <w:marRight w:val="0"/>
          <w:marTop w:val="0"/>
          <w:marBottom w:val="0"/>
          <w:divBdr>
            <w:top w:val="none" w:sz="0" w:space="0" w:color="auto"/>
            <w:left w:val="none" w:sz="0" w:space="0" w:color="auto"/>
            <w:bottom w:val="none" w:sz="0" w:space="0" w:color="auto"/>
            <w:right w:val="none" w:sz="0" w:space="0" w:color="auto"/>
          </w:divBdr>
        </w:div>
        <w:div w:id="192961935">
          <w:marLeft w:val="0"/>
          <w:marRight w:val="0"/>
          <w:marTop w:val="0"/>
          <w:marBottom w:val="0"/>
          <w:divBdr>
            <w:top w:val="none" w:sz="0" w:space="0" w:color="auto"/>
            <w:left w:val="none" w:sz="0" w:space="0" w:color="auto"/>
            <w:bottom w:val="none" w:sz="0" w:space="0" w:color="auto"/>
            <w:right w:val="none" w:sz="0" w:space="0" w:color="auto"/>
          </w:divBdr>
        </w:div>
        <w:div w:id="642731982">
          <w:marLeft w:val="0"/>
          <w:marRight w:val="0"/>
          <w:marTop w:val="0"/>
          <w:marBottom w:val="0"/>
          <w:divBdr>
            <w:top w:val="none" w:sz="0" w:space="0" w:color="auto"/>
            <w:left w:val="none" w:sz="0" w:space="0" w:color="auto"/>
            <w:bottom w:val="none" w:sz="0" w:space="0" w:color="auto"/>
            <w:right w:val="none" w:sz="0" w:space="0" w:color="auto"/>
          </w:divBdr>
        </w:div>
        <w:div w:id="680006046">
          <w:marLeft w:val="0"/>
          <w:marRight w:val="0"/>
          <w:marTop w:val="0"/>
          <w:marBottom w:val="0"/>
          <w:divBdr>
            <w:top w:val="none" w:sz="0" w:space="0" w:color="auto"/>
            <w:left w:val="none" w:sz="0" w:space="0" w:color="auto"/>
            <w:bottom w:val="none" w:sz="0" w:space="0" w:color="auto"/>
            <w:right w:val="none" w:sz="0" w:space="0" w:color="auto"/>
          </w:divBdr>
        </w:div>
        <w:div w:id="1462336577">
          <w:marLeft w:val="0"/>
          <w:marRight w:val="0"/>
          <w:marTop w:val="0"/>
          <w:marBottom w:val="0"/>
          <w:divBdr>
            <w:top w:val="none" w:sz="0" w:space="0" w:color="auto"/>
            <w:left w:val="none" w:sz="0" w:space="0" w:color="auto"/>
            <w:bottom w:val="none" w:sz="0" w:space="0" w:color="auto"/>
            <w:right w:val="none" w:sz="0" w:space="0" w:color="auto"/>
          </w:divBdr>
        </w:div>
        <w:div w:id="1482849798">
          <w:marLeft w:val="0"/>
          <w:marRight w:val="0"/>
          <w:marTop w:val="0"/>
          <w:marBottom w:val="0"/>
          <w:divBdr>
            <w:top w:val="none" w:sz="0" w:space="0" w:color="auto"/>
            <w:left w:val="none" w:sz="0" w:space="0" w:color="auto"/>
            <w:bottom w:val="none" w:sz="0" w:space="0" w:color="auto"/>
            <w:right w:val="none" w:sz="0" w:space="0" w:color="auto"/>
          </w:divBdr>
        </w:div>
        <w:div w:id="1973948431">
          <w:marLeft w:val="0"/>
          <w:marRight w:val="0"/>
          <w:marTop w:val="0"/>
          <w:marBottom w:val="0"/>
          <w:divBdr>
            <w:top w:val="none" w:sz="0" w:space="0" w:color="auto"/>
            <w:left w:val="none" w:sz="0" w:space="0" w:color="auto"/>
            <w:bottom w:val="none" w:sz="0" w:space="0" w:color="auto"/>
            <w:right w:val="none" w:sz="0" w:space="0" w:color="auto"/>
          </w:divBdr>
        </w:div>
      </w:divsChild>
    </w:div>
    <w:div w:id="1776974485">
      <w:bodyDiv w:val="1"/>
      <w:marLeft w:val="0"/>
      <w:marRight w:val="0"/>
      <w:marTop w:val="0"/>
      <w:marBottom w:val="0"/>
      <w:divBdr>
        <w:top w:val="none" w:sz="0" w:space="0" w:color="auto"/>
        <w:left w:val="none" w:sz="0" w:space="0" w:color="auto"/>
        <w:bottom w:val="none" w:sz="0" w:space="0" w:color="auto"/>
        <w:right w:val="none" w:sz="0" w:space="0" w:color="auto"/>
      </w:divBdr>
    </w:div>
    <w:div w:id="1832019301">
      <w:bodyDiv w:val="1"/>
      <w:marLeft w:val="0"/>
      <w:marRight w:val="0"/>
      <w:marTop w:val="0"/>
      <w:marBottom w:val="0"/>
      <w:divBdr>
        <w:top w:val="none" w:sz="0" w:space="0" w:color="auto"/>
        <w:left w:val="none" w:sz="0" w:space="0" w:color="auto"/>
        <w:bottom w:val="none" w:sz="0" w:space="0" w:color="auto"/>
        <w:right w:val="none" w:sz="0" w:space="0" w:color="auto"/>
      </w:divBdr>
    </w:div>
    <w:div w:id="1870754358">
      <w:bodyDiv w:val="1"/>
      <w:marLeft w:val="0"/>
      <w:marRight w:val="0"/>
      <w:marTop w:val="0"/>
      <w:marBottom w:val="0"/>
      <w:divBdr>
        <w:top w:val="none" w:sz="0" w:space="0" w:color="auto"/>
        <w:left w:val="none" w:sz="0" w:space="0" w:color="auto"/>
        <w:bottom w:val="none" w:sz="0" w:space="0" w:color="auto"/>
        <w:right w:val="none" w:sz="0" w:space="0" w:color="auto"/>
      </w:divBdr>
      <w:divsChild>
        <w:div w:id="77479949">
          <w:marLeft w:val="0"/>
          <w:marRight w:val="0"/>
          <w:marTop w:val="0"/>
          <w:marBottom w:val="0"/>
          <w:divBdr>
            <w:top w:val="none" w:sz="0" w:space="0" w:color="auto"/>
            <w:left w:val="none" w:sz="0" w:space="0" w:color="auto"/>
            <w:bottom w:val="none" w:sz="0" w:space="0" w:color="auto"/>
            <w:right w:val="none" w:sz="0" w:space="0" w:color="auto"/>
          </w:divBdr>
          <w:divsChild>
            <w:div w:id="1918708062">
              <w:marLeft w:val="0"/>
              <w:marRight w:val="0"/>
              <w:marTop w:val="0"/>
              <w:marBottom w:val="0"/>
              <w:divBdr>
                <w:top w:val="none" w:sz="0" w:space="0" w:color="auto"/>
                <w:left w:val="none" w:sz="0" w:space="0" w:color="auto"/>
                <w:bottom w:val="none" w:sz="0" w:space="0" w:color="auto"/>
                <w:right w:val="none" w:sz="0" w:space="0" w:color="auto"/>
              </w:divBdr>
            </w:div>
          </w:divsChild>
        </w:div>
        <w:div w:id="162203894">
          <w:marLeft w:val="0"/>
          <w:marRight w:val="0"/>
          <w:marTop w:val="0"/>
          <w:marBottom w:val="0"/>
          <w:divBdr>
            <w:top w:val="none" w:sz="0" w:space="0" w:color="auto"/>
            <w:left w:val="none" w:sz="0" w:space="0" w:color="auto"/>
            <w:bottom w:val="none" w:sz="0" w:space="0" w:color="auto"/>
            <w:right w:val="none" w:sz="0" w:space="0" w:color="auto"/>
          </w:divBdr>
          <w:divsChild>
            <w:div w:id="1868834702">
              <w:marLeft w:val="0"/>
              <w:marRight w:val="0"/>
              <w:marTop w:val="0"/>
              <w:marBottom w:val="0"/>
              <w:divBdr>
                <w:top w:val="none" w:sz="0" w:space="0" w:color="auto"/>
                <w:left w:val="none" w:sz="0" w:space="0" w:color="auto"/>
                <w:bottom w:val="none" w:sz="0" w:space="0" w:color="auto"/>
                <w:right w:val="none" w:sz="0" w:space="0" w:color="auto"/>
              </w:divBdr>
            </w:div>
          </w:divsChild>
        </w:div>
        <w:div w:id="260643885">
          <w:marLeft w:val="0"/>
          <w:marRight w:val="0"/>
          <w:marTop w:val="0"/>
          <w:marBottom w:val="0"/>
          <w:divBdr>
            <w:top w:val="none" w:sz="0" w:space="0" w:color="auto"/>
            <w:left w:val="none" w:sz="0" w:space="0" w:color="auto"/>
            <w:bottom w:val="none" w:sz="0" w:space="0" w:color="auto"/>
            <w:right w:val="none" w:sz="0" w:space="0" w:color="auto"/>
          </w:divBdr>
          <w:divsChild>
            <w:div w:id="1907062389">
              <w:marLeft w:val="0"/>
              <w:marRight w:val="0"/>
              <w:marTop w:val="0"/>
              <w:marBottom w:val="0"/>
              <w:divBdr>
                <w:top w:val="none" w:sz="0" w:space="0" w:color="auto"/>
                <w:left w:val="none" w:sz="0" w:space="0" w:color="auto"/>
                <w:bottom w:val="none" w:sz="0" w:space="0" w:color="auto"/>
                <w:right w:val="none" w:sz="0" w:space="0" w:color="auto"/>
              </w:divBdr>
            </w:div>
          </w:divsChild>
        </w:div>
        <w:div w:id="322902044">
          <w:marLeft w:val="0"/>
          <w:marRight w:val="0"/>
          <w:marTop w:val="0"/>
          <w:marBottom w:val="0"/>
          <w:divBdr>
            <w:top w:val="none" w:sz="0" w:space="0" w:color="auto"/>
            <w:left w:val="none" w:sz="0" w:space="0" w:color="auto"/>
            <w:bottom w:val="none" w:sz="0" w:space="0" w:color="auto"/>
            <w:right w:val="none" w:sz="0" w:space="0" w:color="auto"/>
          </w:divBdr>
          <w:divsChild>
            <w:div w:id="1218736907">
              <w:marLeft w:val="0"/>
              <w:marRight w:val="0"/>
              <w:marTop w:val="0"/>
              <w:marBottom w:val="0"/>
              <w:divBdr>
                <w:top w:val="none" w:sz="0" w:space="0" w:color="auto"/>
                <w:left w:val="none" w:sz="0" w:space="0" w:color="auto"/>
                <w:bottom w:val="none" w:sz="0" w:space="0" w:color="auto"/>
                <w:right w:val="none" w:sz="0" w:space="0" w:color="auto"/>
              </w:divBdr>
            </w:div>
          </w:divsChild>
        </w:div>
        <w:div w:id="596865347">
          <w:marLeft w:val="0"/>
          <w:marRight w:val="0"/>
          <w:marTop w:val="0"/>
          <w:marBottom w:val="0"/>
          <w:divBdr>
            <w:top w:val="none" w:sz="0" w:space="0" w:color="auto"/>
            <w:left w:val="none" w:sz="0" w:space="0" w:color="auto"/>
            <w:bottom w:val="none" w:sz="0" w:space="0" w:color="auto"/>
            <w:right w:val="none" w:sz="0" w:space="0" w:color="auto"/>
          </w:divBdr>
          <w:divsChild>
            <w:div w:id="343553576">
              <w:marLeft w:val="0"/>
              <w:marRight w:val="0"/>
              <w:marTop w:val="0"/>
              <w:marBottom w:val="0"/>
              <w:divBdr>
                <w:top w:val="none" w:sz="0" w:space="0" w:color="auto"/>
                <w:left w:val="none" w:sz="0" w:space="0" w:color="auto"/>
                <w:bottom w:val="none" w:sz="0" w:space="0" w:color="auto"/>
                <w:right w:val="none" w:sz="0" w:space="0" w:color="auto"/>
              </w:divBdr>
            </w:div>
          </w:divsChild>
        </w:div>
        <w:div w:id="676814012">
          <w:marLeft w:val="0"/>
          <w:marRight w:val="0"/>
          <w:marTop w:val="0"/>
          <w:marBottom w:val="0"/>
          <w:divBdr>
            <w:top w:val="none" w:sz="0" w:space="0" w:color="auto"/>
            <w:left w:val="none" w:sz="0" w:space="0" w:color="auto"/>
            <w:bottom w:val="none" w:sz="0" w:space="0" w:color="auto"/>
            <w:right w:val="none" w:sz="0" w:space="0" w:color="auto"/>
          </w:divBdr>
          <w:divsChild>
            <w:div w:id="1833058456">
              <w:marLeft w:val="0"/>
              <w:marRight w:val="0"/>
              <w:marTop w:val="0"/>
              <w:marBottom w:val="0"/>
              <w:divBdr>
                <w:top w:val="none" w:sz="0" w:space="0" w:color="auto"/>
                <w:left w:val="none" w:sz="0" w:space="0" w:color="auto"/>
                <w:bottom w:val="none" w:sz="0" w:space="0" w:color="auto"/>
                <w:right w:val="none" w:sz="0" w:space="0" w:color="auto"/>
              </w:divBdr>
            </w:div>
          </w:divsChild>
        </w:div>
        <w:div w:id="686910619">
          <w:marLeft w:val="0"/>
          <w:marRight w:val="0"/>
          <w:marTop w:val="0"/>
          <w:marBottom w:val="0"/>
          <w:divBdr>
            <w:top w:val="none" w:sz="0" w:space="0" w:color="auto"/>
            <w:left w:val="none" w:sz="0" w:space="0" w:color="auto"/>
            <w:bottom w:val="none" w:sz="0" w:space="0" w:color="auto"/>
            <w:right w:val="none" w:sz="0" w:space="0" w:color="auto"/>
          </w:divBdr>
          <w:divsChild>
            <w:div w:id="1615988444">
              <w:marLeft w:val="0"/>
              <w:marRight w:val="0"/>
              <w:marTop w:val="0"/>
              <w:marBottom w:val="0"/>
              <w:divBdr>
                <w:top w:val="none" w:sz="0" w:space="0" w:color="auto"/>
                <w:left w:val="none" w:sz="0" w:space="0" w:color="auto"/>
                <w:bottom w:val="none" w:sz="0" w:space="0" w:color="auto"/>
                <w:right w:val="none" w:sz="0" w:space="0" w:color="auto"/>
              </w:divBdr>
            </w:div>
          </w:divsChild>
        </w:div>
        <w:div w:id="710421403">
          <w:marLeft w:val="0"/>
          <w:marRight w:val="0"/>
          <w:marTop w:val="0"/>
          <w:marBottom w:val="0"/>
          <w:divBdr>
            <w:top w:val="none" w:sz="0" w:space="0" w:color="auto"/>
            <w:left w:val="none" w:sz="0" w:space="0" w:color="auto"/>
            <w:bottom w:val="none" w:sz="0" w:space="0" w:color="auto"/>
            <w:right w:val="none" w:sz="0" w:space="0" w:color="auto"/>
          </w:divBdr>
          <w:divsChild>
            <w:div w:id="1130131815">
              <w:marLeft w:val="0"/>
              <w:marRight w:val="0"/>
              <w:marTop w:val="0"/>
              <w:marBottom w:val="0"/>
              <w:divBdr>
                <w:top w:val="none" w:sz="0" w:space="0" w:color="auto"/>
                <w:left w:val="none" w:sz="0" w:space="0" w:color="auto"/>
                <w:bottom w:val="none" w:sz="0" w:space="0" w:color="auto"/>
                <w:right w:val="none" w:sz="0" w:space="0" w:color="auto"/>
              </w:divBdr>
            </w:div>
          </w:divsChild>
        </w:div>
        <w:div w:id="768623760">
          <w:marLeft w:val="0"/>
          <w:marRight w:val="0"/>
          <w:marTop w:val="0"/>
          <w:marBottom w:val="0"/>
          <w:divBdr>
            <w:top w:val="none" w:sz="0" w:space="0" w:color="auto"/>
            <w:left w:val="none" w:sz="0" w:space="0" w:color="auto"/>
            <w:bottom w:val="none" w:sz="0" w:space="0" w:color="auto"/>
            <w:right w:val="none" w:sz="0" w:space="0" w:color="auto"/>
          </w:divBdr>
          <w:divsChild>
            <w:div w:id="218136059">
              <w:marLeft w:val="0"/>
              <w:marRight w:val="0"/>
              <w:marTop w:val="0"/>
              <w:marBottom w:val="0"/>
              <w:divBdr>
                <w:top w:val="none" w:sz="0" w:space="0" w:color="auto"/>
                <w:left w:val="none" w:sz="0" w:space="0" w:color="auto"/>
                <w:bottom w:val="none" w:sz="0" w:space="0" w:color="auto"/>
                <w:right w:val="none" w:sz="0" w:space="0" w:color="auto"/>
              </w:divBdr>
            </w:div>
          </w:divsChild>
        </w:div>
        <w:div w:id="823669209">
          <w:marLeft w:val="0"/>
          <w:marRight w:val="0"/>
          <w:marTop w:val="0"/>
          <w:marBottom w:val="0"/>
          <w:divBdr>
            <w:top w:val="none" w:sz="0" w:space="0" w:color="auto"/>
            <w:left w:val="none" w:sz="0" w:space="0" w:color="auto"/>
            <w:bottom w:val="none" w:sz="0" w:space="0" w:color="auto"/>
            <w:right w:val="none" w:sz="0" w:space="0" w:color="auto"/>
          </w:divBdr>
          <w:divsChild>
            <w:div w:id="512456994">
              <w:marLeft w:val="0"/>
              <w:marRight w:val="0"/>
              <w:marTop w:val="0"/>
              <w:marBottom w:val="0"/>
              <w:divBdr>
                <w:top w:val="none" w:sz="0" w:space="0" w:color="auto"/>
                <w:left w:val="none" w:sz="0" w:space="0" w:color="auto"/>
                <w:bottom w:val="none" w:sz="0" w:space="0" w:color="auto"/>
                <w:right w:val="none" w:sz="0" w:space="0" w:color="auto"/>
              </w:divBdr>
            </w:div>
          </w:divsChild>
        </w:div>
        <w:div w:id="831142780">
          <w:marLeft w:val="0"/>
          <w:marRight w:val="0"/>
          <w:marTop w:val="0"/>
          <w:marBottom w:val="0"/>
          <w:divBdr>
            <w:top w:val="none" w:sz="0" w:space="0" w:color="auto"/>
            <w:left w:val="none" w:sz="0" w:space="0" w:color="auto"/>
            <w:bottom w:val="none" w:sz="0" w:space="0" w:color="auto"/>
            <w:right w:val="none" w:sz="0" w:space="0" w:color="auto"/>
          </w:divBdr>
          <w:divsChild>
            <w:div w:id="84083466">
              <w:marLeft w:val="0"/>
              <w:marRight w:val="0"/>
              <w:marTop w:val="0"/>
              <w:marBottom w:val="0"/>
              <w:divBdr>
                <w:top w:val="none" w:sz="0" w:space="0" w:color="auto"/>
                <w:left w:val="none" w:sz="0" w:space="0" w:color="auto"/>
                <w:bottom w:val="none" w:sz="0" w:space="0" w:color="auto"/>
                <w:right w:val="none" w:sz="0" w:space="0" w:color="auto"/>
              </w:divBdr>
            </w:div>
          </w:divsChild>
        </w:div>
        <w:div w:id="858199044">
          <w:marLeft w:val="0"/>
          <w:marRight w:val="0"/>
          <w:marTop w:val="0"/>
          <w:marBottom w:val="0"/>
          <w:divBdr>
            <w:top w:val="none" w:sz="0" w:space="0" w:color="auto"/>
            <w:left w:val="none" w:sz="0" w:space="0" w:color="auto"/>
            <w:bottom w:val="none" w:sz="0" w:space="0" w:color="auto"/>
            <w:right w:val="none" w:sz="0" w:space="0" w:color="auto"/>
          </w:divBdr>
          <w:divsChild>
            <w:div w:id="538862844">
              <w:marLeft w:val="0"/>
              <w:marRight w:val="0"/>
              <w:marTop w:val="0"/>
              <w:marBottom w:val="0"/>
              <w:divBdr>
                <w:top w:val="none" w:sz="0" w:space="0" w:color="auto"/>
                <w:left w:val="none" w:sz="0" w:space="0" w:color="auto"/>
                <w:bottom w:val="none" w:sz="0" w:space="0" w:color="auto"/>
                <w:right w:val="none" w:sz="0" w:space="0" w:color="auto"/>
              </w:divBdr>
            </w:div>
          </w:divsChild>
        </w:div>
        <w:div w:id="861020428">
          <w:marLeft w:val="0"/>
          <w:marRight w:val="0"/>
          <w:marTop w:val="0"/>
          <w:marBottom w:val="0"/>
          <w:divBdr>
            <w:top w:val="none" w:sz="0" w:space="0" w:color="auto"/>
            <w:left w:val="none" w:sz="0" w:space="0" w:color="auto"/>
            <w:bottom w:val="none" w:sz="0" w:space="0" w:color="auto"/>
            <w:right w:val="none" w:sz="0" w:space="0" w:color="auto"/>
          </w:divBdr>
          <w:divsChild>
            <w:div w:id="310331799">
              <w:marLeft w:val="0"/>
              <w:marRight w:val="0"/>
              <w:marTop w:val="0"/>
              <w:marBottom w:val="0"/>
              <w:divBdr>
                <w:top w:val="none" w:sz="0" w:space="0" w:color="auto"/>
                <w:left w:val="none" w:sz="0" w:space="0" w:color="auto"/>
                <w:bottom w:val="none" w:sz="0" w:space="0" w:color="auto"/>
                <w:right w:val="none" w:sz="0" w:space="0" w:color="auto"/>
              </w:divBdr>
            </w:div>
          </w:divsChild>
        </w:div>
        <w:div w:id="870996814">
          <w:marLeft w:val="0"/>
          <w:marRight w:val="0"/>
          <w:marTop w:val="0"/>
          <w:marBottom w:val="0"/>
          <w:divBdr>
            <w:top w:val="none" w:sz="0" w:space="0" w:color="auto"/>
            <w:left w:val="none" w:sz="0" w:space="0" w:color="auto"/>
            <w:bottom w:val="none" w:sz="0" w:space="0" w:color="auto"/>
            <w:right w:val="none" w:sz="0" w:space="0" w:color="auto"/>
          </w:divBdr>
          <w:divsChild>
            <w:div w:id="702556408">
              <w:marLeft w:val="0"/>
              <w:marRight w:val="0"/>
              <w:marTop w:val="0"/>
              <w:marBottom w:val="0"/>
              <w:divBdr>
                <w:top w:val="none" w:sz="0" w:space="0" w:color="auto"/>
                <w:left w:val="none" w:sz="0" w:space="0" w:color="auto"/>
                <w:bottom w:val="none" w:sz="0" w:space="0" w:color="auto"/>
                <w:right w:val="none" w:sz="0" w:space="0" w:color="auto"/>
              </w:divBdr>
            </w:div>
          </w:divsChild>
        </w:div>
        <w:div w:id="892350891">
          <w:marLeft w:val="0"/>
          <w:marRight w:val="0"/>
          <w:marTop w:val="0"/>
          <w:marBottom w:val="0"/>
          <w:divBdr>
            <w:top w:val="none" w:sz="0" w:space="0" w:color="auto"/>
            <w:left w:val="none" w:sz="0" w:space="0" w:color="auto"/>
            <w:bottom w:val="none" w:sz="0" w:space="0" w:color="auto"/>
            <w:right w:val="none" w:sz="0" w:space="0" w:color="auto"/>
          </w:divBdr>
          <w:divsChild>
            <w:div w:id="1483351054">
              <w:marLeft w:val="0"/>
              <w:marRight w:val="0"/>
              <w:marTop w:val="0"/>
              <w:marBottom w:val="0"/>
              <w:divBdr>
                <w:top w:val="none" w:sz="0" w:space="0" w:color="auto"/>
                <w:left w:val="none" w:sz="0" w:space="0" w:color="auto"/>
                <w:bottom w:val="none" w:sz="0" w:space="0" w:color="auto"/>
                <w:right w:val="none" w:sz="0" w:space="0" w:color="auto"/>
              </w:divBdr>
            </w:div>
          </w:divsChild>
        </w:div>
        <w:div w:id="1144735426">
          <w:marLeft w:val="0"/>
          <w:marRight w:val="0"/>
          <w:marTop w:val="0"/>
          <w:marBottom w:val="0"/>
          <w:divBdr>
            <w:top w:val="none" w:sz="0" w:space="0" w:color="auto"/>
            <w:left w:val="none" w:sz="0" w:space="0" w:color="auto"/>
            <w:bottom w:val="none" w:sz="0" w:space="0" w:color="auto"/>
            <w:right w:val="none" w:sz="0" w:space="0" w:color="auto"/>
          </w:divBdr>
          <w:divsChild>
            <w:div w:id="1305311769">
              <w:marLeft w:val="0"/>
              <w:marRight w:val="0"/>
              <w:marTop w:val="0"/>
              <w:marBottom w:val="0"/>
              <w:divBdr>
                <w:top w:val="none" w:sz="0" w:space="0" w:color="auto"/>
                <w:left w:val="none" w:sz="0" w:space="0" w:color="auto"/>
                <w:bottom w:val="none" w:sz="0" w:space="0" w:color="auto"/>
                <w:right w:val="none" w:sz="0" w:space="0" w:color="auto"/>
              </w:divBdr>
            </w:div>
          </w:divsChild>
        </w:div>
        <w:div w:id="1200902032">
          <w:marLeft w:val="0"/>
          <w:marRight w:val="0"/>
          <w:marTop w:val="0"/>
          <w:marBottom w:val="0"/>
          <w:divBdr>
            <w:top w:val="none" w:sz="0" w:space="0" w:color="auto"/>
            <w:left w:val="none" w:sz="0" w:space="0" w:color="auto"/>
            <w:bottom w:val="none" w:sz="0" w:space="0" w:color="auto"/>
            <w:right w:val="none" w:sz="0" w:space="0" w:color="auto"/>
          </w:divBdr>
          <w:divsChild>
            <w:div w:id="1194273763">
              <w:marLeft w:val="0"/>
              <w:marRight w:val="0"/>
              <w:marTop w:val="0"/>
              <w:marBottom w:val="0"/>
              <w:divBdr>
                <w:top w:val="none" w:sz="0" w:space="0" w:color="auto"/>
                <w:left w:val="none" w:sz="0" w:space="0" w:color="auto"/>
                <w:bottom w:val="none" w:sz="0" w:space="0" w:color="auto"/>
                <w:right w:val="none" w:sz="0" w:space="0" w:color="auto"/>
              </w:divBdr>
            </w:div>
          </w:divsChild>
        </w:div>
        <w:div w:id="1204752699">
          <w:marLeft w:val="0"/>
          <w:marRight w:val="0"/>
          <w:marTop w:val="0"/>
          <w:marBottom w:val="0"/>
          <w:divBdr>
            <w:top w:val="none" w:sz="0" w:space="0" w:color="auto"/>
            <w:left w:val="none" w:sz="0" w:space="0" w:color="auto"/>
            <w:bottom w:val="none" w:sz="0" w:space="0" w:color="auto"/>
            <w:right w:val="none" w:sz="0" w:space="0" w:color="auto"/>
          </w:divBdr>
          <w:divsChild>
            <w:div w:id="1921791952">
              <w:marLeft w:val="0"/>
              <w:marRight w:val="0"/>
              <w:marTop w:val="0"/>
              <w:marBottom w:val="0"/>
              <w:divBdr>
                <w:top w:val="none" w:sz="0" w:space="0" w:color="auto"/>
                <w:left w:val="none" w:sz="0" w:space="0" w:color="auto"/>
                <w:bottom w:val="none" w:sz="0" w:space="0" w:color="auto"/>
                <w:right w:val="none" w:sz="0" w:space="0" w:color="auto"/>
              </w:divBdr>
            </w:div>
          </w:divsChild>
        </w:div>
        <w:div w:id="1244880294">
          <w:marLeft w:val="0"/>
          <w:marRight w:val="0"/>
          <w:marTop w:val="0"/>
          <w:marBottom w:val="0"/>
          <w:divBdr>
            <w:top w:val="none" w:sz="0" w:space="0" w:color="auto"/>
            <w:left w:val="none" w:sz="0" w:space="0" w:color="auto"/>
            <w:bottom w:val="none" w:sz="0" w:space="0" w:color="auto"/>
            <w:right w:val="none" w:sz="0" w:space="0" w:color="auto"/>
          </w:divBdr>
          <w:divsChild>
            <w:div w:id="1856188591">
              <w:marLeft w:val="0"/>
              <w:marRight w:val="0"/>
              <w:marTop w:val="0"/>
              <w:marBottom w:val="0"/>
              <w:divBdr>
                <w:top w:val="none" w:sz="0" w:space="0" w:color="auto"/>
                <w:left w:val="none" w:sz="0" w:space="0" w:color="auto"/>
                <w:bottom w:val="none" w:sz="0" w:space="0" w:color="auto"/>
                <w:right w:val="none" w:sz="0" w:space="0" w:color="auto"/>
              </w:divBdr>
            </w:div>
          </w:divsChild>
        </w:div>
        <w:div w:id="1418793410">
          <w:marLeft w:val="0"/>
          <w:marRight w:val="0"/>
          <w:marTop w:val="0"/>
          <w:marBottom w:val="0"/>
          <w:divBdr>
            <w:top w:val="none" w:sz="0" w:space="0" w:color="auto"/>
            <w:left w:val="none" w:sz="0" w:space="0" w:color="auto"/>
            <w:bottom w:val="none" w:sz="0" w:space="0" w:color="auto"/>
            <w:right w:val="none" w:sz="0" w:space="0" w:color="auto"/>
          </w:divBdr>
          <w:divsChild>
            <w:div w:id="1422801516">
              <w:marLeft w:val="0"/>
              <w:marRight w:val="0"/>
              <w:marTop w:val="0"/>
              <w:marBottom w:val="0"/>
              <w:divBdr>
                <w:top w:val="none" w:sz="0" w:space="0" w:color="auto"/>
                <w:left w:val="none" w:sz="0" w:space="0" w:color="auto"/>
                <w:bottom w:val="none" w:sz="0" w:space="0" w:color="auto"/>
                <w:right w:val="none" w:sz="0" w:space="0" w:color="auto"/>
              </w:divBdr>
            </w:div>
          </w:divsChild>
        </w:div>
        <w:div w:id="1500729666">
          <w:marLeft w:val="0"/>
          <w:marRight w:val="0"/>
          <w:marTop w:val="0"/>
          <w:marBottom w:val="0"/>
          <w:divBdr>
            <w:top w:val="none" w:sz="0" w:space="0" w:color="auto"/>
            <w:left w:val="none" w:sz="0" w:space="0" w:color="auto"/>
            <w:bottom w:val="none" w:sz="0" w:space="0" w:color="auto"/>
            <w:right w:val="none" w:sz="0" w:space="0" w:color="auto"/>
          </w:divBdr>
          <w:divsChild>
            <w:div w:id="1367945685">
              <w:marLeft w:val="0"/>
              <w:marRight w:val="0"/>
              <w:marTop w:val="0"/>
              <w:marBottom w:val="0"/>
              <w:divBdr>
                <w:top w:val="none" w:sz="0" w:space="0" w:color="auto"/>
                <w:left w:val="none" w:sz="0" w:space="0" w:color="auto"/>
                <w:bottom w:val="none" w:sz="0" w:space="0" w:color="auto"/>
                <w:right w:val="none" w:sz="0" w:space="0" w:color="auto"/>
              </w:divBdr>
            </w:div>
          </w:divsChild>
        </w:div>
        <w:div w:id="1544559066">
          <w:marLeft w:val="0"/>
          <w:marRight w:val="0"/>
          <w:marTop w:val="0"/>
          <w:marBottom w:val="0"/>
          <w:divBdr>
            <w:top w:val="none" w:sz="0" w:space="0" w:color="auto"/>
            <w:left w:val="none" w:sz="0" w:space="0" w:color="auto"/>
            <w:bottom w:val="none" w:sz="0" w:space="0" w:color="auto"/>
            <w:right w:val="none" w:sz="0" w:space="0" w:color="auto"/>
          </w:divBdr>
          <w:divsChild>
            <w:div w:id="1520197507">
              <w:marLeft w:val="0"/>
              <w:marRight w:val="0"/>
              <w:marTop w:val="0"/>
              <w:marBottom w:val="0"/>
              <w:divBdr>
                <w:top w:val="none" w:sz="0" w:space="0" w:color="auto"/>
                <w:left w:val="none" w:sz="0" w:space="0" w:color="auto"/>
                <w:bottom w:val="none" w:sz="0" w:space="0" w:color="auto"/>
                <w:right w:val="none" w:sz="0" w:space="0" w:color="auto"/>
              </w:divBdr>
            </w:div>
          </w:divsChild>
        </w:div>
        <w:div w:id="1624072599">
          <w:marLeft w:val="0"/>
          <w:marRight w:val="0"/>
          <w:marTop w:val="0"/>
          <w:marBottom w:val="0"/>
          <w:divBdr>
            <w:top w:val="none" w:sz="0" w:space="0" w:color="auto"/>
            <w:left w:val="none" w:sz="0" w:space="0" w:color="auto"/>
            <w:bottom w:val="none" w:sz="0" w:space="0" w:color="auto"/>
            <w:right w:val="none" w:sz="0" w:space="0" w:color="auto"/>
          </w:divBdr>
          <w:divsChild>
            <w:div w:id="836967115">
              <w:marLeft w:val="0"/>
              <w:marRight w:val="0"/>
              <w:marTop w:val="0"/>
              <w:marBottom w:val="0"/>
              <w:divBdr>
                <w:top w:val="none" w:sz="0" w:space="0" w:color="auto"/>
                <w:left w:val="none" w:sz="0" w:space="0" w:color="auto"/>
                <w:bottom w:val="none" w:sz="0" w:space="0" w:color="auto"/>
                <w:right w:val="none" w:sz="0" w:space="0" w:color="auto"/>
              </w:divBdr>
            </w:div>
          </w:divsChild>
        </w:div>
        <w:div w:id="1637301099">
          <w:marLeft w:val="0"/>
          <w:marRight w:val="0"/>
          <w:marTop w:val="0"/>
          <w:marBottom w:val="0"/>
          <w:divBdr>
            <w:top w:val="none" w:sz="0" w:space="0" w:color="auto"/>
            <w:left w:val="none" w:sz="0" w:space="0" w:color="auto"/>
            <w:bottom w:val="none" w:sz="0" w:space="0" w:color="auto"/>
            <w:right w:val="none" w:sz="0" w:space="0" w:color="auto"/>
          </w:divBdr>
          <w:divsChild>
            <w:div w:id="2068914271">
              <w:marLeft w:val="0"/>
              <w:marRight w:val="0"/>
              <w:marTop w:val="0"/>
              <w:marBottom w:val="0"/>
              <w:divBdr>
                <w:top w:val="none" w:sz="0" w:space="0" w:color="auto"/>
                <w:left w:val="none" w:sz="0" w:space="0" w:color="auto"/>
                <w:bottom w:val="none" w:sz="0" w:space="0" w:color="auto"/>
                <w:right w:val="none" w:sz="0" w:space="0" w:color="auto"/>
              </w:divBdr>
            </w:div>
          </w:divsChild>
        </w:div>
        <w:div w:id="1640454137">
          <w:marLeft w:val="0"/>
          <w:marRight w:val="0"/>
          <w:marTop w:val="0"/>
          <w:marBottom w:val="0"/>
          <w:divBdr>
            <w:top w:val="none" w:sz="0" w:space="0" w:color="auto"/>
            <w:left w:val="none" w:sz="0" w:space="0" w:color="auto"/>
            <w:bottom w:val="none" w:sz="0" w:space="0" w:color="auto"/>
            <w:right w:val="none" w:sz="0" w:space="0" w:color="auto"/>
          </w:divBdr>
          <w:divsChild>
            <w:div w:id="1413812137">
              <w:marLeft w:val="0"/>
              <w:marRight w:val="0"/>
              <w:marTop w:val="0"/>
              <w:marBottom w:val="0"/>
              <w:divBdr>
                <w:top w:val="none" w:sz="0" w:space="0" w:color="auto"/>
                <w:left w:val="none" w:sz="0" w:space="0" w:color="auto"/>
                <w:bottom w:val="none" w:sz="0" w:space="0" w:color="auto"/>
                <w:right w:val="none" w:sz="0" w:space="0" w:color="auto"/>
              </w:divBdr>
            </w:div>
          </w:divsChild>
        </w:div>
        <w:div w:id="1759138218">
          <w:marLeft w:val="0"/>
          <w:marRight w:val="0"/>
          <w:marTop w:val="0"/>
          <w:marBottom w:val="0"/>
          <w:divBdr>
            <w:top w:val="none" w:sz="0" w:space="0" w:color="auto"/>
            <w:left w:val="none" w:sz="0" w:space="0" w:color="auto"/>
            <w:bottom w:val="none" w:sz="0" w:space="0" w:color="auto"/>
            <w:right w:val="none" w:sz="0" w:space="0" w:color="auto"/>
          </w:divBdr>
          <w:divsChild>
            <w:div w:id="244655967">
              <w:marLeft w:val="0"/>
              <w:marRight w:val="0"/>
              <w:marTop w:val="0"/>
              <w:marBottom w:val="0"/>
              <w:divBdr>
                <w:top w:val="none" w:sz="0" w:space="0" w:color="auto"/>
                <w:left w:val="none" w:sz="0" w:space="0" w:color="auto"/>
                <w:bottom w:val="none" w:sz="0" w:space="0" w:color="auto"/>
                <w:right w:val="none" w:sz="0" w:space="0" w:color="auto"/>
              </w:divBdr>
            </w:div>
          </w:divsChild>
        </w:div>
        <w:div w:id="1766264303">
          <w:marLeft w:val="0"/>
          <w:marRight w:val="0"/>
          <w:marTop w:val="0"/>
          <w:marBottom w:val="0"/>
          <w:divBdr>
            <w:top w:val="none" w:sz="0" w:space="0" w:color="auto"/>
            <w:left w:val="none" w:sz="0" w:space="0" w:color="auto"/>
            <w:bottom w:val="none" w:sz="0" w:space="0" w:color="auto"/>
            <w:right w:val="none" w:sz="0" w:space="0" w:color="auto"/>
          </w:divBdr>
          <w:divsChild>
            <w:div w:id="1346443181">
              <w:marLeft w:val="0"/>
              <w:marRight w:val="0"/>
              <w:marTop w:val="0"/>
              <w:marBottom w:val="0"/>
              <w:divBdr>
                <w:top w:val="none" w:sz="0" w:space="0" w:color="auto"/>
                <w:left w:val="none" w:sz="0" w:space="0" w:color="auto"/>
                <w:bottom w:val="none" w:sz="0" w:space="0" w:color="auto"/>
                <w:right w:val="none" w:sz="0" w:space="0" w:color="auto"/>
              </w:divBdr>
            </w:div>
          </w:divsChild>
        </w:div>
        <w:div w:id="1907450037">
          <w:marLeft w:val="0"/>
          <w:marRight w:val="0"/>
          <w:marTop w:val="0"/>
          <w:marBottom w:val="0"/>
          <w:divBdr>
            <w:top w:val="none" w:sz="0" w:space="0" w:color="auto"/>
            <w:left w:val="none" w:sz="0" w:space="0" w:color="auto"/>
            <w:bottom w:val="none" w:sz="0" w:space="0" w:color="auto"/>
            <w:right w:val="none" w:sz="0" w:space="0" w:color="auto"/>
          </w:divBdr>
          <w:divsChild>
            <w:div w:id="12920364">
              <w:marLeft w:val="0"/>
              <w:marRight w:val="0"/>
              <w:marTop w:val="0"/>
              <w:marBottom w:val="0"/>
              <w:divBdr>
                <w:top w:val="none" w:sz="0" w:space="0" w:color="auto"/>
                <w:left w:val="none" w:sz="0" w:space="0" w:color="auto"/>
                <w:bottom w:val="none" w:sz="0" w:space="0" w:color="auto"/>
                <w:right w:val="none" w:sz="0" w:space="0" w:color="auto"/>
              </w:divBdr>
            </w:div>
          </w:divsChild>
        </w:div>
        <w:div w:id="2046909823">
          <w:marLeft w:val="0"/>
          <w:marRight w:val="0"/>
          <w:marTop w:val="0"/>
          <w:marBottom w:val="0"/>
          <w:divBdr>
            <w:top w:val="none" w:sz="0" w:space="0" w:color="auto"/>
            <w:left w:val="none" w:sz="0" w:space="0" w:color="auto"/>
            <w:bottom w:val="none" w:sz="0" w:space="0" w:color="auto"/>
            <w:right w:val="none" w:sz="0" w:space="0" w:color="auto"/>
          </w:divBdr>
          <w:divsChild>
            <w:div w:id="14816617">
              <w:marLeft w:val="0"/>
              <w:marRight w:val="0"/>
              <w:marTop w:val="0"/>
              <w:marBottom w:val="0"/>
              <w:divBdr>
                <w:top w:val="none" w:sz="0" w:space="0" w:color="auto"/>
                <w:left w:val="none" w:sz="0" w:space="0" w:color="auto"/>
                <w:bottom w:val="none" w:sz="0" w:space="0" w:color="auto"/>
                <w:right w:val="none" w:sz="0" w:space="0" w:color="auto"/>
              </w:divBdr>
            </w:div>
          </w:divsChild>
        </w:div>
        <w:div w:id="2050450764">
          <w:marLeft w:val="0"/>
          <w:marRight w:val="0"/>
          <w:marTop w:val="0"/>
          <w:marBottom w:val="0"/>
          <w:divBdr>
            <w:top w:val="none" w:sz="0" w:space="0" w:color="auto"/>
            <w:left w:val="none" w:sz="0" w:space="0" w:color="auto"/>
            <w:bottom w:val="none" w:sz="0" w:space="0" w:color="auto"/>
            <w:right w:val="none" w:sz="0" w:space="0" w:color="auto"/>
          </w:divBdr>
          <w:divsChild>
            <w:div w:id="19321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68954">
      <w:bodyDiv w:val="1"/>
      <w:marLeft w:val="0"/>
      <w:marRight w:val="0"/>
      <w:marTop w:val="0"/>
      <w:marBottom w:val="0"/>
      <w:divBdr>
        <w:top w:val="none" w:sz="0" w:space="0" w:color="auto"/>
        <w:left w:val="none" w:sz="0" w:space="0" w:color="auto"/>
        <w:bottom w:val="none" w:sz="0" w:space="0" w:color="auto"/>
        <w:right w:val="none" w:sz="0" w:space="0" w:color="auto"/>
      </w:divBdr>
      <w:divsChild>
        <w:div w:id="46533126">
          <w:marLeft w:val="0"/>
          <w:marRight w:val="0"/>
          <w:marTop w:val="0"/>
          <w:marBottom w:val="0"/>
          <w:divBdr>
            <w:top w:val="none" w:sz="0" w:space="0" w:color="auto"/>
            <w:left w:val="none" w:sz="0" w:space="0" w:color="auto"/>
            <w:bottom w:val="none" w:sz="0" w:space="0" w:color="auto"/>
            <w:right w:val="none" w:sz="0" w:space="0" w:color="auto"/>
          </w:divBdr>
        </w:div>
        <w:div w:id="61100238">
          <w:marLeft w:val="0"/>
          <w:marRight w:val="0"/>
          <w:marTop w:val="0"/>
          <w:marBottom w:val="0"/>
          <w:divBdr>
            <w:top w:val="none" w:sz="0" w:space="0" w:color="auto"/>
            <w:left w:val="none" w:sz="0" w:space="0" w:color="auto"/>
            <w:bottom w:val="none" w:sz="0" w:space="0" w:color="auto"/>
            <w:right w:val="none" w:sz="0" w:space="0" w:color="auto"/>
          </w:divBdr>
        </w:div>
        <w:div w:id="444690927">
          <w:marLeft w:val="0"/>
          <w:marRight w:val="0"/>
          <w:marTop w:val="0"/>
          <w:marBottom w:val="0"/>
          <w:divBdr>
            <w:top w:val="none" w:sz="0" w:space="0" w:color="auto"/>
            <w:left w:val="none" w:sz="0" w:space="0" w:color="auto"/>
            <w:bottom w:val="none" w:sz="0" w:space="0" w:color="auto"/>
            <w:right w:val="none" w:sz="0" w:space="0" w:color="auto"/>
          </w:divBdr>
        </w:div>
        <w:div w:id="613056189">
          <w:marLeft w:val="0"/>
          <w:marRight w:val="0"/>
          <w:marTop w:val="0"/>
          <w:marBottom w:val="0"/>
          <w:divBdr>
            <w:top w:val="none" w:sz="0" w:space="0" w:color="auto"/>
            <w:left w:val="none" w:sz="0" w:space="0" w:color="auto"/>
            <w:bottom w:val="none" w:sz="0" w:space="0" w:color="auto"/>
            <w:right w:val="none" w:sz="0" w:space="0" w:color="auto"/>
          </w:divBdr>
        </w:div>
        <w:div w:id="899169203">
          <w:marLeft w:val="0"/>
          <w:marRight w:val="0"/>
          <w:marTop w:val="0"/>
          <w:marBottom w:val="0"/>
          <w:divBdr>
            <w:top w:val="none" w:sz="0" w:space="0" w:color="auto"/>
            <w:left w:val="none" w:sz="0" w:space="0" w:color="auto"/>
            <w:bottom w:val="none" w:sz="0" w:space="0" w:color="auto"/>
            <w:right w:val="none" w:sz="0" w:space="0" w:color="auto"/>
          </w:divBdr>
        </w:div>
        <w:div w:id="1259830626">
          <w:marLeft w:val="0"/>
          <w:marRight w:val="0"/>
          <w:marTop w:val="0"/>
          <w:marBottom w:val="0"/>
          <w:divBdr>
            <w:top w:val="none" w:sz="0" w:space="0" w:color="auto"/>
            <w:left w:val="none" w:sz="0" w:space="0" w:color="auto"/>
            <w:bottom w:val="none" w:sz="0" w:space="0" w:color="auto"/>
            <w:right w:val="none" w:sz="0" w:space="0" w:color="auto"/>
          </w:divBdr>
        </w:div>
        <w:div w:id="1358853473">
          <w:marLeft w:val="0"/>
          <w:marRight w:val="0"/>
          <w:marTop w:val="0"/>
          <w:marBottom w:val="0"/>
          <w:divBdr>
            <w:top w:val="none" w:sz="0" w:space="0" w:color="auto"/>
            <w:left w:val="none" w:sz="0" w:space="0" w:color="auto"/>
            <w:bottom w:val="none" w:sz="0" w:space="0" w:color="auto"/>
            <w:right w:val="none" w:sz="0" w:space="0" w:color="auto"/>
          </w:divBdr>
        </w:div>
        <w:div w:id="1777022749">
          <w:marLeft w:val="0"/>
          <w:marRight w:val="0"/>
          <w:marTop w:val="0"/>
          <w:marBottom w:val="0"/>
          <w:divBdr>
            <w:top w:val="none" w:sz="0" w:space="0" w:color="auto"/>
            <w:left w:val="none" w:sz="0" w:space="0" w:color="auto"/>
            <w:bottom w:val="none" w:sz="0" w:space="0" w:color="auto"/>
            <w:right w:val="none" w:sz="0" w:space="0" w:color="auto"/>
          </w:divBdr>
        </w:div>
      </w:divsChild>
    </w:div>
    <w:div w:id="1974434891">
      <w:bodyDiv w:val="1"/>
      <w:marLeft w:val="0"/>
      <w:marRight w:val="0"/>
      <w:marTop w:val="0"/>
      <w:marBottom w:val="0"/>
      <w:divBdr>
        <w:top w:val="none" w:sz="0" w:space="0" w:color="auto"/>
        <w:left w:val="none" w:sz="0" w:space="0" w:color="auto"/>
        <w:bottom w:val="none" w:sz="0" w:space="0" w:color="auto"/>
        <w:right w:val="none" w:sz="0" w:space="0" w:color="auto"/>
      </w:divBdr>
      <w:divsChild>
        <w:div w:id="145824599">
          <w:marLeft w:val="0"/>
          <w:marRight w:val="0"/>
          <w:marTop w:val="0"/>
          <w:marBottom w:val="0"/>
          <w:divBdr>
            <w:top w:val="none" w:sz="0" w:space="0" w:color="auto"/>
            <w:left w:val="none" w:sz="0" w:space="0" w:color="auto"/>
            <w:bottom w:val="none" w:sz="0" w:space="0" w:color="auto"/>
            <w:right w:val="none" w:sz="0" w:space="0" w:color="auto"/>
          </w:divBdr>
        </w:div>
        <w:div w:id="1077360043">
          <w:marLeft w:val="0"/>
          <w:marRight w:val="0"/>
          <w:marTop w:val="0"/>
          <w:marBottom w:val="0"/>
          <w:divBdr>
            <w:top w:val="none" w:sz="0" w:space="0" w:color="auto"/>
            <w:left w:val="none" w:sz="0" w:space="0" w:color="auto"/>
            <w:bottom w:val="none" w:sz="0" w:space="0" w:color="auto"/>
            <w:right w:val="none" w:sz="0" w:space="0" w:color="auto"/>
          </w:divBdr>
        </w:div>
        <w:div w:id="1508865383">
          <w:marLeft w:val="0"/>
          <w:marRight w:val="0"/>
          <w:marTop w:val="0"/>
          <w:marBottom w:val="0"/>
          <w:divBdr>
            <w:top w:val="none" w:sz="0" w:space="0" w:color="auto"/>
            <w:left w:val="none" w:sz="0" w:space="0" w:color="auto"/>
            <w:bottom w:val="none" w:sz="0" w:space="0" w:color="auto"/>
            <w:right w:val="none" w:sz="0" w:space="0" w:color="auto"/>
          </w:divBdr>
        </w:div>
        <w:div w:id="1519657331">
          <w:marLeft w:val="0"/>
          <w:marRight w:val="0"/>
          <w:marTop w:val="0"/>
          <w:marBottom w:val="0"/>
          <w:divBdr>
            <w:top w:val="none" w:sz="0" w:space="0" w:color="auto"/>
            <w:left w:val="none" w:sz="0" w:space="0" w:color="auto"/>
            <w:bottom w:val="none" w:sz="0" w:space="0" w:color="auto"/>
            <w:right w:val="none" w:sz="0" w:space="0" w:color="auto"/>
          </w:divBdr>
        </w:div>
        <w:div w:id="1736857363">
          <w:marLeft w:val="0"/>
          <w:marRight w:val="0"/>
          <w:marTop w:val="0"/>
          <w:marBottom w:val="0"/>
          <w:divBdr>
            <w:top w:val="none" w:sz="0" w:space="0" w:color="auto"/>
            <w:left w:val="none" w:sz="0" w:space="0" w:color="auto"/>
            <w:bottom w:val="none" w:sz="0" w:space="0" w:color="auto"/>
            <w:right w:val="none" w:sz="0" w:space="0" w:color="auto"/>
          </w:divBdr>
          <w:divsChild>
            <w:div w:id="292714730">
              <w:marLeft w:val="0"/>
              <w:marRight w:val="0"/>
              <w:marTop w:val="0"/>
              <w:marBottom w:val="0"/>
              <w:divBdr>
                <w:top w:val="none" w:sz="0" w:space="0" w:color="auto"/>
                <w:left w:val="none" w:sz="0" w:space="0" w:color="auto"/>
                <w:bottom w:val="none" w:sz="0" w:space="0" w:color="auto"/>
                <w:right w:val="none" w:sz="0" w:space="0" w:color="auto"/>
              </w:divBdr>
            </w:div>
            <w:div w:id="384455176">
              <w:marLeft w:val="0"/>
              <w:marRight w:val="0"/>
              <w:marTop w:val="0"/>
              <w:marBottom w:val="0"/>
              <w:divBdr>
                <w:top w:val="none" w:sz="0" w:space="0" w:color="auto"/>
                <w:left w:val="none" w:sz="0" w:space="0" w:color="auto"/>
                <w:bottom w:val="none" w:sz="0" w:space="0" w:color="auto"/>
                <w:right w:val="none" w:sz="0" w:space="0" w:color="auto"/>
              </w:divBdr>
            </w:div>
            <w:div w:id="687217496">
              <w:marLeft w:val="0"/>
              <w:marRight w:val="0"/>
              <w:marTop w:val="0"/>
              <w:marBottom w:val="0"/>
              <w:divBdr>
                <w:top w:val="none" w:sz="0" w:space="0" w:color="auto"/>
                <w:left w:val="none" w:sz="0" w:space="0" w:color="auto"/>
                <w:bottom w:val="none" w:sz="0" w:space="0" w:color="auto"/>
                <w:right w:val="none" w:sz="0" w:space="0" w:color="auto"/>
              </w:divBdr>
            </w:div>
            <w:div w:id="1756432636">
              <w:marLeft w:val="0"/>
              <w:marRight w:val="0"/>
              <w:marTop w:val="0"/>
              <w:marBottom w:val="0"/>
              <w:divBdr>
                <w:top w:val="none" w:sz="0" w:space="0" w:color="auto"/>
                <w:left w:val="none" w:sz="0" w:space="0" w:color="auto"/>
                <w:bottom w:val="none" w:sz="0" w:space="0" w:color="auto"/>
                <w:right w:val="none" w:sz="0" w:space="0" w:color="auto"/>
              </w:divBdr>
            </w:div>
            <w:div w:id="1807089955">
              <w:marLeft w:val="0"/>
              <w:marRight w:val="0"/>
              <w:marTop w:val="0"/>
              <w:marBottom w:val="0"/>
              <w:divBdr>
                <w:top w:val="none" w:sz="0" w:space="0" w:color="auto"/>
                <w:left w:val="none" w:sz="0" w:space="0" w:color="auto"/>
                <w:bottom w:val="none" w:sz="0" w:space="0" w:color="auto"/>
                <w:right w:val="none" w:sz="0" w:space="0" w:color="auto"/>
              </w:divBdr>
            </w:div>
          </w:divsChild>
        </w:div>
        <w:div w:id="1907564838">
          <w:marLeft w:val="0"/>
          <w:marRight w:val="0"/>
          <w:marTop w:val="0"/>
          <w:marBottom w:val="0"/>
          <w:divBdr>
            <w:top w:val="none" w:sz="0" w:space="0" w:color="auto"/>
            <w:left w:val="none" w:sz="0" w:space="0" w:color="auto"/>
            <w:bottom w:val="none" w:sz="0" w:space="0" w:color="auto"/>
            <w:right w:val="none" w:sz="0" w:space="0" w:color="auto"/>
          </w:divBdr>
        </w:div>
        <w:div w:id="2033454216">
          <w:marLeft w:val="0"/>
          <w:marRight w:val="0"/>
          <w:marTop w:val="0"/>
          <w:marBottom w:val="0"/>
          <w:divBdr>
            <w:top w:val="none" w:sz="0" w:space="0" w:color="auto"/>
            <w:left w:val="none" w:sz="0" w:space="0" w:color="auto"/>
            <w:bottom w:val="none" w:sz="0" w:space="0" w:color="auto"/>
            <w:right w:val="none" w:sz="0" w:space="0" w:color="auto"/>
          </w:divBdr>
        </w:div>
      </w:divsChild>
    </w:div>
    <w:div w:id="1990399430">
      <w:bodyDiv w:val="1"/>
      <w:marLeft w:val="0"/>
      <w:marRight w:val="0"/>
      <w:marTop w:val="0"/>
      <w:marBottom w:val="0"/>
      <w:divBdr>
        <w:top w:val="none" w:sz="0" w:space="0" w:color="auto"/>
        <w:left w:val="none" w:sz="0" w:space="0" w:color="auto"/>
        <w:bottom w:val="none" w:sz="0" w:space="0" w:color="auto"/>
        <w:right w:val="none" w:sz="0" w:space="0" w:color="auto"/>
      </w:divBdr>
      <w:divsChild>
        <w:div w:id="509487226">
          <w:marLeft w:val="0"/>
          <w:marRight w:val="0"/>
          <w:marTop w:val="0"/>
          <w:marBottom w:val="0"/>
          <w:divBdr>
            <w:top w:val="none" w:sz="0" w:space="0" w:color="auto"/>
            <w:left w:val="none" w:sz="0" w:space="0" w:color="auto"/>
            <w:bottom w:val="none" w:sz="0" w:space="0" w:color="auto"/>
            <w:right w:val="none" w:sz="0" w:space="0" w:color="auto"/>
          </w:divBdr>
        </w:div>
        <w:div w:id="1592468085">
          <w:marLeft w:val="0"/>
          <w:marRight w:val="0"/>
          <w:marTop w:val="0"/>
          <w:marBottom w:val="0"/>
          <w:divBdr>
            <w:top w:val="none" w:sz="0" w:space="0" w:color="auto"/>
            <w:left w:val="none" w:sz="0" w:space="0" w:color="auto"/>
            <w:bottom w:val="none" w:sz="0" w:space="0" w:color="auto"/>
            <w:right w:val="none" w:sz="0" w:space="0" w:color="auto"/>
          </w:divBdr>
        </w:div>
      </w:divsChild>
    </w:div>
    <w:div w:id="2107575825">
      <w:bodyDiv w:val="1"/>
      <w:marLeft w:val="0"/>
      <w:marRight w:val="0"/>
      <w:marTop w:val="0"/>
      <w:marBottom w:val="0"/>
      <w:divBdr>
        <w:top w:val="none" w:sz="0" w:space="0" w:color="auto"/>
        <w:left w:val="none" w:sz="0" w:space="0" w:color="auto"/>
        <w:bottom w:val="none" w:sz="0" w:space="0" w:color="auto"/>
        <w:right w:val="none" w:sz="0" w:space="0" w:color="auto"/>
      </w:divBdr>
    </w:div>
    <w:div w:id="2140831520">
      <w:bodyDiv w:val="1"/>
      <w:marLeft w:val="0"/>
      <w:marRight w:val="0"/>
      <w:marTop w:val="0"/>
      <w:marBottom w:val="0"/>
      <w:divBdr>
        <w:top w:val="none" w:sz="0" w:space="0" w:color="auto"/>
        <w:left w:val="none" w:sz="0" w:space="0" w:color="auto"/>
        <w:bottom w:val="none" w:sz="0" w:space="0" w:color="auto"/>
        <w:right w:val="none" w:sz="0" w:space="0" w:color="auto"/>
      </w:divBdr>
      <w:divsChild>
        <w:div w:id="653224372">
          <w:marLeft w:val="0"/>
          <w:marRight w:val="0"/>
          <w:marTop w:val="0"/>
          <w:marBottom w:val="0"/>
          <w:divBdr>
            <w:top w:val="none" w:sz="0" w:space="0" w:color="auto"/>
            <w:left w:val="none" w:sz="0" w:space="0" w:color="auto"/>
            <w:bottom w:val="none" w:sz="0" w:space="0" w:color="auto"/>
            <w:right w:val="none" w:sz="0" w:space="0" w:color="auto"/>
          </w:divBdr>
        </w:div>
        <w:div w:id="745105149">
          <w:marLeft w:val="0"/>
          <w:marRight w:val="0"/>
          <w:marTop w:val="0"/>
          <w:marBottom w:val="0"/>
          <w:divBdr>
            <w:top w:val="none" w:sz="0" w:space="0" w:color="auto"/>
            <w:left w:val="none" w:sz="0" w:space="0" w:color="auto"/>
            <w:bottom w:val="none" w:sz="0" w:space="0" w:color="auto"/>
            <w:right w:val="none" w:sz="0" w:space="0" w:color="auto"/>
          </w:divBdr>
        </w:div>
        <w:div w:id="1325665795">
          <w:marLeft w:val="0"/>
          <w:marRight w:val="0"/>
          <w:marTop w:val="0"/>
          <w:marBottom w:val="0"/>
          <w:divBdr>
            <w:top w:val="none" w:sz="0" w:space="0" w:color="auto"/>
            <w:left w:val="none" w:sz="0" w:space="0" w:color="auto"/>
            <w:bottom w:val="none" w:sz="0" w:space="0" w:color="auto"/>
            <w:right w:val="none" w:sz="0" w:space="0" w:color="auto"/>
          </w:divBdr>
        </w:div>
        <w:div w:id="1462069972">
          <w:marLeft w:val="0"/>
          <w:marRight w:val="0"/>
          <w:marTop w:val="0"/>
          <w:marBottom w:val="0"/>
          <w:divBdr>
            <w:top w:val="none" w:sz="0" w:space="0" w:color="auto"/>
            <w:left w:val="none" w:sz="0" w:space="0" w:color="auto"/>
            <w:bottom w:val="none" w:sz="0" w:space="0" w:color="auto"/>
            <w:right w:val="none" w:sz="0" w:space="0" w:color="auto"/>
          </w:divBdr>
        </w:div>
      </w:divsChild>
    </w:div>
    <w:div w:id="21421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ma.europa.eu/en/medicines/human/referrals/paracetamol-modified-release" TargetMode="External"/><Relationship Id="rId21" Type="http://schemas.openxmlformats.org/officeDocument/2006/relationships/hyperlink" Target="https://www.ebs.tga.gov.au/" TargetMode="External"/><Relationship Id="rId42" Type="http://schemas.openxmlformats.org/officeDocument/2006/relationships/hyperlink" Target="https://precision.fda.gov/uniisearch/srs/unii/PA1123N395" TargetMode="External"/><Relationship Id="rId63" Type="http://schemas.openxmlformats.org/officeDocument/2006/relationships/hyperlink" Target="https://www.drugs.com/history/qbrexza.html" TargetMode="External"/><Relationship Id="rId84" Type="http://schemas.openxmlformats.org/officeDocument/2006/relationships/hyperlink" Target="https://www.legislation.gov.au/Search/Therapeutic%20Goods%20$LB$Permissible%20Ingredients$RB$%20Determination" TargetMode="External"/><Relationship Id="rId138" Type="http://schemas.openxmlformats.org/officeDocument/2006/relationships/hyperlink" Target="https://portal.apvma.gov.au/pubcris" TargetMode="External"/><Relationship Id="rId159" Type="http://schemas.openxmlformats.org/officeDocument/2006/relationships/hyperlink" Target="https://www.accessdata.fda.gov/scripts/cder/daf/index.cfm?event=BasicSearch.process" TargetMode="External"/><Relationship Id="rId170" Type="http://schemas.openxmlformats.org/officeDocument/2006/relationships/hyperlink" Target="https://www.accessdata.fda.gov/scripts/cder/daf/index.cfm" TargetMode="External"/><Relationship Id="rId191" Type="http://schemas.openxmlformats.org/officeDocument/2006/relationships/hyperlink" Target="https://ec.europa.eu/growth/tools-databases/cosing/" TargetMode="External"/><Relationship Id="rId205" Type="http://schemas.openxmlformats.org/officeDocument/2006/relationships/hyperlink" Target="https://www.tga.gov.au" TargetMode="External"/><Relationship Id="rId16" Type="http://schemas.openxmlformats.org/officeDocument/2006/relationships/hyperlink" Target="mailto:medicines.scheduling@health.gov.au" TargetMode="External"/><Relationship Id="rId107" Type="http://schemas.openxmlformats.org/officeDocument/2006/relationships/hyperlink" Target="https://www.medicines.org.uk/emc/product/949" TargetMode="External"/><Relationship Id="rId11" Type="http://schemas.openxmlformats.org/officeDocument/2006/relationships/footer" Target="footer2.xml"/><Relationship Id="rId32" Type="http://schemas.openxmlformats.org/officeDocument/2006/relationships/hyperlink" Target="https://echa.europa.eu/search-for-chemicals" TargetMode="External"/><Relationship Id="rId37" Type="http://schemas.openxmlformats.org/officeDocument/2006/relationships/hyperlink" Target="https://www.tga.gov.au/prescribing-medicines-pregnancy-database" TargetMode="External"/><Relationship Id="rId53" Type="http://schemas.openxmlformats.org/officeDocument/2006/relationships/hyperlink" Target="https://www.legislation.gov.au/Details/F2021L01888" TargetMode="External"/><Relationship Id="rId58" Type="http://schemas.openxmlformats.org/officeDocument/2006/relationships/hyperlink" Target="https://ec.europa.eu/health/documents/community-register/html/index_en.htm" TargetMode="External"/><Relationship Id="rId74" Type="http://schemas.openxmlformats.org/officeDocument/2006/relationships/hyperlink" Target="https://www.lakemedelsverket.se/en" TargetMode="External"/><Relationship Id="rId79" Type="http://schemas.openxmlformats.org/officeDocument/2006/relationships/hyperlink" Target="https://www.medicines.org.uk/emc" TargetMode="External"/><Relationship Id="rId102" Type="http://schemas.openxmlformats.org/officeDocument/2006/relationships/hyperlink" Target="https://daen.tga.gov.au/medicines-terms-condition/" TargetMode="External"/><Relationship Id="rId123" Type="http://schemas.openxmlformats.org/officeDocument/2006/relationships/hyperlink" Target="https://www.legislation.gov.au/Details/F2021L01888" TargetMode="External"/><Relationship Id="rId128" Type="http://schemas.openxmlformats.org/officeDocument/2006/relationships/hyperlink" Target="https://www.hpra.ie/homepage/medicines/medicines-information/find-a-medicine/results?page=1&amp;field=&amp;query=adrenaline" TargetMode="External"/><Relationship Id="rId144" Type="http://schemas.openxmlformats.org/officeDocument/2006/relationships/hyperlink" Target="https://www.epa.govt.nz/database-search/new-zealand-inventory-of-chemicals-nzioc/view/C006EFB7-DC5A-4202-BB80-13AB2289AC76" TargetMode="External"/><Relationship Id="rId149" Type="http://schemas.openxmlformats.org/officeDocument/2006/relationships/hyperlink" Target="https://www.tga.gov.au/artg" TargetMode="External"/><Relationship Id="rId5" Type="http://schemas.openxmlformats.org/officeDocument/2006/relationships/webSettings" Target="webSettings.xml"/><Relationship Id="rId90" Type="http://schemas.openxmlformats.org/officeDocument/2006/relationships/hyperlink" Target="https://www.medsafe.govt.nz/regulatory/DbSearch.asp" TargetMode="External"/><Relationship Id="rId95" Type="http://schemas.openxmlformats.org/officeDocument/2006/relationships/hyperlink" Target="https://www.canada.ca/en/health-canada/services/drugs-health-products/drug-products/drug-product-database/terminology.html" TargetMode="External"/><Relationship Id="rId160" Type="http://schemas.openxmlformats.org/officeDocument/2006/relationships/hyperlink" Target="https://www.ebs.tga.gov.au/" TargetMode="External"/><Relationship Id="rId165" Type="http://schemas.openxmlformats.org/officeDocument/2006/relationships/hyperlink" Target="https://daen.tga.gov.au/medicines-terms-condition/" TargetMode="External"/><Relationship Id="rId181" Type="http://schemas.openxmlformats.org/officeDocument/2006/relationships/hyperlink" Target="https://www.gov.uk/guidance/apply-for-autogenous-vaccine-non-food-animal-blood-bank-equine-stem-cell-centre-authorisation" TargetMode="External"/><Relationship Id="rId186" Type="http://schemas.openxmlformats.org/officeDocument/2006/relationships/hyperlink" Target="https://www.legislation.gov.au/Details/F2021L01888" TargetMode="External"/><Relationship Id="rId22" Type="http://schemas.openxmlformats.org/officeDocument/2006/relationships/hyperlink" Target="https://www.tga.gov.au/artg" TargetMode="External"/><Relationship Id="rId27" Type="http://schemas.openxmlformats.org/officeDocument/2006/relationships/hyperlink" Target="https://portal.apvma.gov.au/pubcris" TargetMode="External"/><Relationship Id="rId43" Type="http://schemas.openxmlformats.org/officeDocument/2006/relationships/hyperlink" Target="https://www.ema.europa.eu/en" TargetMode="External"/><Relationship Id="rId48" Type="http://schemas.openxmlformats.org/officeDocument/2006/relationships/hyperlink" Target="https://www.wada-ama.org/en/prohibited-list" TargetMode="External"/><Relationship Id="rId64" Type="http://schemas.openxmlformats.org/officeDocument/2006/relationships/hyperlink" Target="https://www.ebs.tga.gov.au/" TargetMode="External"/><Relationship Id="rId69" Type="http://schemas.openxmlformats.org/officeDocument/2006/relationships/hyperlink" Target="https://daen.tga.gov.au/medicines-terms-condition/" TargetMode="External"/><Relationship Id="rId113" Type="http://schemas.openxmlformats.org/officeDocument/2006/relationships/hyperlink" Target="https://www.legislation.gov.au/Search/Therapeutic%20Goods%20$LB$Permissible%20Ingredients$RB$%20Determination" TargetMode="External"/><Relationship Id="rId118" Type="http://schemas.openxmlformats.org/officeDocument/2006/relationships/hyperlink" Target="https://www.tga.gov.au/how-we-regulate/ingredients-and-scheduling-medicines-and-chemicals/poisons-standard-and-scheduling-medicines-and-chemicals/scheduling/independent-expert-report-risks-intentional-self-poisoning-paracetamol" TargetMode="External"/><Relationship Id="rId134" Type="http://schemas.openxmlformats.org/officeDocument/2006/relationships/hyperlink" Target="https://www.legislation.gov.au/Search/Therapeutic%20Goods%20$LB$Permissible%20Ingredients$RB$%20Determination" TargetMode="External"/><Relationship Id="rId139" Type="http://schemas.openxmlformats.org/officeDocument/2006/relationships/hyperlink" Target="https://apvma.gov.au/node/10946" TargetMode="External"/><Relationship Id="rId80" Type="http://schemas.openxmlformats.org/officeDocument/2006/relationships/hyperlink" Target="https://www.hpra.ie/" TargetMode="External"/><Relationship Id="rId85" Type="http://schemas.openxmlformats.org/officeDocument/2006/relationships/hyperlink" Target="https://www.tga.gov.au/prescribing-medicines-pregnancy-database" TargetMode="External"/><Relationship Id="rId150" Type="http://schemas.openxmlformats.org/officeDocument/2006/relationships/hyperlink" Target="https://www.legislation.gov.au/Search/Therapeutic%20Goods%20$LB$Permissible%20Ingredients$RB$%20Determination" TargetMode="External"/><Relationship Id="rId155" Type="http://schemas.openxmlformats.org/officeDocument/2006/relationships/hyperlink" Target="https://apvma.gov.au/node/10946" TargetMode="External"/><Relationship Id="rId171" Type="http://schemas.openxmlformats.org/officeDocument/2006/relationships/hyperlink" Target="https://www.ebs.tga.gov.au/" TargetMode="External"/><Relationship Id="rId176" Type="http://schemas.openxmlformats.org/officeDocument/2006/relationships/hyperlink" Target="https://daen.tga.gov.au/medicines-terms-condition/" TargetMode="External"/><Relationship Id="rId192" Type="http://schemas.openxmlformats.org/officeDocument/2006/relationships/hyperlink" Target="https://www.epa.govt.nz/database-search/new-zealand-inventory-of-chemicals-nzioc/DatabaseSearchForm/?SiteDatabaseSearchFilters=36&amp;Keyword=acequinocyl&amp;DatabaseType=NZIOC" TargetMode="External"/><Relationship Id="rId197" Type="http://schemas.openxmlformats.org/officeDocument/2006/relationships/hyperlink" Target="https://www.tga.gov.au/about-tga/advisory-bodies-and-committees/advisory-committee-medicines-scheduling-acms" TargetMode="External"/><Relationship Id="rId206" Type="http://schemas.openxmlformats.org/officeDocument/2006/relationships/header" Target="header4.xml"/><Relationship Id="rId201" Type="http://schemas.openxmlformats.org/officeDocument/2006/relationships/hyperlink" Target="https://www.tga.gov.au/resources/publication/scheduling-decisions-interim" TargetMode="External"/><Relationship Id="rId12" Type="http://schemas.openxmlformats.org/officeDocument/2006/relationships/hyperlink" Target="mailto:tga.copyright@tga.gov.au" TargetMode="External"/><Relationship Id="rId17" Type="http://schemas.openxmlformats.org/officeDocument/2006/relationships/hyperlink" Target="https://consultations.tga.gov.au/tga/scheduling-pre-meeting-november-2023" TargetMode="External"/><Relationship Id="rId33" Type="http://schemas.openxmlformats.org/officeDocument/2006/relationships/hyperlink" Target="https://www.hpra.ie/homepage/medicines/medicines-information/find-a-medicine/results?query=astodrimer+sodium&amp;field=" TargetMode="External"/><Relationship Id="rId38" Type="http://schemas.openxmlformats.org/officeDocument/2006/relationships/hyperlink" Target="https://www.legislation.gov.au/Details/F2021L01888" TargetMode="External"/><Relationship Id="rId59" Type="http://schemas.openxmlformats.org/officeDocument/2006/relationships/hyperlink" Target="https://www.medsafe.govt.nz/Regulatory/DbSearch.asp" TargetMode="External"/><Relationship Id="rId103" Type="http://schemas.openxmlformats.org/officeDocument/2006/relationships/hyperlink" Target="https://portal.apvma.gov.au/pubcris" TargetMode="External"/><Relationship Id="rId108" Type="http://schemas.openxmlformats.org/officeDocument/2006/relationships/hyperlink" Target="https://www.ema.europa.eu/en/documents/psusa/naratriptan-list-nationally-authorised-medicinal-products-psusa/00002126/202202_en.pdf" TargetMode="External"/><Relationship Id="rId124" Type="http://schemas.openxmlformats.org/officeDocument/2006/relationships/hyperlink" Target="https://daen.tga.gov.au/medicines-terms-condition/" TargetMode="External"/><Relationship Id="rId129" Type="http://schemas.openxmlformats.org/officeDocument/2006/relationships/hyperlink" Target="https://health-products.canada.ca/dpd-bdpp/dispatch-repartition" TargetMode="External"/><Relationship Id="rId54" Type="http://schemas.openxmlformats.org/officeDocument/2006/relationships/hyperlink" Target="https://apps.tga.gov.au/Prod/daen/daen-entry.aspx" TargetMode="External"/><Relationship Id="rId70" Type="http://schemas.openxmlformats.org/officeDocument/2006/relationships/hyperlink" Target="https://portal.apvma.gov.au/pubcris" TargetMode="External"/><Relationship Id="rId75" Type="http://schemas.openxmlformats.org/officeDocument/2006/relationships/hyperlink" Target="https://www.fimea.fi/web/en/databases_and_registers/fimeaweb" TargetMode="External"/><Relationship Id="rId91" Type="http://schemas.openxmlformats.org/officeDocument/2006/relationships/hyperlink" Target="https://www.medsafe.govt.nz/profs/class/Minutes/2021-2025/mccMin25May2023.htm" TargetMode="External"/><Relationship Id="rId96" Type="http://schemas.openxmlformats.org/officeDocument/2006/relationships/hyperlink" Target="https://www.migraine.org.au/triptans" TargetMode="External"/><Relationship Id="rId140" Type="http://schemas.openxmlformats.org/officeDocument/2006/relationships/hyperlink" Target="https://services.industrialchemicals.gov.au/search-inventory/" TargetMode="External"/><Relationship Id="rId145" Type="http://schemas.openxmlformats.org/officeDocument/2006/relationships/hyperlink" Target="https://health-products.canada.ca/dpd-bdpp/dispatch-repartition" TargetMode="External"/><Relationship Id="rId161" Type="http://schemas.openxmlformats.org/officeDocument/2006/relationships/hyperlink" Target="https://www.tga.gov.au/artg" TargetMode="External"/><Relationship Id="rId166" Type="http://schemas.openxmlformats.org/officeDocument/2006/relationships/hyperlink" Target="https://portal.apvma.gov.au/pubcris" TargetMode="External"/><Relationship Id="rId182" Type="http://schemas.openxmlformats.org/officeDocument/2006/relationships/hyperlink" Target="https://www.ebs.tga.gov.au/" TargetMode="External"/><Relationship Id="rId187" Type="http://schemas.openxmlformats.org/officeDocument/2006/relationships/hyperlink" Target="https://daen.tga.gov.au/medicines-terms-conditi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egislation.gov.au/Search/Therapeutic%20Goods%20$LB$Permissible%20Ingredients$RB$%20Determination" TargetMode="External"/><Relationship Id="rId28" Type="http://schemas.openxmlformats.org/officeDocument/2006/relationships/hyperlink" Target="https://health-products.canada.ca/dpd-bdpp/" TargetMode="External"/><Relationship Id="rId49" Type="http://schemas.openxmlformats.org/officeDocument/2006/relationships/hyperlink" Target="https://www.ebs.tga.gov.au/" TargetMode="External"/><Relationship Id="rId114" Type="http://schemas.openxmlformats.org/officeDocument/2006/relationships/hyperlink" Target="https://www.tga.gov.au/prescribing-medicines-pregnancy-database" TargetMode="External"/><Relationship Id="rId119" Type="http://schemas.openxmlformats.org/officeDocument/2006/relationships/hyperlink" Target="https://www.ebs.tga.gov.au/" TargetMode="External"/><Relationship Id="rId44" Type="http://schemas.openxmlformats.org/officeDocument/2006/relationships/hyperlink" Target="http://www.hpra.ie/homepage/medicines/medicines-information/find-a-medicine/results?query=Bilastine&amp;field=ACTIVESUBSTANCES" TargetMode="External"/><Relationship Id="rId60" Type="http://schemas.openxmlformats.org/officeDocument/2006/relationships/hyperlink" Target="https://www.canada.ca/en/health-canada/services/drugs-health-products/drug-products/drug-product-database.html" TargetMode="External"/><Relationship Id="rId65" Type="http://schemas.openxmlformats.org/officeDocument/2006/relationships/hyperlink" Target="https://www.tga.gov.au/artg" TargetMode="External"/><Relationship Id="rId81" Type="http://schemas.openxmlformats.org/officeDocument/2006/relationships/hyperlink" Target="https://www.tga.gov.au/resources/resource/guidance/ahmac-scheduling-policy-framework-medicines-and-chemicals/scheduling-factors" TargetMode="External"/><Relationship Id="rId86" Type="http://schemas.openxmlformats.org/officeDocument/2006/relationships/hyperlink" Target="https://www.legislation.gov.au/Details/F2021L01888" TargetMode="External"/><Relationship Id="rId130" Type="http://schemas.openxmlformats.org/officeDocument/2006/relationships/hyperlink" Target="https://www.accessdata.fda.gov/scripts/cder/daf/index.cfm" TargetMode="External"/><Relationship Id="rId135" Type="http://schemas.openxmlformats.org/officeDocument/2006/relationships/hyperlink" Target="https://www.tga.gov.au/prescribing-medicines-pregnancy-database" TargetMode="External"/><Relationship Id="rId151" Type="http://schemas.openxmlformats.org/officeDocument/2006/relationships/hyperlink" Target="https://www.tga.gov.au/prescribing-medicines-pregnancy-database" TargetMode="External"/><Relationship Id="rId156" Type="http://schemas.openxmlformats.org/officeDocument/2006/relationships/hyperlink" Target="https://www.hpra.ie/homepage/medicines/medicines-information/find-a-medicine/results?query=meloxicam&amp;field=" TargetMode="External"/><Relationship Id="rId177" Type="http://schemas.openxmlformats.org/officeDocument/2006/relationships/hyperlink" Target="https://portal.apvma.gov.au/pubcris" TargetMode="External"/><Relationship Id="rId198" Type="http://schemas.openxmlformats.org/officeDocument/2006/relationships/hyperlink" Target="https://www.tga.gov.au/about-tga/advisory-bodies-and-committees/advisory-committee-chemicals-scheduling-accs" TargetMode="External"/><Relationship Id="rId172" Type="http://schemas.openxmlformats.org/officeDocument/2006/relationships/hyperlink" Target="https://www.tga.gov.au/artg" TargetMode="External"/><Relationship Id="rId193" Type="http://schemas.openxmlformats.org/officeDocument/2006/relationships/hyperlink" Target="https://www.medsafe.govt.nz/profs/class/classintro.asp" TargetMode="External"/><Relationship Id="rId202" Type="http://schemas.openxmlformats.org/officeDocument/2006/relationships/header" Target="header3.xml"/><Relationship Id="rId207" Type="http://schemas.openxmlformats.org/officeDocument/2006/relationships/footer" Target="footer4.xml"/><Relationship Id="rId13" Type="http://schemas.openxmlformats.org/officeDocument/2006/relationships/hyperlink" Target="https://consultations.tga.gov.au/tga/scheduling-pre-meeting-november-2023" TargetMode="External"/><Relationship Id="rId18" Type="http://schemas.openxmlformats.org/officeDocument/2006/relationships/hyperlink" Target="https://www.tga.gov.au/committee/advisory-committee-medicines-scheduling-acms" TargetMode="External"/><Relationship Id="rId39" Type="http://schemas.openxmlformats.org/officeDocument/2006/relationships/hyperlink" Target="https://apps.tga.gov.au/Prod/daen/daen-entry.aspx" TargetMode="External"/><Relationship Id="rId109" Type="http://schemas.openxmlformats.org/officeDocument/2006/relationships/hyperlink" Target="https://health-products.canada.ca/dpd-bdpp/dispatch-repartition" TargetMode="External"/><Relationship Id="rId34" Type="http://schemas.openxmlformats.org/officeDocument/2006/relationships/hyperlink" Target="https://www.ebs.tga.gov.au/" TargetMode="External"/><Relationship Id="rId50" Type="http://schemas.openxmlformats.org/officeDocument/2006/relationships/hyperlink" Target="https://www.tga.gov.au/artg" TargetMode="External"/><Relationship Id="rId55" Type="http://schemas.openxmlformats.org/officeDocument/2006/relationships/hyperlink" Target="https://portal.apvma.gov.au/pubcris" TargetMode="External"/><Relationship Id="rId76" Type="http://schemas.openxmlformats.org/officeDocument/2006/relationships/hyperlink" Target="https://www.geneesmiddeleninformatiebank.nl/ords/f?p=111:1:0::NO:RP,1:P0_DOMAIN,P0_LANG:H,EN" TargetMode="External"/><Relationship Id="rId97" Type="http://schemas.openxmlformats.org/officeDocument/2006/relationships/hyperlink" Target="https://www.ebs.tga.gov.au/" TargetMode="External"/><Relationship Id="rId104" Type="http://schemas.openxmlformats.org/officeDocument/2006/relationships/hyperlink" Target="https://www.accessdata.fda.gov/scripts/cder/daf/index.cfm" TargetMode="External"/><Relationship Id="rId120" Type="http://schemas.openxmlformats.org/officeDocument/2006/relationships/hyperlink" Target="https://www.tga.gov.au/artg" TargetMode="External"/><Relationship Id="rId125" Type="http://schemas.openxmlformats.org/officeDocument/2006/relationships/hyperlink" Target="https://portal.apvma.gov.au/pubcris" TargetMode="External"/><Relationship Id="rId141" Type="http://schemas.openxmlformats.org/officeDocument/2006/relationships/hyperlink" Target="https://www.accessdata.fda.gov/scripts/cder/daf/index.cfm?event=BasicSearch.process" TargetMode="External"/><Relationship Id="rId146" Type="http://schemas.openxmlformats.org/officeDocument/2006/relationships/hyperlink" Target="https://echa.europa.eu/substance-information/-/substanceinfo/100.000.562" TargetMode="External"/><Relationship Id="rId167" Type="http://schemas.openxmlformats.org/officeDocument/2006/relationships/hyperlink" Target="https://www.medsafe.govt.nz/profs/class/classintro.asp" TargetMode="External"/><Relationship Id="rId188" Type="http://schemas.openxmlformats.org/officeDocument/2006/relationships/hyperlink" Target="https://portal.apvma.gov.au/pubcris" TargetMode="External"/><Relationship Id="rId7" Type="http://schemas.openxmlformats.org/officeDocument/2006/relationships/endnotes" Target="endnotes.xml"/><Relationship Id="rId71" Type="http://schemas.openxmlformats.org/officeDocument/2006/relationships/hyperlink" Target="https://www.accessdata.fda.gov/scripts/cder/daf/" TargetMode="External"/><Relationship Id="rId92" Type="http://schemas.openxmlformats.org/officeDocument/2006/relationships/hyperlink" Target="https://www.medicines.org.uk/emc/search?q=methenamine" TargetMode="External"/><Relationship Id="rId162" Type="http://schemas.openxmlformats.org/officeDocument/2006/relationships/hyperlink" Target="https://www.legislation.gov.au/Search/Therapeutic%20Goods%20$LB$Permissible%20Ingredients$RB$%20Determination" TargetMode="External"/><Relationship Id="rId183" Type="http://schemas.openxmlformats.org/officeDocument/2006/relationships/hyperlink" Target="https://www.tga.gov.au/artg" TargetMode="External"/><Relationship Id="rId2" Type="http://schemas.openxmlformats.org/officeDocument/2006/relationships/numbering" Target="numbering.xml"/><Relationship Id="rId29" Type="http://schemas.openxmlformats.org/officeDocument/2006/relationships/hyperlink" Target="https://www.accessdata.fda.gov/scripts/cder/daf/" TargetMode="External"/><Relationship Id="rId24" Type="http://schemas.openxmlformats.org/officeDocument/2006/relationships/hyperlink" Target="https://www.tga.gov.au/prescribing-medicines-pregnancy-database" TargetMode="External"/><Relationship Id="rId40" Type="http://schemas.openxmlformats.org/officeDocument/2006/relationships/hyperlink" Target="https://portal.apvma.gov.au/pubcris" TargetMode="External"/><Relationship Id="rId45" Type="http://schemas.openxmlformats.org/officeDocument/2006/relationships/hyperlink" Target="https://www.medsafe.govt.nz/profs/class/classintro.asp" TargetMode="External"/><Relationship Id="rId66" Type="http://schemas.openxmlformats.org/officeDocument/2006/relationships/hyperlink" Target="https://www.legislation.gov.au/Search/Therapeutic%20Goods%20$LB$Permissible%20Ingredients$RB$%20Determination" TargetMode="External"/><Relationship Id="rId87" Type="http://schemas.openxmlformats.org/officeDocument/2006/relationships/hyperlink" Target="https://daen.tga.gov.au/medicines-terms-condition/" TargetMode="External"/><Relationship Id="rId110" Type="http://schemas.openxmlformats.org/officeDocument/2006/relationships/hyperlink" Target="https://www.tga.gov.au/resources/publication/scheduling-decisions-final/notice-final-decision-amend-or-not-amend-current-poisons-standard-acms-40-accs-34-joint-acms-accs-32" TargetMode="External"/><Relationship Id="rId115" Type="http://schemas.openxmlformats.org/officeDocument/2006/relationships/hyperlink" Target="https://www.legislation.gov.au/Details/F2021L01888" TargetMode="External"/><Relationship Id="rId131" Type="http://schemas.openxmlformats.org/officeDocument/2006/relationships/hyperlink" Target="https://www.chemsafetypro.com/Topics/GHS/GHS_cut_off_value_GHS_concentration_limit.html" TargetMode="External"/><Relationship Id="rId136" Type="http://schemas.openxmlformats.org/officeDocument/2006/relationships/hyperlink" Target="https://www.legislation.gov.au/Details/F2021L01888" TargetMode="External"/><Relationship Id="rId157" Type="http://schemas.openxmlformats.org/officeDocument/2006/relationships/hyperlink" Target="https://health-products.canada.ca/dpd-bdpp/dispatch-repartition" TargetMode="External"/><Relationship Id="rId178" Type="http://schemas.openxmlformats.org/officeDocument/2006/relationships/hyperlink" Target="https://www.gov.uk/government/organisations/veterinary-medicines-directorate" TargetMode="External"/><Relationship Id="rId61" Type="http://schemas.openxmlformats.org/officeDocument/2006/relationships/hyperlink" Target="https://products.mhra.gov.uk/" TargetMode="External"/><Relationship Id="rId82" Type="http://schemas.openxmlformats.org/officeDocument/2006/relationships/hyperlink" Target="https://www.ebs.tga.gov.au/" TargetMode="External"/><Relationship Id="rId152" Type="http://schemas.openxmlformats.org/officeDocument/2006/relationships/hyperlink" Target="https://www.legislation.gov.au/Details/F2021L01888" TargetMode="External"/><Relationship Id="rId173" Type="http://schemas.openxmlformats.org/officeDocument/2006/relationships/hyperlink" Target="https://www.legislation.gov.au/Search/Therapeutic%20Goods%20$LB$Permissible%20Ingredients$RB$%20Determination" TargetMode="External"/><Relationship Id="rId194" Type="http://schemas.openxmlformats.org/officeDocument/2006/relationships/hyperlink" Target="https://health-products.canada.ca/dpd-bdpp/index-eng.jsp" TargetMode="External"/><Relationship Id="rId199" Type="http://schemas.openxmlformats.org/officeDocument/2006/relationships/hyperlink" Target="https://www.tga.gov.au/resources/publication/scheduling-submissions" TargetMode="External"/><Relationship Id="rId203" Type="http://schemas.openxmlformats.org/officeDocument/2006/relationships/footer" Target="footer3.xml"/><Relationship Id="rId208" Type="http://schemas.openxmlformats.org/officeDocument/2006/relationships/fontTable" Target="fontTable.xml"/><Relationship Id="rId19" Type="http://schemas.openxmlformats.org/officeDocument/2006/relationships/hyperlink" Target="https://www.tga.gov.au/committee/advisory-committee-chemicals-scheduling-accs" TargetMode="External"/><Relationship Id="rId14" Type="http://schemas.openxmlformats.org/officeDocument/2006/relationships/hyperlink" Target="https://www.tga.gov.au/committee/advisory-committee-medicines-scheduling-acms" TargetMode="External"/><Relationship Id="rId30" Type="http://schemas.openxmlformats.org/officeDocument/2006/relationships/hyperlink" Target="https://www.epa.govt.nz/database-search/new-zealand-inventory-of-chemicals-nzioc/DatabaseSearchForm/?SiteDatabaseSearchFilters=36&amp;Keyword=acequinocyl&amp;DatabaseType=NZIOC" TargetMode="External"/><Relationship Id="rId35" Type="http://schemas.openxmlformats.org/officeDocument/2006/relationships/hyperlink" Target="https://www.tga.gov.au/artg" TargetMode="External"/><Relationship Id="rId56" Type="http://schemas.openxmlformats.org/officeDocument/2006/relationships/hyperlink" Target="https://www.fda.gov/" TargetMode="External"/><Relationship Id="rId77" Type="http://schemas.openxmlformats.org/officeDocument/2006/relationships/hyperlink" Target="https://www.medsafe.govt.nz/profs/class/classintro.asp" TargetMode="External"/><Relationship Id="rId100" Type="http://schemas.openxmlformats.org/officeDocument/2006/relationships/hyperlink" Target="https://www.tga.gov.au/prescribing-medicines-pregnancy-database" TargetMode="External"/><Relationship Id="rId105" Type="http://schemas.openxmlformats.org/officeDocument/2006/relationships/hyperlink" Target="https://www.medsafe.govt.nz/regulatory/dbsearch.asp" TargetMode="External"/><Relationship Id="rId126" Type="http://schemas.openxmlformats.org/officeDocument/2006/relationships/hyperlink" Target="https://apvma.gov.au/node/10946" TargetMode="External"/><Relationship Id="rId147" Type="http://schemas.openxmlformats.org/officeDocument/2006/relationships/hyperlink" Target="https://www.hpra.ie/homepage/medicines/medicines-information/find-a-medicine/results/item?pano=PA0206/024/001&amp;t=Whitfield%27s%20Antifungal%203%25%20w/w%20&amp;%206%25%20w/w%20Ointment" TargetMode="External"/><Relationship Id="rId168" Type="http://schemas.openxmlformats.org/officeDocument/2006/relationships/hyperlink" Target="https://www.hpra.ie/homepage/medicines/medicines-information/find-a-medicine/results?page=1&amp;field=&amp;query=adrenaline" TargetMode="External"/><Relationship Id="rId8" Type="http://schemas.openxmlformats.org/officeDocument/2006/relationships/header" Target="header1.xml"/><Relationship Id="rId51" Type="http://schemas.openxmlformats.org/officeDocument/2006/relationships/hyperlink" Target="https://www.legislation.gov.au/Search/Therapeutic%20Goods%20$LB$Permissible%20Ingredients$RB$%20Determination" TargetMode="External"/><Relationship Id="rId72" Type="http://schemas.openxmlformats.org/officeDocument/2006/relationships/hyperlink" Target="https://ec.europa.eu/health/documents/community-register/html/reg_index_inn.htm" TargetMode="External"/><Relationship Id="rId93" Type="http://schemas.openxmlformats.org/officeDocument/2006/relationships/hyperlink" Target="https://www.hpra.ie/" TargetMode="External"/><Relationship Id="rId98" Type="http://schemas.openxmlformats.org/officeDocument/2006/relationships/hyperlink" Target="https://www.tga.gov.au/artg" TargetMode="External"/><Relationship Id="rId121" Type="http://schemas.openxmlformats.org/officeDocument/2006/relationships/hyperlink" Target="https://www.legislation.gov.au/Search/Therapeutic%20Goods%20$LB$Permissible%20Ingredients$RB$%20Determination" TargetMode="External"/><Relationship Id="rId142" Type="http://schemas.openxmlformats.org/officeDocument/2006/relationships/hyperlink" Target="https://ec.europa.eu/growth/tools-databases/cosing/details/32134" TargetMode="External"/><Relationship Id="rId163" Type="http://schemas.openxmlformats.org/officeDocument/2006/relationships/hyperlink" Target="https://www.tga.gov.au/prescribing-medicines-pregnancy-database" TargetMode="External"/><Relationship Id="rId184" Type="http://schemas.openxmlformats.org/officeDocument/2006/relationships/hyperlink" Target="https://www.legislation.gov.au/Search/Therapeutic%20Goods%20$LB$Permissible%20Ingredients$RB$%20Determination" TargetMode="External"/><Relationship Id="rId189" Type="http://schemas.openxmlformats.org/officeDocument/2006/relationships/hyperlink" Target="https://www.accessdata.fda.gov/scripts/cder/daf/index.cfm" TargetMode="External"/><Relationship Id="rId3" Type="http://schemas.openxmlformats.org/officeDocument/2006/relationships/styles" Target="styles.xml"/><Relationship Id="rId25" Type="http://schemas.openxmlformats.org/officeDocument/2006/relationships/hyperlink" Target="https://www.legislation.gov.au/Details/F2021L01888" TargetMode="External"/><Relationship Id="rId46" Type="http://schemas.openxmlformats.org/officeDocument/2006/relationships/hyperlink" Target="https://www.medicines.org.uk/emc/search?q=bilastine" TargetMode="External"/><Relationship Id="rId67" Type="http://schemas.openxmlformats.org/officeDocument/2006/relationships/hyperlink" Target="https://www.tga.gov.au/prescribing-medicines-pregnancy-database" TargetMode="External"/><Relationship Id="rId116" Type="http://schemas.openxmlformats.org/officeDocument/2006/relationships/hyperlink" Target="https://daen.tga.gov.au/medicines-search/" TargetMode="External"/><Relationship Id="rId137" Type="http://schemas.openxmlformats.org/officeDocument/2006/relationships/hyperlink" Target="https://daen.tga.gov.au/medicines-terms-condition/" TargetMode="External"/><Relationship Id="rId158" Type="http://schemas.openxmlformats.org/officeDocument/2006/relationships/hyperlink" Target="https://www.medsafe.govt.nz/profs/class/classintro.asp" TargetMode="External"/><Relationship Id="rId20" Type="http://schemas.openxmlformats.org/officeDocument/2006/relationships/hyperlink" Target="mailto:medicines.scheduling@health.gov.au" TargetMode="External"/><Relationship Id="rId41" Type="http://schemas.openxmlformats.org/officeDocument/2006/relationships/hyperlink" Target="https://www.accessdata.fda.gov/scripts/cder/daf/index.cfm?event=BasicSearch.process" TargetMode="External"/><Relationship Id="rId62" Type="http://schemas.openxmlformats.org/officeDocument/2006/relationships/hyperlink" Target="https://healthgov-my.sharepoint.com/personal/melissa_ezzy_health_gov_au/Documents/Desktop/Legislation/July%202023%20Poisons%20Standard%20.docx?web=1" TargetMode="External"/><Relationship Id="rId83" Type="http://schemas.openxmlformats.org/officeDocument/2006/relationships/hyperlink" Target="https://www.tga.gov.au/artg" TargetMode="External"/><Relationship Id="rId88" Type="http://schemas.openxmlformats.org/officeDocument/2006/relationships/hyperlink" Target="https://portal.apvma.gov.au/pubcris" TargetMode="External"/><Relationship Id="rId111" Type="http://schemas.openxmlformats.org/officeDocument/2006/relationships/hyperlink" Target="https://www.ebs.tga.gov.au/" TargetMode="External"/><Relationship Id="rId132" Type="http://schemas.openxmlformats.org/officeDocument/2006/relationships/hyperlink" Target="https://www.ebs.tga.gov.au/" TargetMode="External"/><Relationship Id="rId153" Type="http://schemas.openxmlformats.org/officeDocument/2006/relationships/hyperlink" Target="https://daen.tga.gov.au/medicines-terms-condition/" TargetMode="External"/><Relationship Id="rId174" Type="http://schemas.openxmlformats.org/officeDocument/2006/relationships/hyperlink" Target="https://www.tga.gov.au/prescribing-medicines-pregnancy-database" TargetMode="External"/><Relationship Id="rId179" Type="http://schemas.openxmlformats.org/officeDocument/2006/relationships/hyperlink" Target="https://www.gov.uk/government/organisations/department-for-environment-food-rural-affairs" TargetMode="External"/><Relationship Id="rId195" Type="http://schemas.openxmlformats.org/officeDocument/2006/relationships/hyperlink" Target="https://www.medicines.ie/" TargetMode="External"/><Relationship Id="rId209" Type="http://schemas.openxmlformats.org/officeDocument/2006/relationships/theme" Target="theme/theme1.xml"/><Relationship Id="rId190" Type="http://schemas.openxmlformats.org/officeDocument/2006/relationships/hyperlink" Target="https://echa.europa.eu/search-for-chemicals" TargetMode="External"/><Relationship Id="rId204" Type="http://schemas.openxmlformats.org/officeDocument/2006/relationships/hyperlink" Target="mailto:info@tga.gov.au" TargetMode="External"/><Relationship Id="rId15" Type="http://schemas.openxmlformats.org/officeDocument/2006/relationships/hyperlink" Target="https://www.tga.gov.au/committee/advisory-committee-chemicals-scheduling-accs" TargetMode="External"/><Relationship Id="rId36" Type="http://schemas.openxmlformats.org/officeDocument/2006/relationships/hyperlink" Target="https://www.legislation.gov.au/Search/Therapeutic%20Goods%20$LB$Permissible%20Ingredients$RB$%20Determination" TargetMode="External"/><Relationship Id="rId57" Type="http://schemas.openxmlformats.org/officeDocument/2006/relationships/hyperlink" Target="https://single-market-economy.ec.europa.eu/sectors/cosmetics/cosmetic-ingredient-database_en" TargetMode="External"/><Relationship Id="rId106" Type="http://schemas.openxmlformats.org/officeDocument/2006/relationships/hyperlink" Target="https://www.hpra.ie/homepage/medicines/medicines-information/find-a-medicine/results/item?pano=PA0749/065/001&amp;t=Naraverg%202.5%20mg%20Film-coated%20Tablets" TargetMode="External"/><Relationship Id="rId127" Type="http://schemas.openxmlformats.org/officeDocument/2006/relationships/hyperlink" Target="https://www.medsafe.govt.nz/profs/class/classintro.asp" TargetMode="External"/><Relationship Id="rId10" Type="http://schemas.openxmlformats.org/officeDocument/2006/relationships/header" Target="header2.xml"/><Relationship Id="rId31" Type="http://schemas.openxmlformats.org/officeDocument/2006/relationships/hyperlink" Target="https://www.medsafe.govt.nz/profs/class/classintro.asp" TargetMode="External"/><Relationship Id="rId52" Type="http://schemas.openxmlformats.org/officeDocument/2006/relationships/hyperlink" Target="https://www.tga.gov.au/prescribing-medicines-pregnancy-database" TargetMode="External"/><Relationship Id="rId73" Type="http://schemas.openxmlformats.org/officeDocument/2006/relationships/hyperlink" Target="https://aspregister.basg.gv.at/aspregister/faces/aspregister.jspx" TargetMode="External"/><Relationship Id="rId78" Type="http://schemas.openxmlformats.org/officeDocument/2006/relationships/hyperlink" Target="https://health-products.canada.ca/dpd-bdpp/" TargetMode="External"/><Relationship Id="rId94" Type="http://schemas.openxmlformats.org/officeDocument/2006/relationships/hyperlink" Target="https://health-products.canada.ca/dpd-bdpp/" TargetMode="External"/><Relationship Id="rId99" Type="http://schemas.openxmlformats.org/officeDocument/2006/relationships/hyperlink" Target="https://www.legislation.gov.au/Search/Therapeutic%20Goods%20$LB$Permissible%20Ingredients$RB$%20Determination" TargetMode="External"/><Relationship Id="rId101" Type="http://schemas.openxmlformats.org/officeDocument/2006/relationships/hyperlink" Target="https://www.legislation.gov.au/Details/F2021L01888" TargetMode="External"/><Relationship Id="rId122" Type="http://schemas.openxmlformats.org/officeDocument/2006/relationships/hyperlink" Target="https://www.tga.gov.au/prescribing-medicines-pregnancy-database" TargetMode="External"/><Relationship Id="rId143" Type="http://schemas.openxmlformats.org/officeDocument/2006/relationships/hyperlink" Target="https://www.medsafe.govt.nz/profs/class/classintro.asp" TargetMode="External"/><Relationship Id="rId148" Type="http://schemas.openxmlformats.org/officeDocument/2006/relationships/hyperlink" Target="https://www.ebs.tga.gov.au/" TargetMode="External"/><Relationship Id="rId164" Type="http://schemas.openxmlformats.org/officeDocument/2006/relationships/hyperlink" Target="https://www.legislation.gov.au/Details/F2021L01888" TargetMode="External"/><Relationship Id="rId169" Type="http://schemas.openxmlformats.org/officeDocument/2006/relationships/hyperlink" Target="https://health-products.canada.ca/dpd-bdpp/dispatch-repartition" TargetMode="External"/><Relationship Id="rId185" Type="http://schemas.openxmlformats.org/officeDocument/2006/relationships/hyperlink" Target="https://www.tga.gov.au/prescribing-medicines-pregnancy-database"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gov.uk/guidance/apply-for-autogenous-vaccine-non-food-animal-blood-bank-equine-stem-cell-centre-authorisation" TargetMode="External"/><Relationship Id="rId26" Type="http://schemas.openxmlformats.org/officeDocument/2006/relationships/hyperlink" Target="https://apps.tga.gov.au/Prod/daen/daen-entry.aspx" TargetMode="External"/><Relationship Id="rId47" Type="http://schemas.openxmlformats.org/officeDocument/2006/relationships/hyperlink" Target="https://health-products.canada.ca/dpd-bdpp/dispatch-repartition" TargetMode="External"/><Relationship Id="rId68" Type="http://schemas.openxmlformats.org/officeDocument/2006/relationships/hyperlink" Target="https://www.legislation.gov.au/Details/F2021L01888" TargetMode="External"/><Relationship Id="rId89" Type="http://schemas.openxmlformats.org/officeDocument/2006/relationships/hyperlink" Target="https://www.accessdata.fda.gov/scripts/cder/daf/index.cfm?event=BasicSearch.process" TargetMode="External"/><Relationship Id="rId112" Type="http://schemas.openxmlformats.org/officeDocument/2006/relationships/hyperlink" Target="https://compliance.health.gov.au/artg/" TargetMode="External"/><Relationship Id="rId133" Type="http://schemas.openxmlformats.org/officeDocument/2006/relationships/hyperlink" Target="https://www.tga.gov.au/artg" TargetMode="External"/><Relationship Id="rId154" Type="http://schemas.openxmlformats.org/officeDocument/2006/relationships/hyperlink" Target="https://portal.apvma.gov.au/pubcris" TargetMode="External"/><Relationship Id="rId175" Type="http://schemas.openxmlformats.org/officeDocument/2006/relationships/hyperlink" Target="https://www.legislation.gov.au/Details/F2021L01888" TargetMode="External"/><Relationship Id="rId196" Type="http://schemas.openxmlformats.org/officeDocument/2006/relationships/hyperlink" Target="https://consultations.tga.gov.au/tga/scheduling-pre-meeting-november-2023" TargetMode="External"/><Relationship Id="rId200" Type="http://schemas.openxmlformats.org/officeDocument/2006/relationships/hyperlink" Target="https://www.tga.gov.au/resources/resource/forms/scheduling-consultation-covershee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ealth/documents/community-register/html/reg_index_in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8CBC-B2FD-424B-98E3-6D577660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7153</TotalTime>
  <Pages>53</Pages>
  <Words>17613</Words>
  <Characters>100395</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KEVIN, Raingsey</cp:lastModifiedBy>
  <cp:revision>138</cp:revision>
  <dcterms:created xsi:type="dcterms:W3CDTF">2023-08-08T04:08:00Z</dcterms:created>
  <dcterms:modified xsi:type="dcterms:W3CDTF">2023-09-01T00:56:00Z</dcterms:modified>
</cp:coreProperties>
</file>