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EA1C" w14:textId="77777777" w:rsidR="00C5053A" w:rsidRDefault="00C5053A"/>
    <w:p w14:paraId="0F91F54A" w14:textId="77777777" w:rsidR="005F6958" w:rsidRDefault="005F6958"/>
    <w:p w14:paraId="6D7BC570" w14:textId="77777777" w:rsidR="005F6958" w:rsidRDefault="005F6958"/>
    <w:p w14:paraId="40524450" w14:textId="0BD2B7BD" w:rsidR="005F6958" w:rsidRDefault="006350C3" w:rsidP="005F6958">
      <w:pPr>
        <w:pStyle w:val="Title"/>
      </w:pPr>
      <w:r>
        <w:t>Consultation: Proposed amendments to the Poisons Standard – ACMS #</w:t>
      </w:r>
      <w:r w:rsidR="00B64F7D">
        <w:t>46</w:t>
      </w:r>
      <w:r>
        <w:t xml:space="preserve"> and Joint ACMS-ACCS #</w:t>
      </w:r>
      <w:r w:rsidR="00206E84">
        <w:t>38</w:t>
      </w:r>
      <w:r>
        <w:t xml:space="preserve"> meetings, </w:t>
      </w:r>
      <w:r w:rsidR="00E9781C">
        <w:t>November</w:t>
      </w:r>
      <w:r w:rsidR="00FA7CE3">
        <w:t xml:space="preserve"> 2024</w:t>
      </w:r>
    </w:p>
    <w:p w14:paraId="2F1376D2" w14:textId="42D10C59" w:rsidR="005F6958" w:rsidRDefault="00042BE0" w:rsidP="005F6958">
      <w:pPr>
        <w:pStyle w:val="Subtitle"/>
        <w:ind w:left="0"/>
      </w:pPr>
      <w:r>
        <w:t>23</w:t>
      </w:r>
      <w:r w:rsidR="00C50BE0">
        <w:t xml:space="preserve"> September 2024</w:t>
      </w:r>
    </w:p>
    <w:p w14:paraId="18C23440" w14:textId="77777777" w:rsidR="005F6958" w:rsidRDefault="005F6958"/>
    <w:p w14:paraId="6D5B4C8B" w14:textId="77777777" w:rsidR="005F6958" w:rsidRDefault="005F6958"/>
    <w:p w14:paraId="629473C5" w14:textId="77777777" w:rsidR="005F6958" w:rsidRDefault="005F6958"/>
    <w:p w14:paraId="742A2F65" w14:textId="77777777" w:rsidR="005F6958" w:rsidRDefault="005F6958"/>
    <w:p w14:paraId="116925F0" w14:textId="77777777" w:rsidR="005F6958" w:rsidRDefault="005F6958"/>
    <w:p w14:paraId="09E11F90" w14:textId="77777777" w:rsidR="005F6958" w:rsidRDefault="005F6958"/>
    <w:p w14:paraId="1C8493B5" w14:textId="09BCB8BB" w:rsidR="005F6958" w:rsidRDefault="005F6958" w:rsidP="005F6958">
      <w:pPr>
        <w:pStyle w:val="Date"/>
      </w:pPr>
      <w:r>
        <w:t>Version 1.0</w:t>
      </w:r>
    </w:p>
    <w:p w14:paraId="252349AB" w14:textId="77777777" w:rsidR="005F6958" w:rsidRDefault="005F6958">
      <w:r>
        <w:br w:type="page"/>
      </w:r>
    </w:p>
    <w:p w14:paraId="55CDE077"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562909AC" w14:textId="047749B7" w:rsidR="0089410A" w:rsidRDefault="00DD3815" w:rsidP="004E2F19">
      <w:pPr>
        <w:pStyle w:val="LegalSubheading"/>
      </w:pPr>
      <w:bookmarkStart w:id="1" w:name="_Toc126664138"/>
      <w:r w:rsidRPr="00DD3815">
        <w:t>© Commonwealth of Australia</w:t>
      </w:r>
      <w:r w:rsidR="00F35094">
        <w:t xml:space="preserve"> 202</w:t>
      </w:r>
      <w:r w:rsidR="0029758F">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8" w:history="1">
        <w:r w:rsidRPr="00FB119D">
          <w:rPr>
            <w:rStyle w:val="Hyperlink"/>
            <w:rFonts w:cs="Arial"/>
          </w:rPr>
          <w:t>tga.copyright@tga.gov.au</w:t>
        </w:r>
      </w:hyperlink>
      <w:r w:rsidRPr="00DD3815">
        <w:t>.</w:t>
      </w:r>
      <w:bookmarkEnd w:id="1"/>
    </w:p>
    <w:p w14:paraId="0ECE9FB5" w14:textId="77777777" w:rsidR="006350C3" w:rsidRPr="006350C3" w:rsidRDefault="006350C3" w:rsidP="006350C3">
      <w:pPr>
        <w:pStyle w:val="LegalSubheading"/>
        <w:rPr>
          <w:b/>
        </w:rPr>
      </w:pPr>
      <w:bookmarkStart w:id="2" w:name="_Hlk139901247"/>
      <w:r w:rsidRPr="006350C3">
        <w:rPr>
          <w:b/>
        </w:rPr>
        <w:t>Confidentiality</w:t>
      </w:r>
    </w:p>
    <w:p w14:paraId="3D9C4570" w14:textId="0E5B7BCE" w:rsidR="006350C3" w:rsidRDefault="006350C3" w:rsidP="004E2F19">
      <w:pPr>
        <w:pStyle w:val="LegalSubheading"/>
      </w:pPr>
      <w:r w:rsidRPr="006350C3">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2"/>
    </w:p>
    <w:p w14:paraId="7F650085"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0D1E3E1" w14:textId="77777777" w:rsidR="0089410A" w:rsidRPr="00215D48" w:rsidRDefault="0089410A" w:rsidP="0089410A">
          <w:pPr>
            <w:pStyle w:val="NonTOCheading2"/>
          </w:pPr>
          <w:r w:rsidRPr="00215D48">
            <w:t>Contents</w:t>
          </w:r>
        </w:p>
        <w:p w14:paraId="24EDE0AB" w14:textId="79290C02" w:rsidR="00A91F01"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7657846" w:history="1">
            <w:r w:rsidR="00A91F01" w:rsidRPr="00065AFD">
              <w:rPr>
                <w:rStyle w:val="Hyperlink"/>
                <w:noProof/>
              </w:rPr>
              <w:t>About this consultation</w:t>
            </w:r>
            <w:r w:rsidR="00A91F01">
              <w:rPr>
                <w:noProof/>
                <w:webHidden/>
              </w:rPr>
              <w:tab/>
            </w:r>
            <w:r w:rsidR="00A91F01">
              <w:rPr>
                <w:noProof/>
                <w:webHidden/>
              </w:rPr>
              <w:fldChar w:fldCharType="begin"/>
            </w:r>
            <w:r w:rsidR="00A91F01">
              <w:rPr>
                <w:noProof/>
                <w:webHidden/>
              </w:rPr>
              <w:instrText xml:space="preserve"> PAGEREF _Toc177657846 \h </w:instrText>
            </w:r>
            <w:r w:rsidR="00A91F01">
              <w:rPr>
                <w:noProof/>
                <w:webHidden/>
              </w:rPr>
            </w:r>
            <w:r w:rsidR="00A91F01">
              <w:rPr>
                <w:noProof/>
                <w:webHidden/>
              </w:rPr>
              <w:fldChar w:fldCharType="separate"/>
            </w:r>
            <w:r w:rsidR="00A91F01">
              <w:rPr>
                <w:noProof/>
                <w:webHidden/>
              </w:rPr>
              <w:t>5</w:t>
            </w:r>
            <w:r w:rsidR="00A91F01">
              <w:rPr>
                <w:noProof/>
                <w:webHidden/>
              </w:rPr>
              <w:fldChar w:fldCharType="end"/>
            </w:r>
          </w:hyperlink>
        </w:p>
        <w:p w14:paraId="54D0D83C" w14:textId="149709D2" w:rsidR="00A91F01" w:rsidRDefault="00DA6C7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57847" w:history="1">
            <w:r w:rsidR="00A91F01" w:rsidRPr="00065AFD">
              <w:rPr>
                <w:rStyle w:val="Hyperlink"/>
                <w:noProof/>
              </w:rPr>
              <w:t>Proposed amendment referred for scheduling advice to ACMS meeting #46</w:t>
            </w:r>
            <w:r w:rsidR="00A91F01">
              <w:rPr>
                <w:noProof/>
                <w:webHidden/>
              </w:rPr>
              <w:tab/>
            </w:r>
            <w:r w:rsidR="00A91F01">
              <w:rPr>
                <w:noProof/>
                <w:webHidden/>
              </w:rPr>
              <w:fldChar w:fldCharType="begin"/>
            </w:r>
            <w:r w:rsidR="00A91F01">
              <w:rPr>
                <w:noProof/>
                <w:webHidden/>
              </w:rPr>
              <w:instrText xml:space="preserve"> PAGEREF _Toc177657847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6B046703" w14:textId="701A2A1E" w:rsidR="00A91F01" w:rsidRDefault="00DA6C7B">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57848" w:history="1">
            <w:r w:rsidR="00A91F01" w:rsidRPr="00065AFD">
              <w:rPr>
                <w:rStyle w:val="Hyperlink"/>
                <w:rFonts w:cs="Arial"/>
                <w:noProof/>
              </w:rPr>
              <w:t>Astodrimer sodium</w:t>
            </w:r>
            <w:r w:rsidR="00A91F01">
              <w:rPr>
                <w:noProof/>
                <w:webHidden/>
              </w:rPr>
              <w:tab/>
            </w:r>
            <w:r w:rsidR="00A91F01">
              <w:rPr>
                <w:noProof/>
                <w:webHidden/>
              </w:rPr>
              <w:fldChar w:fldCharType="begin"/>
            </w:r>
            <w:r w:rsidR="00A91F01">
              <w:rPr>
                <w:noProof/>
                <w:webHidden/>
              </w:rPr>
              <w:instrText xml:space="preserve"> PAGEREF _Toc177657848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22F0C98A" w14:textId="3CF9C0DF"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49" w:history="1">
            <w:r w:rsidR="00A91F01" w:rsidRPr="00065AFD">
              <w:rPr>
                <w:rStyle w:val="Hyperlink"/>
                <w:rFonts w:cs="Arial"/>
                <w:noProof/>
              </w:rPr>
              <w:t>Proposal</w:t>
            </w:r>
            <w:r w:rsidR="00A91F01">
              <w:rPr>
                <w:noProof/>
                <w:webHidden/>
              </w:rPr>
              <w:tab/>
            </w:r>
            <w:r w:rsidR="00A91F01">
              <w:rPr>
                <w:noProof/>
                <w:webHidden/>
              </w:rPr>
              <w:fldChar w:fldCharType="begin"/>
            </w:r>
            <w:r w:rsidR="00A91F01">
              <w:rPr>
                <w:noProof/>
                <w:webHidden/>
              </w:rPr>
              <w:instrText xml:space="preserve"> PAGEREF _Toc177657849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0A7078E5" w14:textId="66999896"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0" w:history="1">
            <w:r w:rsidR="00A91F01" w:rsidRPr="00065AFD">
              <w:rPr>
                <w:rStyle w:val="Hyperlink"/>
                <w:noProof/>
              </w:rPr>
              <w:t>CAS number</w:t>
            </w:r>
            <w:r w:rsidR="00A91F01">
              <w:rPr>
                <w:noProof/>
                <w:webHidden/>
              </w:rPr>
              <w:tab/>
            </w:r>
            <w:r w:rsidR="00A91F01">
              <w:rPr>
                <w:noProof/>
                <w:webHidden/>
              </w:rPr>
              <w:fldChar w:fldCharType="begin"/>
            </w:r>
            <w:r w:rsidR="00A91F01">
              <w:rPr>
                <w:noProof/>
                <w:webHidden/>
              </w:rPr>
              <w:instrText xml:space="preserve"> PAGEREF _Toc177657850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17DAA0CA" w14:textId="6A16F463"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1" w:history="1">
            <w:r w:rsidR="00A91F01" w:rsidRPr="00065AFD">
              <w:rPr>
                <w:rStyle w:val="Hyperlink"/>
                <w:noProof/>
              </w:rPr>
              <w:t>Alternative names</w:t>
            </w:r>
            <w:r w:rsidR="00A91F01">
              <w:rPr>
                <w:noProof/>
                <w:webHidden/>
              </w:rPr>
              <w:tab/>
            </w:r>
            <w:r w:rsidR="00A91F01">
              <w:rPr>
                <w:noProof/>
                <w:webHidden/>
              </w:rPr>
              <w:fldChar w:fldCharType="begin"/>
            </w:r>
            <w:r w:rsidR="00A91F01">
              <w:rPr>
                <w:noProof/>
                <w:webHidden/>
              </w:rPr>
              <w:instrText xml:space="preserve"> PAGEREF _Toc177657851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395736AE" w14:textId="234D196A"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2" w:history="1">
            <w:r w:rsidR="00A91F01" w:rsidRPr="00065AFD">
              <w:rPr>
                <w:rStyle w:val="Hyperlink"/>
                <w:noProof/>
              </w:rPr>
              <w:t>Applicant</w:t>
            </w:r>
            <w:r w:rsidR="00A91F01">
              <w:rPr>
                <w:noProof/>
                <w:webHidden/>
              </w:rPr>
              <w:tab/>
            </w:r>
            <w:r w:rsidR="00A91F01">
              <w:rPr>
                <w:noProof/>
                <w:webHidden/>
              </w:rPr>
              <w:fldChar w:fldCharType="begin"/>
            </w:r>
            <w:r w:rsidR="00A91F01">
              <w:rPr>
                <w:noProof/>
                <w:webHidden/>
              </w:rPr>
              <w:instrText xml:space="preserve"> PAGEREF _Toc177657852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61D98E1F" w14:textId="07CBB49B"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3" w:history="1">
            <w:r w:rsidR="00A91F01" w:rsidRPr="00065AFD">
              <w:rPr>
                <w:rStyle w:val="Hyperlink"/>
                <w:rFonts w:cs="Arial"/>
                <w:noProof/>
              </w:rPr>
              <w:t>Proposed Scheduling</w:t>
            </w:r>
            <w:r w:rsidR="00A91F01">
              <w:rPr>
                <w:noProof/>
                <w:webHidden/>
              </w:rPr>
              <w:tab/>
            </w:r>
            <w:r w:rsidR="00A91F01">
              <w:rPr>
                <w:noProof/>
                <w:webHidden/>
              </w:rPr>
              <w:fldChar w:fldCharType="begin"/>
            </w:r>
            <w:r w:rsidR="00A91F01">
              <w:rPr>
                <w:noProof/>
                <w:webHidden/>
              </w:rPr>
              <w:instrText xml:space="preserve"> PAGEREF _Toc177657853 \h </w:instrText>
            </w:r>
            <w:r w:rsidR="00A91F01">
              <w:rPr>
                <w:noProof/>
                <w:webHidden/>
              </w:rPr>
            </w:r>
            <w:r w:rsidR="00A91F01">
              <w:rPr>
                <w:noProof/>
                <w:webHidden/>
              </w:rPr>
              <w:fldChar w:fldCharType="separate"/>
            </w:r>
            <w:r w:rsidR="00A91F01">
              <w:rPr>
                <w:noProof/>
                <w:webHidden/>
              </w:rPr>
              <w:t>6</w:t>
            </w:r>
            <w:r w:rsidR="00A91F01">
              <w:rPr>
                <w:noProof/>
                <w:webHidden/>
              </w:rPr>
              <w:fldChar w:fldCharType="end"/>
            </w:r>
          </w:hyperlink>
        </w:p>
        <w:p w14:paraId="722E1E17" w14:textId="0D8FC6F2"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4" w:history="1">
            <w:r w:rsidR="00A91F01" w:rsidRPr="00065AFD">
              <w:rPr>
                <w:rStyle w:val="Hyperlink"/>
                <w:rFonts w:cs="Arial"/>
                <w:noProof/>
              </w:rPr>
              <w:t>Background</w:t>
            </w:r>
            <w:r w:rsidR="00A91F01">
              <w:rPr>
                <w:noProof/>
                <w:webHidden/>
              </w:rPr>
              <w:tab/>
            </w:r>
            <w:r w:rsidR="00A91F01">
              <w:rPr>
                <w:noProof/>
                <w:webHidden/>
              </w:rPr>
              <w:fldChar w:fldCharType="begin"/>
            </w:r>
            <w:r w:rsidR="00A91F01">
              <w:rPr>
                <w:noProof/>
                <w:webHidden/>
              </w:rPr>
              <w:instrText xml:space="preserve"> PAGEREF _Toc177657854 \h </w:instrText>
            </w:r>
            <w:r w:rsidR="00A91F01">
              <w:rPr>
                <w:noProof/>
                <w:webHidden/>
              </w:rPr>
            </w:r>
            <w:r w:rsidR="00A91F01">
              <w:rPr>
                <w:noProof/>
                <w:webHidden/>
              </w:rPr>
              <w:fldChar w:fldCharType="separate"/>
            </w:r>
            <w:r w:rsidR="00A91F01">
              <w:rPr>
                <w:noProof/>
                <w:webHidden/>
              </w:rPr>
              <w:t>8</w:t>
            </w:r>
            <w:r w:rsidR="00A91F01">
              <w:rPr>
                <w:noProof/>
                <w:webHidden/>
              </w:rPr>
              <w:fldChar w:fldCharType="end"/>
            </w:r>
          </w:hyperlink>
        </w:p>
        <w:p w14:paraId="6E454898" w14:textId="57657697"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5" w:history="1">
            <w:r w:rsidR="00A91F01" w:rsidRPr="00065AFD">
              <w:rPr>
                <w:rStyle w:val="Hyperlink"/>
                <w:rFonts w:cs="Arial"/>
                <w:noProof/>
              </w:rPr>
              <w:t>Summary of applicant’s reasons for the proposal</w:t>
            </w:r>
            <w:r w:rsidR="00A91F01">
              <w:rPr>
                <w:noProof/>
                <w:webHidden/>
              </w:rPr>
              <w:tab/>
            </w:r>
            <w:r w:rsidR="00A91F01">
              <w:rPr>
                <w:noProof/>
                <w:webHidden/>
              </w:rPr>
              <w:fldChar w:fldCharType="begin"/>
            </w:r>
            <w:r w:rsidR="00A91F01">
              <w:rPr>
                <w:noProof/>
                <w:webHidden/>
              </w:rPr>
              <w:instrText xml:space="preserve"> PAGEREF _Toc177657855 \h </w:instrText>
            </w:r>
            <w:r w:rsidR="00A91F01">
              <w:rPr>
                <w:noProof/>
                <w:webHidden/>
              </w:rPr>
            </w:r>
            <w:r w:rsidR="00A91F01">
              <w:rPr>
                <w:noProof/>
                <w:webHidden/>
              </w:rPr>
              <w:fldChar w:fldCharType="separate"/>
            </w:r>
            <w:r w:rsidR="00A91F01">
              <w:rPr>
                <w:noProof/>
                <w:webHidden/>
              </w:rPr>
              <w:t>8</w:t>
            </w:r>
            <w:r w:rsidR="00A91F01">
              <w:rPr>
                <w:noProof/>
                <w:webHidden/>
              </w:rPr>
              <w:fldChar w:fldCharType="end"/>
            </w:r>
          </w:hyperlink>
        </w:p>
        <w:p w14:paraId="72FEF351" w14:textId="554B2899"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6" w:history="1">
            <w:r w:rsidR="00A91F01" w:rsidRPr="00065AFD">
              <w:rPr>
                <w:rStyle w:val="Hyperlink"/>
                <w:rFonts w:cs="Arial"/>
                <w:noProof/>
              </w:rPr>
              <w:t>Key uses/expected use</w:t>
            </w:r>
            <w:r w:rsidR="00A91F01">
              <w:rPr>
                <w:noProof/>
                <w:webHidden/>
              </w:rPr>
              <w:tab/>
            </w:r>
            <w:r w:rsidR="00A91F01">
              <w:rPr>
                <w:noProof/>
                <w:webHidden/>
              </w:rPr>
              <w:fldChar w:fldCharType="begin"/>
            </w:r>
            <w:r w:rsidR="00A91F01">
              <w:rPr>
                <w:noProof/>
                <w:webHidden/>
              </w:rPr>
              <w:instrText xml:space="preserve"> PAGEREF _Toc177657856 \h </w:instrText>
            </w:r>
            <w:r w:rsidR="00A91F01">
              <w:rPr>
                <w:noProof/>
                <w:webHidden/>
              </w:rPr>
            </w:r>
            <w:r w:rsidR="00A91F01">
              <w:rPr>
                <w:noProof/>
                <w:webHidden/>
              </w:rPr>
              <w:fldChar w:fldCharType="separate"/>
            </w:r>
            <w:r w:rsidR="00A91F01">
              <w:rPr>
                <w:noProof/>
                <w:webHidden/>
              </w:rPr>
              <w:t>8</w:t>
            </w:r>
            <w:r w:rsidR="00A91F01">
              <w:rPr>
                <w:noProof/>
                <w:webHidden/>
              </w:rPr>
              <w:fldChar w:fldCharType="end"/>
            </w:r>
          </w:hyperlink>
        </w:p>
        <w:p w14:paraId="39C94D42" w14:textId="51E3157A"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7" w:history="1">
            <w:r w:rsidR="00A91F01" w:rsidRPr="00065AFD">
              <w:rPr>
                <w:rStyle w:val="Hyperlink"/>
                <w:rFonts w:cs="Arial"/>
                <w:noProof/>
              </w:rPr>
              <w:t>Australian regulations</w:t>
            </w:r>
            <w:r w:rsidR="00A91F01">
              <w:rPr>
                <w:noProof/>
                <w:webHidden/>
              </w:rPr>
              <w:tab/>
            </w:r>
            <w:r w:rsidR="00A91F01">
              <w:rPr>
                <w:noProof/>
                <w:webHidden/>
              </w:rPr>
              <w:fldChar w:fldCharType="begin"/>
            </w:r>
            <w:r w:rsidR="00A91F01">
              <w:rPr>
                <w:noProof/>
                <w:webHidden/>
              </w:rPr>
              <w:instrText xml:space="preserve"> PAGEREF _Toc177657857 \h </w:instrText>
            </w:r>
            <w:r w:rsidR="00A91F01">
              <w:rPr>
                <w:noProof/>
                <w:webHidden/>
              </w:rPr>
            </w:r>
            <w:r w:rsidR="00A91F01">
              <w:rPr>
                <w:noProof/>
                <w:webHidden/>
              </w:rPr>
              <w:fldChar w:fldCharType="separate"/>
            </w:r>
            <w:r w:rsidR="00A91F01">
              <w:rPr>
                <w:noProof/>
                <w:webHidden/>
              </w:rPr>
              <w:t>8</w:t>
            </w:r>
            <w:r w:rsidR="00A91F01">
              <w:rPr>
                <w:noProof/>
                <w:webHidden/>
              </w:rPr>
              <w:fldChar w:fldCharType="end"/>
            </w:r>
          </w:hyperlink>
        </w:p>
        <w:p w14:paraId="7AA5A6ED" w14:textId="6AD59402"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58" w:history="1">
            <w:r w:rsidR="00A91F01" w:rsidRPr="00065AFD">
              <w:rPr>
                <w:rStyle w:val="Hyperlink"/>
                <w:rFonts w:cs="Arial"/>
                <w:noProof/>
              </w:rPr>
              <w:t>International regulations</w:t>
            </w:r>
            <w:r w:rsidR="00A91F01">
              <w:rPr>
                <w:noProof/>
                <w:webHidden/>
              </w:rPr>
              <w:tab/>
            </w:r>
            <w:r w:rsidR="00A91F01">
              <w:rPr>
                <w:noProof/>
                <w:webHidden/>
              </w:rPr>
              <w:fldChar w:fldCharType="begin"/>
            </w:r>
            <w:r w:rsidR="00A91F01">
              <w:rPr>
                <w:noProof/>
                <w:webHidden/>
              </w:rPr>
              <w:instrText xml:space="preserve"> PAGEREF _Toc177657858 \h </w:instrText>
            </w:r>
            <w:r w:rsidR="00A91F01">
              <w:rPr>
                <w:noProof/>
                <w:webHidden/>
              </w:rPr>
            </w:r>
            <w:r w:rsidR="00A91F01">
              <w:rPr>
                <w:noProof/>
                <w:webHidden/>
              </w:rPr>
              <w:fldChar w:fldCharType="separate"/>
            </w:r>
            <w:r w:rsidR="00A91F01">
              <w:rPr>
                <w:noProof/>
                <w:webHidden/>
              </w:rPr>
              <w:t>9</w:t>
            </w:r>
            <w:r w:rsidR="00A91F01">
              <w:rPr>
                <w:noProof/>
                <w:webHidden/>
              </w:rPr>
              <w:fldChar w:fldCharType="end"/>
            </w:r>
          </w:hyperlink>
        </w:p>
        <w:p w14:paraId="4001DD04" w14:textId="7EB0835D" w:rsidR="00A91F01" w:rsidRDefault="00DA6C7B">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57859" w:history="1">
            <w:r w:rsidR="00A91F01" w:rsidRPr="00065AFD">
              <w:rPr>
                <w:rStyle w:val="Hyperlink"/>
                <w:noProof/>
              </w:rPr>
              <w:t>Atropa belladonna</w:t>
            </w:r>
            <w:r w:rsidR="00A91F01">
              <w:rPr>
                <w:noProof/>
                <w:webHidden/>
              </w:rPr>
              <w:tab/>
            </w:r>
            <w:r w:rsidR="00A91F01">
              <w:rPr>
                <w:noProof/>
                <w:webHidden/>
              </w:rPr>
              <w:fldChar w:fldCharType="begin"/>
            </w:r>
            <w:r w:rsidR="00A91F01">
              <w:rPr>
                <w:noProof/>
                <w:webHidden/>
              </w:rPr>
              <w:instrText xml:space="preserve"> PAGEREF _Toc177657859 \h </w:instrText>
            </w:r>
            <w:r w:rsidR="00A91F01">
              <w:rPr>
                <w:noProof/>
                <w:webHidden/>
              </w:rPr>
            </w:r>
            <w:r w:rsidR="00A91F01">
              <w:rPr>
                <w:noProof/>
                <w:webHidden/>
              </w:rPr>
              <w:fldChar w:fldCharType="separate"/>
            </w:r>
            <w:r w:rsidR="00A91F01">
              <w:rPr>
                <w:noProof/>
                <w:webHidden/>
              </w:rPr>
              <w:t>9</w:t>
            </w:r>
            <w:r w:rsidR="00A91F01">
              <w:rPr>
                <w:noProof/>
                <w:webHidden/>
              </w:rPr>
              <w:fldChar w:fldCharType="end"/>
            </w:r>
          </w:hyperlink>
        </w:p>
        <w:p w14:paraId="2288B34E" w14:textId="68AB018A"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0" w:history="1">
            <w:r w:rsidR="00A91F01" w:rsidRPr="00065AFD">
              <w:rPr>
                <w:rStyle w:val="Hyperlink"/>
                <w:rFonts w:cs="Arial"/>
                <w:noProof/>
              </w:rPr>
              <w:t>Proposal</w:t>
            </w:r>
            <w:r w:rsidR="00A91F01">
              <w:rPr>
                <w:noProof/>
                <w:webHidden/>
              </w:rPr>
              <w:tab/>
            </w:r>
            <w:r w:rsidR="00A91F01">
              <w:rPr>
                <w:noProof/>
                <w:webHidden/>
              </w:rPr>
              <w:fldChar w:fldCharType="begin"/>
            </w:r>
            <w:r w:rsidR="00A91F01">
              <w:rPr>
                <w:noProof/>
                <w:webHidden/>
              </w:rPr>
              <w:instrText xml:space="preserve"> PAGEREF _Toc177657860 \h </w:instrText>
            </w:r>
            <w:r w:rsidR="00A91F01">
              <w:rPr>
                <w:noProof/>
                <w:webHidden/>
              </w:rPr>
            </w:r>
            <w:r w:rsidR="00A91F01">
              <w:rPr>
                <w:noProof/>
                <w:webHidden/>
              </w:rPr>
              <w:fldChar w:fldCharType="separate"/>
            </w:r>
            <w:r w:rsidR="00A91F01">
              <w:rPr>
                <w:noProof/>
                <w:webHidden/>
              </w:rPr>
              <w:t>9</w:t>
            </w:r>
            <w:r w:rsidR="00A91F01">
              <w:rPr>
                <w:noProof/>
                <w:webHidden/>
              </w:rPr>
              <w:fldChar w:fldCharType="end"/>
            </w:r>
          </w:hyperlink>
        </w:p>
        <w:p w14:paraId="71536A6F" w14:textId="1F0EE824"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1" w:history="1">
            <w:r w:rsidR="00A91F01" w:rsidRPr="00065AFD">
              <w:rPr>
                <w:rStyle w:val="Hyperlink"/>
                <w:noProof/>
              </w:rPr>
              <w:t>CAS number</w:t>
            </w:r>
            <w:r w:rsidR="00A91F01">
              <w:rPr>
                <w:noProof/>
                <w:webHidden/>
              </w:rPr>
              <w:tab/>
            </w:r>
            <w:r w:rsidR="00A91F01">
              <w:rPr>
                <w:noProof/>
                <w:webHidden/>
              </w:rPr>
              <w:fldChar w:fldCharType="begin"/>
            </w:r>
            <w:r w:rsidR="00A91F01">
              <w:rPr>
                <w:noProof/>
                <w:webHidden/>
              </w:rPr>
              <w:instrText xml:space="preserve"> PAGEREF _Toc177657861 \h </w:instrText>
            </w:r>
            <w:r w:rsidR="00A91F01">
              <w:rPr>
                <w:noProof/>
                <w:webHidden/>
              </w:rPr>
            </w:r>
            <w:r w:rsidR="00A91F01">
              <w:rPr>
                <w:noProof/>
                <w:webHidden/>
              </w:rPr>
              <w:fldChar w:fldCharType="separate"/>
            </w:r>
            <w:r w:rsidR="00A91F01">
              <w:rPr>
                <w:noProof/>
                <w:webHidden/>
              </w:rPr>
              <w:t>9</w:t>
            </w:r>
            <w:r w:rsidR="00A91F01">
              <w:rPr>
                <w:noProof/>
                <w:webHidden/>
              </w:rPr>
              <w:fldChar w:fldCharType="end"/>
            </w:r>
          </w:hyperlink>
        </w:p>
        <w:p w14:paraId="28271FE2" w14:textId="67723F14"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2" w:history="1">
            <w:r w:rsidR="00A91F01" w:rsidRPr="00065AFD">
              <w:rPr>
                <w:rStyle w:val="Hyperlink"/>
                <w:noProof/>
              </w:rPr>
              <w:t>Alternative names</w:t>
            </w:r>
            <w:r w:rsidR="00A91F01">
              <w:rPr>
                <w:noProof/>
                <w:webHidden/>
              </w:rPr>
              <w:tab/>
            </w:r>
            <w:r w:rsidR="00A91F01">
              <w:rPr>
                <w:noProof/>
                <w:webHidden/>
              </w:rPr>
              <w:fldChar w:fldCharType="begin"/>
            </w:r>
            <w:r w:rsidR="00A91F01">
              <w:rPr>
                <w:noProof/>
                <w:webHidden/>
              </w:rPr>
              <w:instrText xml:space="preserve"> PAGEREF _Toc177657862 \h </w:instrText>
            </w:r>
            <w:r w:rsidR="00A91F01">
              <w:rPr>
                <w:noProof/>
                <w:webHidden/>
              </w:rPr>
            </w:r>
            <w:r w:rsidR="00A91F01">
              <w:rPr>
                <w:noProof/>
                <w:webHidden/>
              </w:rPr>
              <w:fldChar w:fldCharType="separate"/>
            </w:r>
            <w:r w:rsidR="00A91F01">
              <w:rPr>
                <w:noProof/>
                <w:webHidden/>
              </w:rPr>
              <w:t>9</w:t>
            </w:r>
            <w:r w:rsidR="00A91F01">
              <w:rPr>
                <w:noProof/>
                <w:webHidden/>
              </w:rPr>
              <w:fldChar w:fldCharType="end"/>
            </w:r>
          </w:hyperlink>
        </w:p>
        <w:p w14:paraId="7FFEE8CE" w14:textId="12D4BF91"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3" w:history="1">
            <w:r w:rsidR="00A91F01" w:rsidRPr="00065AFD">
              <w:rPr>
                <w:rStyle w:val="Hyperlink"/>
                <w:noProof/>
              </w:rPr>
              <w:t>Proposed scheduling</w:t>
            </w:r>
            <w:r w:rsidR="00A91F01">
              <w:rPr>
                <w:noProof/>
                <w:webHidden/>
              </w:rPr>
              <w:tab/>
            </w:r>
            <w:r w:rsidR="00A91F01">
              <w:rPr>
                <w:noProof/>
                <w:webHidden/>
              </w:rPr>
              <w:fldChar w:fldCharType="begin"/>
            </w:r>
            <w:r w:rsidR="00A91F01">
              <w:rPr>
                <w:noProof/>
                <w:webHidden/>
              </w:rPr>
              <w:instrText xml:space="preserve"> PAGEREF _Toc177657863 \h </w:instrText>
            </w:r>
            <w:r w:rsidR="00A91F01">
              <w:rPr>
                <w:noProof/>
                <w:webHidden/>
              </w:rPr>
            </w:r>
            <w:r w:rsidR="00A91F01">
              <w:rPr>
                <w:noProof/>
                <w:webHidden/>
              </w:rPr>
              <w:fldChar w:fldCharType="separate"/>
            </w:r>
            <w:r w:rsidR="00A91F01">
              <w:rPr>
                <w:noProof/>
                <w:webHidden/>
              </w:rPr>
              <w:t>10</w:t>
            </w:r>
            <w:r w:rsidR="00A91F01">
              <w:rPr>
                <w:noProof/>
                <w:webHidden/>
              </w:rPr>
              <w:fldChar w:fldCharType="end"/>
            </w:r>
          </w:hyperlink>
        </w:p>
        <w:p w14:paraId="71362084" w14:textId="644766C9"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4" w:history="1">
            <w:r w:rsidR="00A91F01" w:rsidRPr="00065AFD">
              <w:rPr>
                <w:rStyle w:val="Hyperlink"/>
                <w:noProof/>
              </w:rPr>
              <w:t>Background</w:t>
            </w:r>
            <w:r w:rsidR="00A91F01">
              <w:rPr>
                <w:noProof/>
                <w:webHidden/>
              </w:rPr>
              <w:tab/>
            </w:r>
            <w:r w:rsidR="00A91F01">
              <w:rPr>
                <w:noProof/>
                <w:webHidden/>
              </w:rPr>
              <w:fldChar w:fldCharType="begin"/>
            </w:r>
            <w:r w:rsidR="00A91F01">
              <w:rPr>
                <w:noProof/>
                <w:webHidden/>
              </w:rPr>
              <w:instrText xml:space="preserve"> PAGEREF _Toc177657864 \h </w:instrText>
            </w:r>
            <w:r w:rsidR="00A91F01">
              <w:rPr>
                <w:noProof/>
                <w:webHidden/>
              </w:rPr>
            </w:r>
            <w:r w:rsidR="00A91F01">
              <w:rPr>
                <w:noProof/>
                <w:webHidden/>
              </w:rPr>
              <w:fldChar w:fldCharType="separate"/>
            </w:r>
            <w:r w:rsidR="00A91F01">
              <w:rPr>
                <w:noProof/>
                <w:webHidden/>
              </w:rPr>
              <w:t>11</w:t>
            </w:r>
            <w:r w:rsidR="00A91F01">
              <w:rPr>
                <w:noProof/>
                <w:webHidden/>
              </w:rPr>
              <w:fldChar w:fldCharType="end"/>
            </w:r>
          </w:hyperlink>
        </w:p>
        <w:p w14:paraId="448A678E" w14:textId="6DA5030F"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5" w:history="1">
            <w:r w:rsidR="00A91F01" w:rsidRPr="00065AFD">
              <w:rPr>
                <w:rStyle w:val="Hyperlink"/>
                <w:noProof/>
              </w:rPr>
              <w:t>Summary of the reasons for the proposal</w:t>
            </w:r>
            <w:r w:rsidR="00A91F01">
              <w:rPr>
                <w:noProof/>
                <w:webHidden/>
              </w:rPr>
              <w:tab/>
            </w:r>
            <w:r w:rsidR="00A91F01">
              <w:rPr>
                <w:noProof/>
                <w:webHidden/>
              </w:rPr>
              <w:fldChar w:fldCharType="begin"/>
            </w:r>
            <w:r w:rsidR="00A91F01">
              <w:rPr>
                <w:noProof/>
                <w:webHidden/>
              </w:rPr>
              <w:instrText xml:space="preserve"> PAGEREF _Toc177657865 \h </w:instrText>
            </w:r>
            <w:r w:rsidR="00A91F01">
              <w:rPr>
                <w:noProof/>
                <w:webHidden/>
              </w:rPr>
            </w:r>
            <w:r w:rsidR="00A91F01">
              <w:rPr>
                <w:noProof/>
                <w:webHidden/>
              </w:rPr>
              <w:fldChar w:fldCharType="separate"/>
            </w:r>
            <w:r w:rsidR="00A91F01">
              <w:rPr>
                <w:noProof/>
                <w:webHidden/>
              </w:rPr>
              <w:t>11</w:t>
            </w:r>
            <w:r w:rsidR="00A91F01">
              <w:rPr>
                <w:noProof/>
                <w:webHidden/>
              </w:rPr>
              <w:fldChar w:fldCharType="end"/>
            </w:r>
          </w:hyperlink>
        </w:p>
        <w:p w14:paraId="0CB39951" w14:textId="5FEC32F9"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6" w:history="1">
            <w:r w:rsidR="00A91F01" w:rsidRPr="00065AFD">
              <w:rPr>
                <w:rStyle w:val="Hyperlink"/>
                <w:noProof/>
              </w:rPr>
              <w:t>Key uses/expected use</w:t>
            </w:r>
            <w:r w:rsidR="00A91F01">
              <w:rPr>
                <w:noProof/>
                <w:webHidden/>
              </w:rPr>
              <w:tab/>
            </w:r>
            <w:r w:rsidR="00A91F01">
              <w:rPr>
                <w:noProof/>
                <w:webHidden/>
              </w:rPr>
              <w:fldChar w:fldCharType="begin"/>
            </w:r>
            <w:r w:rsidR="00A91F01">
              <w:rPr>
                <w:noProof/>
                <w:webHidden/>
              </w:rPr>
              <w:instrText xml:space="preserve"> PAGEREF _Toc177657866 \h </w:instrText>
            </w:r>
            <w:r w:rsidR="00A91F01">
              <w:rPr>
                <w:noProof/>
                <w:webHidden/>
              </w:rPr>
            </w:r>
            <w:r w:rsidR="00A91F01">
              <w:rPr>
                <w:noProof/>
                <w:webHidden/>
              </w:rPr>
              <w:fldChar w:fldCharType="separate"/>
            </w:r>
            <w:r w:rsidR="00A91F01">
              <w:rPr>
                <w:noProof/>
                <w:webHidden/>
              </w:rPr>
              <w:t>11</w:t>
            </w:r>
            <w:r w:rsidR="00A91F01">
              <w:rPr>
                <w:noProof/>
                <w:webHidden/>
              </w:rPr>
              <w:fldChar w:fldCharType="end"/>
            </w:r>
          </w:hyperlink>
        </w:p>
        <w:p w14:paraId="610D6D06" w14:textId="3F65AD80"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7" w:history="1">
            <w:r w:rsidR="00A91F01" w:rsidRPr="00065AFD">
              <w:rPr>
                <w:rStyle w:val="Hyperlink"/>
                <w:noProof/>
              </w:rPr>
              <w:t>Australian regulations</w:t>
            </w:r>
            <w:r w:rsidR="00A91F01">
              <w:rPr>
                <w:noProof/>
                <w:webHidden/>
              </w:rPr>
              <w:tab/>
            </w:r>
            <w:r w:rsidR="00A91F01">
              <w:rPr>
                <w:noProof/>
                <w:webHidden/>
              </w:rPr>
              <w:fldChar w:fldCharType="begin"/>
            </w:r>
            <w:r w:rsidR="00A91F01">
              <w:rPr>
                <w:noProof/>
                <w:webHidden/>
              </w:rPr>
              <w:instrText xml:space="preserve"> PAGEREF _Toc177657867 \h </w:instrText>
            </w:r>
            <w:r w:rsidR="00A91F01">
              <w:rPr>
                <w:noProof/>
                <w:webHidden/>
              </w:rPr>
            </w:r>
            <w:r w:rsidR="00A91F01">
              <w:rPr>
                <w:noProof/>
                <w:webHidden/>
              </w:rPr>
              <w:fldChar w:fldCharType="separate"/>
            </w:r>
            <w:r w:rsidR="00A91F01">
              <w:rPr>
                <w:noProof/>
                <w:webHidden/>
              </w:rPr>
              <w:t>11</w:t>
            </w:r>
            <w:r w:rsidR="00A91F01">
              <w:rPr>
                <w:noProof/>
                <w:webHidden/>
              </w:rPr>
              <w:fldChar w:fldCharType="end"/>
            </w:r>
          </w:hyperlink>
        </w:p>
        <w:p w14:paraId="5B1C6CA6" w14:textId="67F994AB"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68" w:history="1">
            <w:r w:rsidR="00A91F01" w:rsidRPr="00065AFD">
              <w:rPr>
                <w:rStyle w:val="Hyperlink"/>
                <w:noProof/>
              </w:rPr>
              <w:t>International regulations</w:t>
            </w:r>
            <w:r w:rsidR="00A91F01">
              <w:rPr>
                <w:noProof/>
                <w:webHidden/>
              </w:rPr>
              <w:tab/>
            </w:r>
            <w:r w:rsidR="00A91F01">
              <w:rPr>
                <w:noProof/>
                <w:webHidden/>
              </w:rPr>
              <w:fldChar w:fldCharType="begin"/>
            </w:r>
            <w:r w:rsidR="00A91F01">
              <w:rPr>
                <w:noProof/>
                <w:webHidden/>
              </w:rPr>
              <w:instrText xml:space="preserve"> PAGEREF _Toc177657868 \h </w:instrText>
            </w:r>
            <w:r w:rsidR="00A91F01">
              <w:rPr>
                <w:noProof/>
                <w:webHidden/>
              </w:rPr>
            </w:r>
            <w:r w:rsidR="00A91F01">
              <w:rPr>
                <w:noProof/>
                <w:webHidden/>
              </w:rPr>
              <w:fldChar w:fldCharType="separate"/>
            </w:r>
            <w:r w:rsidR="00A91F01">
              <w:rPr>
                <w:noProof/>
                <w:webHidden/>
              </w:rPr>
              <w:t>13</w:t>
            </w:r>
            <w:r w:rsidR="00A91F01">
              <w:rPr>
                <w:noProof/>
                <w:webHidden/>
              </w:rPr>
              <w:fldChar w:fldCharType="end"/>
            </w:r>
          </w:hyperlink>
        </w:p>
        <w:p w14:paraId="6C81049A" w14:textId="7DB83190" w:rsidR="00A91F01" w:rsidRDefault="00DA6C7B">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57869" w:history="1">
            <w:r w:rsidR="00A91F01" w:rsidRPr="00065AFD">
              <w:rPr>
                <w:rStyle w:val="Hyperlink"/>
                <w:noProof/>
                <w:lang w:eastAsia="en-AU"/>
              </w:rPr>
              <w:t>Pyridoxine, pyridoxal or pyridoxamine (vitamin B</w:t>
            </w:r>
            <w:r w:rsidR="00A91F01" w:rsidRPr="00065AFD">
              <w:rPr>
                <w:rStyle w:val="Hyperlink"/>
                <w:noProof/>
                <w:vertAlign w:val="subscript"/>
                <w:lang w:eastAsia="en-AU"/>
              </w:rPr>
              <w:t>6</w:t>
            </w:r>
            <w:r w:rsidR="00A91F01" w:rsidRPr="00065AFD">
              <w:rPr>
                <w:rStyle w:val="Hyperlink"/>
                <w:noProof/>
                <w:lang w:eastAsia="en-AU"/>
              </w:rPr>
              <w:t>)</w:t>
            </w:r>
            <w:r w:rsidR="00A91F01">
              <w:rPr>
                <w:noProof/>
                <w:webHidden/>
              </w:rPr>
              <w:tab/>
            </w:r>
            <w:r w:rsidR="00A91F01">
              <w:rPr>
                <w:noProof/>
                <w:webHidden/>
              </w:rPr>
              <w:fldChar w:fldCharType="begin"/>
            </w:r>
            <w:r w:rsidR="00A91F01">
              <w:rPr>
                <w:noProof/>
                <w:webHidden/>
              </w:rPr>
              <w:instrText xml:space="preserve"> PAGEREF _Toc177657869 \h </w:instrText>
            </w:r>
            <w:r w:rsidR="00A91F01">
              <w:rPr>
                <w:noProof/>
                <w:webHidden/>
              </w:rPr>
            </w:r>
            <w:r w:rsidR="00A91F01">
              <w:rPr>
                <w:noProof/>
                <w:webHidden/>
              </w:rPr>
              <w:fldChar w:fldCharType="separate"/>
            </w:r>
            <w:r w:rsidR="00A91F01">
              <w:rPr>
                <w:noProof/>
                <w:webHidden/>
              </w:rPr>
              <w:t>14</w:t>
            </w:r>
            <w:r w:rsidR="00A91F01">
              <w:rPr>
                <w:noProof/>
                <w:webHidden/>
              </w:rPr>
              <w:fldChar w:fldCharType="end"/>
            </w:r>
          </w:hyperlink>
        </w:p>
        <w:p w14:paraId="2C9A8228" w14:textId="10A56E50"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0" w:history="1">
            <w:r w:rsidR="00A91F01" w:rsidRPr="00065AFD">
              <w:rPr>
                <w:rStyle w:val="Hyperlink"/>
                <w:noProof/>
              </w:rPr>
              <w:t>Proposal</w:t>
            </w:r>
            <w:r w:rsidR="00A91F01">
              <w:rPr>
                <w:noProof/>
                <w:webHidden/>
              </w:rPr>
              <w:tab/>
            </w:r>
            <w:r w:rsidR="00A91F01">
              <w:rPr>
                <w:noProof/>
                <w:webHidden/>
              </w:rPr>
              <w:fldChar w:fldCharType="begin"/>
            </w:r>
            <w:r w:rsidR="00A91F01">
              <w:rPr>
                <w:noProof/>
                <w:webHidden/>
              </w:rPr>
              <w:instrText xml:space="preserve"> PAGEREF _Toc177657870 \h </w:instrText>
            </w:r>
            <w:r w:rsidR="00A91F01">
              <w:rPr>
                <w:noProof/>
                <w:webHidden/>
              </w:rPr>
            </w:r>
            <w:r w:rsidR="00A91F01">
              <w:rPr>
                <w:noProof/>
                <w:webHidden/>
              </w:rPr>
              <w:fldChar w:fldCharType="separate"/>
            </w:r>
            <w:r w:rsidR="00A91F01">
              <w:rPr>
                <w:noProof/>
                <w:webHidden/>
              </w:rPr>
              <w:t>14</w:t>
            </w:r>
            <w:r w:rsidR="00A91F01">
              <w:rPr>
                <w:noProof/>
                <w:webHidden/>
              </w:rPr>
              <w:fldChar w:fldCharType="end"/>
            </w:r>
          </w:hyperlink>
        </w:p>
        <w:p w14:paraId="3E7FF5E6" w14:textId="1E215D72"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1" w:history="1">
            <w:r w:rsidR="00A91F01" w:rsidRPr="00065AFD">
              <w:rPr>
                <w:rStyle w:val="Hyperlink"/>
                <w:noProof/>
              </w:rPr>
              <w:t>CAS number</w:t>
            </w:r>
            <w:r w:rsidR="00A91F01">
              <w:rPr>
                <w:noProof/>
                <w:webHidden/>
              </w:rPr>
              <w:tab/>
            </w:r>
            <w:r w:rsidR="00A91F01">
              <w:rPr>
                <w:noProof/>
                <w:webHidden/>
              </w:rPr>
              <w:fldChar w:fldCharType="begin"/>
            </w:r>
            <w:r w:rsidR="00A91F01">
              <w:rPr>
                <w:noProof/>
                <w:webHidden/>
              </w:rPr>
              <w:instrText xml:space="preserve"> PAGEREF _Toc177657871 \h </w:instrText>
            </w:r>
            <w:r w:rsidR="00A91F01">
              <w:rPr>
                <w:noProof/>
                <w:webHidden/>
              </w:rPr>
            </w:r>
            <w:r w:rsidR="00A91F01">
              <w:rPr>
                <w:noProof/>
                <w:webHidden/>
              </w:rPr>
              <w:fldChar w:fldCharType="separate"/>
            </w:r>
            <w:r w:rsidR="00A91F01">
              <w:rPr>
                <w:noProof/>
                <w:webHidden/>
              </w:rPr>
              <w:t>14</w:t>
            </w:r>
            <w:r w:rsidR="00A91F01">
              <w:rPr>
                <w:noProof/>
                <w:webHidden/>
              </w:rPr>
              <w:fldChar w:fldCharType="end"/>
            </w:r>
          </w:hyperlink>
        </w:p>
        <w:p w14:paraId="4E094954" w14:textId="3B63F4F4"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2" w:history="1">
            <w:r w:rsidR="00A91F01" w:rsidRPr="00065AFD">
              <w:rPr>
                <w:rStyle w:val="Hyperlink"/>
                <w:noProof/>
              </w:rPr>
              <w:t>Alternative names</w:t>
            </w:r>
            <w:r w:rsidR="00A91F01">
              <w:rPr>
                <w:noProof/>
                <w:webHidden/>
              </w:rPr>
              <w:tab/>
            </w:r>
            <w:r w:rsidR="00A91F01">
              <w:rPr>
                <w:noProof/>
                <w:webHidden/>
              </w:rPr>
              <w:fldChar w:fldCharType="begin"/>
            </w:r>
            <w:r w:rsidR="00A91F01">
              <w:rPr>
                <w:noProof/>
                <w:webHidden/>
              </w:rPr>
              <w:instrText xml:space="preserve"> PAGEREF _Toc177657872 \h </w:instrText>
            </w:r>
            <w:r w:rsidR="00A91F01">
              <w:rPr>
                <w:noProof/>
                <w:webHidden/>
              </w:rPr>
            </w:r>
            <w:r w:rsidR="00A91F01">
              <w:rPr>
                <w:noProof/>
                <w:webHidden/>
              </w:rPr>
              <w:fldChar w:fldCharType="separate"/>
            </w:r>
            <w:r w:rsidR="00A91F01">
              <w:rPr>
                <w:noProof/>
                <w:webHidden/>
              </w:rPr>
              <w:t>14</w:t>
            </w:r>
            <w:r w:rsidR="00A91F01">
              <w:rPr>
                <w:noProof/>
                <w:webHidden/>
              </w:rPr>
              <w:fldChar w:fldCharType="end"/>
            </w:r>
          </w:hyperlink>
        </w:p>
        <w:p w14:paraId="554EEE03" w14:textId="661713C5"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3" w:history="1">
            <w:r w:rsidR="00A91F01" w:rsidRPr="00065AFD">
              <w:rPr>
                <w:rStyle w:val="Hyperlink"/>
                <w:noProof/>
              </w:rPr>
              <w:t>Applicant</w:t>
            </w:r>
            <w:r w:rsidR="00A91F01">
              <w:rPr>
                <w:noProof/>
                <w:webHidden/>
              </w:rPr>
              <w:tab/>
            </w:r>
            <w:r w:rsidR="00A91F01">
              <w:rPr>
                <w:noProof/>
                <w:webHidden/>
              </w:rPr>
              <w:fldChar w:fldCharType="begin"/>
            </w:r>
            <w:r w:rsidR="00A91F01">
              <w:rPr>
                <w:noProof/>
                <w:webHidden/>
              </w:rPr>
              <w:instrText xml:space="preserve"> PAGEREF _Toc177657873 \h </w:instrText>
            </w:r>
            <w:r w:rsidR="00A91F01">
              <w:rPr>
                <w:noProof/>
                <w:webHidden/>
              </w:rPr>
            </w:r>
            <w:r w:rsidR="00A91F01">
              <w:rPr>
                <w:noProof/>
                <w:webHidden/>
              </w:rPr>
              <w:fldChar w:fldCharType="separate"/>
            </w:r>
            <w:r w:rsidR="00A91F01">
              <w:rPr>
                <w:noProof/>
                <w:webHidden/>
              </w:rPr>
              <w:t>14</w:t>
            </w:r>
            <w:r w:rsidR="00A91F01">
              <w:rPr>
                <w:noProof/>
                <w:webHidden/>
              </w:rPr>
              <w:fldChar w:fldCharType="end"/>
            </w:r>
          </w:hyperlink>
        </w:p>
        <w:p w14:paraId="500DC267" w14:textId="4799EA7C"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4" w:history="1">
            <w:r w:rsidR="00A91F01" w:rsidRPr="00065AFD">
              <w:rPr>
                <w:rStyle w:val="Hyperlink"/>
                <w:noProof/>
              </w:rPr>
              <w:t>Proposed Scheduling </w:t>
            </w:r>
            <w:r w:rsidR="00A91F01">
              <w:rPr>
                <w:noProof/>
                <w:webHidden/>
              </w:rPr>
              <w:tab/>
            </w:r>
            <w:r w:rsidR="00A91F01">
              <w:rPr>
                <w:noProof/>
                <w:webHidden/>
              </w:rPr>
              <w:fldChar w:fldCharType="begin"/>
            </w:r>
            <w:r w:rsidR="00A91F01">
              <w:rPr>
                <w:noProof/>
                <w:webHidden/>
              </w:rPr>
              <w:instrText xml:space="preserve"> PAGEREF _Toc177657874 \h </w:instrText>
            </w:r>
            <w:r w:rsidR="00A91F01">
              <w:rPr>
                <w:noProof/>
                <w:webHidden/>
              </w:rPr>
            </w:r>
            <w:r w:rsidR="00A91F01">
              <w:rPr>
                <w:noProof/>
                <w:webHidden/>
              </w:rPr>
              <w:fldChar w:fldCharType="separate"/>
            </w:r>
            <w:r w:rsidR="00A91F01">
              <w:rPr>
                <w:noProof/>
                <w:webHidden/>
              </w:rPr>
              <w:t>14</w:t>
            </w:r>
            <w:r w:rsidR="00A91F01">
              <w:rPr>
                <w:noProof/>
                <w:webHidden/>
              </w:rPr>
              <w:fldChar w:fldCharType="end"/>
            </w:r>
          </w:hyperlink>
        </w:p>
        <w:p w14:paraId="3AE7D70A" w14:textId="6FCF2ED2"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5" w:history="1">
            <w:r w:rsidR="00A91F01" w:rsidRPr="00065AFD">
              <w:rPr>
                <w:rStyle w:val="Hyperlink"/>
                <w:noProof/>
              </w:rPr>
              <w:t>Background</w:t>
            </w:r>
            <w:r w:rsidR="00A91F01">
              <w:rPr>
                <w:noProof/>
                <w:webHidden/>
              </w:rPr>
              <w:tab/>
            </w:r>
            <w:r w:rsidR="00A91F01">
              <w:rPr>
                <w:noProof/>
                <w:webHidden/>
              </w:rPr>
              <w:fldChar w:fldCharType="begin"/>
            </w:r>
            <w:r w:rsidR="00A91F01">
              <w:rPr>
                <w:noProof/>
                <w:webHidden/>
              </w:rPr>
              <w:instrText xml:space="preserve"> PAGEREF _Toc177657875 \h </w:instrText>
            </w:r>
            <w:r w:rsidR="00A91F01">
              <w:rPr>
                <w:noProof/>
                <w:webHidden/>
              </w:rPr>
            </w:r>
            <w:r w:rsidR="00A91F01">
              <w:rPr>
                <w:noProof/>
                <w:webHidden/>
              </w:rPr>
              <w:fldChar w:fldCharType="separate"/>
            </w:r>
            <w:r w:rsidR="00A91F01">
              <w:rPr>
                <w:noProof/>
                <w:webHidden/>
              </w:rPr>
              <w:t>15</w:t>
            </w:r>
            <w:r w:rsidR="00A91F01">
              <w:rPr>
                <w:noProof/>
                <w:webHidden/>
              </w:rPr>
              <w:fldChar w:fldCharType="end"/>
            </w:r>
          </w:hyperlink>
        </w:p>
        <w:p w14:paraId="6B316A81" w14:textId="2A57C22B"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6" w:history="1">
            <w:r w:rsidR="00A91F01" w:rsidRPr="00065AFD">
              <w:rPr>
                <w:rStyle w:val="Hyperlink"/>
                <w:noProof/>
              </w:rPr>
              <w:t>Summary of applicant’s reasons for the proposal</w:t>
            </w:r>
            <w:r w:rsidR="00A91F01">
              <w:rPr>
                <w:noProof/>
                <w:webHidden/>
              </w:rPr>
              <w:tab/>
            </w:r>
            <w:r w:rsidR="00A91F01">
              <w:rPr>
                <w:noProof/>
                <w:webHidden/>
              </w:rPr>
              <w:fldChar w:fldCharType="begin"/>
            </w:r>
            <w:r w:rsidR="00A91F01">
              <w:rPr>
                <w:noProof/>
                <w:webHidden/>
              </w:rPr>
              <w:instrText xml:space="preserve"> PAGEREF _Toc177657876 \h </w:instrText>
            </w:r>
            <w:r w:rsidR="00A91F01">
              <w:rPr>
                <w:noProof/>
                <w:webHidden/>
              </w:rPr>
            </w:r>
            <w:r w:rsidR="00A91F01">
              <w:rPr>
                <w:noProof/>
                <w:webHidden/>
              </w:rPr>
              <w:fldChar w:fldCharType="separate"/>
            </w:r>
            <w:r w:rsidR="00A91F01">
              <w:rPr>
                <w:noProof/>
                <w:webHidden/>
              </w:rPr>
              <w:t>15</w:t>
            </w:r>
            <w:r w:rsidR="00A91F01">
              <w:rPr>
                <w:noProof/>
                <w:webHidden/>
              </w:rPr>
              <w:fldChar w:fldCharType="end"/>
            </w:r>
          </w:hyperlink>
        </w:p>
        <w:p w14:paraId="61CFC8D4" w14:textId="5ED2380F"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7" w:history="1">
            <w:r w:rsidR="00A91F01" w:rsidRPr="00065AFD">
              <w:rPr>
                <w:rStyle w:val="Hyperlink"/>
                <w:noProof/>
              </w:rPr>
              <w:t>Key uses</w:t>
            </w:r>
            <w:r w:rsidR="00A91F01">
              <w:rPr>
                <w:noProof/>
                <w:webHidden/>
              </w:rPr>
              <w:tab/>
            </w:r>
            <w:r w:rsidR="00A91F01">
              <w:rPr>
                <w:noProof/>
                <w:webHidden/>
              </w:rPr>
              <w:fldChar w:fldCharType="begin"/>
            </w:r>
            <w:r w:rsidR="00A91F01">
              <w:rPr>
                <w:noProof/>
                <w:webHidden/>
              </w:rPr>
              <w:instrText xml:space="preserve"> PAGEREF _Toc177657877 \h </w:instrText>
            </w:r>
            <w:r w:rsidR="00A91F01">
              <w:rPr>
                <w:noProof/>
                <w:webHidden/>
              </w:rPr>
            </w:r>
            <w:r w:rsidR="00A91F01">
              <w:rPr>
                <w:noProof/>
                <w:webHidden/>
              </w:rPr>
              <w:fldChar w:fldCharType="separate"/>
            </w:r>
            <w:r w:rsidR="00A91F01">
              <w:rPr>
                <w:noProof/>
                <w:webHidden/>
              </w:rPr>
              <w:t>16</w:t>
            </w:r>
            <w:r w:rsidR="00A91F01">
              <w:rPr>
                <w:noProof/>
                <w:webHidden/>
              </w:rPr>
              <w:fldChar w:fldCharType="end"/>
            </w:r>
          </w:hyperlink>
        </w:p>
        <w:p w14:paraId="7B58517E" w14:textId="5D57EEAD"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8" w:history="1">
            <w:r w:rsidR="00A91F01" w:rsidRPr="00065AFD">
              <w:rPr>
                <w:rStyle w:val="Hyperlink"/>
                <w:noProof/>
              </w:rPr>
              <w:t>Australian regulations</w:t>
            </w:r>
            <w:r w:rsidR="00A91F01">
              <w:rPr>
                <w:noProof/>
                <w:webHidden/>
              </w:rPr>
              <w:tab/>
            </w:r>
            <w:r w:rsidR="00A91F01">
              <w:rPr>
                <w:noProof/>
                <w:webHidden/>
              </w:rPr>
              <w:fldChar w:fldCharType="begin"/>
            </w:r>
            <w:r w:rsidR="00A91F01">
              <w:rPr>
                <w:noProof/>
                <w:webHidden/>
              </w:rPr>
              <w:instrText xml:space="preserve"> PAGEREF _Toc177657878 \h </w:instrText>
            </w:r>
            <w:r w:rsidR="00A91F01">
              <w:rPr>
                <w:noProof/>
                <w:webHidden/>
              </w:rPr>
            </w:r>
            <w:r w:rsidR="00A91F01">
              <w:rPr>
                <w:noProof/>
                <w:webHidden/>
              </w:rPr>
              <w:fldChar w:fldCharType="separate"/>
            </w:r>
            <w:r w:rsidR="00A91F01">
              <w:rPr>
                <w:noProof/>
                <w:webHidden/>
              </w:rPr>
              <w:t>16</w:t>
            </w:r>
            <w:r w:rsidR="00A91F01">
              <w:rPr>
                <w:noProof/>
                <w:webHidden/>
              </w:rPr>
              <w:fldChar w:fldCharType="end"/>
            </w:r>
          </w:hyperlink>
        </w:p>
        <w:p w14:paraId="063B3EDF" w14:textId="216BAD77"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79" w:history="1">
            <w:r w:rsidR="00A91F01" w:rsidRPr="00065AFD">
              <w:rPr>
                <w:rStyle w:val="Hyperlink"/>
                <w:noProof/>
              </w:rPr>
              <w:t>International regulations</w:t>
            </w:r>
            <w:r w:rsidR="00A91F01">
              <w:rPr>
                <w:noProof/>
                <w:webHidden/>
              </w:rPr>
              <w:tab/>
            </w:r>
            <w:r w:rsidR="00A91F01">
              <w:rPr>
                <w:noProof/>
                <w:webHidden/>
              </w:rPr>
              <w:fldChar w:fldCharType="begin"/>
            </w:r>
            <w:r w:rsidR="00A91F01">
              <w:rPr>
                <w:noProof/>
                <w:webHidden/>
              </w:rPr>
              <w:instrText xml:space="preserve"> PAGEREF _Toc177657879 \h </w:instrText>
            </w:r>
            <w:r w:rsidR="00A91F01">
              <w:rPr>
                <w:noProof/>
                <w:webHidden/>
              </w:rPr>
            </w:r>
            <w:r w:rsidR="00A91F01">
              <w:rPr>
                <w:noProof/>
                <w:webHidden/>
              </w:rPr>
              <w:fldChar w:fldCharType="separate"/>
            </w:r>
            <w:r w:rsidR="00A91F01">
              <w:rPr>
                <w:noProof/>
                <w:webHidden/>
              </w:rPr>
              <w:t>18</w:t>
            </w:r>
            <w:r w:rsidR="00A91F01">
              <w:rPr>
                <w:noProof/>
                <w:webHidden/>
              </w:rPr>
              <w:fldChar w:fldCharType="end"/>
            </w:r>
          </w:hyperlink>
        </w:p>
        <w:p w14:paraId="29E79A4D" w14:textId="2632EBE8" w:rsidR="00A91F01" w:rsidRDefault="00DA6C7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57880" w:history="1">
            <w:r w:rsidR="00A91F01" w:rsidRPr="00065AFD">
              <w:rPr>
                <w:rStyle w:val="Hyperlink"/>
                <w:noProof/>
              </w:rPr>
              <w:t>Proposed amendment referred for scheduling advice to Joint ACMS-ACCS meeting #38</w:t>
            </w:r>
            <w:r w:rsidR="00A91F01">
              <w:rPr>
                <w:noProof/>
                <w:webHidden/>
              </w:rPr>
              <w:tab/>
            </w:r>
            <w:r w:rsidR="00A91F01">
              <w:rPr>
                <w:noProof/>
                <w:webHidden/>
              </w:rPr>
              <w:fldChar w:fldCharType="begin"/>
            </w:r>
            <w:r w:rsidR="00A91F01">
              <w:rPr>
                <w:noProof/>
                <w:webHidden/>
              </w:rPr>
              <w:instrText xml:space="preserve"> PAGEREF _Toc177657880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351732AC" w14:textId="2060DAB0" w:rsidR="00A91F01" w:rsidRDefault="00DA6C7B">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57881" w:history="1">
            <w:r w:rsidR="00A91F01" w:rsidRPr="00065AFD">
              <w:rPr>
                <w:rStyle w:val="Hyperlink"/>
                <w:noProof/>
              </w:rPr>
              <w:t>Ethylene oxide, propylene oxide and epichlorohydrin</w:t>
            </w:r>
            <w:r w:rsidR="00A91F01">
              <w:rPr>
                <w:noProof/>
                <w:webHidden/>
              </w:rPr>
              <w:tab/>
            </w:r>
            <w:r w:rsidR="00A91F01">
              <w:rPr>
                <w:noProof/>
                <w:webHidden/>
              </w:rPr>
              <w:fldChar w:fldCharType="begin"/>
            </w:r>
            <w:r w:rsidR="00A91F01">
              <w:rPr>
                <w:noProof/>
                <w:webHidden/>
              </w:rPr>
              <w:instrText xml:space="preserve"> PAGEREF _Toc177657881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55FFBAE3" w14:textId="7156B57A"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2" w:history="1">
            <w:r w:rsidR="00A91F01" w:rsidRPr="00065AFD">
              <w:rPr>
                <w:rStyle w:val="Hyperlink"/>
                <w:rFonts w:cs="Arial"/>
                <w:noProof/>
              </w:rPr>
              <w:t>Proposal</w:t>
            </w:r>
            <w:r w:rsidR="00A91F01">
              <w:rPr>
                <w:noProof/>
                <w:webHidden/>
              </w:rPr>
              <w:tab/>
            </w:r>
            <w:r w:rsidR="00A91F01">
              <w:rPr>
                <w:noProof/>
                <w:webHidden/>
              </w:rPr>
              <w:fldChar w:fldCharType="begin"/>
            </w:r>
            <w:r w:rsidR="00A91F01">
              <w:rPr>
                <w:noProof/>
                <w:webHidden/>
              </w:rPr>
              <w:instrText xml:space="preserve"> PAGEREF _Toc177657882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4EB17E77" w14:textId="4E930FE7"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3" w:history="1">
            <w:r w:rsidR="00A91F01" w:rsidRPr="00065AFD">
              <w:rPr>
                <w:rStyle w:val="Hyperlink"/>
                <w:noProof/>
              </w:rPr>
              <w:t>CAS number</w:t>
            </w:r>
            <w:r w:rsidR="00A91F01">
              <w:rPr>
                <w:noProof/>
                <w:webHidden/>
              </w:rPr>
              <w:tab/>
            </w:r>
            <w:r w:rsidR="00A91F01">
              <w:rPr>
                <w:noProof/>
                <w:webHidden/>
              </w:rPr>
              <w:fldChar w:fldCharType="begin"/>
            </w:r>
            <w:r w:rsidR="00A91F01">
              <w:rPr>
                <w:noProof/>
                <w:webHidden/>
              </w:rPr>
              <w:instrText xml:space="preserve"> PAGEREF _Toc177657883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0A4D7992" w14:textId="1E82DA4D"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4" w:history="1">
            <w:r w:rsidR="00A91F01" w:rsidRPr="00065AFD">
              <w:rPr>
                <w:rStyle w:val="Hyperlink"/>
                <w:noProof/>
              </w:rPr>
              <w:t>Alternative names</w:t>
            </w:r>
            <w:r w:rsidR="00A91F01">
              <w:rPr>
                <w:noProof/>
                <w:webHidden/>
              </w:rPr>
              <w:tab/>
            </w:r>
            <w:r w:rsidR="00A91F01">
              <w:rPr>
                <w:noProof/>
                <w:webHidden/>
              </w:rPr>
              <w:fldChar w:fldCharType="begin"/>
            </w:r>
            <w:r w:rsidR="00A91F01">
              <w:rPr>
                <w:noProof/>
                <w:webHidden/>
              </w:rPr>
              <w:instrText xml:space="preserve"> PAGEREF _Toc177657884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593D7D73" w14:textId="0033777C"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5" w:history="1">
            <w:r w:rsidR="00A91F01" w:rsidRPr="00065AFD">
              <w:rPr>
                <w:rStyle w:val="Hyperlink"/>
                <w:noProof/>
              </w:rPr>
              <w:t>Applicant</w:t>
            </w:r>
            <w:r w:rsidR="00A91F01">
              <w:rPr>
                <w:noProof/>
                <w:webHidden/>
              </w:rPr>
              <w:tab/>
            </w:r>
            <w:r w:rsidR="00A91F01">
              <w:rPr>
                <w:noProof/>
                <w:webHidden/>
              </w:rPr>
              <w:fldChar w:fldCharType="begin"/>
            </w:r>
            <w:r w:rsidR="00A91F01">
              <w:rPr>
                <w:noProof/>
                <w:webHidden/>
              </w:rPr>
              <w:instrText xml:space="preserve"> PAGEREF _Toc177657885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27029373" w14:textId="79C43BFD"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6" w:history="1">
            <w:r w:rsidR="00A91F01" w:rsidRPr="00065AFD">
              <w:rPr>
                <w:rStyle w:val="Hyperlink"/>
                <w:noProof/>
              </w:rPr>
              <w:t>Proposed scheduling</w:t>
            </w:r>
            <w:r w:rsidR="00A91F01">
              <w:rPr>
                <w:noProof/>
                <w:webHidden/>
              </w:rPr>
              <w:tab/>
            </w:r>
            <w:r w:rsidR="00A91F01">
              <w:rPr>
                <w:noProof/>
                <w:webHidden/>
              </w:rPr>
              <w:fldChar w:fldCharType="begin"/>
            </w:r>
            <w:r w:rsidR="00A91F01">
              <w:rPr>
                <w:noProof/>
                <w:webHidden/>
              </w:rPr>
              <w:instrText xml:space="preserve"> PAGEREF _Toc177657886 \h </w:instrText>
            </w:r>
            <w:r w:rsidR="00A91F01">
              <w:rPr>
                <w:noProof/>
                <w:webHidden/>
              </w:rPr>
            </w:r>
            <w:r w:rsidR="00A91F01">
              <w:rPr>
                <w:noProof/>
                <w:webHidden/>
              </w:rPr>
              <w:fldChar w:fldCharType="separate"/>
            </w:r>
            <w:r w:rsidR="00A91F01">
              <w:rPr>
                <w:noProof/>
                <w:webHidden/>
              </w:rPr>
              <w:t>20</w:t>
            </w:r>
            <w:r w:rsidR="00A91F01">
              <w:rPr>
                <w:noProof/>
                <w:webHidden/>
              </w:rPr>
              <w:fldChar w:fldCharType="end"/>
            </w:r>
          </w:hyperlink>
        </w:p>
        <w:p w14:paraId="28DF611F" w14:textId="178F981D"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7" w:history="1">
            <w:r w:rsidR="00A91F01" w:rsidRPr="00065AFD">
              <w:rPr>
                <w:rStyle w:val="Hyperlink"/>
                <w:noProof/>
              </w:rPr>
              <w:t>Background</w:t>
            </w:r>
            <w:r w:rsidR="00A91F01">
              <w:rPr>
                <w:noProof/>
                <w:webHidden/>
              </w:rPr>
              <w:tab/>
            </w:r>
            <w:r w:rsidR="00A91F01">
              <w:rPr>
                <w:noProof/>
                <w:webHidden/>
              </w:rPr>
              <w:fldChar w:fldCharType="begin"/>
            </w:r>
            <w:r w:rsidR="00A91F01">
              <w:rPr>
                <w:noProof/>
                <w:webHidden/>
              </w:rPr>
              <w:instrText xml:space="preserve"> PAGEREF _Toc177657887 \h </w:instrText>
            </w:r>
            <w:r w:rsidR="00A91F01">
              <w:rPr>
                <w:noProof/>
                <w:webHidden/>
              </w:rPr>
            </w:r>
            <w:r w:rsidR="00A91F01">
              <w:rPr>
                <w:noProof/>
                <w:webHidden/>
              </w:rPr>
              <w:fldChar w:fldCharType="separate"/>
            </w:r>
            <w:r w:rsidR="00A91F01">
              <w:rPr>
                <w:noProof/>
                <w:webHidden/>
              </w:rPr>
              <w:t>21</w:t>
            </w:r>
            <w:r w:rsidR="00A91F01">
              <w:rPr>
                <w:noProof/>
                <w:webHidden/>
              </w:rPr>
              <w:fldChar w:fldCharType="end"/>
            </w:r>
          </w:hyperlink>
        </w:p>
        <w:p w14:paraId="1C9D9A89" w14:textId="2EDF11C6"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8" w:history="1">
            <w:r w:rsidR="00A91F01" w:rsidRPr="00065AFD">
              <w:rPr>
                <w:rStyle w:val="Hyperlink"/>
                <w:noProof/>
              </w:rPr>
              <w:t>Summary of applicant’s reasons for the proposal</w:t>
            </w:r>
            <w:r w:rsidR="00A91F01">
              <w:rPr>
                <w:noProof/>
                <w:webHidden/>
              </w:rPr>
              <w:tab/>
            </w:r>
            <w:r w:rsidR="00A91F01">
              <w:rPr>
                <w:noProof/>
                <w:webHidden/>
              </w:rPr>
              <w:fldChar w:fldCharType="begin"/>
            </w:r>
            <w:r w:rsidR="00A91F01">
              <w:rPr>
                <w:noProof/>
                <w:webHidden/>
              </w:rPr>
              <w:instrText xml:space="preserve"> PAGEREF _Toc177657888 \h </w:instrText>
            </w:r>
            <w:r w:rsidR="00A91F01">
              <w:rPr>
                <w:noProof/>
                <w:webHidden/>
              </w:rPr>
            </w:r>
            <w:r w:rsidR="00A91F01">
              <w:rPr>
                <w:noProof/>
                <w:webHidden/>
              </w:rPr>
              <w:fldChar w:fldCharType="separate"/>
            </w:r>
            <w:r w:rsidR="00A91F01">
              <w:rPr>
                <w:noProof/>
                <w:webHidden/>
              </w:rPr>
              <w:t>21</w:t>
            </w:r>
            <w:r w:rsidR="00A91F01">
              <w:rPr>
                <w:noProof/>
                <w:webHidden/>
              </w:rPr>
              <w:fldChar w:fldCharType="end"/>
            </w:r>
          </w:hyperlink>
        </w:p>
        <w:p w14:paraId="653E3D0E" w14:textId="55361A97"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89" w:history="1">
            <w:r w:rsidR="00A91F01" w:rsidRPr="00065AFD">
              <w:rPr>
                <w:rStyle w:val="Hyperlink"/>
                <w:noProof/>
              </w:rPr>
              <w:t>Key uses / expected use</w:t>
            </w:r>
            <w:r w:rsidR="00A91F01">
              <w:rPr>
                <w:noProof/>
                <w:webHidden/>
              </w:rPr>
              <w:tab/>
            </w:r>
            <w:r w:rsidR="00A91F01">
              <w:rPr>
                <w:noProof/>
                <w:webHidden/>
              </w:rPr>
              <w:fldChar w:fldCharType="begin"/>
            </w:r>
            <w:r w:rsidR="00A91F01">
              <w:rPr>
                <w:noProof/>
                <w:webHidden/>
              </w:rPr>
              <w:instrText xml:space="preserve"> PAGEREF _Toc177657889 \h </w:instrText>
            </w:r>
            <w:r w:rsidR="00A91F01">
              <w:rPr>
                <w:noProof/>
                <w:webHidden/>
              </w:rPr>
            </w:r>
            <w:r w:rsidR="00A91F01">
              <w:rPr>
                <w:noProof/>
                <w:webHidden/>
              </w:rPr>
              <w:fldChar w:fldCharType="separate"/>
            </w:r>
            <w:r w:rsidR="00A91F01">
              <w:rPr>
                <w:noProof/>
                <w:webHidden/>
              </w:rPr>
              <w:t>22</w:t>
            </w:r>
            <w:r w:rsidR="00A91F01">
              <w:rPr>
                <w:noProof/>
                <w:webHidden/>
              </w:rPr>
              <w:fldChar w:fldCharType="end"/>
            </w:r>
          </w:hyperlink>
        </w:p>
        <w:p w14:paraId="1FB92046" w14:textId="2B8C01D3"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0" w:history="1">
            <w:r w:rsidR="00A91F01" w:rsidRPr="00065AFD">
              <w:rPr>
                <w:rStyle w:val="Hyperlink"/>
                <w:noProof/>
              </w:rPr>
              <w:t>Australian regulations</w:t>
            </w:r>
            <w:r w:rsidR="00A91F01">
              <w:rPr>
                <w:noProof/>
                <w:webHidden/>
              </w:rPr>
              <w:tab/>
            </w:r>
            <w:r w:rsidR="00A91F01">
              <w:rPr>
                <w:noProof/>
                <w:webHidden/>
              </w:rPr>
              <w:fldChar w:fldCharType="begin"/>
            </w:r>
            <w:r w:rsidR="00A91F01">
              <w:rPr>
                <w:noProof/>
                <w:webHidden/>
              </w:rPr>
              <w:instrText xml:space="preserve"> PAGEREF _Toc177657890 \h </w:instrText>
            </w:r>
            <w:r w:rsidR="00A91F01">
              <w:rPr>
                <w:noProof/>
                <w:webHidden/>
              </w:rPr>
            </w:r>
            <w:r w:rsidR="00A91F01">
              <w:rPr>
                <w:noProof/>
                <w:webHidden/>
              </w:rPr>
              <w:fldChar w:fldCharType="separate"/>
            </w:r>
            <w:r w:rsidR="00A91F01">
              <w:rPr>
                <w:noProof/>
                <w:webHidden/>
              </w:rPr>
              <w:t>22</w:t>
            </w:r>
            <w:r w:rsidR="00A91F01">
              <w:rPr>
                <w:noProof/>
                <w:webHidden/>
              </w:rPr>
              <w:fldChar w:fldCharType="end"/>
            </w:r>
          </w:hyperlink>
        </w:p>
        <w:p w14:paraId="1C17DD45" w14:textId="4B8DB791"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1" w:history="1">
            <w:r w:rsidR="00A91F01" w:rsidRPr="00065AFD">
              <w:rPr>
                <w:rStyle w:val="Hyperlink"/>
                <w:noProof/>
              </w:rPr>
              <w:t>International regulations</w:t>
            </w:r>
            <w:r w:rsidR="00A91F01">
              <w:rPr>
                <w:noProof/>
                <w:webHidden/>
              </w:rPr>
              <w:tab/>
            </w:r>
            <w:r w:rsidR="00A91F01">
              <w:rPr>
                <w:noProof/>
                <w:webHidden/>
              </w:rPr>
              <w:fldChar w:fldCharType="begin"/>
            </w:r>
            <w:r w:rsidR="00A91F01">
              <w:rPr>
                <w:noProof/>
                <w:webHidden/>
              </w:rPr>
              <w:instrText xml:space="preserve"> PAGEREF _Toc177657891 \h </w:instrText>
            </w:r>
            <w:r w:rsidR="00A91F01">
              <w:rPr>
                <w:noProof/>
                <w:webHidden/>
              </w:rPr>
            </w:r>
            <w:r w:rsidR="00A91F01">
              <w:rPr>
                <w:noProof/>
                <w:webHidden/>
              </w:rPr>
              <w:fldChar w:fldCharType="separate"/>
            </w:r>
            <w:r w:rsidR="00A91F01">
              <w:rPr>
                <w:noProof/>
                <w:webHidden/>
              </w:rPr>
              <w:t>24</w:t>
            </w:r>
            <w:r w:rsidR="00A91F01">
              <w:rPr>
                <w:noProof/>
                <w:webHidden/>
              </w:rPr>
              <w:fldChar w:fldCharType="end"/>
            </w:r>
          </w:hyperlink>
        </w:p>
        <w:p w14:paraId="5A90709D" w14:textId="75FB9261" w:rsidR="00A91F01" w:rsidRDefault="00DA6C7B">
          <w:pPr>
            <w:pStyle w:val="TOC2"/>
            <w:rPr>
              <w:rFonts w:asciiTheme="minorHAnsi" w:eastAsiaTheme="minorEastAsia" w:hAnsiTheme="minorHAnsi" w:cstheme="minorBidi"/>
              <w:noProof/>
              <w:color w:val="auto"/>
              <w:kern w:val="2"/>
              <w:sz w:val="22"/>
              <w:szCs w:val="22"/>
              <w:lang w:eastAsia="en-AU"/>
              <w14:ligatures w14:val="standardContextual"/>
            </w:rPr>
          </w:pPr>
          <w:hyperlink w:anchor="_Toc177657892" w:history="1">
            <w:r w:rsidR="00A91F01" w:rsidRPr="00065AFD">
              <w:rPr>
                <w:rStyle w:val="Hyperlink"/>
                <w:i/>
                <w:iCs/>
                <w:noProof/>
              </w:rPr>
              <w:t>Symphytum officinalis</w:t>
            </w:r>
            <w:r w:rsidR="00A91F01" w:rsidRPr="00065AFD">
              <w:rPr>
                <w:rStyle w:val="Hyperlink"/>
                <w:noProof/>
              </w:rPr>
              <w:t xml:space="preserve"> (comfrey)</w:t>
            </w:r>
            <w:r w:rsidR="00A91F01">
              <w:rPr>
                <w:noProof/>
                <w:webHidden/>
              </w:rPr>
              <w:tab/>
            </w:r>
            <w:r w:rsidR="00A91F01">
              <w:rPr>
                <w:noProof/>
                <w:webHidden/>
              </w:rPr>
              <w:fldChar w:fldCharType="begin"/>
            </w:r>
            <w:r w:rsidR="00A91F01">
              <w:rPr>
                <w:noProof/>
                <w:webHidden/>
              </w:rPr>
              <w:instrText xml:space="preserve"> PAGEREF _Toc177657892 \h </w:instrText>
            </w:r>
            <w:r w:rsidR="00A91F01">
              <w:rPr>
                <w:noProof/>
                <w:webHidden/>
              </w:rPr>
            </w:r>
            <w:r w:rsidR="00A91F01">
              <w:rPr>
                <w:noProof/>
                <w:webHidden/>
              </w:rPr>
              <w:fldChar w:fldCharType="separate"/>
            </w:r>
            <w:r w:rsidR="00A91F01">
              <w:rPr>
                <w:noProof/>
                <w:webHidden/>
              </w:rPr>
              <w:t>26</w:t>
            </w:r>
            <w:r w:rsidR="00A91F01">
              <w:rPr>
                <w:noProof/>
                <w:webHidden/>
              </w:rPr>
              <w:fldChar w:fldCharType="end"/>
            </w:r>
          </w:hyperlink>
        </w:p>
        <w:p w14:paraId="723D1AFD" w14:textId="6D99DEB4"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3" w:history="1">
            <w:r w:rsidR="00A91F01" w:rsidRPr="00065AFD">
              <w:rPr>
                <w:rStyle w:val="Hyperlink"/>
                <w:rFonts w:cs="Arial"/>
                <w:noProof/>
              </w:rPr>
              <w:t>Proposal</w:t>
            </w:r>
            <w:r w:rsidR="00A91F01">
              <w:rPr>
                <w:noProof/>
                <w:webHidden/>
              </w:rPr>
              <w:tab/>
            </w:r>
            <w:r w:rsidR="00A91F01">
              <w:rPr>
                <w:noProof/>
                <w:webHidden/>
              </w:rPr>
              <w:fldChar w:fldCharType="begin"/>
            </w:r>
            <w:r w:rsidR="00A91F01">
              <w:rPr>
                <w:noProof/>
                <w:webHidden/>
              </w:rPr>
              <w:instrText xml:space="preserve"> PAGEREF _Toc177657893 \h </w:instrText>
            </w:r>
            <w:r w:rsidR="00A91F01">
              <w:rPr>
                <w:noProof/>
                <w:webHidden/>
              </w:rPr>
            </w:r>
            <w:r w:rsidR="00A91F01">
              <w:rPr>
                <w:noProof/>
                <w:webHidden/>
              </w:rPr>
              <w:fldChar w:fldCharType="separate"/>
            </w:r>
            <w:r w:rsidR="00A91F01">
              <w:rPr>
                <w:noProof/>
                <w:webHidden/>
              </w:rPr>
              <w:t>26</w:t>
            </w:r>
            <w:r w:rsidR="00A91F01">
              <w:rPr>
                <w:noProof/>
                <w:webHidden/>
              </w:rPr>
              <w:fldChar w:fldCharType="end"/>
            </w:r>
          </w:hyperlink>
        </w:p>
        <w:p w14:paraId="2D414197" w14:textId="1DFCB44D"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4" w:history="1">
            <w:r w:rsidR="00A91F01" w:rsidRPr="00065AFD">
              <w:rPr>
                <w:rStyle w:val="Hyperlink"/>
                <w:noProof/>
              </w:rPr>
              <w:t>CAS number</w:t>
            </w:r>
            <w:r w:rsidR="00A91F01">
              <w:rPr>
                <w:noProof/>
                <w:webHidden/>
              </w:rPr>
              <w:tab/>
            </w:r>
            <w:r w:rsidR="00A91F01">
              <w:rPr>
                <w:noProof/>
                <w:webHidden/>
              </w:rPr>
              <w:fldChar w:fldCharType="begin"/>
            </w:r>
            <w:r w:rsidR="00A91F01">
              <w:rPr>
                <w:noProof/>
                <w:webHidden/>
              </w:rPr>
              <w:instrText xml:space="preserve"> PAGEREF _Toc177657894 \h </w:instrText>
            </w:r>
            <w:r w:rsidR="00A91F01">
              <w:rPr>
                <w:noProof/>
                <w:webHidden/>
              </w:rPr>
            </w:r>
            <w:r w:rsidR="00A91F01">
              <w:rPr>
                <w:noProof/>
                <w:webHidden/>
              </w:rPr>
              <w:fldChar w:fldCharType="separate"/>
            </w:r>
            <w:r w:rsidR="00A91F01">
              <w:rPr>
                <w:noProof/>
                <w:webHidden/>
              </w:rPr>
              <w:t>26</w:t>
            </w:r>
            <w:r w:rsidR="00A91F01">
              <w:rPr>
                <w:noProof/>
                <w:webHidden/>
              </w:rPr>
              <w:fldChar w:fldCharType="end"/>
            </w:r>
          </w:hyperlink>
        </w:p>
        <w:p w14:paraId="3B7E0410" w14:textId="5182783F"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5" w:history="1">
            <w:r w:rsidR="00A91F01" w:rsidRPr="00065AFD">
              <w:rPr>
                <w:rStyle w:val="Hyperlink"/>
                <w:noProof/>
              </w:rPr>
              <w:t>Alternative names</w:t>
            </w:r>
            <w:r w:rsidR="00A91F01">
              <w:rPr>
                <w:noProof/>
                <w:webHidden/>
              </w:rPr>
              <w:tab/>
            </w:r>
            <w:r w:rsidR="00A91F01">
              <w:rPr>
                <w:noProof/>
                <w:webHidden/>
              </w:rPr>
              <w:fldChar w:fldCharType="begin"/>
            </w:r>
            <w:r w:rsidR="00A91F01">
              <w:rPr>
                <w:noProof/>
                <w:webHidden/>
              </w:rPr>
              <w:instrText xml:space="preserve"> PAGEREF _Toc177657895 \h </w:instrText>
            </w:r>
            <w:r w:rsidR="00A91F01">
              <w:rPr>
                <w:noProof/>
                <w:webHidden/>
              </w:rPr>
            </w:r>
            <w:r w:rsidR="00A91F01">
              <w:rPr>
                <w:noProof/>
                <w:webHidden/>
              </w:rPr>
              <w:fldChar w:fldCharType="separate"/>
            </w:r>
            <w:r w:rsidR="00A91F01">
              <w:rPr>
                <w:noProof/>
                <w:webHidden/>
              </w:rPr>
              <w:t>26</w:t>
            </w:r>
            <w:r w:rsidR="00A91F01">
              <w:rPr>
                <w:noProof/>
                <w:webHidden/>
              </w:rPr>
              <w:fldChar w:fldCharType="end"/>
            </w:r>
          </w:hyperlink>
        </w:p>
        <w:p w14:paraId="6C6EBB38" w14:textId="67AAE798"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6" w:history="1">
            <w:r w:rsidR="00A91F01" w:rsidRPr="00065AFD">
              <w:rPr>
                <w:rStyle w:val="Hyperlink"/>
                <w:noProof/>
              </w:rPr>
              <w:t>Applicant</w:t>
            </w:r>
            <w:r w:rsidR="00A91F01">
              <w:rPr>
                <w:noProof/>
                <w:webHidden/>
              </w:rPr>
              <w:tab/>
            </w:r>
            <w:r w:rsidR="00A91F01">
              <w:rPr>
                <w:noProof/>
                <w:webHidden/>
              </w:rPr>
              <w:fldChar w:fldCharType="begin"/>
            </w:r>
            <w:r w:rsidR="00A91F01">
              <w:rPr>
                <w:noProof/>
                <w:webHidden/>
              </w:rPr>
              <w:instrText xml:space="preserve"> PAGEREF _Toc177657896 \h </w:instrText>
            </w:r>
            <w:r w:rsidR="00A91F01">
              <w:rPr>
                <w:noProof/>
                <w:webHidden/>
              </w:rPr>
            </w:r>
            <w:r w:rsidR="00A91F01">
              <w:rPr>
                <w:noProof/>
                <w:webHidden/>
              </w:rPr>
              <w:fldChar w:fldCharType="separate"/>
            </w:r>
            <w:r w:rsidR="00A91F01">
              <w:rPr>
                <w:noProof/>
                <w:webHidden/>
              </w:rPr>
              <w:t>26</w:t>
            </w:r>
            <w:r w:rsidR="00A91F01">
              <w:rPr>
                <w:noProof/>
                <w:webHidden/>
              </w:rPr>
              <w:fldChar w:fldCharType="end"/>
            </w:r>
          </w:hyperlink>
        </w:p>
        <w:p w14:paraId="6F113246" w14:textId="5533220D"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7" w:history="1">
            <w:r w:rsidR="00A91F01" w:rsidRPr="00065AFD">
              <w:rPr>
                <w:rStyle w:val="Hyperlink"/>
                <w:noProof/>
              </w:rPr>
              <w:t>Proposed scheduling</w:t>
            </w:r>
            <w:r w:rsidR="00A91F01">
              <w:rPr>
                <w:noProof/>
                <w:webHidden/>
              </w:rPr>
              <w:tab/>
            </w:r>
            <w:r w:rsidR="00A91F01">
              <w:rPr>
                <w:noProof/>
                <w:webHidden/>
              </w:rPr>
              <w:fldChar w:fldCharType="begin"/>
            </w:r>
            <w:r w:rsidR="00A91F01">
              <w:rPr>
                <w:noProof/>
                <w:webHidden/>
              </w:rPr>
              <w:instrText xml:space="preserve"> PAGEREF _Toc177657897 \h </w:instrText>
            </w:r>
            <w:r w:rsidR="00A91F01">
              <w:rPr>
                <w:noProof/>
                <w:webHidden/>
              </w:rPr>
            </w:r>
            <w:r w:rsidR="00A91F01">
              <w:rPr>
                <w:noProof/>
                <w:webHidden/>
              </w:rPr>
              <w:fldChar w:fldCharType="separate"/>
            </w:r>
            <w:r w:rsidR="00A91F01">
              <w:rPr>
                <w:noProof/>
                <w:webHidden/>
              </w:rPr>
              <w:t>26</w:t>
            </w:r>
            <w:r w:rsidR="00A91F01">
              <w:rPr>
                <w:noProof/>
                <w:webHidden/>
              </w:rPr>
              <w:fldChar w:fldCharType="end"/>
            </w:r>
          </w:hyperlink>
        </w:p>
        <w:p w14:paraId="01C2AD08" w14:textId="28A32ADB"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8" w:history="1">
            <w:r w:rsidR="00A91F01" w:rsidRPr="00065AFD">
              <w:rPr>
                <w:rStyle w:val="Hyperlink"/>
                <w:noProof/>
              </w:rPr>
              <w:t>Background</w:t>
            </w:r>
            <w:r w:rsidR="00A91F01">
              <w:rPr>
                <w:noProof/>
                <w:webHidden/>
              </w:rPr>
              <w:tab/>
            </w:r>
            <w:r w:rsidR="00A91F01">
              <w:rPr>
                <w:noProof/>
                <w:webHidden/>
              </w:rPr>
              <w:fldChar w:fldCharType="begin"/>
            </w:r>
            <w:r w:rsidR="00A91F01">
              <w:rPr>
                <w:noProof/>
                <w:webHidden/>
              </w:rPr>
              <w:instrText xml:space="preserve"> PAGEREF _Toc177657898 \h </w:instrText>
            </w:r>
            <w:r w:rsidR="00A91F01">
              <w:rPr>
                <w:noProof/>
                <w:webHidden/>
              </w:rPr>
            </w:r>
            <w:r w:rsidR="00A91F01">
              <w:rPr>
                <w:noProof/>
                <w:webHidden/>
              </w:rPr>
              <w:fldChar w:fldCharType="separate"/>
            </w:r>
            <w:r w:rsidR="00A91F01">
              <w:rPr>
                <w:noProof/>
                <w:webHidden/>
              </w:rPr>
              <w:t>27</w:t>
            </w:r>
            <w:r w:rsidR="00A91F01">
              <w:rPr>
                <w:noProof/>
                <w:webHidden/>
              </w:rPr>
              <w:fldChar w:fldCharType="end"/>
            </w:r>
          </w:hyperlink>
        </w:p>
        <w:p w14:paraId="2474BA4A" w14:textId="2408ED6F"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899" w:history="1">
            <w:r w:rsidR="00A91F01" w:rsidRPr="00065AFD">
              <w:rPr>
                <w:rStyle w:val="Hyperlink"/>
                <w:noProof/>
              </w:rPr>
              <w:t>Summary of applicant’s reasons for the proposal</w:t>
            </w:r>
            <w:r w:rsidR="00A91F01">
              <w:rPr>
                <w:noProof/>
                <w:webHidden/>
              </w:rPr>
              <w:tab/>
            </w:r>
            <w:r w:rsidR="00A91F01">
              <w:rPr>
                <w:noProof/>
                <w:webHidden/>
              </w:rPr>
              <w:fldChar w:fldCharType="begin"/>
            </w:r>
            <w:r w:rsidR="00A91F01">
              <w:rPr>
                <w:noProof/>
                <w:webHidden/>
              </w:rPr>
              <w:instrText xml:space="preserve"> PAGEREF _Toc177657899 \h </w:instrText>
            </w:r>
            <w:r w:rsidR="00A91F01">
              <w:rPr>
                <w:noProof/>
                <w:webHidden/>
              </w:rPr>
            </w:r>
            <w:r w:rsidR="00A91F01">
              <w:rPr>
                <w:noProof/>
                <w:webHidden/>
              </w:rPr>
              <w:fldChar w:fldCharType="separate"/>
            </w:r>
            <w:r w:rsidR="00A91F01">
              <w:rPr>
                <w:noProof/>
                <w:webHidden/>
              </w:rPr>
              <w:t>27</w:t>
            </w:r>
            <w:r w:rsidR="00A91F01">
              <w:rPr>
                <w:noProof/>
                <w:webHidden/>
              </w:rPr>
              <w:fldChar w:fldCharType="end"/>
            </w:r>
          </w:hyperlink>
        </w:p>
        <w:p w14:paraId="2D1B6D12" w14:textId="39B14B36"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900" w:history="1">
            <w:r w:rsidR="00A91F01" w:rsidRPr="00065AFD">
              <w:rPr>
                <w:rStyle w:val="Hyperlink"/>
                <w:noProof/>
              </w:rPr>
              <w:t>Key uses / expected use</w:t>
            </w:r>
            <w:r w:rsidR="00A91F01">
              <w:rPr>
                <w:noProof/>
                <w:webHidden/>
              </w:rPr>
              <w:tab/>
            </w:r>
            <w:r w:rsidR="00A91F01">
              <w:rPr>
                <w:noProof/>
                <w:webHidden/>
              </w:rPr>
              <w:fldChar w:fldCharType="begin"/>
            </w:r>
            <w:r w:rsidR="00A91F01">
              <w:rPr>
                <w:noProof/>
                <w:webHidden/>
              </w:rPr>
              <w:instrText xml:space="preserve"> PAGEREF _Toc177657900 \h </w:instrText>
            </w:r>
            <w:r w:rsidR="00A91F01">
              <w:rPr>
                <w:noProof/>
                <w:webHidden/>
              </w:rPr>
            </w:r>
            <w:r w:rsidR="00A91F01">
              <w:rPr>
                <w:noProof/>
                <w:webHidden/>
              </w:rPr>
              <w:fldChar w:fldCharType="separate"/>
            </w:r>
            <w:r w:rsidR="00A91F01">
              <w:rPr>
                <w:noProof/>
                <w:webHidden/>
              </w:rPr>
              <w:t>27</w:t>
            </w:r>
            <w:r w:rsidR="00A91F01">
              <w:rPr>
                <w:noProof/>
                <w:webHidden/>
              </w:rPr>
              <w:fldChar w:fldCharType="end"/>
            </w:r>
          </w:hyperlink>
        </w:p>
        <w:p w14:paraId="10342143" w14:textId="2A73148F"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901" w:history="1">
            <w:r w:rsidR="00A91F01" w:rsidRPr="00065AFD">
              <w:rPr>
                <w:rStyle w:val="Hyperlink"/>
                <w:noProof/>
              </w:rPr>
              <w:t>Australian regulations</w:t>
            </w:r>
            <w:r w:rsidR="00A91F01">
              <w:rPr>
                <w:noProof/>
                <w:webHidden/>
              </w:rPr>
              <w:tab/>
            </w:r>
            <w:r w:rsidR="00A91F01">
              <w:rPr>
                <w:noProof/>
                <w:webHidden/>
              </w:rPr>
              <w:fldChar w:fldCharType="begin"/>
            </w:r>
            <w:r w:rsidR="00A91F01">
              <w:rPr>
                <w:noProof/>
                <w:webHidden/>
              </w:rPr>
              <w:instrText xml:space="preserve"> PAGEREF _Toc177657901 \h </w:instrText>
            </w:r>
            <w:r w:rsidR="00A91F01">
              <w:rPr>
                <w:noProof/>
                <w:webHidden/>
              </w:rPr>
            </w:r>
            <w:r w:rsidR="00A91F01">
              <w:rPr>
                <w:noProof/>
                <w:webHidden/>
              </w:rPr>
              <w:fldChar w:fldCharType="separate"/>
            </w:r>
            <w:r w:rsidR="00A91F01">
              <w:rPr>
                <w:noProof/>
                <w:webHidden/>
              </w:rPr>
              <w:t>27</w:t>
            </w:r>
            <w:r w:rsidR="00A91F01">
              <w:rPr>
                <w:noProof/>
                <w:webHidden/>
              </w:rPr>
              <w:fldChar w:fldCharType="end"/>
            </w:r>
          </w:hyperlink>
        </w:p>
        <w:p w14:paraId="3AECB306" w14:textId="172A6990" w:rsidR="00A91F01" w:rsidRDefault="00DA6C7B">
          <w:pPr>
            <w:pStyle w:val="TOC3"/>
            <w:rPr>
              <w:rFonts w:asciiTheme="minorHAnsi" w:eastAsiaTheme="minorEastAsia" w:hAnsiTheme="minorHAnsi" w:cstheme="minorBidi"/>
              <w:noProof/>
              <w:color w:val="auto"/>
              <w:kern w:val="2"/>
              <w:szCs w:val="22"/>
              <w:lang w:eastAsia="en-AU"/>
              <w14:ligatures w14:val="standardContextual"/>
            </w:rPr>
          </w:pPr>
          <w:hyperlink w:anchor="_Toc177657902" w:history="1">
            <w:r w:rsidR="00A91F01" w:rsidRPr="00065AFD">
              <w:rPr>
                <w:rStyle w:val="Hyperlink"/>
                <w:noProof/>
              </w:rPr>
              <w:t>International regulations</w:t>
            </w:r>
            <w:r w:rsidR="00A91F01">
              <w:rPr>
                <w:noProof/>
                <w:webHidden/>
              </w:rPr>
              <w:tab/>
            </w:r>
            <w:r w:rsidR="00A91F01">
              <w:rPr>
                <w:noProof/>
                <w:webHidden/>
              </w:rPr>
              <w:fldChar w:fldCharType="begin"/>
            </w:r>
            <w:r w:rsidR="00A91F01">
              <w:rPr>
                <w:noProof/>
                <w:webHidden/>
              </w:rPr>
              <w:instrText xml:space="preserve"> PAGEREF _Toc177657902 \h </w:instrText>
            </w:r>
            <w:r w:rsidR="00A91F01">
              <w:rPr>
                <w:noProof/>
                <w:webHidden/>
              </w:rPr>
            </w:r>
            <w:r w:rsidR="00A91F01">
              <w:rPr>
                <w:noProof/>
                <w:webHidden/>
              </w:rPr>
              <w:fldChar w:fldCharType="separate"/>
            </w:r>
            <w:r w:rsidR="00A91F01">
              <w:rPr>
                <w:noProof/>
                <w:webHidden/>
              </w:rPr>
              <w:t>29</w:t>
            </w:r>
            <w:r w:rsidR="00A91F01">
              <w:rPr>
                <w:noProof/>
                <w:webHidden/>
              </w:rPr>
              <w:fldChar w:fldCharType="end"/>
            </w:r>
          </w:hyperlink>
        </w:p>
        <w:p w14:paraId="259CC30D" w14:textId="0D5831E7" w:rsidR="00A91F01" w:rsidRDefault="00DA6C7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57903" w:history="1">
            <w:r w:rsidR="00A91F01" w:rsidRPr="00065AFD">
              <w:rPr>
                <w:rStyle w:val="Hyperlink"/>
                <w:noProof/>
              </w:rPr>
              <w:t>How to respond</w:t>
            </w:r>
            <w:r w:rsidR="00A91F01">
              <w:rPr>
                <w:noProof/>
                <w:webHidden/>
              </w:rPr>
              <w:tab/>
            </w:r>
            <w:r w:rsidR="00A91F01">
              <w:rPr>
                <w:noProof/>
                <w:webHidden/>
              </w:rPr>
              <w:fldChar w:fldCharType="begin"/>
            </w:r>
            <w:r w:rsidR="00A91F01">
              <w:rPr>
                <w:noProof/>
                <w:webHidden/>
              </w:rPr>
              <w:instrText xml:space="preserve"> PAGEREF _Toc177657903 \h </w:instrText>
            </w:r>
            <w:r w:rsidR="00A91F01">
              <w:rPr>
                <w:noProof/>
                <w:webHidden/>
              </w:rPr>
            </w:r>
            <w:r w:rsidR="00A91F01">
              <w:rPr>
                <w:noProof/>
                <w:webHidden/>
              </w:rPr>
              <w:fldChar w:fldCharType="separate"/>
            </w:r>
            <w:r w:rsidR="00A91F01">
              <w:rPr>
                <w:noProof/>
                <w:webHidden/>
              </w:rPr>
              <w:t>30</w:t>
            </w:r>
            <w:r w:rsidR="00A91F01">
              <w:rPr>
                <w:noProof/>
                <w:webHidden/>
              </w:rPr>
              <w:fldChar w:fldCharType="end"/>
            </w:r>
          </w:hyperlink>
        </w:p>
        <w:p w14:paraId="09F38359" w14:textId="6FF0583D" w:rsidR="00A91F01" w:rsidRDefault="00DA6C7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7657904" w:history="1">
            <w:r w:rsidR="00A91F01" w:rsidRPr="00065AFD">
              <w:rPr>
                <w:rStyle w:val="Hyperlink"/>
                <w:noProof/>
              </w:rPr>
              <w:t>What will happen</w:t>
            </w:r>
            <w:r w:rsidR="00A91F01">
              <w:rPr>
                <w:noProof/>
                <w:webHidden/>
              </w:rPr>
              <w:tab/>
            </w:r>
            <w:r w:rsidR="00A91F01">
              <w:rPr>
                <w:noProof/>
                <w:webHidden/>
              </w:rPr>
              <w:fldChar w:fldCharType="begin"/>
            </w:r>
            <w:r w:rsidR="00A91F01">
              <w:rPr>
                <w:noProof/>
                <w:webHidden/>
              </w:rPr>
              <w:instrText xml:space="preserve"> PAGEREF _Toc177657904 \h </w:instrText>
            </w:r>
            <w:r w:rsidR="00A91F01">
              <w:rPr>
                <w:noProof/>
                <w:webHidden/>
              </w:rPr>
            </w:r>
            <w:r w:rsidR="00A91F01">
              <w:rPr>
                <w:noProof/>
                <w:webHidden/>
              </w:rPr>
              <w:fldChar w:fldCharType="separate"/>
            </w:r>
            <w:r w:rsidR="00A91F01">
              <w:rPr>
                <w:noProof/>
                <w:webHidden/>
              </w:rPr>
              <w:t>30</w:t>
            </w:r>
            <w:r w:rsidR="00A91F01">
              <w:rPr>
                <w:noProof/>
                <w:webHidden/>
              </w:rPr>
              <w:fldChar w:fldCharType="end"/>
            </w:r>
          </w:hyperlink>
        </w:p>
        <w:p w14:paraId="0F273E0F" w14:textId="5E029498" w:rsidR="00DD3815" w:rsidRPr="003C1EE6" w:rsidRDefault="0089410A" w:rsidP="003C1EE6">
          <w:r w:rsidRPr="00215D48">
            <w:fldChar w:fldCharType="end"/>
          </w:r>
        </w:p>
      </w:sdtContent>
    </w:sdt>
    <w:p w14:paraId="6F848BBB" w14:textId="77777777" w:rsidR="0089410A" w:rsidRDefault="0089410A">
      <w:pPr>
        <w:rPr>
          <w:rFonts w:eastAsia="Cambria" w:cs="Times New Roman"/>
          <w:bCs/>
          <w:color w:val="333F4A"/>
          <w:sz w:val="17"/>
        </w:rPr>
      </w:pPr>
      <w:r>
        <w:rPr>
          <w:b/>
          <w:bCs/>
        </w:rPr>
        <w:br w:type="page"/>
      </w:r>
    </w:p>
    <w:p w14:paraId="4AF16D4F" w14:textId="13668565" w:rsidR="0089410A" w:rsidRDefault="006350C3" w:rsidP="0089410A">
      <w:pPr>
        <w:pStyle w:val="Heading2"/>
      </w:pPr>
      <w:bookmarkStart w:id="3" w:name="_Toc177657846"/>
      <w:r>
        <w:lastRenderedPageBreak/>
        <w:t>About this consultation</w:t>
      </w:r>
      <w:bookmarkEnd w:id="3"/>
    </w:p>
    <w:p w14:paraId="43532028" w14:textId="77777777" w:rsidR="006350C3" w:rsidRPr="00D149A2" w:rsidRDefault="006350C3" w:rsidP="006350C3">
      <w:pPr>
        <w:rPr>
          <w:rFonts w:cs="Arial"/>
          <w:szCs w:val="18"/>
        </w:rPr>
      </w:pPr>
      <w:r w:rsidRPr="00D149A2">
        <w:rPr>
          <w:rFonts w:cs="Arial"/>
          <w:szCs w:val="18"/>
        </w:rPr>
        <w:t>Subdivision 3D.2 of the </w:t>
      </w:r>
      <w:r w:rsidRPr="00D149A2">
        <w:rPr>
          <w:rFonts w:cs="Arial"/>
          <w:i/>
          <w:iCs/>
          <w:szCs w:val="18"/>
        </w:rPr>
        <w:t>Therapeutic Goods Regulations 1990</w:t>
      </w:r>
      <w:r w:rsidRPr="00D149A2">
        <w:rPr>
          <w:rFonts w:cs="Arial"/>
          <w:szCs w:val="18"/>
        </w:rPr>
        <w:t xml:space="preserve"> (the </w:t>
      </w:r>
      <w:r w:rsidRPr="00D149A2">
        <w:rPr>
          <w:rFonts w:cs="Arial"/>
          <w:b/>
          <w:bCs/>
          <w:szCs w:val="18"/>
        </w:rPr>
        <w:t>Regulations</w:t>
      </w:r>
      <w:r w:rsidRPr="00D149A2">
        <w:rPr>
          <w:rFonts w:cs="Arial"/>
          <w:szCs w:val="18"/>
        </w:rPr>
        <w:t>) sets out the procedure to be followed where the Secretary receives an application under section 52EAA of the </w:t>
      </w:r>
      <w:r w:rsidRPr="00D149A2">
        <w:rPr>
          <w:rFonts w:cs="Arial"/>
          <w:i/>
          <w:iCs/>
          <w:szCs w:val="18"/>
        </w:rPr>
        <w:t>Therapeutic Goods Act 1989</w:t>
      </w:r>
      <w:r w:rsidRPr="00D149A2">
        <w:rPr>
          <w:rFonts w:cs="Arial"/>
          <w:szCs w:val="18"/>
        </w:rPr>
        <w:t xml:space="preserve"> (the </w:t>
      </w:r>
      <w:r w:rsidRPr="00D149A2">
        <w:rPr>
          <w:rFonts w:cs="Arial"/>
          <w:b/>
          <w:bCs/>
          <w:szCs w:val="18"/>
        </w:rPr>
        <w:t>Act</w:t>
      </w:r>
      <w:r w:rsidRPr="00D149A2">
        <w:rPr>
          <w:rFonts w:cs="Arial"/>
          <w:szCs w:val="18"/>
        </w:rPr>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67056509" w14:textId="7C3764E9" w:rsidR="006350C3" w:rsidRPr="00D149A2" w:rsidRDefault="006350C3" w:rsidP="006350C3">
      <w:pPr>
        <w:rPr>
          <w:rFonts w:cs="Arial"/>
          <w:szCs w:val="18"/>
        </w:rPr>
      </w:pPr>
      <w:r w:rsidRPr="00D149A2">
        <w:rPr>
          <w:rFonts w:cs="Arial"/>
          <w:noProof/>
          <w:szCs w:val="18"/>
        </w:rPr>
        <mc:AlternateContent>
          <mc:Choice Requires="wps">
            <w:drawing>
              <wp:anchor distT="0" distB="0" distL="114300" distR="114300" simplePos="0" relativeHeight="251659264" behindDoc="0" locked="0" layoutInCell="1" allowOverlap="1" wp14:anchorId="5502078C" wp14:editId="49E87AAC">
                <wp:simplePos x="0" y="0"/>
                <wp:positionH relativeFrom="margin">
                  <wp:posOffset>0</wp:posOffset>
                </wp:positionH>
                <wp:positionV relativeFrom="paragraph">
                  <wp:posOffset>1007110</wp:posOffset>
                </wp:positionV>
                <wp:extent cx="1828800" cy="1828800"/>
                <wp:effectExtent l="0" t="0" r="25400" b="1333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B45BFCF" w14:textId="77777777"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9"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0"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1"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0DDC1276" w14:textId="32881CCE" w:rsidR="006350C3" w:rsidRPr="00520CD5" w:rsidRDefault="006350C3" w:rsidP="006350C3">
                            <w:pPr>
                              <w:rPr>
                                <w:rFonts w:cs="Arial"/>
                                <w:b/>
                                <w:szCs w:val="18"/>
                                <w:lang w:val="en"/>
                              </w:rPr>
                            </w:pPr>
                            <w:r w:rsidRPr="00520CD5">
                              <w:rPr>
                                <w:rFonts w:cs="Arial"/>
                                <w:b/>
                                <w:szCs w:val="18"/>
                                <w:lang w:val="en"/>
                              </w:rPr>
                              <w:t xml:space="preserve">This consultation closes on </w:t>
                            </w:r>
                            <w:r w:rsidR="00C50BE0" w:rsidRPr="00C50BE0">
                              <w:rPr>
                                <w:rFonts w:cs="Arial"/>
                                <w:b/>
                                <w:szCs w:val="18"/>
                                <w:lang w:val="en"/>
                              </w:rPr>
                              <w:t>22</w:t>
                            </w:r>
                            <w:r w:rsidR="00210006" w:rsidRPr="00C50BE0">
                              <w:rPr>
                                <w:rFonts w:cs="Arial"/>
                                <w:b/>
                                <w:szCs w:val="18"/>
                                <w:lang w:val="en"/>
                              </w:rPr>
                              <w:t xml:space="preserve"> October</w:t>
                            </w:r>
                            <w:r w:rsidR="005C61EB" w:rsidRPr="00C50BE0">
                              <w:rPr>
                                <w:rFonts w:cs="Arial"/>
                                <w:b/>
                                <w:szCs w:val="18"/>
                                <w:lang w:val="en"/>
                              </w:rPr>
                              <w:t xml:space="preserve"> 2024</w:t>
                            </w:r>
                            <w:r w:rsidRPr="00C50BE0">
                              <w:rPr>
                                <w:rFonts w:cs="Arial"/>
                                <w:b/>
                                <w:szCs w:val="18"/>
                                <w:lang w:val="en"/>
                              </w:rPr>
                              <w:t>.</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12" w:history="1">
                              <w:r w:rsidRPr="00520CD5">
                                <w:rPr>
                                  <w:rStyle w:val="Hyperlink"/>
                                  <w:rFonts w:cs="Arial"/>
                                  <w:szCs w:val="18"/>
                                </w:rPr>
                                <w:t>medicines.scheduling@health.gov.au</w:t>
                              </w:r>
                            </w:hyperlink>
                            <w:r w:rsidRPr="00520CD5">
                              <w:rPr>
                                <w:rFonts w:cs="Arial"/>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02078C" id="_x0000_t202" coordsize="21600,21600" o:spt="202" path="m,l,21600r21600,l21600,xe">
                <v:stroke joinstyle="miter"/>
                <v:path gradientshapeok="t" o:connecttype="rect"/>
              </v:shapetype>
              <v:shape id="Text Box 5" o:spid="_x0000_s1026" type="#_x0000_t202" style="position:absolute;margin-left:0;margin-top:79.3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0B45BFCF" w14:textId="77777777" w:rsidR="006350C3" w:rsidRPr="00520CD5" w:rsidRDefault="006350C3" w:rsidP="006350C3">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7"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8"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9"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0DDC1276" w14:textId="32881CCE" w:rsidR="006350C3" w:rsidRPr="00520CD5" w:rsidRDefault="006350C3" w:rsidP="006350C3">
                      <w:pPr>
                        <w:rPr>
                          <w:rFonts w:cs="Arial"/>
                          <w:b/>
                          <w:szCs w:val="18"/>
                          <w:lang w:val="en"/>
                        </w:rPr>
                      </w:pPr>
                      <w:r w:rsidRPr="00520CD5">
                        <w:rPr>
                          <w:rFonts w:cs="Arial"/>
                          <w:b/>
                          <w:szCs w:val="18"/>
                          <w:lang w:val="en"/>
                        </w:rPr>
                        <w:t xml:space="preserve">This consultation closes on </w:t>
                      </w:r>
                      <w:r w:rsidR="00C50BE0" w:rsidRPr="00C50BE0">
                        <w:rPr>
                          <w:rFonts w:cs="Arial"/>
                          <w:b/>
                          <w:szCs w:val="18"/>
                          <w:lang w:val="en"/>
                        </w:rPr>
                        <w:t>22</w:t>
                      </w:r>
                      <w:r w:rsidR="00210006" w:rsidRPr="00C50BE0">
                        <w:rPr>
                          <w:rFonts w:cs="Arial"/>
                          <w:b/>
                          <w:szCs w:val="18"/>
                          <w:lang w:val="en"/>
                        </w:rPr>
                        <w:t xml:space="preserve"> October</w:t>
                      </w:r>
                      <w:r w:rsidR="005C61EB" w:rsidRPr="00C50BE0">
                        <w:rPr>
                          <w:rFonts w:cs="Arial"/>
                          <w:b/>
                          <w:szCs w:val="18"/>
                          <w:lang w:val="en"/>
                        </w:rPr>
                        <w:t xml:space="preserve"> 2024</w:t>
                      </w:r>
                      <w:r w:rsidRPr="00C50BE0">
                        <w:rPr>
                          <w:rFonts w:cs="Arial"/>
                          <w:b/>
                          <w:szCs w:val="18"/>
                          <w:lang w:val="en"/>
                        </w:rPr>
                        <w:t>.</w:t>
                      </w:r>
                    </w:p>
                    <w:p w14:paraId="4EBCFD6D" w14:textId="77777777" w:rsidR="006350C3" w:rsidRPr="00520CD5" w:rsidRDefault="006350C3" w:rsidP="006350C3">
                      <w:pPr>
                        <w:rPr>
                          <w:rFonts w:cs="Arial"/>
                          <w:szCs w:val="18"/>
                        </w:rPr>
                      </w:pPr>
                      <w:r w:rsidRPr="00520CD5">
                        <w:rPr>
                          <w:rFonts w:cs="Arial"/>
                          <w:szCs w:val="18"/>
                        </w:rPr>
                        <w:t>We aim to provide documents in an accessible format. If you're having problems using this document, please contact </w:t>
                      </w:r>
                      <w:hyperlink r:id="rId20" w:history="1">
                        <w:r w:rsidRPr="00520CD5">
                          <w:rPr>
                            <w:rStyle w:val="Hyperlink"/>
                            <w:rFonts w:cs="Arial"/>
                            <w:szCs w:val="18"/>
                          </w:rPr>
                          <w:t>medicines.scheduling@health.gov.au</w:t>
                        </w:r>
                      </w:hyperlink>
                      <w:r w:rsidRPr="00520CD5">
                        <w:rPr>
                          <w:rFonts w:cs="Arial"/>
                          <w:szCs w:val="18"/>
                        </w:rPr>
                        <w:t>.</w:t>
                      </w:r>
                    </w:p>
                  </w:txbxContent>
                </v:textbox>
                <w10:wrap type="square" anchorx="margin"/>
              </v:shape>
            </w:pict>
          </mc:Fallback>
        </mc:AlternateContent>
      </w:r>
      <w:r w:rsidRPr="00D149A2">
        <w:rPr>
          <w:rFonts w:cs="Arial"/>
          <w:szCs w:val="18"/>
        </w:rPr>
        <w:t xml:space="preserve">In accordance with regulation 42ZCZK of the Regulations, the Secretary invites public submissions on scheduling proposals referred to the </w:t>
      </w:r>
      <w:r w:rsidR="00DB3416" w:rsidRPr="00C50BE0">
        <w:rPr>
          <w:rFonts w:cs="Arial"/>
          <w:b/>
          <w:bCs/>
          <w:szCs w:val="18"/>
        </w:rPr>
        <w:t>N</w:t>
      </w:r>
      <w:r w:rsidR="00000FA0" w:rsidRPr="00C50BE0">
        <w:rPr>
          <w:rFonts w:cs="Arial"/>
          <w:b/>
          <w:bCs/>
          <w:szCs w:val="18"/>
        </w:rPr>
        <w:t>ovember</w:t>
      </w:r>
      <w:r w:rsidR="00DB3416" w:rsidRPr="00C50BE0">
        <w:rPr>
          <w:rFonts w:cs="Arial"/>
          <w:b/>
          <w:bCs/>
          <w:szCs w:val="18"/>
        </w:rPr>
        <w:t xml:space="preserve"> 2024</w:t>
      </w:r>
      <w:r w:rsidRPr="00D149A2">
        <w:rPr>
          <w:rFonts w:cs="Arial"/>
          <w:b/>
          <w:bCs/>
          <w:szCs w:val="18"/>
        </w:rPr>
        <w:t xml:space="preserve"> </w:t>
      </w:r>
      <w:r w:rsidRPr="00D149A2">
        <w:rPr>
          <w:rFonts w:cs="Arial"/>
          <w:szCs w:val="18"/>
        </w:rPr>
        <w:t>meetings of the</w:t>
      </w:r>
      <w:r w:rsidR="00524FD4">
        <w:rPr>
          <w:rFonts w:cs="Arial"/>
          <w:szCs w:val="18"/>
        </w:rPr>
        <w:t xml:space="preserve"> Advisory Committee on Medicines Scheduling (ACMS),</w:t>
      </w:r>
      <w:r w:rsidR="00A91F01">
        <w:rPr>
          <w:rFonts w:cs="Arial"/>
          <w:szCs w:val="18"/>
        </w:rPr>
        <w:t xml:space="preserve"> and A</w:t>
      </w:r>
      <w:r w:rsidRPr="00D149A2">
        <w:rPr>
          <w:rFonts w:cs="Arial"/>
          <w:szCs w:val="18"/>
        </w:rPr>
        <w:t>dvisory Committee on</w:t>
      </w:r>
      <w:r w:rsidR="00524FD4">
        <w:rPr>
          <w:rFonts w:cs="Arial"/>
          <w:szCs w:val="18"/>
        </w:rPr>
        <w:t xml:space="preserve"> Medicines and Chemicals </w:t>
      </w:r>
      <w:r w:rsidRPr="00D149A2">
        <w:rPr>
          <w:rFonts w:cs="Arial"/>
          <w:szCs w:val="18"/>
        </w:rPr>
        <w:t xml:space="preserve">Scheduling </w:t>
      </w:r>
      <w:r w:rsidR="00D76B90">
        <w:rPr>
          <w:rFonts w:cs="Arial"/>
          <w:szCs w:val="18"/>
        </w:rPr>
        <w:t xml:space="preserve">in joint session </w:t>
      </w:r>
      <w:r w:rsidRPr="00D149A2">
        <w:rPr>
          <w:rFonts w:cs="Arial"/>
          <w:szCs w:val="18"/>
        </w:rPr>
        <w:t>(</w:t>
      </w:r>
      <w:r w:rsidR="00524FD4">
        <w:rPr>
          <w:rFonts w:cs="Arial"/>
          <w:szCs w:val="18"/>
        </w:rPr>
        <w:t>Joint ACMS-ACCS</w:t>
      </w:r>
      <w:r w:rsidRPr="00D149A2">
        <w:rPr>
          <w:rFonts w:cs="Arial"/>
          <w:szCs w:val="18"/>
        </w:rPr>
        <w:t>). Submissions must be received by close of business </w:t>
      </w:r>
      <w:r w:rsidR="00C50BE0" w:rsidRPr="00C50BE0">
        <w:rPr>
          <w:rFonts w:cs="Arial"/>
          <w:szCs w:val="18"/>
        </w:rPr>
        <w:t>22</w:t>
      </w:r>
      <w:r w:rsidR="005C61EB" w:rsidRPr="00C50BE0">
        <w:rPr>
          <w:rFonts w:cs="Arial"/>
          <w:szCs w:val="18"/>
        </w:rPr>
        <w:t xml:space="preserve"> </w:t>
      </w:r>
      <w:r w:rsidR="00A65F8F" w:rsidRPr="00C50BE0">
        <w:rPr>
          <w:rFonts w:cs="Arial"/>
          <w:szCs w:val="18"/>
        </w:rPr>
        <w:t xml:space="preserve">October </w:t>
      </w:r>
      <w:r w:rsidR="005C61EB" w:rsidRPr="00C50BE0">
        <w:rPr>
          <w:rFonts w:cs="Arial"/>
          <w:szCs w:val="18"/>
        </w:rPr>
        <w:t>2024.</w:t>
      </w:r>
    </w:p>
    <w:p w14:paraId="5F182F1C" w14:textId="77777777" w:rsidR="006350C3" w:rsidRPr="006350C3" w:rsidRDefault="006350C3" w:rsidP="006350C3"/>
    <w:p w14:paraId="481F2D43" w14:textId="77777777" w:rsidR="00D76B90" w:rsidRDefault="00D76B90">
      <w:pPr>
        <w:rPr>
          <w:rFonts w:eastAsia="Times New Roman" w:cs="Times New Roman"/>
          <w:b/>
          <w:bCs/>
          <w:color w:val="001871"/>
          <w:sz w:val="32"/>
          <w:szCs w:val="32"/>
        </w:rPr>
      </w:pPr>
      <w:bookmarkStart w:id="4" w:name="_Toc323739590"/>
      <w:bookmarkStart w:id="5" w:name="_Toc356305217"/>
      <w:r>
        <w:br w:type="page"/>
      </w:r>
    </w:p>
    <w:p w14:paraId="0EEA4B28" w14:textId="75BD6DC3" w:rsidR="00D76B90" w:rsidRDefault="00D76B90" w:rsidP="00D76B90">
      <w:pPr>
        <w:pStyle w:val="Heading2"/>
      </w:pPr>
      <w:bookmarkStart w:id="6" w:name="_Toc177657847"/>
      <w:r>
        <w:lastRenderedPageBreak/>
        <w:t>Proposed amendment referred for scheduling advice to ACMS meeting #</w:t>
      </w:r>
      <w:r w:rsidR="00681C3D">
        <w:t>46</w:t>
      </w:r>
      <w:bookmarkEnd w:id="6"/>
    </w:p>
    <w:p w14:paraId="6431877C" w14:textId="77777777" w:rsidR="006366A6" w:rsidRPr="00D149A2" w:rsidRDefault="006366A6" w:rsidP="006366A6">
      <w:pPr>
        <w:pStyle w:val="Heading3"/>
        <w:ind w:left="576" w:hanging="576"/>
        <w:rPr>
          <w:rFonts w:cs="Arial"/>
        </w:rPr>
      </w:pPr>
      <w:bookmarkStart w:id="7" w:name="_Toc177657848"/>
      <w:bookmarkEnd w:id="4"/>
      <w:bookmarkEnd w:id="5"/>
      <w:r>
        <w:rPr>
          <w:rFonts w:cs="Arial"/>
        </w:rPr>
        <w:t>Astodrimer sodium</w:t>
      </w:r>
      <w:bookmarkEnd w:id="7"/>
    </w:p>
    <w:p w14:paraId="5B2785E0" w14:textId="77777777" w:rsidR="006366A6" w:rsidRPr="00D149A2" w:rsidRDefault="006366A6" w:rsidP="006366A6">
      <w:pPr>
        <w:pStyle w:val="Heading4"/>
        <w:rPr>
          <w:rFonts w:cs="Arial"/>
        </w:rPr>
      </w:pPr>
      <w:bookmarkStart w:id="8" w:name="_Toc122614215"/>
      <w:bookmarkStart w:id="9" w:name="_Toc130227362"/>
      <w:bookmarkStart w:id="10" w:name="_Toc177657849"/>
      <w:r w:rsidRPr="00D149A2">
        <w:rPr>
          <w:rFonts w:cs="Arial"/>
        </w:rPr>
        <w:t>Proposal</w:t>
      </w:r>
      <w:bookmarkEnd w:id="8"/>
      <w:bookmarkEnd w:id="9"/>
      <w:bookmarkEnd w:id="10"/>
    </w:p>
    <w:p w14:paraId="1647B673" w14:textId="3F2B27DF" w:rsidR="006366A6" w:rsidRDefault="006366A6" w:rsidP="003E3A69">
      <w:pPr>
        <w:rPr>
          <w:b/>
          <w:bCs/>
        </w:rPr>
      </w:pPr>
      <w:bookmarkStart w:id="11" w:name="_Toc122614216"/>
      <w:bookmarkStart w:id="12" w:name="_Toc130227363"/>
      <w:r w:rsidRPr="00CD7CC9">
        <w:t xml:space="preserve">The applicant proposed an amendment </w:t>
      </w:r>
      <w:r w:rsidR="002A2CC4">
        <w:t>to the</w:t>
      </w:r>
      <w:r w:rsidRPr="00CD7CC9">
        <w:t xml:space="preserve"> entr</w:t>
      </w:r>
      <w:r>
        <w:t>ies</w:t>
      </w:r>
      <w:r w:rsidRPr="00CD7CC9">
        <w:t xml:space="preserve"> relating to astodrimer sodium.</w:t>
      </w:r>
      <w:r>
        <w:t xml:space="preserve"> </w:t>
      </w:r>
      <w:r w:rsidRPr="00CD7CC9">
        <w:t xml:space="preserve">The proposed amendment would </w:t>
      </w:r>
      <w:r>
        <w:t>include</w:t>
      </w:r>
      <w:r w:rsidRPr="00CD7CC9">
        <w:t xml:space="preserve"> astodrimer sodium</w:t>
      </w:r>
      <w:r>
        <w:t xml:space="preserve"> </w:t>
      </w:r>
      <w:r w:rsidR="00000FA0">
        <w:t>as</w:t>
      </w:r>
      <w:r>
        <w:t xml:space="preserve"> Pharmacy </w:t>
      </w:r>
      <w:r w:rsidR="002A2CC4">
        <w:t xml:space="preserve">medicine </w:t>
      </w:r>
      <w:r w:rsidR="00000FA0">
        <w:t>(</w:t>
      </w:r>
      <w:r>
        <w:t>Schedule 2</w:t>
      </w:r>
      <w:r w:rsidR="00000FA0">
        <w:t>)</w:t>
      </w:r>
      <w:r w:rsidRPr="00CD7CC9">
        <w:t xml:space="preserve"> </w:t>
      </w:r>
      <w:r>
        <w:t xml:space="preserve">when used as a vaginal gel for treatment, relief and prevention of bacterial vaginosis. These preparations are currently </w:t>
      </w:r>
      <w:r w:rsidR="00A91F01">
        <w:t>a</w:t>
      </w:r>
      <w:r>
        <w:t xml:space="preserve"> </w:t>
      </w:r>
      <w:r w:rsidR="002A2CC4">
        <w:t>Pharmacist Only medicine (</w:t>
      </w:r>
      <w:r>
        <w:t>Schedule 3</w:t>
      </w:r>
      <w:r w:rsidR="002A2CC4">
        <w:t>)</w:t>
      </w:r>
      <w:r>
        <w:t xml:space="preserve">. The proposed amendment to the Appendix H entry would </w:t>
      </w:r>
      <w:r w:rsidR="002A2CC4">
        <w:t xml:space="preserve">permit </w:t>
      </w:r>
      <w:r>
        <w:t>advertising of all Schedule 3 preparations of astodrimer sodium. The current Appendix H entry only allows advertising</w:t>
      </w:r>
      <w:r w:rsidR="00000FA0">
        <w:t xml:space="preserve"> of</w:t>
      </w:r>
      <w:r>
        <w:t xml:space="preserve"> preparations for </w:t>
      </w:r>
      <w:r w:rsidRPr="000807C9">
        <w:t>the treatment and relief of bacterial vaginosis</w:t>
      </w:r>
      <w:r>
        <w:t xml:space="preserve"> and prevention of recurrent bacterial vaginosis. </w:t>
      </w:r>
    </w:p>
    <w:p w14:paraId="582F059C" w14:textId="77777777" w:rsidR="006366A6" w:rsidRPr="00CD7CC9" w:rsidRDefault="006366A6" w:rsidP="003E3A69">
      <w:pPr>
        <w:rPr>
          <w:b/>
          <w:bCs/>
        </w:rPr>
      </w:pPr>
      <w:r w:rsidRPr="00CD7CC9">
        <w:t xml:space="preserve">Astodrimer sodium is currently approved for use as an active ingredient in medical </w:t>
      </w:r>
      <w:r>
        <w:t>devices.</w:t>
      </w:r>
    </w:p>
    <w:p w14:paraId="1EF7157B" w14:textId="77777777" w:rsidR="006366A6" w:rsidRDefault="006366A6" w:rsidP="006366A6">
      <w:pPr>
        <w:pStyle w:val="Heading4"/>
      </w:pPr>
      <w:bookmarkStart w:id="13" w:name="_Toc144110832"/>
      <w:bookmarkStart w:id="14" w:name="_Toc177657850"/>
      <w:bookmarkStart w:id="15" w:name="_Toc122614219"/>
      <w:bookmarkStart w:id="16" w:name="_Toc130227366"/>
      <w:bookmarkEnd w:id="11"/>
      <w:bookmarkEnd w:id="12"/>
      <w:r>
        <w:t>CAS number</w:t>
      </w:r>
      <w:bookmarkEnd w:id="13"/>
      <w:bookmarkEnd w:id="14"/>
    </w:p>
    <w:p w14:paraId="07FFC111" w14:textId="77777777" w:rsidR="006366A6" w:rsidRPr="007E0F88" w:rsidRDefault="006366A6" w:rsidP="003E3A69">
      <w:r w:rsidRPr="007E0F88">
        <w:t xml:space="preserve">676271-69-5 </w:t>
      </w:r>
    </w:p>
    <w:p w14:paraId="799E512F" w14:textId="77777777" w:rsidR="006366A6" w:rsidRDefault="006366A6" w:rsidP="006366A6">
      <w:pPr>
        <w:pStyle w:val="Heading4"/>
      </w:pPr>
      <w:bookmarkStart w:id="17" w:name="_Toc122614217"/>
      <w:bookmarkStart w:id="18" w:name="_Toc144110833"/>
      <w:bookmarkStart w:id="19" w:name="_Toc177657851"/>
      <w:r>
        <w:t>Alternative names</w:t>
      </w:r>
      <w:bookmarkEnd w:id="17"/>
      <w:bookmarkEnd w:id="18"/>
      <w:bookmarkEnd w:id="19"/>
    </w:p>
    <w:p w14:paraId="499D7820" w14:textId="77777777" w:rsidR="006366A6" w:rsidRPr="007E0F88" w:rsidRDefault="006366A6" w:rsidP="003E3A69">
      <w:bookmarkStart w:id="20" w:name="_Toc122614218"/>
      <w:r w:rsidRPr="007E0F88">
        <w:t>2, 6-Bis-{(1-napthalenyl-3,6-disulfonic acid)-oxyacetamido}-2,6-bis-2,6-bis-2,6-bis-(2,6-diamino-hexanoylamino)-2,6-diamino-hexanoic acid (diphenylmethyl)-amide, polysodium salt</w:t>
      </w:r>
      <w:r>
        <w:t xml:space="preserve">; </w:t>
      </w:r>
      <w:r w:rsidRPr="007E0F88">
        <w:t>SPL7013</w:t>
      </w:r>
    </w:p>
    <w:p w14:paraId="39164DCD" w14:textId="77777777" w:rsidR="006366A6" w:rsidRPr="007144AC" w:rsidRDefault="006366A6" w:rsidP="006366A6">
      <w:pPr>
        <w:pStyle w:val="Heading4"/>
      </w:pPr>
      <w:bookmarkStart w:id="21" w:name="_Toc144110834"/>
      <w:bookmarkStart w:id="22" w:name="_Toc177657852"/>
      <w:r>
        <w:t>Applicant</w:t>
      </w:r>
      <w:bookmarkEnd w:id="20"/>
      <w:bookmarkEnd w:id="21"/>
      <w:bookmarkEnd w:id="22"/>
    </w:p>
    <w:p w14:paraId="27B373B6" w14:textId="77777777" w:rsidR="006366A6" w:rsidRPr="00A35340" w:rsidRDefault="006366A6" w:rsidP="006366A6">
      <w:pPr>
        <w:spacing w:after="0"/>
      </w:pPr>
      <w:r w:rsidRPr="007E0F88">
        <w:t>Private applicant</w:t>
      </w:r>
    </w:p>
    <w:p w14:paraId="2A6AD679" w14:textId="77777777" w:rsidR="006366A6" w:rsidRDefault="006366A6" w:rsidP="006366A6">
      <w:pPr>
        <w:pStyle w:val="Heading4"/>
        <w:rPr>
          <w:rFonts w:cs="Arial"/>
        </w:rPr>
      </w:pPr>
      <w:bookmarkStart w:id="23" w:name="_Toc177657853"/>
      <w:r w:rsidRPr="00D149A2">
        <w:rPr>
          <w:rFonts w:cs="Arial"/>
        </w:rPr>
        <w:t>Proposed Scheduling</w:t>
      </w:r>
      <w:bookmarkEnd w:id="15"/>
      <w:bookmarkEnd w:id="16"/>
      <w:bookmarkEnd w:id="23"/>
    </w:p>
    <w:p w14:paraId="5FB2B320" w14:textId="77777777" w:rsidR="006366A6" w:rsidRPr="00A35340" w:rsidRDefault="006366A6" w:rsidP="006366A6">
      <w:r w:rsidRPr="007E0F88">
        <w:t xml:space="preserve">Astodrimer sodium is currently listed in Schedule </w:t>
      </w:r>
      <w:r>
        <w:t xml:space="preserve">2, </w:t>
      </w:r>
      <w:r w:rsidRPr="007E0F88">
        <w:t>Schedule 3, Appendix F and Appendix H of the Poisons Standard.</w:t>
      </w:r>
    </w:p>
    <w:p w14:paraId="658EC44A" w14:textId="77777777" w:rsidR="006366A6" w:rsidRPr="00971566" w:rsidRDefault="006366A6" w:rsidP="006366A6">
      <w:pPr>
        <w:rPr>
          <w:rFonts w:cs="Arial"/>
        </w:rPr>
      </w:pPr>
      <w:r w:rsidRPr="0072362E">
        <w:t xml:space="preserve">The </w:t>
      </w:r>
      <w:r w:rsidRPr="006B6406">
        <w:t xml:space="preserve">applicant’s </w:t>
      </w:r>
      <w:r w:rsidRPr="00971566">
        <w:rPr>
          <w:rFonts w:cs="Arial"/>
        </w:rPr>
        <w:t>proposed amendments to the Poisons Standard are:</w:t>
      </w:r>
      <w:r w:rsidRPr="00971566">
        <w:rPr>
          <w:rStyle w:val="FootnoteReference"/>
          <w:rFonts w:cs="Arial"/>
          <w:bCs/>
        </w:rPr>
        <w:footnoteReference w:id="1"/>
      </w:r>
    </w:p>
    <w:p w14:paraId="310D39C7" w14:textId="77777777" w:rsidR="006366A6" w:rsidRPr="00971566" w:rsidRDefault="006366A6" w:rsidP="006366A6">
      <w:pPr>
        <w:ind w:left="426"/>
        <w:rPr>
          <w:rFonts w:cs="Arial"/>
          <w:b/>
          <w:bCs/>
        </w:rPr>
      </w:pPr>
      <w:r w:rsidRPr="00971566">
        <w:rPr>
          <w:rFonts w:cs="Arial"/>
          <w:b/>
          <w:bCs/>
        </w:rPr>
        <w:t xml:space="preserve">Schedule </w:t>
      </w:r>
      <w:r>
        <w:rPr>
          <w:rFonts w:cs="Arial"/>
          <w:b/>
          <w:bCs/>
        </w:rPr>
        <w:t>2</w:t>
      </w:r>
      <w:r w:rsidRPr="00971566">
        <w:rPr>
          <w:rFonts w:cs="Arial"/>
          <w:b/>
          <w:bCs/>
        </w:rPr>
        <w:t xml:space="preserve"> – Amend Entry</w:t>
      </w:r>
    </w:p>
    <w:p w14:paraId="636E5A89" w14:textId="77777777" w:rsidR="006366A6" w:rsidRDefault="006366A6" w:rsidP="006366A6">
      <w:pPr>
        <w:ind w:left="426" w:firstLine="294"/>
        <w:rPr>
          <w:rFonts w:cs="Arial"/>
        </w:rPr>
      </w:pPr>
      <w:r w:rsidRPr="00971566">
        <w:rPr>
          <w:rFonts w:cs="Arial"/>
        </w:rPr>
        <w:t xml:space="preserve">ASTODRIMER SODIUM </w:t>
      </w:r>
      <w:r>
        <w:rPr>
          <w:rFonts w:cs="Arial"/>
        </w:rPr>
        <w:t>when used in:</w:t>
      </w:r>
    </w:p>
    <w:p w14:paraId="1B943268" w14:textId="77777777" w:rsidR="006366A6" w:rsidRDefault="006366A6" w:rsidP="006366A6">
      <w:pPr>
        <w:ind w:firstLine="851"/>
      </w:pPr>
      <w:r w:rsidRPr="002C1254">
        <w:rPr>
          <w:color w:val="00B050"/>
          <w:u w:val="single"/>
        </w:rPr>
        <w:t>(a)</w:t>
      </w:r>
      <w:r w:rsidRPr="002C1254">
        <w:rPr>
          <w:color w:val="00B050"/>
        </w:rPr>
        <w:t xml:space="preserve"> </w:t>
      </w:r>
      <w:r>
        <w:t>nasal</w:t>
      </w:r>
      <w:r w:rsidRPr="00F81B97">
        <w:rPr>
          <w:rFonts w:eastAsia="Cambria" w:cs="Arial"/>
        </w:rPr>
        <w:t xml:space="preserve"> spray</w:t>
      </w:r>
      <w:r w:rsidRPr="00333E6F">
        <w:rPr>
          <w:color w:val="00B050"/>
          <w:u w:val="single"/>
        </w:rPr>
        <w:t>; or</w:t>
      </w:r>
    </w:p>
    <w:p w14:paraId="1F5E8431" w14:textId="77777777" w:rsidR="006366A6" w:rsidRPr="002C1254" w:rsidRDefault="006366A6" w:rsidP="006366A6">
      <w:pPr>
        <w:ind w:left="851"/>
        <w:rPr>
          <w:u w:val="single"/>
        </w:rPr>
      </w:pPr>
      <w:r w:rsidRPr="002C1254">
        <w:rPr>
          <w:color w:val="00B050"/>
          <w:u w:val="single"/>
        </w:rPr>
        <w:t>(b) a vaginal gel for the treatment and relief of bacterial vaginosis and for the prevention of recurrent bacterial vaginosis.</w:t>
      </w:r>
    </w:p>
    <w:p w14:paraId="08021F6D" w14:textId="77777777" w:rsidR="006366A6" w:rsidRDefault="006366A6" w:rsidP="006366A6">
      <w:pPr>
        <w:ind w:left="426"/>
        <w:rPr>
          <w:rFonts w:cs="Arial"/>
          <w:b/>
          <w:bCs/>
        </w:rPr>
        <w:sectPr w:rsidR="006366A6" w:rsidSect="00FB119D">
          <w:headerReference w:type="default" r:id="rId21"/>
          <w:footerReference w:type="default" r:id="rId22"/>
          <w:headerReference w:type="first" r:id="rId23"/>
          <w:pgSz w:w="11906" w:h="16838" w:code="9"/>
          <w:pgMar w:top="1134" w:right="1418" w:bottom="1361" w:left="1418" w:header="573" w:footer="567" w:gutter="0"/>
          <w:cols w:space="708"/>
          <w:titlePg/>
          <w:docGrid w:linePitch="360"/>
        </w:sectPr>
      </w:pPr>
    </w:p>
    <w:p w14:paraId="547C40FC" w14:textId="77777777" w:rsidR="006366A6" w:rsidRDefault="006366A6" w:rsidP="006366A6">
      <w:pPr>
        <w:ind w:left="426"/>
        <w:rPr>
          <w:rFonts w:cs="Arial"/>
          <w:b/>
          <w:bCs/>
        </w:rPr>
      </w:pPr>
      <w:r w:rsidRPr="00971566">
        <w:rPr>
          <w:rFonts w:cs="Arial"/>
          <w:b/>
          <w:bCs/>
        </w:rPr>
        <w:lastRenderedPageBreak/>
        <w:t xml:space="preserve">Schedule </w:t>
      </w:r>
      <w:r>
        <w:rPr>
          <w:rFonts w:cs="Arial"/>
          <w:b/>
          <w:bCs/>
        </w:rPr>
        <w:t>3</w:t>
      </w:r>
    </w:p>
    <w:p w14:paraId="3DD5D9B7" w14:textId="77777777" w:rsidR="006366A6" w:rsidRDefault="006366A6" w:rsidP="006366A6">
      <w:pPr>
        <w:ind w:left="426" w:firstLine="294"/>
        <w:rPr>
          <w:rFonts w:cs="Arial"/>
        </w:rPr>
      </w:pPr>
      <w:r w:rsidRPr="00971566">
        <w:rPr>
          <w:rFonts w:cs="Arial"/>
        </w:rPr>
        <w:t xml:space="preserve">ASTODRIMER SODIUM </w:t>
      </w:r>
      <w:r w:rsidRPr="008A6ED4">
        <w:rPr>
          <w:rFonts w:cs="Arial"/>
          <w:b/>
          <w:bCs/>
        </w:rPr>
        <w:t>except</w:t>
      </w:r>
      <w:r>
        <w:rPr>
          <w:rFonts w:cs="Arial"/>
        </w:rPr>
        <w:t>:</w:t>
      </w:r>
    </w:p>
    <w:p w14:paraId="500E16F9" w14:textId="77777777" w:rsidR="006366A6" w:rsidRPr="00524FD4" w:rsidRDefault="006366A6" w:rsidP="00FB119D">
      <w:pPr>
        <w:pStyle w:val="ListBulleta"/>
        <w:rPr>
          <w:color w:val="auto"/>
          <w:sz w:val="20"/>
          <w:szCs w:val="18"/>
        </w:rPr>
      </w:pPr>
      <w:r w:rsidRPr="00524FD4">
        <w:rPr>
          <w:color w:val="auto"/>
          <w:sz w:val="20"/>
          <w:szCs w:val="18"/>
        </w:rPr>
        <w:t>when included in Schedule 2; or</w:t>
      </w:r>
    </w:p>
    <w:p w14:paraId="479431F6" w14:textId="77777777" w:rsidR="006366A6" w:rsidRPr="00524FD4" w:rsidRDefault="006366A6" w:rsidP="00FB119D">
      <w:pPr>
        <w:pStyle w:val="ListBulleta"/>
        <w:rPr>
          <w:color w:val="auto"/>
          <w:sz w:val="20"/>
          <w:szCs w:val="18"/>
        </w:rPr>
      </w:pPr>
      <w:r w:rsidRPr="00524FD4">
        <w:rPr>
          <w:color w:val="auto"/>
          <w:sz w:val="20"/>
          <w:szCs w:val="18"/>
        </w:rPr>
        <w:t>in a condom lubricant.</w:t>
      </w:r>
    </w:p>
    <w:p w14:paraId="1B4D8C9A" w14:textId="77777777" w:rsidR="006366A6" w:rsidRPr="00D149A2" w:rsidRDefault="006366A6" w:rsidP="006366A6">
      <w:pPr>
        <w:ind w:left="426"/>
        <w:rPr>
          <w:rFonts w:cs="Arial"/>
          <w:b/>
        </w:rPr>
      </w:pPr>
      <w:r w:rsidRPr="00D149A2">
        <w:rPr>
          <w:rFonts w:cs="Arial"/>
          <w:b/>
        </w:rPr>
        <w:t>Index</w:t>
      </w:r>
    </w:p>
    <w:p w14:paraId="0917A872" w14:textId="77777777" w:rsidR="006366A6" w:rsidRDefault="006366A6" w:rsidP="006832C5">
      <w:pPr>
        <w:ind w:firstLine="720"/>
      </w:pPr>
      <w:r w:rsidRPr="00971566">
        <w:t>ASTODRIMER SODIUM</w:t>
      </w:r>
    </w:p>
    <w:p w14:paraId="6BA5CF3D" w14:textId="77777777" w:rsidR="006366A6" w:rsidRDefault="006366A6" w:rsidP="006832C5">
      <w:pPr>
        <w:spacing w:after="0"/>
        <w:ind w:firstLine="720"/>
      </w:pPr>
      <w:r w:rsidRPr="003726C8">
        <w:t xml:space="preserve">Schedule </w:t>
      </w:r>
      <w:r>
        <w:t>2</w:t>
      </w:r>
    </w:p>
    <w:p w14:paraId="530C4F58" w14:textId="77777777" w:rsidR="006366A6" w:rsidRDefault="006366A6" w:rsidP="006832C5">
      <w:pPr>
        <w:spacing w:after="0"/>
        <w:ind w:firstLine="720"/>
      </w:pPr>
      <w:r>
        <w:t xml:space="preserve">Schedule </w:t>
      </w:r>
      <w:r w:rsidRPr="003726C8">
        <w:t>3</w:t>
      </w:r>
    </w:p>
    <w:p w14:paraId="1A4CCA4C" w14:textId="77777777" w:rsidR="006366A6" w:rsidRDefault="006366A6" w:rsidP="006832C5">
      <w:pPr>
        <w:spacing w:after="0"/>
        <w:ind w:firstLine="720"/>
      </w:pPr>
      <w:r w:rsidRPr="003726C8">
        <w:t>Appendix F, clause 4</w:t>
      </w:r>
    </w:p>
    <w:p w14:paraId="0EF98B99" w14:textId="77777777" w:rsidR="006366A6" w:rsidRDefault="006366A6" w:rsidP="006832C5">
      <w:pPr>
        <w:spacing w:after="0"/>
        <w:ind w:firstLine="720"/>
      </w:pPr>
      <w:r w:rsidRPr="003726C8">
        <w:t>Appendix H, clause 1</w:t>
      </w:r>
    </w:p>
    <w:p w14:paraId="166D12B9" w14:textId="77777777" w:rsidR="006366A6" w:rsidRDefault="006366A6" w:rsidP="006366A6">
      <w:pPr>
        <w:spacing w:after="0"/>
      </w:pPr>
    </w:p>
    <w:p w14:paraId="71740823" w14:textId="77777777" w:rsidR="006366A6" w:rsidRDefault="006366A6" w:rsidP="006366A6">
      <w:pPr>
        <w:ind w:left="426"/>
      </w:pPr>
      <w:r w:rsidRPr="0072362E">
        <w:rPr>
          <w:b/>
          <w:bCs/>
        </w:rPr>
        <w:t>Appendix F, clause 4</w:t>
      </w:r>
      <w:r>
        <w:t xml:space="preserve"> – </w:t>
      </w:r>
      <w:r w:rsidRPr="007E0F88">
        <w:t>Poisons that must be labelled with warning statements and safety directions.</w:t>
      </w:r>
      <w:r>
        <w:t xml:space="preserve"> </w:t>
      </w:r>
    </w:p>
    <w:tbl>
      <w:tblPr>
        <w:tblStyle w:val="TableTGAblue"/>
        <w:tblW w:w="8646" w:type="dxa"/>
        <w:tblInd w:w="416" w:type="dxa"/>
        <w:tblLook w:val="04A0" w:firstRow="1" w:lastRow="0" w:firstColumn="1" w:lastColumn="0" w:noHBand="0" w:noVBand="1"/>
      </w:tblPr>
      <w:tblGrid>
        <w:gridCol w:w="699"/>
        <w:gridCol w:w="3260"/>
        <w:gridCol w:w="4687"/>
      </w:tblGrid>
      <w:tr w:rsidR="006366A6" w:rsidRPr="00BA3821" w14:paraId="744B8B6F" w14:textId="77777777" w:rsidTr="00AD2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0B692B1E" w14:textId="77777777" w:rsidR="006366A6" w:rsidRPr="00FF396D" w:rsidRDefault="006366A6" w:rsidP="00AD2BBD">
            <w:pPr>
              <w:spacing w:before="60" w:after="60"/>
              <w:rPr>
                <w:rFonts w:asciiTheme="minorHAnsi" w:hAnsiTheme="minorHAnsi" w:cstheme="minorHAnsi"/>
                <w:color w:val="FFFFFF" w:themeColor="background1"/>
                <w:sz w:val="18"/>
                <w:szCs w:val="18"/>
              </w:rPr>
            </w:pPr>
            <w:r w:rsidRPr="00FF396D">
              <w:rPr>
                <w:rFonts w:asciiTheme="minorHAnsi" w:hAnsiTheme="minorHAnsi" w:cstheme="minorHAnsi"/>
                <w:color w:val="FFFFFF" w:themeColor="background1"/>
                <w:sz w:val="18"/>
                <w:szCs w:val="18"/>
              </w:rPr>
              <w:t>Item</w:t>
            </w:r>
          </w:p>
        </w:tc>
        <w:tc>
          <w:tcPr>
            <w:tcW w:w="3260" w:type="dxa"/>
          </w:tcPr>
          <w:p w14:paraId="5CA7CFE0" w14:textId="77777777" w:rsidR="006366A6" w:rsidRPr="00FF396D" w:rsidRDefault="006366A6" w:rsidP="00AD2BB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18"/>
              </w:rPr>
            </w:pPr>
            <w:r w:rsidRPr="00FF396D">
              <w:rPr>
                <w:rFonts w:asciiTheme="minorHAnsi" w:hAnsiTheme="minorHAnsi" w:cstheme="minorHAnsi"/>
                <w:color w:val="FFFFFF" w:themeColor="background1"/>
                <w:sz w:val="18"/>
                <w:szCs w:val="18"/>
              </w:rPr>
              <w:t>Poison</w:t>
            </w:r>
          </w:p>
        </w:tc>
        <w:tc>
          <w:tcPr>
            <w:tcW w:w="4687" w:type="dxa"/>
          </w:tcPr>
          <w:p w14:paraId="2CDEA423" w14:textId="77777777" w:rsidR="006366A6" w:rsidRPr="00FF396D" w:rsidRDefault="006366A6" w:rsidP="00AD2BB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18"/>
              </w:rPr>
            </w:pPr>
            <w:r w:rsidRPr="00FF396D">
              <w:rPr>
                <w:rFonts w:asciiTheme="minorHAnsi" w:hAnsiTheme="minorHAnsi" w:cstheme="minorHAnsi"/>
                <w:color w:val="FFFFFF" w:themeColor="background1"/>
                <w:sz w:val="18"/>
                <w:szCs w:val="18"/>
              </w:rPr>
              <w:t xml:space="preserve">Warning statement </w:t>
            </w:r>
          </w:p>
        </w:tc>
      </w:tr>
      <w:tr w:rsidR="006366A6" w:rsidRPr="00BA3821" w14:paraId="3B957788" w14:textId="77777777" w:rsidTr="00AD2BBD">
        <w:trPr>
          <w:trHeight w:val="13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11310E6C" w14:textId="77777777" w:rsidR="006366A6" w:rsidRPr="00FF396D" w:rsidRDefault="006366A6" w:rsidP="00AD2BBD">
            <w:pPr>
              <w:spacing w:before="60" w:after="60"/>
              <w:rPr>
                <w:rFonts w:asciiTheme="minorHAnsi" w:hAnsiTheme="minorHAnsi" w:cstheme="minorHAnsi"/>
                <w:sz w:val="18"/>
                <w:szCs w:val="18"/>
              </w:rPr>
            </w:pPr>
            <w:r w:rsidRPr="00FF396D">
              <w:rPr>
                <w:rFonts w:asciiTheme="minorHAnsi" w:hAnsiTheme="minorHAnsi" w:cstheme="minorHAnsi"/>
                <w:sz w:val="18"/>
                <w:szCs w:val="18"/>
              </w:rPr>
              <w:t>30</w:t>
            </w:r>
          </w:p>
        </w:tc>
        <w:tc>
          <w:tcPr>
            <w:tcW w:w="3260" w:type="dxa"/>
            <w:vMerge w:val="restart"/>
          </w:tcPr>
          <w:p w14:paraId="22030AB2"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sz w:val="18"/>
                <w:szCs w:val="18"/>
              </w:rPr>
              <w:t>ASTODRIMER SODIUM – for the treatment and relief of bacterial vaginosis</w:t>
            </w:r>
          </w:p>
        </w:tc>
        <w:tc>
          <w:tcPr>
            <w:tcW w:w="4687" w:type="dxa"/>
          </w:tcPr>
          <w:p w14:paraId="69BE10C0"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63</w:t>
            </w:r>
            <w:r w:rsidRPr="00FF396D">
              <w:rPr>
                <w:rFonts w:asciiTheme="minorHAnsi" w:hAnsiTheme="minorHAnsi" w:cstheme="minorHAnsi"/>
                <w:sz w:val="18"/>
                <w:szCs w:val="18"/>
              </w:rPr>
              <w:t xml:space="preserve"> – See a doctor (or) (dentist) if no better after (Insert number of days as approved Product Information) days. </w:t>
            </w:r>
          </w:p>
        </w:tc>
      </w:tr>
      <w:tr w:rsidR="006366A6" w:rsidRPr="00BA3821" w14:paraId="0A3636F7" w14:textId="77777777" w:rsidTr="00AD2BBD">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701777D1"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4F5C7DD8"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2A54971F"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64</w:t>
            </w:r>
            <w:r w:rsidRPr="00FF396D">
              <w:rPr>
                <w:rFonts w:asciiTheme="minorHAnsi" w:hAnsiTheme="minorHAnsi" w:cstheme="minorHAnsi"/>
                <w:sz w:val="18"/>
                <w:szCs w:val="18"/>
              </w:rPr>
              <w:t xml:space="preserve"> – If getting better, keep using for (Insert number of days as per approved Product Information) days. </w:t>
            </w:r>
          </w:p>
        </w:tc>
      </w:tr>
      <w:tr w:rsidR="006366A6" w:rsidRPr="00BA3821" w14:paraId="7089C3DD" w14:textId="77777777" w:rsidTr="00AD2BBD">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5CE745C5"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2F6C7E91"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70405F02" w14:textId="77777777" w:rsidR="006366A6" w:rsidRPr="00FF396D" w:rsidRDefault="006366A6" w:rsidP="00AD2BBD">
            <w:pPr>
              <w:spacing w:before="60" w:after="60"/>
              <w:ind w:right="-11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69</w:t>
            </w:r>
            <w:r w:rsidRPr="00FF396D">
              <w:rPr>
                <w:rFonts w:asciiTheme="minorHAnsi" w:hAnsiTheme="minorHAnsi" w:cstheme="minorHAnsi"/>
                <w:sz w:val="18"/>
                <w:szCs w:val="18"/>
              </w:rPr>
              <w:t xml:space="preserve"> – If symptoms recur within two weeks of completing the course, consult a doctor. </w:t>
            </w:r>
          </w:p>
        </w:tc>
      </w:tr>
      <w:tr w:rsidR="006366A6" w:rsidRPr="00BA3821" w14:paraId="01FA49C4" w14:textId="77777777" w:rsidTr="00AD2BBD">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702BE41A"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5EDAAC29"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060B7E55"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75</w:t>
            </w:r>
            <w:r w:rsidRPr="00FF396D">
              <w:rPr>
                <w:rFonts w:asciiTheme="minorHAnsi" w:hAnsiTheme="minorHAnsi" w:cstheme="minorHAnsi"/>
                <w:sz w:val="18"/>
                <w:szCs w:val="18"/>
              </w:rPr>
              <w:t xml:space="preserve"> – Do not use under waterproof bandages unless a doctor has told you to.</w:t>
            </w:r>
          </w:p>
        </w:tc>
      </w:tr>
      <w:tr w:rsidR="006366A6" w:rsidRPr="00BA3821" w14:paraId="228888BB" w14:textId="77777777" w:rsidTr="00AD2BBD">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79EC913B"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038C8B03"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41BD9EF9"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109</w:t>
            </w:r>
            <w:r w:rsidRPr="00FF396D">
              <w:rPr>
                <w:rFonts w:asciiTheme="minorHAnsi" w:hAnsiTheme="minorHAnsi" w:cstheme="minorHAnsi"/>
                <w:sz w:val="18"/>
                <w:szCs w:val="18"/>
              </w:rPr>
              <w:t xml:space="preserve"> – See your healthcare provider is you consider that you may be at risk of a Sexually Transmitted Infection (STI).</w:t>
            </w:r>
          </w:p>
        </w:tc>
      </w:tr>
      <w:tr w:rsidR="006366A6" w:rsidRPr="00BA3821" w14:paraId="75EBB879" w14:textId="77777777" w:rsidTr="00AD2BBD">
        <w:trPr>
          <w:trHeight w:val="135"/>
        </w:trPr>
        <w:tc>
          <w:tcPr>
            <w:cnfStyle w:val="001000000000" w:firstRow="0" w:lastRow="0" w:firstColumn="1" w:lastColumn="0" w:oddVBand="0" w:evenVBand="0" w:oddHBand="0" w:evenHBand="0" w:firstRowFirstColumn="0" w:firstRowLastColumn="0" w:lastRowFirstColumn="0" w:lastRowLastColumn="0"/>
            <w:tcW w:w="699" w:type="dxa"/>
            <w:vMerge/>
          </w:tcPr>
          <w:p w14:paraId="6AF23257"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68822D96"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651BC89A"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110</w:t>
            </w:r>
            <w:r w:rsidRPr="00FF396D">
              <w:rPr>
                <w:rFonts w:asciiTheme="minorHAnsi" w:hAnsiTheme="minorHAnsi" w:cstheme="minorHAnsi"/>
                <w:sz w:val="18"/>
                <w:szCs w:val="18"/>
              </w:rPr>
              <w:t xml:space="preserve"> – See a doctor if you plan to become pregnant or are breastfeeding or plan to breastfeed. </w:t>
            </w:r>
          </w:p>
        </w:tc>
      </w:tr>
      <w:tr w:rsidR="006366A6" w:rsidRPr="00BA3821" w14:paraId="0FBC447B" w14:textId="77777777" w:rsidTr="00AD2BBD">
        <w:trPr>
          <w:trHeight w:val="270"/>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6F10F5D0" w14:textId="77777777" w:rsidR="006366A6" w:rsidRPr="00FF396D" w:rsidRDefault="006366A6" w:rsidP="00AD2BBD">
            <w:pPr>
              <w:spacing w:before="60" w:after="60"/>
              <w:rPr>
                <w:rFonts w:asciiTheme="minorHAnsi" w:hAnsiTheme="minorHAnsi" w:cstheme="minorHAnsi"/>
                <w:sz w:val="18"/>
                <w:szCs w:val="18"/>
              </w:rPr>
            </w:pPr>
            <w:r w:rsidRPr="00FF396D">
              <w:rPr>
                <w:rFonts w:asciiTheme="minorHAnsi" w:hAnsiTheme="minorHAnsi" w:cstheme="minorHAnsi"/>
                <w:sz w:val="18"/>
                <w:szCs w:val="18"/>
              </w:rPr>
              <w:t>31</w:t>
            </w:r>
          </w:p>
        </w:tc>
        <w:tc>
          <w:tcPr>
            <w:tcW w:w="3260" w:type="dxa"/>
            <w:vMerge w:val="restart"/>
          </w:tcPr>
          <w:p w14:paraId="78B31024"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sz w:val="18"/>
                <w:szCs w:val="18"/>
              </w:rPr>
              <w:t>ASTODRIMER SODIUM – for the prevention of recurrent bacterial vaginosis</w:t>
            </w:r>
          </w:p>
        </w:tc>
        <w:tc>
          <w:tcPr>
            <w:tcW w:w="4687" w:type="dxa"/>
          </w:tcPr>
          <w:p w14:paraId="087F1E5B"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63</w:t>
            </w:r>
            <w:r w:rsidRPr="00FF396D">
              <w:rPr>
                <w:rFonts w:asciiTheme="minorHAnsi" w:hAnsiTheme="minorHAnsi" w:cstheme="minorHAnsi"/>
                <w:sz w:val="18"/>
                <w:szCs w:val="18"/>
              </w:rPr>
              <w:t xml:space="preserve"> – See a doctor (or) (dentist) if no better after (Insert number of days as approved Product Information) days.</w:t>
            </w:r>
          </w:p>
        </w:tc>
      </w:tr>
      <w:tr w:rsidR="006366A6" w:rsidRPr="00BA3821" w14:paraId="219606A9" w14:textId="77777777" w:rsidTr="00AD2BBD">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449BD7BC"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29B011DA"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62A9A7C4"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75</w:t>
            </w:r>
            <w:r w:rsidRPr="00FF396D">
              <w:rPr>
                <w:rFonts w:asciiTheme="minorHAnsi" w:hAnsiTheme="minorHAnsi" w:cstheme="minorHAnsi"/>
                <w:sz w:val="18"/>
                <w:szCs w:val="18"/>
              </w:rPr>
              <w:t xml:space="preserve"> – Do not sue under waterproof bandages unless a doctor has told you to.</w:t>
            </w:r>
          </w:p>
        </w:tc>
      </w:tr>
      <w:tr w:rsidR="006366A6" w:rsidRPr="00BA3821" w14:paraId="5F989527" w14:textId="77777777" w:rsidTr="00AD2BBD">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138A4FEC"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3C28D1FF"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050D057F"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109</w:t>
            </w:r>
            <w:r w:rsidRPr="00FF396D">
              <w:rPr>
                <w:rFonts w:asciiTheme="minorHAnsi" w:hAnsiTheme="minorHAnsi" w:cstheme="minorHAnsi"/>
                <w:sz w:val="18"/>
                <w:szCs w:val="18"/>
              </w:rPr>
              <w:t xml:space="preserve"> – See your healthcare provider is you consider that you may be at risk of a Sexually Transmitted Infection (STI).</w:t>
            </w:r>
          </w:p>
        </w:tc>
      </w:tr>
      <w:tr w:rsidR="006366A6" w:rsidRPr="00BA3821" w14:paraId="1A350DD0" w14:textId="77777777" w:rsidTr="00AD2BBD">
        <w:trPr>
          <w:trHeight w:val="270"/>
        </w:trPr>
        <w:tc>
          <w:tcPr>
            <w:cnfStyle w:val="001000000000" w:firstRow="0" w:lastRow="0" w:firstColumn="1" w:lastColumn="0" w:oddVBand="0" w:evenVBand="0" w:oddHBand="0" w:evenHBand="0" w:firstRowFirstColumn="0" w:firstRowLastColumn="0" w:lastRowFirstColumn="0" w:lastRowLastColumn="0"/>
            <w:tcW w:w="699" w:type="dxa"/>
            <w:vMerge/>
          </w:tcPr>
          <w:p w14:paraId="7B9EE5F6" w14:textId="77777777" w:rsidR="006366A6" w:rsidRPr="00FF396D" w:rsidRDefault="006366A6" w:rsidP="00AD2BBD">
            <w:pPr>
              <w:spacing w:before="60" w:after="60"/>
              <w:rPr>
                <w:rFonts w:asciiTheme="minorHAnsi" w:hAnsiTheme="minorHAnsi" w:cstheme="minorHAnsi"/>
                <w:sz w:val="18"/>
                <w:szCs w:val="18"/>
              </w:rPr>
            </w:pPr>
          </w:p>
        </w:tc>
        <w:tc>
          <w:tcPr>
            <w:tcW w:w="3260" w:type="dxa"/>
            <w:vMerge/>
          </w:tcPr>
          <w:p w14:paraId="19E904AE"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687" w:type="dxa"/>
          </w:tcPr>
          <w:p w14:paraId="1B6559DC"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b/>
                <w:bCs/>
                <w:sz w:val="18"/>
                <w:szCs w:val="18"/>
              </w:rPr>
              <w:t>110</w:t>
            </w:r>
            <w:r w:rsidRPr="00FF396D">
              <w:rPr>
                <w:rFonts w:asciiTheme="minorHAnsi" w:hAnsiTheme="minorHAnsi" w:cstheme="minorHAnsi"/>
                <w:sz w:val="18"/>
                <w:szCs w:val="18"/>
              </w:rPr>
              <w:t xml:space="preserve"> – See a doctor if you plan to become pregnant or are breastfeeding or plan to breastfeed.</w:t>
            </w:r>
          </w:p>
        </w:tc>
      </w:tr>
    </w:tbl>
    <w:p w14:paraId="005FA395" w14:textId="77777777" w:rsidR="006366A6" w:rsidRPr="00BA3821" w:rsidRDefault="006366A6" w:rsidP="006366A6">
      <w:pPr>
        <w:spacing w:before="240"/>
        <w:ind w:left="426"/>
        <w:rPr>
          <w:rFonts w:cs="Arial"/>
        </w:rPr>
      </w:pPr>
      <w:r w:rsidRPr="00BA3821">
        <w:rPr>
          <w:rFonts w:cs="Arial"/>
          <w:b/>
          <w:bCs/>
        </w:rPr>
        <w:t>Appendix H, clause 1</w:t>
      </w:r>
      <w:r w:rsidRPr="00BA3821">
        <w:rPr>
          <w:rFonts w:cs="Arial"/>
        </w:rPr>
        <w:t xml:space="preserve"> – Schedule 3 medicines permitted to be advertised. </w:t>
      </w:r>
    </w:p>
    <w:tbl>
      <w:tblPr>
        <w:tblStyle w:val="TableTGAblue"/>
        <w:tblW w:w="8646" w:type="dxa"/>
        <w:tblInd w:w="416" w:type="dxa"/>
        <w:tblLook w:val="04A0" w:firstRow="1" w:lastRow="0" w:firstColumn="1" w:lastColumn="0" w:noHBand="0" w:noVBand="1"/>
      </w:tblPr>
      <w:tblGrid>
        <w:gridCol w:w="699"/>
        <w:gridCol w:w="7947"/>
      </w:tblGrid>
      <w:tr w:rsidR="006366A6" w:rsidRPr="00BA3821" w14:paraId="4AF9517B" w14:textId="77777777" w:rsidTr="00AD2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70133563" w14:textId="77777777" w:rsidR="006366A6" w:rsidRPr="00FF396D" w:rsidRDefault="006366A6" w:rsidP="00AD2BBD">
            <w:pPr>
              <w:spacing w:before="60" w:after="60"/>
              <w:rPr>
                <w:rFonts w:asciiTheme="minorHAnsi" w:hAnsiTheme="minorHAnsi" w:cstheme="minorHAnsi"/>
                <w:color w:val="FFFFFF" w:themeColor="background1"/>
                <w:sz w:val="18"/>
                <w:szCs w:val="18"/>
              </w:rPr>
            </w:pPr>
            <w:r w:rsidRPr="00FF396D">
              <w:rPr>
                <w:rFonts w:asciiTheme="minorHAnsi" w:hAnsiTheme="minorHAnsi" w:cstheme="minorHAnsi"/>
                <w:color w:val="FFFFFF" w:themeColor="background1"/>
                <w:sz w:val="18"/>
                <w:szCs w:val="18"/>
              </w:rPr>
              <w:t>Item</w:t>
            </w:r>
          </w:p>
        </w:tc>
        <w:tc>
          <w:tcPr>
            <w:tcW w:w="7947" w:type="dxa"/>
          </w:tcPr>
          <w:p w14:paraId="2BF401E4" w14:textId="77777777" w:rsidR="006366A6" w:rsidRPr="00FF396D" w:rsidRDefault="006366A6" w:rsidP="00AD2BBD">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18"/>
              </w:rPr>
            </w:pPr>
            <w:r w:rsidRPr="00FF396D">
              <w:rPr>
                <w:rFonts w:asciiTheme="minorHAnsi" w:hAnsiTheme="minorHAnsi" w:cstheme="minorHAnsi"/>
                <w:color w:val="FFFFFF" w:themeColor="background1"/>
                <w:sz w:val="18"/>
                <w:szCs w:val="18"/>
              </w:rPr>
              <w:t>Poison</w:t>
            </w:r>
          </w:p>
        </w:tc>
      </w:tr>
      <w:tr w:rsidR="006366A6" w:rsidRPr="00BA3821" w14:paraId="5CE71024" w14:textId="77777777" w:rsidTr="00AD2BBD">
        <w:tc>
          <w:tcPr>
            <w:cnfStyle w:val="001000000000" w:firstRow="0" w:lastRow="0" w:firstColumn="1" w:lastColumn="0" w:oddVBand="0" w:evenVBand="0" w:oddHBand="0" w:evenHBand="0" w:firstRowFirstColumn="0" w:firstRowLastColumn="0" w:lastRowFirstColumn="0" w:lastRowLastColumn="0"/>
            <w:tcW w:w="699" w:type="dxa"/>
          </w:tcPr>
          <w:p w14:paraId="59B7CABA" w14:textId="77777777" w:rsidR="006366A6" w:rsidRPr="00FF396D" w:rsidRDefault="006366A6" w:rsidP="00AD2BBD">
            <w:pPr>
              <w:spacing w:before="60" w:after="60"/>
              <w:rPr>
                <w:rFonts w:asciiTheme="minorHAnsi" w:hAnsiTheme="minorHAnsi" w:cstheme="minorHAnsi"/>
                <w:sz w:val="18"/>
                <w:szCs w:val="18"/>
              </w:rPr>
            </w:pPr>
            <w:r w:rsidRPr="00FF396D">
              <w:rPr>
                <w:rFonts w:asciiTheme="minorHAnsi" w:hAnsiTheme="minorHAnsi" w:cstheme="minorHAnsi"/>
                <w:sz w:val="18"/>
                <w:szCs w:val="18"/>
              </w:rPr>
              <w:t>3</w:t>
            </w:r>
          </w:p>
        </w:tc>
        <w:tc>
          <w:tcPr>
            <w:tcW w:w="7947" w:type="dxa"/>
          </w:tcPr>
          <w:p w14:paraId="7AE922C0" w14:textId="77777777" w:rsidR="006366A6" w:rsidRPr="00FF396D" w:rsidRDefault="006366A6" w:rsidP="00AD2BB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396D">
              <w:rPr>
                <w:rFonts w:asciiTheme="minorHAnsi" w:hAnsiTheme="minorHAnsi" w:cstheme="minorHAnsi"/>
                <w:sz w:val="18"/>
                <w:szCs w:val="18"/>
              </w:rPr>
              <w:t xml:space="preserve">ASTODRIMER SODIUM </w:t>
            </w:r>
            <w:r w:rsidRPr="00FF396D">
              <w:rPr>
                <w:rFonts w:asciiTheme="minorHAnsi" w:hAnsiTheme="minorHAnsi" w:cstheme="minorHAnsi"/>
                <w:strike/>
                <w:color w:val="00B050"/>
                <w:sz w:val="18"/>
                <w:szCs w:val="18"/>
              </w:rPr>
              <w:t>– for the treatment and relief of bacterial vaginosis and for the prevention of recurrent bacterial vaginosis</w:t>
            </w:r>
          </w:p>
        </w:tc>
      </w:tr>
    </w:tbl>
    <w:p w14:paraId="2763209A" w14:textId="77777777" w:rsidR="006366A6" w:rsidRPr="004A5606" w:rsidRDefault="006366A6" w:rsidP="006366A6">
      <w:pPr>
        <w:spacing w:after="0"/>
      </w:pPr>
    </w:p>
    <w:p w14:paraId="01D4CABE" w14:textId="77777777" w:rsidR="00000FA0" w:rsidRDefault="00000FA0">
      <w:pPr>
        <w:rPr>
          <w:rFonts w:eastAsia="Cambria" w:cs="Arial"/>
          <w:bCs/>
          <w:color w:val="001871"/>
          <w:sz w:val="28"/>
          <w:szCs w:val="26"/>
          <w:lang w:eastAsia="en-AU"/>
        </w:rPr>
      </w:pPr>
      <w:bookmarkStart w:id="32" w:name="_Toc122614220"/>
      <w:bookmarkStart w:id="33" w:name="_Toc130227367"/>
      <w:r>
        <w:rPr>
          <w:rFonts w:cs="Arial"/>
        </w:rPr>
        <w:br w:type="page"/>
      </w:r>
    </w:p>
    <w:p w14:paraId="20E68086" w14:textId="0279483C" w:rsidR="006366A6" w:rsidRPr="00D149A2" w:rsidRDefault="006366A6" w:rsidP="006366A6">
      <w:pPr>
        <w:pStyle w:val="Heading4"/>
        <w:rPr>
          <w:rFonts w:cs="Arial"/>
        </w:rPr>
      </w:pPr>
      <w:bookmarkStart w:id="34" w:name="_Toc177657854"/>
      <w:r w:rsidRPr="00D149A2">
        <w:rPr>
          <w:rFonts w:cs="Arial"/>
        </w:rPr>
        <w:lastRenderedPageBreak/>
        <w:t>Background</w:t>
      </w:r>
      <w:bookmarkEnd w:id="32"/>
      <w:bookmarkEnd w:id="33"/>
      <w:bookmarkEnd w:id="34"/>
    </w:p>
    <w:p w14:paraId="45DD6095" w14:textId="727DF23F" w:rsidR="006366A6" w:rsidRDefault="006366A6" w:rsidP="000703A6">
      <w:r w:rsidRPr="00564A3A">
        <w:t>Astodrimer sodium is a low toxicity, non-antibiotic, microbicidal that is used in</w:t>
      </w:r>
      <w:r>
        <w:t xml:space="preserve"> </w:t>
      </w:r>
      <w:r w:rsidR="00524FD4">
        <w:t>several</w:t>
      </w:r>
      <w:r>
        <w:t xml:space="preserve"> medical devices including a vaginal gel for</w:t>
      </w:r>
      <w:r w:rsidRPr="00564A3A">
        <w:t xml:space="preserve"> the treatment</w:t>
      </w:r>
      <w:r>
        <w:t xml:space="preserve"> of bacterial vaginosis (BV) and prevention</w:t>
      </w:r>
      <w:r w:rsidRPr="00564A3A">
        <w:t xml:space="preserve"> of</w:t>
      </w:r>
      <w:r>
        <w:t xml:space="preserve"> recurrent</w:t>
      </w:r>
      <w:r w:rsidRPr="00564A3A">
        <w:t xml:space="preserve"> bacterial vaginosis</w:t>
      </w:r>
      <w:r>
        <w:t xml:space="preserve"> (RBV), condom lubricant for </w:t>
      </w:r>
      <w:r w:rsidRPr="00564A3A">
        <w:t xml:space="preserve">the prevention of sexually transmitted </w:t>
      </w:r>
      <w:r w:rsidR="00524FD4">
        <w:t>infections</w:t>
      </w:r>
      <w:r w:rsidRPr="00564A3A">
        <w:t xml:space="preserve"> (ST</w:t>
      </w:r>
      <w:r w:rsidR="00524FD4">
        <w:t>I</w:t>
      </w:r>
      <w:r w:rsidRPr="00564A3A">
        <w:t>)</w:t>
      </w:r>
      <w:r>
        <w:t>, and in a nasal spray to trap and block respiratory viruses.</w:t>
      </w:r>
    </w:p>
    <w:p w14:paraId="58CF0E0B" w14:textId="334B6CF8" w:rsidR="006366A6" w:rsidRPr="00D149A2" w:rsidRDefault="006366A6" w:rsidP="000703A6">
      <w:r>
        <w:t>Astodrimer sodium is currently included in Schedule 3, except when used in a nasal spray (Schedule</w:t>
      </w:r>
      <w:r w:rsidR="00524FD4">
        <w:t> </w:t>
      </w:r>
      <w:r>
        <w:t xml:space="preserve">2) or used in a condom lubricant (unscheduled). In preparations for the treatment and relief of BV or prevention of RBV, astodrimer sodium also requires warning statements and general safety directions through inclusion in Appendix F. The Appendix H entry for astodrimer sodium permits advertising for preparations used in </w:t>
      </w:r>
      <w:r w:rsidRPr="00801450">
        <w:t>the treatment and relief of bacterial vaginosis and for the</w:t>
      </w:r>
      <w:r>
        <w:t xml:space="preserve"> </w:t>
      </w:r>
      <w:r w:rsidRPr="00801450">
        <w:t>prevention of recurrent bacterial vaginosis</w:t>
      </w:r>
      <w:r>
        <w:t>.</w:t>
      </w:r>
    </w:p>
    <w:p w14:paraId="1A5A94A4" w14:textId="77777777" w:rsidR="006366A6" w:rsidRPr="00180442" w:rsidRDefault="006366A6" w:rsidP="006366A6">
      <w:pPr>
        <w:pStyle w:val="Heading4"/>
        <w:rPr>
          <w:rFonts w:cs="Arial"/>
        </w:rPr>
      </w:pPr>
      <w:bookmarkStart w:id="35" w:name="_Toc122614221"/>
      <w:bookmarkStart w:id="36" w:name="_Toc130227368"/>
      <w:bookmarkStart w:id="37" w:name="_Toc177657855"/>
      <w:r w:rsidRPr="00D149A2">
        <w:rPr>
          <w:rFonts w:cs="Arial"/>
        </w:rPr>
        <w:t>Summary of applicant’s reasons for the proposal</w:t>
      </w:r>
      <w:bookmarkEnd w:id="35"/>
      <w:bookmarkEnd w:id="36"/>
      <w:bookmarkEnd w:id="37"/>
    </w:p>
    <w:p w14:paraId="2005067C" w14:textId="77777777" w:rsidR="006366A6" w:rsidRDefault="006366A6" w:rsidP="00FB119D">
      <w:pPr>
        <w:pStyle w:val="ListBullet"/>
      </w:pPr>
      <w:r>
        <w:t>The final decision regarding astodrimer sodium for use as a nasal spray, published in May 2024, highlighted the importance of access to health professional advice at the point-of-sale for products containing astodrimer sodium to mitigate risks of misdiagnosis and inappropriate use.</w:t>
      </w:r>
    </w:p>
    <w:p w14:paraId="7BD691A5" w14:textId="77777777" w:rsidR="006366A6" w:rsidRDefault="006366A6" w:rsidP="00FB119D">
      <w:pPr>
        <w:pStyle w:val="ListBullet"/>
      </w:pPr>
      <w:r>
        <w:t xml:space="preserve">The availability of self-testing </w:t>
      </w:r>
      <w:r w:rsidRPr="003624FB">
        <w:t>medical devices (IVDs)</w:t>
      </w:r>
      <w:r>
        <w:t xml:space="preserve"> to aid diagnosis of vaginal symptoms, along with access to health professionals at the point of sale, supports consumer accuracy in self-diagnosing and selecting appropriate treatment options for BV and RBV.</w:t>
      </w:r>
    </w:p>
    <w:p w14:paraId="719E5588" w14:textId="77777777" w:rsidR="006366A6" w:rsidRDefault="006366A6" w:rsidP="00FB119D">
      <w:pPr>
        <w:pStyle w:val="ListBullet"/>
      </w:pPr>
      <w:r>
        <w:t>Preparations of astodrimer sodium for the treatment of BV and prevention of RBV have been available since 2019, providing over 5 years of post-market data.</w:t>
      </w:r>
    </w:p>
    <w:p w14:paraId="62444681" w14:textId="6FA032AB" w:rsidR="006366A6" w:rsidRDefault="006366A6" w:rsidP="00FB119D">
      <w:pPr>
        <w:pStyle w:val="ListBullet"/>
      </w:pPr>
      <w:r w:rsidRPr="00C346B5">
        <w:t>Astodrimer sodium poses low risk of harm, as noted in the delegate’s previous decision</w:t>
      </w:r>
      <w:r>
        <w:t>s published</w:t>
      </w:r>
      <w:r w:rsidRPr="00C346B5">
        <w:t xml:space="preserve"> in</w:t>
      </w:r>
      <w:r>
        <w:t xml:space="preserve"> </w:t>
      </w:r>
      <w:r w:rsidRPr="00C346B5">
        <w:t>November 2021</w:t>
      </w:r>
      <w:r>
        <w:t xml:space="preserve"> and May 2024</w:t>
      </w:r>
      <w:r w:rsidRPr="00C346B5">
        <w:t>. The risks associated with misuse, abuse and overuse are very low. Astodrimer sodium is not systemically absorbed when used as a nasal spray.</w:t>
      </w:r>
    </w:p>
    <w:p w14:paraId="7051A5B1" w14:textId="7F0B59F6" w:rsidR="006366A6" w:rsidRDefault="006366A6" w:rsidP="00FB119D">
      <w:pPr>
        <w:pStyle w:val="ListBullet"/>
      </w:pPr>
      <w:r w:rsidRPr="00FF2204">
        <w:t>Adverse effects are rare and well-</w:t>
      </w:r>
      <w:r w:rsidR="00FB119D" w:rsidRPr="00FF2204">
        <w:t>characterised,</w:t>
      </w:r>
      <w:r w:rsidRPr="00FF2204">
        <w:t xml:space="preserve"> with no known interactions with commonly used food and consumables, or contra-indications. The risk profile of the substance is well defined, and risks can be appropriately managed through labelling and packaging.</w:t>
      </w:r>
    </w:p>
    <w:p w14:paraId="65E71D3B" w14:textId="53CAB50D" w:rsidR="006366A6" w:rsidRPr="00D149A2" w:rsidRDefault="006366A6" w:rsidP="006366A6">
      <w:pPr>
        <w:pStyle w:val="Heading4"/>
        <w:rPr>
          <w:rFonts w:cs="Arial"/>
        </w:rPr>
      </w:pPr>
      <w:bookmarkStart w:id="38" w:name="_Toc122614222"/>
      <w:bookmarkStart w:id="39" w:name="_Toc130227369"/>
      <w:bookmarkStart w:id="40" w:name="_Toc177657856"/>
      <w:r w:rsidRPr="00D149A2">
        <w:rPr>
          <w:rFonts w:cs="Arial"/>
        </w:rPr>
        <w:t>Key uses/expected use</w:t>
      </w:r>
      <w:bookmarkEnd w:id="38"/>
      <w:bookmarkEnd w:id="39"/>
      <w:bookmarkEnd w:id="40"/>
    </w:p>
    <w:p w14:paraId="6E594330" w14:textId="77777777" w:rsidR="006366A6" w:rsidRPr="00DF0A9C" w:rsidRDefault="006366A6" w:rsidP="006366A6">
      <w:pPr>
        <w:rPr>
          <w:rFonts w:cstheme="minorHAnsi"/>
        </w:rPr>
      </w:pPr>
      <w:bookmarkStart w:id="41" w:name="_Toc122614223"/>
      <w:bookmarkStart w:id="42" w:name="_Toc130227370"/>
      <w:r w:rsidRPr="00DF0A9C">
        <w:rPr>
          <w:rFonts w:cstheme="minorHAnsi"/>
        </w:rPr>
        <w:t xml:space="preserve">Used in medical devices. </w:t>
      </w:r>
    </w:p>
    <w:p w14:paraId="717371B6" w14:textId="77777777" w:rsidR="006366A6" w:rsidRPr="00D149A2" w:rsidRDefault="006366A6" w:rsidP="006366A6">
      <w:pPr>
        <w:pStyle w:val="Heading4"/>
        <w:rPr>
          <w:rFonts w:cs="Arial"/>
        </w:rPr>
      </w:pPr>
      <w:bookmarkStart w:id="43" w:name="_Toc177657857"/>
      <w:r w:rsidRPr="00D149A2">
        <w:rPr>
          <w:rFonts w:cs="Arial"/>
        </w:rPr>
        <w:t>Australian regulations</w:t>
      </w:r>
      <w:bookmarkEnd w:id="41"/>
      <w:bookmarkEnd w:id="42"/>
      <w:bookmarkEnd w:id="43"/>
    </w:p>
    <w:p w14:paraId="74DE34E5" w14:textId="77777777" w:rsidR="006366A6" w:rsidRDefault="006366A6" w:rsidP="00FB119D">
      <w:pPr>
        <w:pStyle w:val="ListBullet"/>
      </w:pPr>
      <w:r w:rsidRPr="00D149A2">
        <w:t xml:space="preserve">According to the </w:t>
      </w:r>
      <w:hyperlink r:id="rId24" w:history="1">
        <w:r w:rsidRPr="00D64E5C">
          <w:rPr>
            <w:rStyle w:val="Hyperlink"/>
          </w:rPr>
          <w:t>TGA Ingredient Database</w:t>
        </w:r>
      </w:hyperlink>
      <w:r w:rsidRPr="00D149A2">
        <w:t xml:space="preserve">, </w:t>
      </w:r>
      <w:r>
        <w:t>astodrimer sodium</w:t>
      </w:r>
      <w:r w:rsidRPr="00D149A2">
        <w:t xml:space="preserve"> is:</w:t>
      </w:r>
    </w:p>
    <w:p w14:paraId="0BA0370C" w14:textId="77777777" w:rsidR="006366A6" w:rsidRDefault="006366A6" w:rsidP="00E31772">
      <w:pPr>
        <w:pStyle w:val="ListBullet2"/>
      </w:pPr>
      <w:r>
        <w:t>Available for use as an Active Ingredient in: Devices</w:t>
      </w:r>
    </w:p>
    <w:p w14:paraId="1C6C7298" w14:textId="77777777" w:rsidR="006366A6" w:rsidRDefault="006366A6" w:rsidP="00E31772">
      <w:pPr>
        <w:pStyle w:val="ListBullet2"/>
      </w:pPr>
      <w:r>
        <w:t xml:space="preserve">Available for use as an Excipient Ingredient in: Devices </w:t>
      </w:r>
    </w:p>
    <w:p w14:paraId="077503A5" w14:textId="77777777" w:rsidR="006366A6" w:rsidRPr="00D149A2" w:rsidRDefault="006366A6" w:rsidP="00E31772">
      <w:pPr>
        <w:pStyle w:val="ListBullet2"/>
      </w:pPr>
      <w:r>
        <w:t>Not available as an Equivalent Ingredient in any application</w:t>
      </w:r>
    </w:p>
    <w:p w14:paraId="7FDA5B79" w14:textId="77777777" w:rsidR="006366A6" w:rsidRPr="00D149A2" w:rsidRDefault="006366A6" w:rsidP="00FB119D">
      <w:pPr>
        <w:pStyle w:val="ListBullet"/>
      </w:pPr>
      <w:r w:rsidRPr="00D61116">
        <w:t xml:space="preserve">As of 22 August 2024, there were no medicines currently active on the </w:t>
      </w:r>
      <w:hyperlink r:id="rId25" w:history="1">
        <w:r w:rsidRPr="00D61116">
          <w:rPr>
            <w:rStyle w:val="Hyperlink"/>
          </w:rPr>
          <w:t>Australian Register of Therapeutic Goods</w:t>
        </w:r>
      </w:hyperlink>
      <w:r w:rsidRPr="00D61116">
        <w:t xml:space="preserve"> (ARTG</w:t>
      </w:r>
      <w:r w:rsidRPr="000D57A2">
        <w:t>)</w:t>
      </w:r>
      <w:r w:rsidRPr="00D149A2">
        <w:t xml:space="preserve"> that contain </w:t>
      </w:r>
      <w:r>
        <w:t>astodrimer sodium</w:t>
      </w:r>
      <w:r w:rsidRPr="00D149A2">
        <w:t xml:space="preserve"> as an active ingredient.</w:t>
      </w:r>
      <w:r>
        <w:t xml:space="preserve"> One medical device containing astodrimer sodium as a vaginal flora gel is registered on the ARTG (</w:t>
      </w:r>
      <w:r w:rsidRPr="0047226E">
        <w:t>ARTG</w:t>
      </w:r>
      <w:r>
        <w:t xml:space="preserve"> entry</w:t>
      </w:r>
      <w:r w:rsidRPr="0047226E">
        <w:t xml:space="preserve"> 295465</w:t>
      </w:r>
      <w:r>
        <w:t>).</w:t>
      </w:r>
    </w:p>
    <w:p w14:paraId="76F426D1" w14:textId="77777777" w:rsidR="006366A6" w:rsidRDefault="006366A6" w:rsidP="00FB119D">
      <w:pPr>
        <w:pStyle w:val="ListBullet"/>
      </w:pPr>
      <w:r>
        <w:t>Astodrimer sodium</w:t>
      </w:r>
      <w:r w:rsidRPr="00D149A2">
        <w:t xml:space="preserve"> is not permitted to be included in listed medicines as it is not included in the </w:t>
      </w:r>
      <w:hyperlink r:id="rId26" w:history="1">
        <w:r w:rsidRPr="008F60A2">
          <w:rPr>
            <w:rStyle w:val="Hyperlink"/>
          </w:rPr>
          <w:t>Therapeutic Goods (Permissible Ingredients) Determination</w:t>
        </w:r>
      </w:hyperlink>
      <w:r w:rsidRPr="00D149A2">
        <w:t xml:space="preserve"> No.</w:t>
      </w:r>
      <w:r>
        <w:t>2</w:t>
      </w:r>
      <w:r w:rsidRPr="00D149A2">
        <w:t xml:space="preserve"> of 20</w:t>
      </w:r>
      <w:r>
        <w:t>24.</w:t>
      </w:r>
    </w:p>
    <w:p w14:paraId="0F82157E" w14:textId="77777777" w:rsidR="006366A6" w:rsidRDefault="006366A6" w:rsidP="00FB119D">
      <w:pPr>
        <w:pStyle w:val="ListBullet"/>
      </w:pPr>
      <w:r>
        <w:lastRenderedPageBreak/>
        <w:t xml:space="preserve">Astodrimer sodium is not listed in the </w:t>
      </w:r>
      <w:hyperlink r:id="rId27" w:history="1">
        <w:r w:rsidRPr="00CE46F2">
          <w:rPr>
            <w:rStyle w:val="Hyperlink"/>
          </w:rPr>
          <w:t>TGA prescribing medicines in pregnancy database</w:t>
        </w:r>
      </w:hyperlink>
      <w:r w:rsidRPr="00000FA0">
        <w:t>.</w:t>
      </w:r>
      <w:r>
        <w:t xml:space="preserve"> </w:t>
      </w:r>
    </w:p>
    <w:p w14:paraId="0C7F361A" w14:textId="77777777" w:rsidR="006366A6" w:rsidRDefault="006366A6" w:rsidP="00FB119D">
      <w:pPr>
        <w:pStyle w:val="ListBullet"/>
      </w:pPr>
      <w:r>
        <w:t xml:space="preserve">There are no warning statements pertaining to astodrimer sodium in the </w:t>
      </w:r>
      <w:hyperlink r:id="rId28" w:history="1">
        <w:r w:rsidRPr="00716050">
          <w:rPr>
            <w:rStyle w:val="Hyperlink"/>
          </w:rPr>
          <w:t>Therapeutic Goods (Medicines Advisory Statements) Specification 2021</w:t>
        </w:r>
      </w:hyperlink>
      <w:r w:rsidRPr="00000FA0">
        <w:t>.</w:t>
      </w:r>
    </w:p>
    <w:p w14:paraId="074B472F" w14:textId="77777777" w:rsidR="006366A6" w:rsidRPr="00D149A2" w:rsidRDefault="006366A6" w:rsidP="00FB119D">
      <w:pPr>
        <w:pStyle w:val="ListBullet"/>
      </w:pPr>
      <w:r>
        <w:t xml:space="preserve">As of August 2024, there were no reports of adverse events for products containing astodrimer sodium as an active ingredient on the </w:t>
      </w:r>
      <w:hyperlink r:id="rId29" w:history="1">
        <w:r w:rsidRPr="001330DD">
          <w:rPr>
            <w:rStyle w:val="Hyperlink"/>
          </w:rPr>
          <w:t>Database of Adverse Event Notifications</w:t>
        </w:r>
      </w:hyperlink>
      <w:r>
        <w:t xml:space="preserve"> (DAEN).</w:t>
      </w:r>
    </w:p>
    <w:p w14:paraId="6DF69157" w14:textId="07DD9D53" w:rsidR="006366A6" w:rsidRDefault="006366A6" w:rsidP="00FB119D">
      <w:pPr>
        <w:pStyle w:val="ListBullet"/>
      </w:pPr>
      <w:r w:rsidRPr="00D149A2">
        <w:t xml:space="preserve">As of </w:t>
      </w:r>
      <w:r>
        <w:t>22 August 2024</w:t>
      </w:r>
      <w:r w:rsidRPr="00D149A2">
        <w:t xml:space="preserve">, </w:t>
      </w:r>
      <w:r w:rsidRPr="00E80AE5">
        <w:t xml:space="preserve">there were no products containing astodrimer sodium as an active ingredient/constituent or scheduled substance listed on the </w:t>
      </w:r>
      <w:hyperlink r:id="rId30" w:history="1">
        <w:r w:rsidRPr="00E80AE5">
          <w:rPr>
            <w:rStyle w:val="Hyperlink"/>
          </w:rPr>
          <w:t>Public Chemical Registration Information System Search (PubCRIS)</w:t>
        </w:r>
      </w:hyperlink>
      <w:r w:rsidRPr="00FB119D">
        <w:t>.</w:t>
      </w:r>
    </w:p>
    <w:p w14:paraId="5DC1AA5C" w14:textId="77777777" w:rsidR="006366A6" w:rsidRDefault="006366A6" w:rsidP="006366A6">
      <w:pPr>
        <w:pStyle w:val="Heading4"/>
        <w:rPr>
          <w:rFonts w:cs="Arial"/>
        </w:rPr>
      </w:pPr>
      <w:bookmarkStart w:id="44" w:name="_Toc122614224"/>
      <w:bookmarkStart w:id="45" w:name="_Toc130227371"/>
      <w:bookmarkStart w:id="46" w:name="_Toc177657858"/>
      <w:r w:rsidRPr="00D149A2">
        <w:rPr>
          <w:rFonts w:cs="Arial"/>
        </w:rPr>
        <w:t>International regulations</w:t>
      </w:r>
      <w:bookmarkEnd w:id="44"/>
      <w:bookmarkEnd w:id="45"/>
      <w:bookmarkEnd w:id="46"/>
    </w:p>
    <w:p w14:paraId="69B1682E" w14:textId="77777777" w:rsidR="006366A6" w:rsidRDefault="006366A6" w:rsidP="00FB119D">
      <w:pPr>
        <w:pStyle w:val="ListBullet"/>
      </w:pPr>
      <w:r w:rsidRPr="002D7167">
        <w:t xml:space="preserve">Astodrimer sodium is not included in the </w:t>
      </w:r>
      <w:hyperlink r:id="rId31" w:history="1">
        <w:r w:rsidRPr="002D7167">
          <w:rPr>
            <w:rStyle w:val="Hyperlink"/>
            <w:szCs w:val="22"/>
          </w:rPr>
          <w:t>Health Canada drug product database</w:t>
        </w:r>
      </w:hyperlink>
      <w:r w:rsidRPr="002D7167">
        <w:rPr>
          <w:rStyle w:val="Hyperlink"/>
          <w:szCs w:val="22"/>
        </w:rPr>
        <w:t>,</w:t>
      </w:r>
      <w:r w:rsidRPr="002D7167">
        <w:t xml:space="preserve"> the </w:t>
      </w:r>
      <w:hyperlink r:id="rId32" w:history="1">
        <w:r w:rsidRPr="002D7167">
          <w:rPr>
            <w:rStyle w:val="Hyperlink"/>
            <w:szCs w:val="22"/>
          </w:rPr>
          <w:t>United States Food and Drug Administration</w:t>
        </w:r>
      </w:hyperlink>
      <w:r w:rsidRPr="002D7167">
        <w:t xml:space="preserve">’s approved drug products database, the </w:t>
      </w:r>
      <w:hyperlink r:id="rId33" w:history="1">
        <w:r w:rsidRPr="002D7167">
          <w:rPr>
            <w:rStyle w:val="Hyperlink"/>
            <w:szCs w:val="22"/>
          </w:rPr>
          <w:t>New Zealand Inventory of Chemicals</w:t>
        </w:r>
      </w:hyperlink>
      <w:r w:rsidRPr="002D7167">
        <w:t xml:space="preserve">, the </w:t>
      </w:r>
      <w:hyperlink r:id="rId34" w:history="1">
        <w:r w:rsidRPr="002D7167">
          <w:rPr>
            <w:rStyle w:val="Hyperlink"/>
            <w:szCs w:val="22"/>
          </w:rPr>
          <w:t>New Zealand Medicines and Medical Devices Safety Authority</w:t>
        </w:r>
      </w:hyperlink>
      <w:r w:rsidRPr="002D7167">
        <w:rPr>
          <w:rStyle w:val="Hyperlink"/>
          <w:szCs w:val="22"/>
        </w:rPr>
        <w:t xml:space="preserve"> (MedSafe)</w:t>
      </w:r>
      <w:r w:rsidRPr="002D7167">
        <w:t xml:space="preserve">, the </w:t>
      </w:r>
      <w:hyperlink r:id="rId35" w:history="1">
        <w:r w:rsidRPr="002D7167">
          <w:rPr>
            <w:rStyle w:val="Hyperlink"/>
            <w:szCs w:val="22"/>
          </w:rPr>
          <w:t>European Commission database</w:t>
        </w:r>
      </w:hyperlink>
      <w:r w:rsidRPr="002D7167">
        <w:t xml:space="preserve"> for information on cosmetic substances and ingredients or </w:t>
      </w:r>
      <w:hyperlink r:id="rId36" w:history="1">
        <w:r w:rsidRPr="002D7167">
          <w:rPr>
            <w:rStyle w:val="Hyperlink"/>
            <w:szCs w:val="22"/>
          </w:rPr>
          <w:t>Ireland’s Health Products Regulatory Authority</w:t>
        </w:r>
      </w:hyperlink>
      <w:r w:rsidRPr="002D7167">
        <w:t xml:space="preserve"> medicines database.</w:t>
      </w:r>
    </w:p>
    <w:p w14:paraId="4A9BA20A" w14:textId="0228D4D6" w:rsidR="00D05C68" w:rsidRPr="00215D48" w:rsidRDefault="003B4807" w:rsidP="00D05C68">
      <w:pPr>
        <w:pStyle w:val="Heading3"/>
      </w:pPr>
      <w:bookmarkStart w:id="47" w:name="_Toc177657859"/>
      <w:r>
        <w:t>Atropa belladonna</w:t>
      </w:r>
      <w:bookmarkEnd w:id="47"/>
    </w:p>
    <w:p w14:paraId="4FA4380B" w14:textId="77777777" w:rsidR="00D05C68" w:rsidRDefault="00D05C68" w:rsidP="00D05C68">
      <w:pPr>
        <w:pStyle w:val="Heading4"/>
        <w:rPr>
          <w:rFonts w:cs="Arial"/>
        </w:rPr>
      </w:pPr>
      <w:bookmarkStart w:id="48" w:name="_Toc177657860"/>
      <w:r>
        <w:rPr>
          <w:rFonts w:cs="Arial"/>
        </w:rPr>
        <w:t>Proposal</w:t>
      </w:r>
      <w:bookmarkEnd w:id="48"/>
    </w:p>
    <w:p w14:paraId="28907951" w14:textId="7D88214C" w:rsidR="00805D2F" w:rsidRDefault="00DB631E" w:rsidP="0066036D">
      <w:r>
        <w:t xml:space="preserve">The delegate of the Secretary of the Department of Health and Aged Care that is responsible for </w:t>
      </w:r>
      <w:sdt>
        <w:sdtPr>
          <w:id w:val="-76758099"/>
          <w:placeholder>
            <w:docPart w:val="3DC52D75E0AB47E19AF1600F67F059B6"/>
          </w:placeholder>
        </w:sdtPr>
        <w:sdtEndPr/>
        <w:sdtContent>
          <w:r>
            <w:t>medicines</w:t>
          </w:r>
        </w:sdtContent>
      </w:sdt>
      <w:r>
        <w:t xml:space="preserve"> scheduling (the </w:t>
      </w:r>
      <w:r w:rsidRPr="0066036D">
        <w:t>Delegate)</w:t>
      </w:r>
      <w:r w:rsidR="00A91F01">
        <w:rPr>
          <w:vertAlign w:val="superscript"/>
        </w:rPr>
        <w:footnoteReference w:id="2"/>
      </w:r>
      <w:r w:rsidRPr="0066036D">
        <w:t xml:space="preserve"> is seeking advice from the </w:t>
      </w:r>
      <w:sdt>
        <w:sdtPr>
          <w:id w:val="-415715455"/>
          <w:placeholder>
            <w:docPart w:val="3DC52D75E0AB47E19AF1600F67F059B6"/>
          </w:placeholder>
        </w:sdtPr>
        <w:sdtEndPr/>
        <w:sdtContent>
          <w:r w:rsidRPr="0066036D">
            <w:t>Advisory Committee on Medicines Scheduling</w:t>
          </w:r>
        </w:sdtContent>
      </w:sdt>
      <w:r w:rsidRPr="0066036D">
        <w:t xml:space="preserve"> on a proposal to remove</w:t>
      </w:r>
      <w:r>
        <w:t xml:space="preserve"> the </w:t>
      </w:r>
      <w:r w:rsidR="00805D2F">
        <w:t>Pharmac</w:t>
      </w:r>
      <w:r w:rsidR="002A2CC4">
        <w:t>y medicine</w:t>
      </w:r>
      <w:r w:rsidR="00000FA0">
        <w:t xml:space="preserve"> (</w:t>
      </w:r>
      <w:r w:rsidR="00805D2F">
        <w:t>Schedule 2</w:t>
      </w:r>
      <w:r w:rsidR="00000FA0">
        <w:t>)</w:t>
      </w:r>
      <w:r w:rsidR="00805D2F">
        <w:t xml:space="preserve"> entry for </w:t>
      </w:r>
      <w:r w:rsidR="00524FD4" w:rsidRPr="00524FD4">
        <w:rPr>
          <w:i/>
          <w:iCs/>
        </w:rPr>
        <w:t>Atropa belladonna</w:t>
      </w:r>
      <w:r w:rsidR="00805D2F">
        <w:t xml:space="preserve"> fr</w:t>
      </w:r>
      <w:r w:rsidR="00000FA0">
        <w:t>o</w:t>
      </w:r>
      <w:r w:rsidR="00805D2F">
        <w:t>m the Poisons Standard</w:t>
      </w:r>
      <w:r w:rsidR="002A2CC4">
        <w:t>, making all preparations a Prescription Only medicine (Schedule 4)</w:t>
      </w:r>
      <w:r w:rsidR="00805D2F">
        <w:t>.</w:t>
      </w:r>
    </w:p>
    <w:p w14:paraId="22CF8736" w14:textId="77777777" w:rsidR="00D05C68" w:rsidRDefault="00D05C68" w:rsidP="00D05C68">
      <w:pPr>
        <w:pStyle w:val="Heading4"/>
      </w:pPr>
      <w:bookmarkStart w:id="49" w:name="_Toc177657861"/>
      <w:r>
        <w:t>CAS number</w:t>
      </w:r>
      <w:bookmarkEnd w:id="49"/>
    </w:p>
    <w:p w14:paraId="0E82E156" w14:textId="623A2375" w:rsidR="00D05C68" w:rsidRPr="0066036D" w:rsidRDefault="00845244" w:rsidP="0066036D">
      <w:pPr>
        <w:rPr>
          <w:rFonts w:asciiTheme="minorHAnsi" w:hAnsiTheme="minorHAnsi" w:cstheme="minorHAnsi"/>
        </w:rPr>
      </w:pPr>
      <w:r w:rsidRPr="0066036D">
        <w:rPr>
          <w:rFonts w:asciiTheme="minorHAnsi" w:hAnsiTheme="minorHAnsi" w:cstheme="minorHAnsi"/>
        </w:rPr>
        <w:t xml:space="preserve">A combination of </w:t>
      </w:r>
      <w:r w:rsidR="00A2688E" w:rsidRPr="0066036D">
        <w:rPr>
          <w:rFonts w:asciiTheme="minorHAnsi" w:hAnsiTheme="minorHAnsi" w:cstheme="minorHAnsi"/>
        </w:rPr>
        <w:t xml:space="preserve">compounds including </w:t>
      </w:r>
      <w:r w:rsidR="001C144E" w:rsidRPr="0066036D">
        <w:rPr>
          <w:rFonts w:asciiTheme="minorHAnsi" w:hAnsiTheme="minorHAnsi" w:cstheme="minorHAnsi"/>
        </w:rPr>
        <w:t>atropine</w:t>
      </w:r>
      <w:r w:rsidR="00000FA0">
        <w:rPr>
          <w:rFonts w:asciiTheme="minorHAnsi" w:hAnsiTheme="minorHAnsi" w:cstheme="minorHAnsi"/>
        </w:rPr>
        <w:t xml:space="preserve"> </w:t>
      </w:r>
      <w:r w:rsidR="0066036D" w:rsidRPr="0066036D">
        <w:rPr>
          <w:rFonts w:asciiTheme="minorHAnsi" w:hAnsiTheme="minorHAnsi" w:cstheme="minorHAnsi"/>
        </w:rPr>
        <w:t>(CAS</w:t>
      </w:r>
      <w:r w:rsidR="00FB119D">
        <w:rPr>
          <w:rFonts w:asciiTheme="minorHAnsi" w:hAnsiTheme="minorHAnsi" w:cstheme="minorHAnsi"/>
        </w:rPr>
        <w:t xml:space="preserve"> No.</w:t>
      </w:r>
      <w:r w:rsidR="0066036D" w:rsidRPr="0066036D">
        <w:rPr>
          <w:rFonts w:asciiTheme="minorHAnsi" w:hAnsiTheme="minorHAnsi" w:cstheme="minorHAnsi"/>
        </w:rPr>
        <w:t xml:space="preserve"> </w:t>
      </w:r>
      <w:r w:rsidR="0066036D" w:rsidRPr="0066036D">
        <w:rPr>
          <w:rFonts w:asciiTheme="minorHAnsi" w:hAnsiTheme="minorHAnsi" w:cstheme="minorHAnsi"/>
          <w:color w:val="1F1F1F"/>
          <w:shd w:val="clear" w:color="auto" w:fill="FFFFFF"/>
        </w:rPr>
        <w:t>51-55-8)</w:t>
      </w:r>
      <w:r w:rsidR="001C144E" w:rsidRPr="0066036D">
        <w:rPr>
          <w:rFonts w:asciiTheme="minorHAnsi" w:hAnsiTheme="minorHAnsi" w:cstheme="minorHAnsi"/>
        </w:rPr>
        <w:t xml:space="preserve"> and hyoscine</w:t>
      </w:r>
      <w:r w:rsidR="00974A21" w:rsidRPr="0066036D">
        <w:rPr>
          <w:rFonts w:asciiTheme="minorHAnsi" w:hAnsiTheme="minorHAnsi" w:cstheme="minorHAnsi"/>
        </w:rPr>
        <w:t xml:space="preserve"> (CAS</w:t>
      </w:r>
      <w:r w:rsidR="00FB119D">
        <w:rPr>
          <w:rFonts w:asciiTheme="minorHAnsi" w:hAnsiTheme="minorHAnsi" w:cstheme="minorHAnsi"/>
        </w:rPr>
        <w:t xml:space="preserve"> No.</w:t>
      </w:r>
      <w:r w:rsidR="00974A21" w:rsidRPr="0066036D">
        <w:rPr>
          <w:rFonts w:asciiTheme="minorHAnsi" w:hAnsiTheme="minorHAnsi" w:cstheme="minorHAnsi"/>
        </w:rPr>
        <w:t xml:space="preserve"> </w:t>
      </w:r>
      <w:r w:rsidR="00974A21" w:rsidRPr="0066036D">
        <w:rPr>
          <w:rFonts w:asciiTheme="minorHAnsi" w:hAnsiTheme="minorHAnsi" w:cstheme="minorHAnsi"/>
          <w:color w:val="111827"/>
          <w:shd w:val="clear" w:color="auto" w:fill="FFFFFF"/>
        </w:rPr>
        <w:t>101-31-5)</w:t>
      </w:r>
    </w:p>
    <w:p w14:paraId="4E0B54FE" w14:textId="77777777" w:rsidR="00D05C68" w:rsidRDefault="00D05C68" w:rsidP="00D05C68">
      <w:pPr>
        <w:pStyle w:val="Heading4"/>
      </w:pPr>
      <w:bookmarkStart w:id="50" w:name="_Toc177657862"/>
      <w:r>
        <w:t>Alternative names</w:t>
      </w:r>
      <w:bookmarkEnd w:id="50"/>
    </w:p>
    <w:p w14:paraId="23C86952" w14:textId="4F64B935" w:rsidR="00D05C68" w:rsidRDefault="000120D4" w:rsidP="00D05C68">
      <w:r>
        <w:t xml:space="preserve">Belladonna, </w:t>
      </w:r>
      <w:r w:rsidR="00B523EC" w:rsidRPr="00482048">
        <w:t>deadly nightshade, divale, dwale, banewort, devil's berries, great morel, and dwayberry.</w:t>
      </w:r>
    </w:p>
    <w:p w14:paraId="615C1A14" w14:textId="77777777" w:rsidR="00000FA0" w:rsidRDefault="00000FA0">
      <w:pPr>
        <w:rPr>
          <w:rFonts w:eastAsia="Cambria" w:cs="Times New Roman"/>
          <w:bCs/>
          <w:color w:val="001871"/>
          <w:sz w:val="28"/>
          <w:szCs w:val="26"/>
          <w:lang w:eastAsia="en-AU"/>
        </w:rPr>
      </w:pPr>
      <w:r>
        <w:br w:type="page"/>
      </w:r>
    </w:p>
    <w:p w14:paraId="69F0FD30" w14:textId="77777777" w:rsidR="00D05C68" w:rsidRDefault="00D05C68" w:rsidP="00D05C68">
      <w:pPr>
        <w:pStyle w:val="Heading4"/>
      </w:pPr>
      <w:bookmarkStart w:id="51" w:name="_Toc177657863"/>
      <w:r>
        <w:lastRenderedPageBreak/>
        <w:t>Proposed scheduling</w:t>
      </w:r>
      <w:bookmarkEnd w:id="51"/>
    </w:p>
    <w:p w14:paraId="2CE2A9C3" w14:textId="688491FC" w:rsidR="00000FA0" w:rsidRPr="00971566" w:rsidRDefault="00435479" w:rsidP="00000FA0">
      <w:pPr>
        <w:rPr>
          <w:rFonts w:cs="Arial"/>
        </w:rPr>
      </w:pPr>
      <w:r w:rsidRPr="00FB119D">
        <w:rPr>
          <w:rFonts w:asciiTheme="minorHAnsi" w:hAnsiTheme="minorHAnsi" w:cstheme="minorHAnsi"/>
          <w:i/>
          <w:iCs/>
        </w:rPr>
        <w:t>Atropa belladonna</w:t>
      </w:r>
      <w:r w:rsidRPr="00FF396D">
        <w:rPr>
          <w:rFonts w:asciiTheme="minorHAnsi" w:hAnsiTheme="minorHAnsi" w:cstheme="minorHAnsi"/>
        </w:rPr>
        <w:t xml:space="preserve"> is included in the Poisons standard in Schedule</w:t>
      </w:r>
      <w:r w:rsidR="000626A6" w:rsidRPr="00FF396D">
        <w:rPr>
          <w:rFonts w:asciiTheme="minorHAnsi" w:hAnsiTheme="minorHAnsi" w:cstheme="minorHAnsi"/>
        </w:rPr>
        <w:t> </w:t>
      </w:r>
      <w:r w:rsidRPr="00FF396D">
        <w:rPr>
          <w:rFonts w:asciiTheme="minorHAnsi" w:hAnsiTheme="minorHAnsi" w:cstheme="minorHAnsi"/>
        </w:rPr>
        <w:t>4 and Schedule</w:t>
      </w:r>
      <w:r w:rsidR="000626A6" w:rsidRPr="00FF396D">
        <w:rPr>
          <w:rFonts w:asciiTheme="minorHAnsi" w:hAnsiTheme="minorHAnsi" w:cstheme="minorHAnsi"/>
        </w:rPr>
        <w:t> </w:t>
      </w:r>
      <w:r w:rsidRPr="00FF396D">
        <w:rPr>
          <w:rFonts w:asciiTheme="minorHAnsi" w:hAnsiTheme="minorHAnsi" w:cstheme="minorHAnsi"/>
        </w:rPr>
        <w:t xml:space="preserve">2 </w:t>
      </w:r>
      <w:r w:rsidR="000626A6" w:rsidRPr="00FF396D">
        <w:rPr>
          <w:rFonts w:asciiTheme="minorHAnsi" w:hAnsiTheme="minorHAnsi" w:cstheme="minorHAnsi"/>
        </w:rPr>
        <w:t>and Appendix G.</w:t>
      </w:r>
      <w:r w:rsidR="00000FA0">
        <w:rPr>
          <w:rFonts w:asciiTheme="minorHAnsi" w:hAnsiTheme="minorHAnsi" w:cstheme="minorHAnsi"/>
        </w:rPr>
        <w:t xml:space="preserve"> </w:t>
      </w:r>
      <w:r w:rsidR="00000FA0" w:rsidRPr="0072362E">
        <w:t xml:space="preserve">The </w:t>
      </w:r>
      <w:r w:rsidR="00000FA0" w:rsidRPr="00971566">
        <w:rPr>
          <w:rFonts w:cs="Arial"/>
        </w:rPr>
        <w:t>proposed amendments to the Poisons Standard are:</w:t>
      </w:r>
      <w:r w:rsidR="00000FA0" w:rsidRPr="00971566">
        <w:rPr>
          <w:rStyle w:val="FootnoteReference"/>
          <w:rFonts w:cs="Arial"/>
          <w:bCs/>
        </w:rPr>
        <w:footnoteReference w:id="3"/>
      </w:r>
    </w:p>
    <w:p w14:paraId="6B594371" w14:textId="77777777" w:rsidR="00454E1D" w:rsidRPr="00FF396D" w:rsidRDefault="00454E1D" w:rsidP="00454E1D">
      <w:pPr>
        <w:spacing w:before="180" w:after="180" w:line="240" w:lineRule="atLeast"/>
        <w:ind w:left="426"/>
        <w:rPr>
          <w:rFonts w:asciiTheme="minorHAnsi" w:eastAsia="Cambria" w:hAnsiTheme="minorHAnsi" w:cstheme="minorHAnsi"/>
          <w:b/>
        </w:rPr>
      </w:pPr>
      <w:r w:rsidRPr="00FF396D">
        <w:rPr>
          <w:rFonts w:asciiTheme="minorHAnsi" w:eastAsia="Cambria" w:hAnsiTheme="minorHAnsi" w:cstheme="minorHAnsi"/>
          <w:b/>
        </w:rPr>
        <w:t xml:space="preserve">Schedule 4 </w:t>
      </w:r>
    </w:p>
    <w:p w14:paraId="5A7D33D2" w14:textId="77777777" w:rsidR="00454E1D" w:rsidRPr="00FF396D" w:rsidRDefault="00454E1D" w:rsidP="00454E1D">
      <w:pPr>
        <w:spacing w:before="180" w:after="180" w:line="240" w:lineRule="atLeast"/>
        <w:ind w:left="426"/>
        <w:rPr>
          <w:rFonts w:asciiTheme="minorHAnsi" w:eastAsia="Cambria" w:hAnsiTheme="minorHAnsi" w:cstheme="minorHAnsi"/>
          <w:i/>
          <w:color w:val="4D2779"/>
        </w:rPr>
      </w:pPr>
      <w:r w:rsidRPr="00FF396D">
        <w:rPr>
          <w:rFonts w:asciiTheme="minorHAnsi" w:hAnsiTheme="minorHAnsi" w:cstheme="minorHAnsi"/>
        </w:rPr>
        <w:t xml:space="preserve">ATROPA BELLADONNA (belladonna) </w:t>
      </w:r>
      <w:r w:rsidRPr="00FF396D">
        <w:rPr>
          <w:rFonts w:asciiTheme="minorHAnsi" w:hAnsiTheme="minorHAnsi" w:cstheme="minorHAnsi"/>
          <w:b/>
          <w:bCs/>
          <w:strike/>
          <w:color w:val="00B050"/>
        </w:rPr>
        <w:t xml:space="preserve">except </w:t>
      </w:r>
      <w:r w:rsidRPr="00FF396D">
        <w:rPr>
          <w:rFonts w:asciiTheme="minorHAnsi" w:hAnsiTheme="minorHAnsi" w:cstheme="minorHAnsi"/>
          <w:strike/>
          <w:color w:val="00B050"/>
        </w:rPr>
        <w:t>when included in Schedule 2.</w:t>
      </w:r>
    </w:p>
    <w:p w14:paraId="1039DD2D" w14:textId="4833BB14" w:rsidR="00454E1D" w:rsidRPr="00FF396D" w:rsidRDefault="00454E1D" w:rsidP="00454E1D">
      <w:pPr>
        <w:shd w:val="clear" w:color="auto" w:fill="FFFFFF" w:themeFill="background1"/>
        <w:spacing w:before="180" w:after="180" w:line="240" w:lineRule="atLeast"/>
        <w:ind w:left="426"/>
        <w:rPr>
          <w:rFonts w:asciiTheme="minorHAnsi" w:eastAsia="Cambria" w:hAnsiTheme="minorHAnsi" w:cstheme="minorHAnsi"/>
          <w:b/>
          <w:sz w:val="22"/>
        </w:rPr>
      </w:pPr>
      <w:r w:rsidRPr="00FF396D">
        <w:rPr>
          <w:rFonts w:asciiTheme="minorHAnsi" w:eastAsia="Cambria" w:hAnsiTheme="minorHAnsi" w:cstheme="minorHAnsi"/>
          <w:b/>
        </w:rPr>
        <w:t>Schedule 2 –</w:t>
      </w:r>
      <w:r w:rsidRPr="00210006">
        <w:rPr>
          <w:rFonts w:asciiTheme="minorHAnsi" w:eastAsia="Cambria" w:hAnsiTheme="minorHAnsi" w:cstheme="minorHAnsi"/>
          <w:b/>
        </w:rPr>
        <w:t>Delete Entry</w:t>
      </w:r>
    </w:p>
    <w:p w14:paraId="16E6D1AE" w14:textId="77777777" w:rsidR="00454E1D" w:rsidRPr="00FF396D" w:rsidRDefault="00454E1D" w:rsidP="00454E1D">
      <w:pPr>
        <w:autoSpaceDE w:val="0"/>
        <w:autoSpaceDN w:val="0"/>
        <w:adjustRightInd w:val="0"/>
        <w:spacing w:after="0" w:line="240" w:lineRule="auto"/>
        <w:ind w:left="426"/>
        <w:rPr>
          <w:rFonts w:asciiTheme="minorHAnsi" w:hAnsiTheme="minorHAnsi" w:cstheme="minorHAnsi"/>
          <w:strike/>
          <w:color w:val="FF0000"/>
          <w:szCs w:val="22"/>
        </w:rPr>
      </w:pPr>
      <w:r w:rsidRPr="00FF396D">
        <w:rPr>
          <w:rFonts w:asciiTheme="minorHAnsi" w:hAnsiTheme="minorHAnsi" w:cstheme="minorHAnsi"/>
          <w:strike/>
          <w:color w:val="FF0000"/>
        </w:rPr>
        <w:t>ATROPA BELLADONNA (belladonna):</w:t>
      </w:r>
    </w:p>
    <w:p w14:paraId="3006BAE2" w14:textId="77777777" w:rsidR="00454E1D" w:rsidRPr="00FF396D" w:rsidRDefault="00454E1D" w:rsidP="00454E1D">
      <w:pPr>
        <w:autoSpaceDE w:val="0"/>
        <w:autoSpaceDN w:val="0"/>
        <w:adjustRightInd w:val="0"/>
        <w:spacing w:after="0" w:line="240" w:lineRule="auto"/>
        <w:ind w:left="426"/>
        <w:rPr>
          <w:rFonts w:asciiTheme="minorHAnsi" w:hAnsiTheme="minorHAnsi" w:cstheme="minorHAnsi"/>
          <w:strike/>
          <w:color w:val="FF0000"/>
        </w:rPr>
      </w:pPr>
    </w:p>
    <w:p w14:paraId="0D3C2C33" w14:textId="1FA8A99B" w:rsidR="00454E1D" w:rsidRPr="00FF396D" w:rsidRDefault="00454E1D" w:rsidP="00454E1D">
      <w:pPr>
        <w:autoSpaceDE w:val="0"/>
        <w:autoSpaceDN w:val="0"/>
        <w:adjustRightInd w:val="0"/>
        <w:spacing w:after="0" w:line="240" w:lineRule="auto"/>
        <w:ind w:left="720"/>
        <w:rPr>
          <w:rFonts w:asciiTheme="minorHAnsi" w:hAnsiTheme="minorHAnsi" w:cstheme="minorHAnsi"/>
          <w:strike/>
          <w:color w:val="FF0000"/>
        </w:rPr>
      </w:pPr>
      <w:r w:rsidRPr="00FF396D">
        <w:rPr>
          <w:rFonts w:asciiTheme="minorHAnsi" w:hAnsiTheme="minorHAnsi" w:cstheme="minorHAnsi"/>
          <w:strike/>
          <w:color w:val="FF0000"/>
        </w:rPr>
        <w:t>(a) for external use in preparations containing 0.03</w:t>
      </w:r>
      <w:r w:rsidR="005B4C28">
        <w:rPr>
          <w:rFonts w:asciiTheme="minorHAnsi" w:hAnsiTheme="minorHAnsi" w:cstheme="minorHAnsi"/>
          <w:strike/>
          <w:color w:val="FF0000"/>
        </w:rPr>
        <w:t xml:space="preserve"> per cent</w:t>
      </w:r>
      <w:r w:rsidRPr="00FF396D">
        <w:rPr>
          <w:rFonts w:asciiTheme="minorHAnsi" w:hAnsiTheme="minorHAnsi" w:cstheme="minorHAnsi"/>
          <w:strike/>
          <w:color w:val="FF0000"/>
        </w:rPr>
        <w:t xml:space="preserve"> or less of total solanaceous</w:t>
      </w:r>
    </w:p>
    <w:p w14:paraId="58784790" w14:textId="77777777" w:rsidR="00454E1D" w:rsidRPr="00FF396D" w:rsidRDefault="00454E1D" w:rsidP="00454E1D">
      <w:pPr>
        <w:autoSpaceDE w:val="0"/>
        <w:autoSpaceDN w:val="0"/>
        <w:adjustRightInd w:val="0"/>
        <w:spacing w:after="0" w:line="240" w:lineRule="auto"/>
        <w:ind w:left="720"/>
        <w:rPr>
          <w:rFonts w:asciiTheme="minorHAnsi" w:hAnsiTheme="minorHAnsi" w:cstheme="minorHAnsi"/>
          <w:strike/>
          <w:color w:val="FF0000"/>
        </w:rPr>
      </w:pPr>
      <w:r w:rsidRPr="00FF396D">
        <w:rPr>
          <w:rFonts w:asciiTheme="minorHAnsi" w:hAnsiTheme="minorHAnsi" w:cstheme="minorHAnsi"/>
          <w:strike/>
          <w:color w:val="FF0000"/>
        </w:rPr>
        <w:t>alkaloids; or</w:t>
      </w:r>
    </w:p>
    <w:p w14:paraId="195E5182" w14:textId="77777777" w:rsidR="00454E1D" w:rsidRPr="00FF396D" w:rsidRDefault="00454E1D" w:rsidP="00454E1D">
      <w:pPr>
        <w:autoSpaceDE w:val="0"/>
        <w:autoSpaceDN w:val="0"/>
        <w:adjustRightInd w:val="0"/>
        <w:spacing w:after="0" w:line="240" w:lineRule="auto"/>
        <w:ind w:left="720"/>
        <w:rPr>
          <w:rFonts w:asciiTheme="minorHAnsi" w:hAnsiTheme="minorHAnsi" w:cstheme="minorHAnsi"/>
          <w:strike/>
          <w:color w:val="FF0000"/>
        </w:rPr>
      </w:pPr>
    </w:p>
    <w:p w14:paraId="526994CF" w14:textId="77777777" w:rsidR="00454E1D" w:rsidRPr="00FF396D" w:rsidRDefault="00454E1D" w:rsidP="00454E1D">
      <w:pPr>
        <w:autoSpaceDE w:val="0"/>
        <w:autoSpaceDN w:val="0"/>
        <w:adjustRightInd w:val="0"/>
        <w:spacing w:after="0" w:line="240" w:lineRule="auto"/>
        <w:ind w:left="720"/>
        <w:rPr>
          <w:rFonts w:asciiTheme="minorHAnsi" w:hAnsiTheme="minorHAnsi" w:cstheme="minorHAnsi"/>
          <w:strike/>
          <w:color w:val="FF0000"/>
        </w:rPr>
      </w:pPr>
      <w:r w:rsidRPr="00FF396D">
        <w:rPr>
          <w:rFonts w:asciiTheme="minorHAnsi" w:hAnsiTheme="minorHAnsi" w:cstheme="minorHAnsi"/>
          <w:strike/>
          <w:color w:val="FF0000"/>
        </w:rPr>
        <w:t>(b) for oral use preparations included in the Register when:</w:t>
      </w:r>
    </w:p>
    <w:p w14:paraId="377EA5F6" w14:textId="6CDDFA31" w:rsidR="00454E1D" w:rsidRPr="00FF396D" w:rsidRDefault="00454E1D" w:rsidP="00454E1D">
      <w:pPr>
        <w:autoSpaceDE w:val="0"/>
        <w:autoSpaceDN w:val="0"/>
        <w:adjustRightInd w:val="0"/>
        <w:spacing w:after="0" w:line="240" w:lineRule="auto"/>
        <w:ind w:left="1440"/>
        <w:rPr>
          <w:rFonts w:asciiTheme="minorHAnsi" w:hAnsiTheme="minorHAnsi" w:cstheme="minorHAnsi"/>
          <w:strike/>
          <w:color w:val="FF0000"/>
        </w:rPr>
      </w:pPr>
      <w:r w:rsidRPr="00FF396D">
        <w:rPr>
          <w:rFonts w:asciiTheme="minorHAnsi" w:hAnsiTheme="minorHAnsi" w:cstheme="minorHAnsi"/>
          <w:strike/>
          <w:color w:val="FF0000"/>
        </w:rPr>
        <w:t>(i) in undivided preparations containing 0.03</w:t>
      </w:r>
      <w:r w:rsidR="005B4C28">
        <w:rPr>
          <w:rFonts w:asciiTheme="minorHAnsi" w:hAnsiTheme="minorHAnsi" w:cstheme="minorHAnsi"/>
          <w:strike/>
          <w:color w:val="FF0000"/>
        </w:rPr>
        <w:t xml:space="preserve"> per cent</w:t>
      </w:r>
      <w:r w:rsidRPr="00FF396D">
        <w:rPr>
          <w:rFonts w:asciiTheme="minorHAnsi" w:hAnsiTheme="minorHAnsi" w:cstheme="minorHAnsi"/>
          <w:strike/>
          <w:color w:val="FF0000"/>
        </w:rPr>
        <w:t xml:space="preserve"> or less of total solanaceous</w:t>
      </w:r>
    </w:p>
    <w:p w14:paraId="10B1A344" w14:textId="04750365" w:rsidR="00454E1D" w:rsidRPr="00FF396D" w:rsidRDefault="00454E1D" w:rsidP="00454E1D">
      <w:pPr>
        <w:autoSpaceDE w:val="0"/>
        <w:autoSpaceDN w:val="0"/>
        <w:adjustRightInd w:val="0"/>
        <w:spacing w:after="0" w:line="240" w:lineRule="auto"/>
        <w:ind w:left="1440"/>
        <w:rPr>
          <w:rFonts w:asciiTheme="minorHAnsi" w:hAnsiTheme="minorHAnsi" w:cstheme="minorHAnsi"/>
          <w:strike/>
          <w:color w:val="FF0000"/>
        </w:rPr>
      </w:pPr>
      <w:r w:rsidRPr="00FF396D">
        <w:rPr>
          <w:rFonts w:asciiTheme="minorHAnsi" w:hAnsiTheme="minorHAnsi" w:cstheme="minorHAnsi"/>
          <w:strike/>
          <w:color w:val="FF0000"/>
        </w:rPr>
        <w:t>alkaloids when labelled with a dose of 0.3 mg or less of total solanaceous</w:t>
      </w:r>
    </w:p>
    <w:p w14:paraId="09D11377" w14:textId="3E8C6F44" w:rsidR="00454E1D" w:rsidRPr="00083D2B" w:rsidRDefault="00454E1D" w:rsidP="00454E1D">
      <w:pPr>
        <w:autoSpaceDE w:val="0"/>
        <w:autoSpaceDN w:val="0"/>
        <w:adjustRightInd w:val="0"/>
        <w:spacing w:after="0" w:line="240" w:lineRule="auto"/>
        <w:ind w:left="1440"/>
        <w:rPr>
          <w:rFonts w:asciiTheme="minorHAnsi" w:hAnsiTheme="minorHAnsi" w:cstheme="minorHAnsi"/>
          <w:strike/>
          <w:color w:val="FF0000"/>
        </w:rPr>
      </w:pPr>
      <w:r w:rsidRPr="00FF396D">
        <w:rPr>
          <w:rFonts w:asciiTheme="minorHAnsi" w:hAnsiTheme="minorHAnsi" w:cstheme="minorHAnsi"/>
          <w:strike/>
          <w:color w:val="FF0000"/>
        </w:rPr>
        <w:t xml:space="preserve">alkaloids and a recommended daily dose </w:t>
      </w:r>
      <w:r w:rsidRPr="00083D2B">
        <w:rPr>
          <w:rFonts w:asciiTheme="minorHAnsi" w:hAnsiTheme="minorHAnsi" w:cstheme="minorHAnsi"/>
          <w:strike/>
          <w:color w:val="FF0000"/>
        </w:rPr>
        <w:t xml:space="preserve">of </w:t>
      </w:r>
      <w:r w:rsidR="00083D2B">
        <w:rPr>
          <w:rFonts w:asciiTheme="minorHAnsi" w:hAnsiTheme="minorHAnsi" w:cstheme="minorHAnsi"/>
          <w:strike/>
          <w:color w:val="FF0000"/>
        </w:rPr>
        <w:t>1.2</w:t>
      </w:r>
      <w:r w:rsidRPr="00083D2B">
        <w:rPr>
          <w:rFonts w:asciiTheme="minorHAnsi" w:hAnsiTheme="minorHAnsi" w:cstheme="minorHAnsi"/>
          <w:strike/>
          <w:color w:val="FF0000"/>
        </w:rPr>
        <w:t xml:space="preserve"> mg or less of total</w:t>
      </w:r>
    </w:p>
    <w:p w14:paraId="34E472B4" w14:textId="77777777" w:rsidR="00454E1D" w:rsidRPr="00083D2B" w:rsidRDefault="00454E1D" w:rsidP="00454E1D">
      <w:pPr>
        <w:autoSpaceDE w:val="0"/>
        <w:autoSpaceDN w:val="0"/>
        <w:adjustRightInd w:val="0"/>
        <w:spacing w:after="0" w:line="240" w:lineRule="auto"/>
        <w:ind w:left="1440"/>
        <w:rPr>
          <w:rFonts w:asciiTheme="minorHAnsi" w:hAnsiTheme="minorHAnsi" w:cstheme="minorHAnsi"/>
          <w:strike/>
          <w:color w:val="FF0000"/>
        </w:rPr>
      </w:pPr>
      <w:r w:rsidRPr="00083D2B">
        <w:rPr>
          <w:rFonts w:asciiTheme="minorHAnsi" w:hAnsiTheme="minorHAnsi" w:cstheme="minorHAnsi"/>
          <w:strike/>
          <w:color w:val="FF0000"/>
        </w:rPr>
        <w:t>solanaceous alkaloids; or</w:t>
      </w:r>
    </w:p>
    <w:p w14:paraId="3B113F41" w14:textId="77777777" w:rsidR="00454E1D" w:rsidRPr="00083D2B" w:rsidRDefault="00454E1D" w:rsidP="00454E1D">
      <w:pPr>
        <w:autoSpaceDE w:val="0"/>
        <w:autoSpaceDN w:val="0"/>
        <w:adjustRightInd w:val="0"/>
        <w:spacing w:after="0" w:line="240" w:lineRule="auto"/>
        <w:ind w:left="1440"/>
        <w:rPr>
          <w:rFonts w:asciiTheme="minorHAnsi" w:hAnsiTheme="minorHAnsi" w:cstheme="minorHAnsi"/>
          <w:strike/>
          <w:color w:val="FF0000"/>
        </w:rPr>
      </w:pPr>
    </w:p>
    <w:p w14:paraId="1FB46E9E" w14:textId="7AD6AA9F" w:rsidR="00454E1D" w:rsidRPr="00083D2B" w:rsidRDefault="00454E1D" w:rsidP="00454E1D">
      <w:pPr>
        <w:autoSpaceDE w:val="0"/>
        <w:autoSpaceDN w:val="0"/>
        <w:adjustRightInd w:val="0"/>
        <w:spacing w:after="0" w:line="240" w:lineRule="auto"/>
        <w:ind w:left="1440"/>
        <w:rPr>
          <w:rFonts w:asciiTheme="minorHAnsi" w:hAnsiTheme="minorHAnsi" w:cstheme="minorHAnsi"/>
          <w:strike/>
          <w:color w:val="FF0000"/>
        </w:rPr>
      </w:pPr>
      <w:r w:rsidRPr="00083D2B">
        <w:rPr>
          <w:rFonts w:asciiTheme="minorHAnsi" w:hAnsiTheme="minorHAnsi" w:cstheme="minorHAnsi"/>
          <w:strike/>
          <w:color w:val="FF0000"/>
        </w:rPr>
        <w:t>(ii) in divided preparations containing 0.3 mg or less of total solanaceous</w:t>
      </w:r>
    </w:p>
    <w:p w14:paraId="68045A3E" w14:textId="3EA64BDF" w:rsidR="00454E1D" w:rsidRPr="00083D2B" w:rsidRDefault="00454E1D" w:rsidP="00454E1D">
      <w:pPr>
        <w:autoSpaceDE w:val="0"/>
        <w:autoSpaceDN w:val="0"/>
        <w:adjustRightInd w:val="0"/>
        <w:spacing w:after="0" w:line="240" w:lineRule="auto"/>
        <w:ind w:left="1440"/>
        <w:rPr>
          <w:rFonts w:asciiTheme="minorHAnsi" w:hAnsiTheme="minorHAnsi" w:cstheme="minorHAnsi"/>
          <w:strike/>
          <w:color w:val="FF0000"/>
        </w:rPr>
      </w:pPr>
      <w:r w:rsidRPr="00083D2B">
        <w:rPr>
          <w:rFonts w:asciiTheme="minorHAnsi" w:hAnsiTheme="minorHAnsi" w:cstheme="minorHAnsi"/>
          <w:strike/>
          <w:color w:val="FF0000"/>
        </w:rPr>
        <w:t xml:space="preserve">alkaloids per dosage unit, when labelled with a recommended daily dose of </w:t>
      </w:r>
      <w:r w:rsidR="00083D2B">
        <w:rPr>
          <w:rFonts w:asciiTheme="minorHAnsi" w:hAnsiTheme="minorHAnsi" w:cstheme="minorHAnsi"/>
          <w:strike/>
          <w:color w:val="FF0000"/>
        </w:rPr>
        <w:t>1.2</w:t>
      </w:r>
      <w:r w:rsidRPr="00083D2B">
        <w:rPr>
          <w:rFonts w:asciiTheme="minorHAnsi" w:hAnsiTheme="minorHAnsi" w:cstheme="minorHAnsi"/>
          <w:strike/>
          <w:color w:val="FF0000"/>
        </w:rPr>
        <w:t xml:space="preserve"> mg or less of total solanaceous alkaloids.</w:t>
      </w:r>
    </w:p>
    <w:p w14:paraId="4FCDBB18" w14:textId="77777777" w:rsidR="00195D3D" w:rsidRPr="00FF396D" w:rsidRDefault="00195D3D" w:rsidP="00B44B5E">
      <w:pPr>
        <w:spacing w:before="180" w:after="180" w:line="240" w:lineRule="atLeast"/>
        <w:ind w:left="426" w:firstLine="294"/>
        <w:rPr>
          <w:rFonts w:asciiTheme="minorHAnsi" w:eastAsia="Cambria" w:hAnsiTheme="minorHAnsi" w:cstheme="minorHAnsi"/>
          <w:b/>
        </w:rPr>
      </w:pPr>
      <w:r w:rsidRPr="00FF396D">
        <w:rPr>
          <w:rFonts w:asciiTheme="minorHAnsi" w:eastAsia="Cambria" w:hAnsiTheme="minorHAnsi" w:cstheme="minorHAnsi"/>
          <w:b/>
        </w:rPr>
        <w:t xml:space="preserve">Index </w:t>
      </w:r>
    </w:p>
    <w:p w14:paraId="228F64DB" w14:textId="77777777" w:rsidR="00195D3D" w:rsidRPr="00FF396D" w:rsidRDefault="00195D3D" w:rsidP="00B44B5E">
      <w:pPr>
        <w:autoSpaceDE w:val="0"/>
        <w:autoSpaceDN w:val="0"/>
        <w:adjustRightInd w:val="0"/>
        <w:spacing w:after="0" w:line="240" w:lineRule="auto"/>
        <w:ind w:left="426" w:firstLine="294"/>
        <w:rPr>
          <w:rFonts w:asciiTheme="minorHAnsi" w:hAnsiTheme="minorHAnsi" w:cstheme="minorHAnsi"/>
          <w:b/>
          <w:bCs/>
          <w:szCs w:val="22"/>
        </w:rPr>
      </w:pPr>
      <w:r w:rsidRPr="00FF396D">
        <w:rPr>
          <w:rFonts w:asciiTheme="minorHAnsi" w:hAnsiTheme="minorHAnsi" w:cstheme="minorHAnsi"/>
          <w:b/>
          <w:bCs/>
        </w:rPr>
        <w:t>ATROPA BELLADONNA</w:t>
      </w:r>
    </w:p>
    <w:p w14:paraId="721CF6EE" w14:textId="77777777" w:rsidR="00195D3D" w:rsidRPr="00FF396D" w:rsidRDefault="00195D3D" w:rsidP="00B44B5E">
      <w:pPr>
        <w:autoSpaceDE w:val="0"/>
        <w:autoSpaceDN w:val="0"/>
        <w:adjustRightInd w:val="0"/>
        <w:spacing w:after="0" w:line="240" w:lineRule="auto"/>
        <w:ind w:left="720"/>
        <w:rPr>
          <w:rFonts w:asciiTheme="minorHAnsi" w:hAnsiTheme="minorHAnsi" w:cstheme="minorHAnsi"/>
        </w:rPr>
      </w:pPr>
      <w:r w:rsidRPr="00FF396D">
        <w:rPr>
          <w:rFonts w:asciiTheme="minorHAnsi" w:hAnsiTheme="minorHAnsi" w:cstheme="minorHAnsi"/>
        </w:rPr>
        <w:t>cross reference: BELLADONNA</w:t>
      </w:r>
    </w:p>
    <w:p w14:paraId="5C39EC57" w14:textId="77777777" w:rsidR="00195D3D" w:rsidRPr="00FF396D" w:rsidRDefault="00195D3D" w:rsidP="00B44B5E">
      <w:pPr>
        <w:autoSpaceDE w:val="0"/>
        <w:autoSpaceDN w:val="0"/>
        <w:adjustRightInd w:val="0"/>
        <w:spacing w:after="0" w:line="240" w:lineRule="auto"/>
        <w:ind w:left="720"/>
        <w:rPr>
          <w:rFonts w:asciiTheme="minorHAnsi" w:hAnsiTheme="minorHAnsi" w:cstheme="minorHAnsi"/>
        </w:rPr>
      </w:pPr>
      <w:r w:rsidRPr="00FF396D">
        <w:rPr>
          <w:rFonts w:asciiTheme="minorHAnsi" w:hAnsiTheme="minorHAnsi" w:cstheme="minorHAnsi"/>
        </w:rPr>
        <w:t>Schedule 4</w:t>
      </w:r>
    </w:p>
    <w:p w14:paraId="352CA464" w14:textId="77777777" w:rsidR="00195D3D" w:rsidRPr="00FF396D" w:rsidRDefault="00195D3D" w:rsidP="00B44B5E">
      <w:pPr>
        <w:autoSpaceDE w:val="0"/>
        <w:autoSpaceDN w:val="0"/>
        <w:adjustRightInd w:val="0"/>
        <w:spacing w:after="0" w:line="240" w:lineRule="auto"/>
        <w:ind w:left="720"/>
        <w:rPr>
          <w:rFonts w:asciiTheme="minorHAnsi" w:hAnsiTheme="minorHAnsi" w:cstheme="minorHAnsi"/>
          <w:strike/>
          <w:color w:val="FF0000"/>
        </w:rPr>
      </w:pPr>
      <w:r w:rsidRPr="00FF396D">
        <w:rPr>
          <w:rFonts w:asciiTheme="minorHAnsi" w:hAnsiTheme="minorHAnsi" w:cstheme="minorHAnsi"/>
          <w:strike/>
          <w:color w:val="FF0000"/>
        </w:rPr>
        <w:t>Schedule 2</w:t>
      </w:r>
    </w:p>
    <w:p w14:paraId="0CAB618E" w14:textId="77777777" w:rsidR="00195D3D" w:rsidRPr="00FF396D" w:rsidRDefault="00195D3D" w:rsidP="00B44B5E">
      <w:pPr>
        <w:autoSpaceDE w:val="0"/>
        <w:autoSpaceDN w:val="0"/>
        <w:adjustRightInd w:val="0"/>
        <w:spacing w:after="0" w:line="240" w:lineRule="auto"/>
        <w:ind w:left="720"/>
        <w:rPr>
          <w:rFonts w:asciiTheme="minorHAnsi" w:hAnsiTheme="minorHAnsi" w:cstheme="minorHAnsi"/>
        </w:rPr>
      </w:pPr>
      <w:r w:rsidRPr="00FF396D">
        <w:rPr>
          <w:rFonts w:asciiTheme="minorHAnsi" w:hAnsiTheme="minorHAnsi" w:cstheme="minorHAnsi"/>
        </w:rPr>
        <w:t>Appendix G, clause 1</w:t>
      </w:r>
    </w:p>
    <w:p w14:paraId="25CA342B" w14:textId="77777777" w:rsidR="00195D3D" w:rsidRPr="00FF396D" w:rsidRDefault="00195D3D" w:rsidP="00195D3D">
      <w:pPr>
        <w:autoSpaceDE w:val="0"/>
        <w:autoSpaceDN w:val="0"/>
        <w:adjustRightInd w:val="0"/>
        <w:spacing w:after="0" w:line="240" w:lineRule="auto"/>
        <w:rPr>
          <w:rFonts w:asciiTheme="minorHAnsi" w:hAnsiTheme="minorHAnsi" w:cstheme="minorHAnsi"/>
        </w:rPr>
      </w:pPr>
    </w:p>
    <w:p w14:paraId="59401635" w14:textId="77777777" w:rsidR="00195D3D" w:rsidRPr="00FF396D" w:rsidRDefault="00195D3D" w:rsidP="00B44B5E">
      <w:pPr>
        <w:autoSpaceDE w:val="0"/>
        <w:autoSpaceDN w:val="0"/>
        <w:adjustRightInd w:val="0"/>
        <w:spacing w:after="0" w:line="240" w:lineRule="auto"/>
        <w:ind w:left="720"/>
        <w:rPr>
          <w:rFonts w:asciiTheme="minorHAnsi" w:hAnsiTheme="minorHAnsi" w:cstheme="minorHAnsi"/>
        </w:rPr>
      </w:pPr>
      <w:r w:rsidRPr="00FF396D">
        <w:rPr>
          <w:rFonts w:asciiTheme="minorHAnsi" w:eastAsia="Cambria" w:hAnsiTheme="minorHAnsi" w:cstheme="minorHAnsi"/>
          <w:b/>
        </w:rPr>
        <w:t xml:space="preserve">Appendix G </w:t>
      </w:r>
    </w:p>
    <w:p w14:paraId="0AA0DF20" w14:textId="77777777" w:rsidR="00195D3D" w:rsidRPr="00210006" w:rsidRDefault="00195D3D" w:rsidP="00B44B5E">
      <w:pPr>
        <w:autoSpaceDE w:val="0"/>
        <w:autoSpaceDN w:val="0"/>
        <w:adjustRightInd w:val="0"/>
        <w:spacing w:after="0" w:line="240" w:lineRule="auto"/>
        <w:ind w:left="720"/>
        <w:rPr>
          <w:rFonts w:asciiTheme="minorHAnsi" w:hAnsiTheme="minorHAnsi" w:cstheme="minorHAnsi"/>
          <w:b/>
          <w:bCs/>
        </w:rPr>
      </w:pPr>
      <w:r w:rsidRPr="00210006">
        <w:rPr>
          <w:rFonts w:asciiTheme="minorHAnsi" w:hAnsiTheme="minorHAnsi" w:cstheme="minorHAnsi"/>
          <w:b/>
          <w:bCs/>
        </w:rPr>
        <w:t>Atropa belladonnas exempt at or below certain concentrations</w:t>
      </w:r>
    </w:p>
    <w:p w14:paraId="589C895E" w14:textId="77777777" w:rsidR="00195D3D" w:rsidRPr="00FF396D" w:rsidRDefault="00195D3D" w:rsidP="00B44B5E">
      <w:pPr>
        <w:autoSpaceDE w:val="0"/>
        <w:autoSpaceDN w:val="0"/>
        <w:adjustRightInd w:val="0"/>
        <w:spacing w:after="0" w:line="240" w:lineRule="auto"/>
        <w:ind w:left="720"/>
        <w:rPr>
          <w:rFonts w:asciiTheme="minorHAnsi" w:hAnsiTheme="minorHAnsi" w:cstheme="minorHAnsi"/>
          <w:sz w:val="22"/>
          <w:szCs w:val="22"/>
        </w:rPr>
      </w:pPr>
      <w:r w:rsidRPr="00FF396D">
        <w:rPr>
          <w:rFonts w:asciiTheme="minorHAnsi" w:hAnsiTheme="minorHAnsi" w:cstheme="minorHAnsi"/>
        </w:rPr>
        <w:t>For the purposes of paragraph 11(c), the following table specifies:</w:t>
      </w:r>
    </w:p>
    <w:p w14:paraId="084EC494" w14:textId="77777777" w:rsidR="00195D3D" w:rsidRPr="00FF396D" w:rsidRDefault="00195D3D" w:rsidP="00B44B5E">
      <w:pPr>
        <w:autoSpaceDE w:val="0"/>
        <w:autoSpaceDN w:val="0"/>
        <w:adjustRightInd w:val="0"/>
        <w:spacing w:after="0" w:line="240" w:lineRule="auto"/>
        <w:ind w:left="1440"/>
        <w:rPr>
          <w:rFonts w:asciiTheme="minorHAnsi" w:hAnsiTheme="minorHAnsi" w:cstheme="minorHAnsi"/>
        </w:rPr>
      </w:pPr>
      <w:r w:rsidRPr="00FF396D">
        <w:rPr>
          <w:rFonts w:asciiTheme="minorHAnsi" w:hAnsiTheme="minorHAnsi" w:cstheme="minorHAnsi"/>
        </w:rPr>
        <w:t>(a) atropa belladonnas; and</w:t>
      </w:r>
    </w:p>
    <w:p w14:paraId="50D804AE" w14:textId="77777777" w:rsidR="00195D3D" w:rsidRPr="00FF396D" w:rsidRDefault="00195D3D" w:rsidP="00B44B5E">
      <w:pPr>
        <w:autoSpaceDE w:val="0"/>
        <w:autoSpaceDN w:val="0"/>
        <w:adjustRightInd w:val="0"/>
        <w:spacing w:after="0" w:line="240" w:lineRule="auto"/>
        <w:ind w:left="1440"/>
        <w:rPr>
          <w:rFonts w:asciiTheme="minorHAnsi" w:hAnsiTheme="minorHAnsi" w:cstheme="minorHAnsi"/>
        </w:rPr>
      </w:pPr>
      <w:r w:rsidRPr="00FF396D">
        <w:rPr>
          <w:rFonts w:asciiTheme="minorHAnsi" w:hAnsiTheme="minorHAnsi" w:cstheme="minorHAnsi"/>
        </w:rPr>
        <w:t>(b) concentrations in relation to those atropa belladonnas.</w:t>
      </w:r>
    </w:p>
    <w:p w14:paraId="0A3879C8" w14:textId="77777777" w:rsidR="00195D3D" w:rsidRPr="00FF396D" w:rsidRDefault="00195D3D" w:rsidP="00195D3D">
      <w:pPr>
        <w:autoSpaceDE w:val="0"/>
        <w:autoSpaceDN w:val="0"/>
        <w:adjustRightInd w:val="0"/>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28"/>
        <w:gridCol w:w="3741"/>
        <w:gridCol w:w="4647"/>
      </w:tblGrid>
      <w:tr w:rsidR="00195D3D" w:rsidRPr="00FF396D" w14:paraId="3F8ADC47" w14:textId="77777777" w:rsidTr="00195D3D">
        <w:tc>
          <w:tcPr>
            <w:tcW w:w="421" w:type="dxa"/>
            <w:tcBorders>
              <w:top w:val="single" w:sz="4" w:space="0" w:color="auto"/>
              <w:left w:val="single" w:sz="4" w:space="0" w:color="auto"/>
              <w:bottom w:val="single" w:sz="4" w:space="0" w:color="auto"/>
              <w:right w:val="single" w:sz="4" w:space="0" w:color="auto"/>
            </w:tcBorders>
            <w:hideMark/>
          </w:tcPr>
          <w:p w14:paraId="33A496B8" w14:textId="77777777" w:rsidR="00195D3D" w:rsidRPr="00FF396D" w:rsidRDefault="00195D3D">
            <w:pPr>
              <w:autoSpaceDE w:val="0"/>
              <w:autoSpaceDN w:val="0"/>
              <w:adjustRightInd w:val="0"/>
              <w:rPr>
                <w:rFonts w:asciiTheme="minorHAnsi" w:hAnsiTheme="minorHAnsi" w:cstheme="minorHAnsi"/>
                <w:b/>
                <w:bCs/>
                <w:sz w:val="20"/>
                <w:szCs w:val="20"/>
              </w:rPr>
            </w:pPr>
            <w:r w:rsidRPr="00FF396D">
              <w:rPr>
                <w:rFonts w:asciiTheme="minorHAnsi" w:hAnsiTheme="minorHAnsi" w:cstheme="minorHAnsi"/>
                <w:b/>
                <w:bCs/>
                <w:sz w:val="20"/>
                <w:szCs w:val="20"/>
              </w:rPr>
              <w:t>Item</w:t>
            </w:r>
          </w:p>
        </w:tc>
        <w:tc>
          <w:tcPr>
            <w:tcW w:w="3827" w:type="dxa"/>
            <w:tcBorders>
              <w:top w:val="single" w:sz="4" w:space="0" w:color="auto"/>
              <w:left w:val="single" w:sz="4" w:space="0" w:color="auto"/>
              <w:bottom w:val="single" w:sz="4" w:space="0" w:color="auto"/>
              <w:right w:val="single" w:sz="4" w:space="0" w:color="auto"/>
            </w:tcBorders>
          </w:tcPr>
          <w:p w14:paraId="4C36D900" w14:textId="77777777" w:rsidR="00195D3D" w:rsidRPr="00FF396D" w:rsidRDefault="00195D3D">
            <w:pPr>
              <w:autoSpaceDE w:val="0"/>
              <w:autoSpaceDN w:val="0"/>
              <w:adjustRightInd w:val="0"/>
              <w:rPr>
                <w:rFonts w:asciiTheme="minorHAnsi" w:hAnsiTheme="minorHAnsi" w:cstheme="minorHAnsi"/>
                <w:b/>
                <w:bCs/>
                <w:sz w:val="20"/>
                <w:szCs w:val="20"/>
              </w:rPr>
            </w:pPr>
            <w:r w:rsidRPr="00FF396D">
              <w:rPr>
                <w:rFonts w:asciiTheme="minorHAnsi" w:hAnsiTheme="minorHAnsi" w:cstheme="minorHAnsi"/>
                <w:b/>
                <w:bCs/>
                <w:sz w:val="20"/>
                <w:szCs w:val="20"/>
              </w:rPr>
              <w:t>Column 1</w:t>
            </w:r>
          </w:p>
          <w:p w14:paraId="6F2FABC4" w14:textId="77777777" w:rsidR="00195D3D" w:rsidRPr="00FF396D" w:rsidRDefault="00195D3D">
            <w:pPr>
              <w:autoSpaceDE w:val="0"/>
              <w:autoSpaceDN w:val="0"/>
              <w:adjustRightInd w:val="0"/>
              <w:rPr>
                <w:rFonts w:asciiTheme="minorHAnsi" w:hAnsiTheme="minorHAnsi" w:cstheme="minorHAnsi"/>
                <w:b/>
                <w:bCs/>
                <w:sz w:val="20"/>
                <w:szCs w:val="20"/>
              </w:rPr>
            </w:pPr>
            <w:r w:rsidRPr="00FF396D">
              <w:rPr>
                <w:rFonts w:asciiTheme="minorHAnsi" w:hAnsiTheme="minorHAnsi" w:cstheme="minorHAnsi"/>
                <w:b/>
                <w:bCs/>
                <w:sz w:val="20"/>
                <w:szCs w:val="20"/>
              </w:rPr>
              <w:t>Atropa belladonna</w:t>
            </w:r>
          </w:p>
          <w:p w14:paraId="12DD6515" w14:textId="77777777" w:rsidR="00195D3D" w:rsidRPr="00FF396D" w:rsidRDefault="00195D3D">
            <w:pPr>
              <w:autoSpaceDE w:val="0"/>
              <w:autoSpaceDN w:val="0"/>
              <w:adjustRightInd w:val="0"/>
              <w:rPr>
                <w:rFonts w:asciiTheme="minorHAnsi" w:hAnsiTheme="minorHAnsi" w:cstheme="minorHAnsi"/>
                <w:b/>
                <w:bCs/>
                <w:sz w:val="20"/>
                <w:szCs w:val="20"/>
              </w:rPr>
            </w:pPr>
          </w:p>
        </w:tc>
        <w:tc>
          <w:tcPr>
            <w:tcW w:w="4768" w:type="dxa"/>
            <w:tcBorders>
              <w:top w:val="single" w:sz="4" w:space="0" w:color="auto"/>
              <w:left w:val="single" w:sz="4" w:space="0" w:color="auto"/>
              <w:bottom w:val="single" w:sz="4" w:space="0" w:color="auto"/>
              <w:right w:val="single" w:sz="4" w:space="0" w:color="auto"/>
            </w:tcBorders>
          </w:tcPr>
          <w:p w14:paraId="527B993D" w14:textId="77777777" w:rsidR="00195D3D" w:rsidRPr="00FF396D" w:rsidRDefault="00195D3D">
            <w:pPr>
              <w:autoSpaceDE w:val="0"/>
              <w:autoSpaceDN w:val="0"/>
              <w:adjustRightInd w:val="0"/>
              <w:rPr>
                <w:rFonts w:asciiTheme="minorHAnsi" w:hAnsiTheme="minorHAnsi" w:cstheme="minorHAnsi"/>
                <w:b/>
                <w:bCs/>
                <w:sz w:val="20"/>
                <w:szCs w:val="20"/>
              </w:rPr>
            </w:pPr>
            <w:r w:rsidRPr="00FF396D">
              <w:rPr>
                <w:rFonts w:asciiTheme="minorHAnsi" w:hAnsiTheme="minorHAnsi" w:cstheme="minorHAnsi"/>
                <w:b/>
                <w:bCs/>
                <w:sz w:val="20"/>
                <w:szCs w:val="20"/>
              </w:rPr>
              <w:t>Column 2</w:t>
            </w:r>
          </w:p>
          <w:p w14:paraId="6AB2A55B" w14:textId="77777777" w:rsidR="00195D3D" w:rsidRPr="00FF396D" w:rsidRDefault="00195D3D">
            <w:pPr>
              <w:autoSpaceDE w:val="0"/>
              <w:autoSpaceDN w:val="0"/>
              <w:adjustRightInd w:val="0"/>
              <w:rPr>
                <w:rFonts w:asciiTheme="minorHAnsi" w:hAnsiTheme="minorHAnsi" w:cstheme="minorHAnsi"/>
                <w:b/>
                <w:bCs/>
                <w:sz w:val="20"/>
                <w:szCs w:val="20"/>
              </w:rPr>
            </w:pPr>
            <w:r w:rsidRPr="00FF396D">
              <w:rPr>
                <w:rFonts w:asciiTheme="minorHAnsi" w:hAnsiTheme="minorHAnsi" w:cstheme="minorHAnsi"/>
                <w:b/>
                <w:bCs/>
                <w:sz w:val="20"/>
                <w:szCs w:val="20"/>
              </w:rPr>
              <w:t>Concentration (quantity per litre</w:t>
            </w:r>
          </w:p>
          <w:p w14:paraId="28F44F17" w14:textId="460A6854" w:rsidR="00195D3D" w:rsidRPr="00FF396D" w:rsidRDefault="00195D3D" w:rsidP="002A2CC4">
            <w:pPr>
              <w:autoSpaceDE w:val="0"/>
              <w:autoSpaceDN w:val="0"/>
              <w:adjustRightInd w:val="0"/>
              <w:rPr>
                <w:rFonts w:asciiTheme="minorHAnsi" w:hAnsiTheme="minorHAnsi" w:cstheme="minorHAnsi"/>
                <w:sz w:val="22"/>
                <w:szCs w:val="22"/>
              </w:rPr>
            </w:pPr>
            <w:r w:rsidRPr="00FF396D">
              <w:rPr>
                <w:rFonts w:asciiTheme="minorHAnsi" w:hAnsiTheme="minorHAnsi" w:cstheme="minorHAnsi"/>
                <w:b/>
                <w:bCs/>
                <w:sz w:val="20"/>
                <w:szCs w:val="20"/>
              </w:rPr>
              <w:t>or kilogram)</w:t>
            </w:r>
          </w:p>
        </w:tc>
      </w:tr>
      <w:tr w:rsidR="00195D3D" w:rsidRPr="00FF396D" w14:paraId="0BF3BAB8" w14:textId="77777777" w:rsidTr="00195D3D">
        <w:tc>
          <w:tcPr>
            <w:tcW w:w="421" w:type="dxa"/>
            <w:tcBorders>
              <w:top w:val="single" w:sz="4" w:space="0" w:color="auto"/>
              <w:left w:val="single" w:sz="4" w:space="0" w:color="auto"/>
              <w:bottom w:val="single" w:sz="4" w:space="0" w:color="auto"/>
              <w:right w:val="single" w:sz="4" w:space="0" w:color="auto"/>
            </w:tcBorders>
            <w:hideMark/>
          </w:tcPr>
          <w:p w14:paraId="4D316F1A" w14:textId="77777777" w:rsidR="00195D3D" w:rsidRPr="00FF396D" w:rsidRDefault="00195D3D">
            <w:pPr>
              <w:autoSpaceDE w:val="0"/>
              <w:autoSpaceDN w:val="0"/>
              <w:adjustRightInd w:val="0"/>
              <w:rPr>
                <w:rFonts w:asciiTheme="minorHAnsi" w:hAnsiTheme="minorHAnsi" w:cstheme="minorHAnsi"/>
              </w:rPr>
            </w:pPr>
            <w:r w:rsidRPr="00FF396D">
              <w:rPr>
                <w:rFonts w:asciiTheme="minorHAnsi" w:hAnsiTheme="minorHAnsi" w:cstheme="minorHAnsi"/>
              </w:rPr>
              <w:t>6</w:t>
            </w:r>
          </w:p>
        </w:tc>
        <w:tc>
          <w:tcPr>
            <w:tcW w:w="3827" w:type="dxa"/>
            <w:tcBorders>
              <w:top w:val="single" w:sz="4" w:space="0" w:color="auto"/>
              <w:left w:val="single" w:sz="4" w:space="0" w:color="auto"/>
              <w:bottom w:val="single" w:sz="4" w:space="0" w:color="auto"/>
              <w:right w:val="single" w:sz="4" w:space="0" w:color="auto"/>
            </w:tcBorders>
            <w:hideMark/>
          </w:tcPr>
          <w:p w14:paraId="7C801414" w14:textId="77777777" w:rsidR="00195D3D" w:rsidRPr="00FF396D" w:rsidRDefault="00195D3D">
            <w:pPr>
              <w:autoSpaceDE w:val="0"/>
              <w:autoSpaceDN w:val="0"/>
              <w:adjustRightInd w:val="0"/>
              <w:rPr>
                <w:rFonts w:asciiTheme="minorHAnsi" w:hAnsiTheme="minorHAnsi" w:cstheme="minorHAnsi"/>
              </w:rPr>
            </w:pPr>
            <w:r w:rsidRPr="00FF396D">
              <w:rPr>
                <w:rFonts w:asciiTheme="minorHAnsi" w:hAnsiTheme="minorHAnsi" w:cstheme="minorHAnsi"/>
                <w:sz w:val="20"/>
                <w:szCs w:val="20"/>
              </w:rPr>
              <w:t>ATROPA BELLADONNA (belladonna)</w:t>
            </w:r>
          </w:p>
        </w:tc>
        <w:tc>
          <w:tcPr>
            <w:tcW w:w="4768" w:type="dxa"/>
            <w:tcBorders>
              <w:top w:val="single" w:sz="4" w:space="0" w:color="auto"/>
              <w:left w:val="single" w:sz="4" w:space="0" w:color="auto"/>
              <w:bottom w:val="single" w:sz="4" w:space="0" w:color="auto"/>
              <w:right w:val="single" w:sz="4" w:space="0" w:color="auto"/>
            </w:tcBorders>
            <w:hideMark/>
          </w:tcPr>
          <w:p w14:paraId="588F4916" w14:textId="77777777" w:rsidR="00195D3D" w:rsidRPr="00FF396D" w:rsidRDefault="00195D3D">
            <w:pPr>
              <w:autoSpaceDE w:val="0"/>
              <w:autoSpaceDN w:val="0"/>
              <w:adjustRightInd w:val="0"/>
              <w:rPr>
                <w:rFonts w:asciiTheme="minorHAnsi" w:hAnsiTheme="minorHAnsi" w:cstheme="minorHAnsi"/>
              </w:rPr>
            </w:pPr>
            <w:r w:rsidRPr="00FF396D">
              <w:rPr>
                <w:rFonts w:asciiTheme="minorHAnsi" w:hAnsiTheme="minorHAnsi" w:cstheme="minorHAnsi"/>
                <w:sz w:val="20"/>
                <w:szCs w:val="20"/>
              </w:rPr>
              <w:t>300 micrograms</w:t>
            </w:r>
          </w:p>
        </w:tc>
      </w:tr>
    </w:tbl>
    <w:p w14:paraId="0A06FB3B" w14:textId="77777777" w:rsidR="00454E1D" w:rsidRDefault="00454E1D" w:rsidP="00454E1D">
      <w:pPr>
        <w:autoSpaceDE w:val="0"/>
        <w:autoSpaceDN w:val="0"/>
        <w:adjustRightInd w:val="0"/>
        <w:spacing w:after="0" w:line="240" w:lineRule="auto"/>
        <w:rPr>
          <w:rFonts w:ascii="TimesNewRomanPSMT" w:hAnsi="TimesNewRomanPSMT" w:cs="TimesNewRomanPSMT"/>
        </w:rPr>
      </w:pPr>
    </w:p>
    <w:p w14:paraId="5ED223A8" w14:textId="77777777" w:rsidR="00000FA0" w:rsidRDefault="00000FA0">
      <w:pPr>
        <w:rPr>
          <w:rFonts w:eastAsia="Cambria" w:cs="Times New Roman"/>
          <w:bCs/>
          <w:color w:val="001871"/>
          <w:sz w:val="28"/>
          <w:szCs w:val="26"/>
          <w:lang w:eastAsia="en-AU"/>
        </w:rPr>
      </w:pPr>
      <w:r>
        <w:br w:type="page"/>
      </w:r>
    </w:p>
    <w:p w14:paraId="6B82C04F" w14:textId="0C3EC32C" w:rsidR="00D05C68" w:rsidRDefault="00D05C68" w:rsidP="00D05C68">
      <w:pPr>
        <w:pStyle w:val="Heading4"/>
      </w:pPr>
      <w:bookmarkStart w:id="52" w:name="_Toc177657864"/>
      <w:r>
        <w:lastRenderedPageBreak/>
        <w:t>Background</w:t>
      </w:r>
      <w:bookmarkEnd w:id="52"/>
    </w:p>
    <w:p w14:paraId="33D745D3" w14:textId="3141361E" w:rsidR="00ED5C1F" w:rsidRPr="00184B40" w:rsidRDefault="00845244" w:rsidP="00ED5C1F">
      <w:pPr>
        <w:rPr>
          <w:rFonts w:asciiTheme="minorHAnsi" w:hAnsiTheme="minorHAnsi" w:cstheme="minorHAnsi"/>
        </w:rPr>
      </w:pPr>
      <w:r w:rsidRPr="00FB119D">
        <w:rPr>
          <w:rFonts w:asciiTheme="minorHAnsi" w:hAnsiTheme="minorHAnsi" w:cstheme="minorHAnsi"/>
          <w:i/>
          <w:iCs/>
        </w:rPr>
        <w:t>Atropa belladonna</w:t>
      </w:r>
      <w:r w:rsidRPr="00184B40">
        <w:rPr>
          <w:rFonts w:asciiTheme="minorHAnsi" w:hAnsiTheme="minorHAnsi" w:cstheme="minorHAnsi"/>
        </w:rPr>
        <w:t xml:space="preserve"> contains naturally occurring muscarinic receptor antagonists </w:t>
      </w:r>
      <w:r w:rsidR="00000FA0">
        <w:rPr>
          <w:rFonts w:asciiTheme="minorHAnsi" w:hAnsiTheme="minorHAnsi" w:cstheme="minorHAnsi"/>
        </w:rPr>
        <w:t>–</w:t>
      </w:r>
      <w:r w:rsidRPr="00184B40">
        <w:rPr>
          <w:rFonts w:asciiTheme="minorHAnsi" w:hAnsiTheme="minorHAnsi" w:cstheme="minorHAnsi"/>
        </w:rPr>
        <w:t xml:space="preserve"> alkaloids of the</w:t>
      </w:r>
      <w:r w:rsidR="005C68D7" w:rsidRPr="00184B40">
        <w:rPr>
          <w:rFonts w:asciiTheme="minorHAnsi" w:hAnsiTheme="minorHAnsi" w:cstheme="minorHAnsi"/>
        </w:rPr>
        <w:t xml:space="preserve"> </w:t>
      </w:r>
      <w:r w:rsidRPr="00184B40">
        <w:rPr>
          <w:rFonts w:asciiTheme="minorHAnsi" w:hAnsiTheme="minorHAnsi" w:cstheme="minorHAnsi"/>
        </w:rPr>
        <w:t>belladonna plants. The most important of these are atropine and hyoscine (scopolamine).</w:t>
      </w:r>
      <w:r w:rsidR="005C68D7" w:rsidRPr="00184B40">
        <w:rPr>
          <w:rFonts w:asciiTheme="minorHAnsi" w:hAnsiTheme="minorHAnsi" w:cstheme="minorHAnsi"/>
        </w:rPr>
        <w:t xml:space="preserve"> </w:t>
      </w:r>
      <w:r w:rsidR="00524FD4" w:rsidRPr="00184B40">
        <w:rPr>
          <w:rFonts w:asciiTheme="minorHAnsi" w:eastAsia="Cambria" w:hAnsiTheme="minorHAnsi" w:cstheme="minorHAnsi"/>
        </w:rPr>
        <w:t>Belladonna is a plant that contains compounds that produce anticholinergic</w:t>
      </w:r>
      <w:r w:rsidR="00A91F01">
        <w:rPr>
          <w:rStyle w:val="FootnoteReference"/>
          <w:rFonts w:asciiTheme="minorHAnsi" w:eastAsia="Cambria" w:hAnsiTheme="minorHAnsi" w:cstheme="minorHAnsi"/>
        </w:rPr>
        <w:footnoteReference w:id="4"/>
      </w:r>
      <w:r w:rsidR="00524FD4" w:rsidRPr="00184B40">
        <w:rPr>
          <w:rFonts w:asciiTheme="minorHAnsi" w:eastAsia="Cambria" w:hAnsiTheme="minorHAnsi" w:cstheme="minorHAnsi"/>
        </w:rPr>
        <w:t xml:space="preserve"> activity.</w:t>
      </w:r>
      <w:r w:rsidR="00ED5C1F" w:rsidRPr="00ED5C1F">
        <w:rPr>
          <w:rFonts w:asciiTheme="minorHAnsi" w:hAnsiTheme="minorHAnsi" w:cstheme="minorHAnsi"/>
        </w:rPr>
        <w:t xml:space="preserve"> Atropa belladonna has been scheduled since 1955</w:t>
      </w:r>
      <w:r w:rsidR="00ED5C1F">
        <w:rPr>
          <w:rFonts w:asciiTheme="minorHAnsi" w:hAnsiTheme="minorHAnsi" w:cstheme="minorHAnsi"/>
        </w:rPr>
        <w:t xml:space="preserve"> and its scheduling has been considered several times.</w:t>
      </w:r>
    </w:p>
    <w:p w14:paraId="0D2C5C18" w14:textId="327FE5E0" w:rsidR="00A168B8" w:rsidRPr="00184B40" w:rsidRDefault="00A168B8" w:rsidP="00A168B8">
      <w:pPr>
        <w:spacing w:before="120" w:after="180" w:line="240" w:lineRule="atLeast"/>
        <w:rPr>
          <w:rFonts w:asciiTheme="minorHAnsi" w:eastAsia="Cambria" w:hAnsiTheme="minorHAnsi" w:cstheme="minorHAnsi"/>
        </w:rPr>
      </w:pPr>
      <w:r w:rsidRPr="00FB119D">
        <w:rPr>
          <w:rFonts w:asciiTheme="minorHAnsi" w:eastAsia="Cambria" w:hAnsiTheme="minorHAnsi" w:cstheme="minorHAnsi"/>
          <w:i/>
          <w:iCs/>
        </w:rPr>
        <w:t>Atropa belladonna</w:t>
      </w:r>
      <w:r w:rsidRPr="00184B40">
        <w:rPr>
          <w:rFonts w:asciiTheme="minorHAnsi" w:eastAsia="Cambria" w:hAnsiTheme="minorHAnsi" w:cstheme="minorHAnsi"/>
        </w:rPr>
        <w:t xml:space="preserve"> is used in topical preparations for muscle and joint pain and in dry cough formulations sold over the counter.</w:t>
      </w:r>
    </w:p>
    <w:p w14:paraId="1087B996" w14:textId="298D7F08" w:rsidR="00A168B8" w:rsidRDefault="00476289" w:rsidP="005C68D7">
      <w:pPr>
        <w:rPr>
          <w:rFonts w:asciiTheme="minorHAnsi" w:eastAsia="Cambria" w:hAnsiTheme="minorHAnsi" w:cstheme="minorHAnsi"/>
        </w:rPr>
      </w:pPr>
      <w:r>
        <w:rPr>
          <w:rFonts w:asciiTheme="minorHAnsi" w:eastAsia="Cambria" w:hAnsiTheme="minorHAnsi" w:cstheme="minorHAnsi"/>
        </w:rPr>
        <w:t>‘</w:t>
      </w:r>
      <w:r w:rsidR="00184B40" w:rsidRPr="00184B40">
        <w:rPr>
          <w:rFonts w:asciiTheme="minorHAnsi" w:eastAsia="Cambria" w:hAnsiTheme="minorHAnsi" w:cstheme="minorHAnsi"/>
        </w:rPr>
        <w:t>Colic’ is an out-dated term used to describe excessive crying and popular ‘colic treatments’ such as gripe water, herbal remedies and homeopathy are not indicated. Some ‘colic preparations’ contain belladonna which poses significant additional risks.</w:t>
      </w:r>
    </w:p>
    <w:p w14:paraId="5367D8D7" w14:textId="18514971" w:rsidR="00D05C68" w:rsidRDefault="00D05C68" w:rsidP="00D05C68">
      <w:pPr>
        <w:pStyle w:val="Heading4"/>
      </w:pPr>
      <w:bookmarkStart w:id="53" w:name="_Toc177657865"/>
      <w:r>
        <w:t xml:space="preserve">Summary of </w:t>
      </w:r>
      <w:r w:rsidR="002A2CC4">
        <w:t xml:space="preserve">the </w:t>
      </w:r>
      <w:r>
        <w:t>reasons for the proposal</w:t>
      </w:r>
      <w:bookmarkEnd w:id="53"/>
    </w:p>
    <w:p w14:paraId="20728FBA" w14:textId="234852D2" w:rsidR="00C81728" w:rsidRDefault="00000FA0" w:rsidP="00FB119D">
      <w:pPr>
        <w:pStyle w:val="ListBullet"/>
      </w:pPr>
      <w:r>
        <w:t>Several</w:t>
      </w:r>
      <w:r w:rsidR="009D7819" w:rsidRPr="005C68D7">
        <w:t xml:space="preserve"> </w:t>
      </w:r>
      <w:hyperlink r:id="rId37" w:history="1">
        <w:r w:rsidR="009D7819" w:rsidRPr="005C68D7">
          <w:rPr>
            <w:rStyle w:val="Hyperlink"/>
            <w:rFonts w:asciiTheme="minorHAnsi" w:eastAsiaTheme="minorHAnsi" w:hAnsiTheme="minorHAnsi"/>
          </w:rPr>
          <w:t>adverse event reports</w:t>
        </w:r>
      </w:hyperlink>
      <w:r w:rsidR="009D7819" w:rsidRPr="005C68D7">
        <w:t xml:space="preserve"> have been received</w:t>
      </w:r>
      <w:r w:rsidR="00D40CAB" w:rsidRPr="005C68D7">
        <w:t xml:space="preserve"> regarding </w:t>
      </w:r>
      <w:r w:rsidR="00FB119D" w:rsidRPr="00FB119D">
        <w:rPr>
          <w:i/>
          <w:iCs/>
        </w:rPr>
        <w:t xml:space="preserve">Atropa </w:t>
      </w:r>
      <w:r w:rsidR="00D40CAB" w:rsidRPr="00FB119D">
        <w:rPr>
          <w:i/>
          <w:iCs/>
        </w:rPr>
        <w:t>belladonna</w:t>
      </w:r>
      <w:r w:rsidR="00D40CAB" w:rsidRPr="005C68D7">
        <w:t xml:space="preserve"> products </w:t>
      </w:r>
      <w:r>
        <w:t xml:space="preserve">purchased by the </w:t>
      </w:r>
      <w:r w:rsidR="00360C86" w:rsidRPr="005C68D7">
        <w:t>members of the public</w:t>
      </w:r>
      <w:r w:rsidR="009D7819" w:rsidRPr="005C68D7">
        <w:t xml:space="preserve">. </w:t>
      </w:r>
    </w:p>
    <w:p w14:paraId="3ACB1F5F" w14:textId="200BFD3E" w:rsidR="00452061" w:rsidRDefault="00452061" w:rsidP="00FB119D">
      <w:pPr>
        <w:pStyle w:val="ListBullet"/>
      </w:pPr>
      <w:r>
        <w:t>From the beginning of 2023, there have been 49 adverse events</w:t>
      </w:r>
      <w:r w:rsidR="00B44B5E">
        <w:t xml:space="preserve"> where </w:t>
      </w:r>
      <w:r w:rsidR="00B44B5E" w:rsidRPr="00FB119D">
        <w:rPr>
          <w:i/>
          <w:iCs/>
        </w:rPr>
        <w:t>Atropa belladonna</w:t>
      </w:r>
      <w:r w:rsidR="00B44B5E">
        <w:t xml:space="preserve"> was considered the main ingredient that caused the event</w:t>
      </w:r>
      <w:r w:rsidR="009526B3">
        <w:t xml:space="preserve">. </w:t>
      </w:r>
      <w:r w:rsidR="00B44B5E">
        <w:t xml:space="preserve">These can all assumed to be in children under </w:t>
      </w:r>
      <w:r w:rsidR="000C6DFE">
        <w:t>6. Over half (</w:t>
      </w:r>
      <w:r w:rsidR="009526B3">
        <w:t>28 of the</w:t>
      </w:r>
      <w:r w:rsidR="00B44B5E">
        <w:t xml:space="preserve"> events</w:t>
      </w:r>
      <w:r w:rsidR="000C6DFE">
        <w:t>)</w:t>
      </w:r>
      <w:r w:rsidR="009526B3">
        <w:t xml:space="preserve"> did not list the age of the infant but were using a</w:t>
      </w:r>
      <w:r w:rsidR="00B44B5E">
        <w:t xml:space="preserve"> ‘colic’</w:t>
      </w:r>
      <w:r w:rsidR="009526B3">
        <w:t xml:space="preserve"> product intended for infants. </w:t>
      </w:r>
      <w:r w:rsidR="00B44B5E">
        <w:t>Of the remaining 21 adverse events, 19 were in children under 1</w:t>
      </w:r>
      <w:r w:rsidR="00ED5C1F">
        <w:t> </w:t>
      </w:r>
      <w:r w:rsidR="00524FD4">
        <w:t>year,</w:t>
      </w:r>
      <w:r w:rsidR="00B44B5E">
        <w:t xml:space="preserve"> and 2 were in </w:t>
      </w:r>
      <w:r w:rsidR="00FB119D">
        <w:t>3</w:t>
      </w:r>
      <w:r w:rsidR="002A2CC4">
        <w:t>-</w:t>
      </w:r>
      <w:r w:rsidR="00B44B5E">
        <w:t>year olds.</w:t>
      </w:r>
    </w:p>
    <w:p w14:paraId="7051E730" w14:textId="03D8F288" w:rsidR="000C6DFE" w:rsidRPr="005C68D7" w:rsidRDefault="000C6DFE" w:rsidP="00FB119D">
      <w:pPr>
        <w:pStyle w:val="ListBullet"/>
      </w:pPr>
      <w:r>
        <w:t>All adverse events from 2023 onwards are associated with a single product compounded by pharmacists</w:t>
      </w:r>
      <w:r w:rsidR="002A2CC4">
        <w:t>. There are no products</w:t>
      </w:r>
      <w:r>
        <w:t xml:space="preserve"> approved by the Therapeutic Goods Administration.</w:t>
      </w:r>
    </w:p>
    <w:p w14:paraId="5657146A" w14:textId="5D1AE067" w:rsidR="009D7819" w:rsidRDefault="00FB052D" w:rsidP="00FB119D">
      <w:pPr>
        <w:pStyle w:val="ListBullet"/>
      </w:pPr>
      <w:r>
        <w:t>T</w:t>
      </w:r>
      <w:r w:rsidR="009D7819">
        <w:t>here is little reliable information on safe paediatric doses for preparations containing belladonna tincture.</w:t>
      </w:r>
    </w:p>
    <w:p w14:paraId="4901EB67" w14:textId="41BD9FA5" w:rsidR="009526B3" w:rsidRDefault="009526B3" w:rsidP="00FB119D">
      <w:pPr>
        <w:pStyle w:val="ListBullet"/>
      </w:pPr>
      <w:r>
        <w:t>The current Poisons Standard entry</w:t>
      </w:r>
      <w:r w:rsidR="00A04F95">
        <w:t>, when it was last considered in 2006,</w:t>
      </w:r>
      <w:r w:rsidR="000C6DFE">
        <w:t xml:space="preserve"> did not take children’s dosages into account and the </w:t>
      </w:r>
      <w:r w:rsidR="00A91F01">
        <w:t xml:space="preserve">concentration </w:t>
      </w:r>
      <w:r w:rsidR="000C6DFE">
        <w:t>cut</w:t>
      </w:r>
      <w:r w:rsidR="00A91F01">
        <w:t>-</w:t>
      </w:r>
      <w:r w:rsidR="000C6DFE">
        <w:t xml:space="preserve">offs were </w:t>
      </w:r>
      <w:r w:rsidR="00A04F95">
        <w:t xml:space="preserve">based on harmonisation with New Zealand and </w:t>
      </w:r>
      <w:r w:rsidR="000C6DFE">
        <w:t>not on considerations of paediatric doses.</w:t>
      </w:r>
    </w:p>
    <w:p w14:paraId="47BD1DD0" w14:textId="73D04E23" w:rsidR="006F7CF6" w:rsidRDefault="006F7CF6" w:rsidP="00FB119D">
      <w:pPr>
        <w:pStyle w:val="ListBullet"/>
      </w:pPr>
      <w:r>
        <w:t>Signs of overdose with this medicine</w:t>
      </w:r>
      <w:r w:rsidR="00214AF2">
        <w:t>, for example</w:t>
      </w:r>
      <w:r>
        <w:t xml:space="preserve"> </w:t>
      </w:r>
      <w:r w:rsidR="00D1274E">
        <w:t>lethargy</w:t>
      </w:r>
      <w:r w:rsidR="00C154B3">
        <w:t>, reduction in crying</w:t>
      </w:r>
      <w:r w:rsidR="00214AF2">
        <w:t>,</w:t>
      </w:r>
      <w:r>
        <w:t xml:space="preserve"> resembles the signs of a toxic dose and could be easily confused by consumers.</w:t>
      </w:r>
      <w:r w:rsidR="00524FD4" w:rsidRPr="00524FD4">
        <w:t xml:space="preserve"> Belladonna toxicity can cause symptoms in an infant that include dry mouth and skin, dilated pupils, inability to pass urine, floppiness and poor feeding.</w:t>
      </w:r>
    </w:p>
    <w:p w14:paraId="1EDC664E" w14:textId="77BB1A8C" w:rsidR="00524FD4" w:rsidRDefault="00524FD4" w:rsidP="00FB119D">
      <w:pPr>
        <w:pStyle w:val="ListBullet"/>
      </w:pPr>
      <w:r w:rsidRPr="00524FD4">
        <w:t>Onset of toxicity is usually within 30 minutes to 4 hours; symptoms may be significantly delayed or prolonged due to decreased gastric motility and may vary due to frequent and repeated dosing.</w:t>
      </w:r>
    </w:p>
    <w:p w14:paraId="3C6F1BA5" w14:textId="6D83ECDD" w:rsidR="009D7819" w:rsidRDefault="009D7819" w:rsidP="00FB119D">
      <w:pPr>
        <w:pStyle w:val="ListBullet"/>
      </w:pPr>
      <w:r>
        <w:t xml:space="preserve">It should be noted that </w:t>
      </w:r>
      <w:r w:rsidR="00A91F01">
        <w:t xml:space="preserve">products that contain belladonna </w:t>
      </w:r>
      <w:r>
        <w:t xml:space="preserve">tincture </w:t>
      </w:r>
      <w:r w:rsidR="00A91F01">
        <w:t xml:space="preserve">are often </w:t>
      </w:r>
      <w:r>
        <w:t>compounded from leaves</w:t>
      </w:r>
      <w:r w:rsidR="00A91F01">
        <w:t>;</w:t>
      </w:r>
      <w:r>
        <w:t xml:space="preserve"> the amount of alkaloids can vary greatly, depending on growing conditions and plant to plant variations.</w:t>
      </w:r>
    </w:p>
    <w:p w14:paraId="7C026478" w14:textId="377FE601" w:rsidR="00D05C68" w:rsidRDefault="00D05C68" w:rsidP="00D05C68">
      <w:pPr>
        <w:pStyle w:val="Heading4"/>
      </w:pPr>
      <w:bookmarkStart w:id="54" w:name="_Toc177657866"/>
      <w:r>
        <w:t>Key uses/expected use</w:t>
      </w:r>
      <w:bookmarkEnd w:id="54"/>
    </w:p>
    <w:p w14:paraId="02D54130" w14:textId="68566CF1" w:rsidR="00D05C68" w:rsidRDefault="00D05C68" w:rsidP="00FB119D">
      <w:pPr>
        <w:pStyle w:val="ListBullet-dotick"/>
        <w:numPr>
          <w:ilvl w:val="0"/>
          <w:numId w:val="0"/>
        </w:numPr>
      </w:pPr>
      <w:r w:rsidRPr="00184B40">
        <w:t>Medicines</w:t>
      </w:r>
    </w:p>
    <w:p w14:paraId="46E5D906" w14:textId="77777777" w:rsidR="00A91F01" w:rsidRDefault="00A91F01">
      <w:pPr>
        <w:rPr>
          <w:rFonts w:eastAsia="Cambria" w:cs="Times New Roman"/>
          <w:bCs/>
          <w:color w:val="001871"/>
          <w:sz w:val="28"/>
          <w:szCs w:val="26"/>
          <w:lang w:eastAsia="en-AU"/>
        </w:rPr>
      </w:pPr>
      <w:bookmarkStart w:id="55" w:name="_Toc177657867"/>
      <w:r>
        <w:br w:type="page"/>
      </w:r>
    </w:p>
    <w:p w14:paraId="4A329000" w14:textId="7922CB80" w:rsidR="00D05C68" w:rsidRDefault="00D05C68" w:rsidP="00D05C68">
      <w:pPr>
        <w:pStyle w:val="Heading4"/>
      </w:pPr>
      <w:r>
        <w:lastRenderedPageBreak/>
        <w:t>Australian regulations</w:t>
      </w:r>
      <w:bookmarkEnd w:id="55"/>
    </w:p>
    <w:p w14:paraId="62643DCE" w14:textId="5595C0C2" w:rsidR="00910CF2" w:rsidRDefault="00910CF2" w:rsidP="00FB119D">
      <w:pPr>
        <w:pStyle w:val="ListBullet"/>
      </w:pPr>
      <w:r w:rsidRPr="00476289">
        <w:t xml:space="preserve">According to the </w:t>
      </w:r>
      <w:hyperlink r:id="rId38" w:history="1">
        <w:r w:rsidRPr="00476289">
          <w:rPr>
            <w:rStyle w:val="Hyperlink"/>
            <w:rFonts w:asciiTheme="minorHAnsi" w:hAnsiTheme="minorHAnsi"/>
          </w:rPr>
          <w:t>TGA Ingredient Database</w:t>
        </w:r>
      </w:hyperlink>
      <w:r w:rsidRPr="00476289">
        <w:t xml:space="preserve">, </w:t>
      </w:r>
      <w:r w:rsidR="00FB119D" w:rsidRPr="00FB119D">
        <w:rPr>
          <w:i/>
          <w:iCs/>
        </w:rPr>
        <w:t xml:space="preserve">Atropa </w:t>
      </w:r>
      <w:r w:rsidRPr="00FB119D">
        <w:rPr>
          <w:i/>
          <w:iCs/>
        </w:rPr>
        <w:t>belladonna</w:t>
      </w:r>
      <w:r>
        <w:t xml:space="preserve"> is:</w:t>
      </w:r>
    </w:p>
    <w:p w14:paraId="3AA3EB7E" w14:textId="77777777" w:rsidR="00910CF2" w:rsidRDefault="00910CF2" w:rsidP="00910CF2">
      <w:pPr>
        <w:pStyle w:val="ListBullet2"/>
      </w:pPr>
      <w:r>
        <w:t xml:space="preserve">Available for use as an Active Ingredient in: Export Only, Listed Medicines, Over the Counter, Prescription Medicines </w:t>
      </w:r>
    </w:p>
    <w:p w14:paraId="3D8E0A94" w14:textId="77777777" w:rsidR="00910CF2" w:rsidRDefault="00910CF2" w:rsidP="00910CF2">
      <w:pPr>
        <w:pStyle w:val="ListBullet2"/>
      </w:pPr>
      <w:r>
        <w:t xml:space="preserve">Also available for use as a Homoeopathic Ingredient in Listed Medicines </w:t>
      </w:r>
    </w:p>
    <w:p w14:paraId="0D38A663" w14:textId="77777777" w:rsidR="00910CF2" w:rsidRDefault="00910CF2" w:rsidP="00910CF2">
      <w:pPr>
        <w:pStyle w:val="ListBullet2"/>
      </w:pPr>
      <w:r>
        <w:t xml:space="preserve">Available for use as an Excipient Ingredient in: Prescription Medicines </w:t>
      </w:r>
    </w:p>
    <w:p w14:paraId="5153D68A" w14:textId="77777777" w:rsidR="00910CF2" w:rsidRDefault="00910CF2" w:rsidP="00910CF2">
      <w:pPr>
        <w:pStyle w:val="ListBullet2"/>
      </w:pPr>
      <w:r>
        <w:t>Not available as an Equivalent Ingredient in any application</w:t>
      </w:r>
    </w:p>
    <w:p w14:paraId="38841D81" w14:textId="0B7D5B13" w:rsidR="006D6B92" w:rsidRDefault="006D6B92" w:rsidP="00FB119D">
      <w:pPr>
        <w:pStyle w:val="ListBullet"/>
      </w:pPr>
      <w:r w:rsidRPr="00476289">
        <w:t xml:space="preserve">As of 11 June 2024, there were 9 medicines currently active on the </w:t>
      </w:r>
      <w:hyperlink r:id="rId39" w:history="1">
        <w:r w:rsidRPr="00476289">
          <w:rPr>
            <w:rStyle w:val="Hyperlink"/>
            <w:rFonts w:asciiTheme="minorHAnsi" w:hAnsiTheme="minorHAnsi"/>
          </w:rPr>
          <w:t>Australian Register of Therapeutic Goods (ARTG)</w:t>
        </w:r>
      </w:hyperlink>
      <w:r w:rsidRPr="00476289">
        <w:t xml:space="preserve"> that contain </w:t>
      </w:r>
      <w:r w:rsidR="00FB119D" w:rsidRPr="00FB119D">
        <w:rPr>
          <w:i/>
          <w:iCs/>
        </w:rPr>
        <w:t xml:space="preserve">Atropa </w:t>
      </w:r>
      <w:r w:rsidRPr="00FB119D">
        <w:rPr>
          <w:i/>
          <w:iCs/>
        </w:rPr>
        <w:t>belladonna</w:t>
      </w:r>
      <w:r w:rsidRPr="00476289">
        <w:t xml:space="preserve"> in any form as an active ingredient. These include no prescription and nine non-prescription medicines with three different sponsors. Of these </w:t>
      </w:r>
      <w:r w:rsidR="00FB119D">
        <w:t>9</w:t>
      </w:r>
      <w:r w:rsidR="00FB119D" w:rsidRPr="00476289">
        <w:t xml:space="preserve"> </w:t>
      </w:r>
      <w:r w:rsidRPr="00476289">
        <w:t xml:space="preserve">preparations, </w:t>
      </w:r>
      <w:r w:rsidR="00FB119D">
        <w:t>4</w:t>
      </w:r>
      <w:r w:rsidR="00FB119D" w:rsidRPr="00476289">
        <w:t xml:space="preserve"> </w:t>
      </w:r>
      <w:r w:rsidRPr="00476289">
        <w:t>are oral preparations.</w:t>
      </w:r>
    </w:p>
    <w:p w14:paraId="1ED920EE" w14:textId="6138F9E7" w:rsidR="000C6DFE" w:rsidRPr="00476289" w:rsidRDefault="000C6DFE" w:rsidP="00FB119D">
      <w:pPr>
        <w:pStyle w:val="ListBullet"/>
      </w:pPr>
      <w:r>
        <w:t xml:space="preserve">The oral preparations </w:t>
      </w:r>
      <w:r w:rsidR="002A2CC4">
        <w:t xml:space="preserve">that are </w:t>
      </w:r>
      <w:r>
        <w:t xml:space="preserve">available are </w:t>
      </w:r>
      <w:r w:rsidR="00A04F95">
        <w:t>homeopathic</w:t>
      </w:r>
      <w:r>
        <w:t xml:space="preserve">. </w:t>
      </w:r>
    </w:p>
    <w:p w14:paraId="5DAF3CB4" w14:textId="2414B3A3" w:rsidR="00D05C68" w:rsidRDefault="00D05C68" w:rsidP="00FB119D">
      <w:pPr>
        <w:pStyle w:val="ListBullet"/>
      </w:pPr>
      <w:r>
        <w:t xml:space="preserve">According to the </w:t>
      </w:r>
      <w:hyperlink r:id="rId40" w:history="1">
        <w:r w:rsidRPr="00C56F18">
          <w:rPr>
            <w:rStyle w:val="Hyperlink"/>
          </w:rPr>
          <w:t>Therapeutic Goods (Permissible Ingredients) Determination</w:t>
        </w:r>
      </w:hyperlink>
      <w:r>
        <w:t xml:space="preserve"> (No.</w:t>
      </w:r>
      <w:r w:rsidR="006D6B92">
        <w:t>1</w:t>
      </w:r>
      <w:r>
        <w:t>) 20</w:t>
      </w:r>
      <w:r w:rsidR="006D6B92">
        <w:t>24</w:t>
      </w:r>
      <w:r>
        <w:t xml:space="preserve">, </w:t>
      </w:r>
      <w:r w:rsidR="006D6B92" w:rsidRPr="00FB119D">
        <w:rPr>
          <w:i/>
          <w:iCs/>
        </w:rPr>
        <w:t>Atropa belladonna</w:t>
      </w:r>
      <w:r>
        <w:t xml:space="preserve"> is permitted to be included in listed medicines as follows:</w:t>
      </w:r>
    </w:p>
    <w:tbl>
      <w:tblPr>
        <w:tblStyle w:val="TableTGAblue"/>
        <w:tblW w:w="0" w:type="auto"/>
        <w:tblLook w:val="04A0" w:firstRow="1" w:lastRow="0" w:firstColumn="1" w:lastColumn="0" w:noHBand="0" w:noVBand="1"/>
      </w:tblPr>
      <w:tblGrid>
        <w:gridCol w:w="702"/>
        <w:gridCol w:w="2934"/>
        <w:gridCol w:w="1097"/>
        <w:gridCol w:w="4273"/>
      </w:tblGrid>
      <w:tr w:rsidR="00D05C68" w:rsidRPr="00FB119D" w14:paraId="56C843F2" w14:textId="77777777" w:rsidTr="00FB1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26B8A2E7" w14:textId="77777777" w:rsidR="00D05C68" w:rsidRPr="00FB119D" w:rsidRDefault="00D05C68" w:rsidP="00FB119D">
            <w:pPr>
              <w:pStyle w:val="ListBullet-dotick"/>
              <w:numPr>
                <w:ilvl w:val="0"/>
                <w:numId w:val="0"/>
              </w:numPr>
              <w:rPr>
                <w:sz w:val="20"/>
                <w:szCs w:val="20"/>
              </w:rPr>
            </w:pPr>
            <w:r w:rsidRPr="00FB119D">
              <w:rPr>
                <w:sz w:val="20"/>
                <w:szCs w:val="20"/>
              </w:rPr>
              <w:t>Item</w:t>
            </w:r>
          </w:p>
        </w:tc>
        <w:tc>
          <w:tcPr>
            <w:tcW w:w="2937" w:type="dxa"/>
          </w:tcPr>
          <w:p w14:paraId="144E45C5" w14:textId="77777777" w:rsidR="00D05C68" w:rsidRPr="00FB119D" w:rsidRDefault="00D05C68" w:rsidP="00FB119D">
            <w:pPr>
              <w:pStyle w:val="ListBullet-dotick"/>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FB119D">
              <w:rPr>
                <w:sz w:val="20"/>
                <w:szCs w:val="20"/>
              </w:rPr>
              <w:t>Ingredient name</w:t>
            </w:r>
          </w:p>
        </w:tc>
        <w:tc>
          <w:tcPr>
            <w:tcW w:w="1097" w:type="dxa"/>
          </w:tcPr>
          <w:p w14:paraId="19D765D8" w14:textId="77777777" w:rsidR="00D05C68" w:rsidRPr="00FB119D" w:rsidRDefault="00D05C68" w:rsidP="00FB119D">
            <w:pPr>
              <w:pStyle w:val="ListBullet-dotick"/>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FB119D">
              <w:rPr>
                <w:sz w:val="20"/>
                <w:szCs w:val="20"/>
              </w:rPr>
              <w:t>Purpose</w:t>
            </w:r>
          </w:p>
        </w:tc>
        <w:tc>
          <w:tcPr>
            <w:tcW w:w="4279" w:type="dxa"/>
          </w:tcPr>
          <w:p w14:paraId="776AC9AF" w14:textId="77777777" w:rsidR="00D05C68" w:rsidRPr="00FB119D" w:rsidRDefault="00D05C68" w:rsidP="00FB119D">
            <w:pPr>
              <w:pStyle w:val="ListBullet-dotick"/>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FB119D">
              <w:rPr>
                <w:sz w:val="20"/>
                <w:szCs w:val="20"/>
              </w:rPr>
              <w:t>Specific requirements</w:t>
            </w:r>
          </w:p>
        </w:tc>
      </w:tr>
      <w:tr w:rsidR="007B0D5D" w:rsidRPr="00FB119D" w14:paraId="78AA3FC7" w14:textId="77777777" w:rsidTr="00FB119D">
        <w:tc>
          <w:tcPr>
            <w:cnfStyle w:val="001000000000" w:firstRow="0" w:lastRow="0" w:firstColumn="1" w:lastColumn="0" w:oddVBand="0" w:evenVBand="0" w:oddHBand="0" w:evenHBand="0" w:firstRowFirstColumn="0" w:firstRowLastColumn="0" w:lastRowFirstColumn="0" w:lastRowLastColumn="0"/>
            <w:tcW w:w="703" w:type="dxa"/>
          </w:tcPr>
          <w:p w14:paraId="5BE3810A" w14:textId="05DC50B0" w:rsidR="007B0D5D" w:rsidRPr="00FB119D" w:rsidRDefault="007B0D5D" w:rsidP="00FB119D">
            <w:pPr>
              <w:pStyle w:val="ListBullet-dotick"/>
              <w:numPr>
                <w:ilvl w:val="0"/>
                <w:numId w:val="0"/>
              </w:numPr>
              <w:rPr>
                <w:sz w:val="20"/>
                <w:szCs w:val="20"/>
              </w:rPr>
            </w:pPr>
            <w:r w:rsidRPr="00FB119D">
              <w:rPr>
                <w:sz w:val="20"/>
                <w:szCs w:val="20"/>
              </w:rPr>
              <w:t>737</w:t>
            </w:r>
          </w:p>
        </w:tc>
        <w:tc>
          <w:tcPr>
            <w:tcW w:w="2937" w:type="dxa"/>
          </w:tcPr>
          <w:p w14:paraId="41DA4C93" w14:textId="3528B6D2" w:rsidR="007B0D5D" w:rsidRPr="00FB119D" w:rsidRDefault="007B0D5D"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ATROPA BELLADONNA</w:t>
            </w:r>
          </w:p>
        </w:tc>
        <w:tc>
          <w:tcPr>
            <w:tcW w:w="1097" w:type="dxa"/>
          </w:tcPr>
          <w:p w14:paraId="6EB88B7A" w14:textId="21B28A6C" w:rsidR="007B0D5D" w:rsidRPr="00FB119D" w:rsidRDefault="007B0D5D"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A, H</w:t>
            </w:r>
          </w:p>
        </w:tc>
        <w:tc>
          <w:tcPr>
            <w:tcW w:w="4279" w:type="dxa"/>
          </w:tcPr>
          <w:p w14:paraId="7E6CD04C" w14:textId="77777777" w:rsidR="007B0D5D" w:rsidRPr="00FB119D" w:rsidRDefault="007B0D5D" w:rsidP="00184B40">
            <w:pPr>
              <w:pStyle w:val="NormalWeb"/>
              <w:spacing w:before="60" w:beforeAutospacing="0" w:after="0" w:afterAutospacing="0" w:line="2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B119D">
              <w:rPr>
                <w:rFonts w:asciiTheme="minorHAnsi" w:hAnsiTheme="minorHAnsi" w:cstheme="minorHAnsi"/>
                <w:sz w:val="20"/>
                <w:szCs w:val="20"/>
              </w:rPr>
              <w:t>Alkaloids calculated as hyoscyamine and atropine are mandatory components of Atropa belladonna.</w:t>
            </w:r>
          </w:p>
          <w:p w14:paraId="2F7FE37B" w14:textId="3A3EC940" w:rsidR="007B0D5D" w:rsidRPr="00FB119D" w:rsidRDefault="007B0D5D" w:rsidP="00184B40">
            <w:pPr>
              <w:pStyle w:val="NormalWeb"/>
              <w:spacing w:before="60" w:beforeAutospacing="0" w:after="0" w:afterAutospacing="0" w:line="2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B119D">
              <w:rPr>
                <w:rFonts w:asciiTheme="minorHAnsi" w:hAnsiTheme="minorHAnsi" w:cstheme="minorHAnsi"/>
                <w:sz w:val="20"/>
                <w:szCs w:val="20"/>
              </w:rPr>
              <w:t>The concentration of alkaloids calculated as hyoscyamine in the medicine must be no more than 300 micrograms/kg or 300</w:t>
            </w:r>
            <w:r w:rsidR="00A91F01">
              <w:rPr>
                <w:rFonts w:asciiTheme="minorHAnsi" w:hAnsiTheme="minorHAnsi" w:cstheme="minorHAnsi"/>
                <w:sz w:val="20"/>
                <w:szCs w:val="20"/>
              </w:rPr>
              <w:t> </w:t>
            </w:r>
            <w:r w:rsidRPr="00FB119D">
              <w:rPr>
                <w:rFonts w:asciiTheme="minorHAnsi" w:hAnsiTheme="minorHAnsi" w:cstheme="minorHAnsi"/>
                <w:sz w:val="20"/>
                <w:szCs w:val="20"/>
              </w:rPr>
              <w:t>micrograms/L or 0.00003%.</w:t>
            </w:r>
          </w:p>
          <w:p w14:paraId="38CBACA0" w14:textId="61D7F286" w:rsidR="007B0D5D" w:rsidRPr="00FB119D" w:rsidRDefault="007B0D5D"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 xml:space="preserve">The concentration of atropine in the medicine must be no more than 100 micrograms/kg or </w:t>
            </w:r>
            <w:r w:rsidR="002A2CC4" w:rsidRPr="00FB119D">
              <w:rPr>
                <w:sz w:val="20"/>
                <w:szCs w:val="20"/>
              </w:rPr>
              <w:t>100 </w:t>
            </w:r>
            <w:r w:rsidRPr="00FB119D">
              <w:rPr>
                <w:sz w:val="20"/>
                <w:szCs w:val="20"/>
              </w:rPr>
              <w:t>micrograms/L or 0.00001%.</w:t>
            </w:r>
          </w:p>
        </w:tc>
      </w:tr>
      <w:tr w:rsidR="00D05C68" w:rsidRPr="00FB119D" w14:paraId="10C3146E" w14:textId="77777777" w:rsidTr="00FB119D">
        <w:tc>
          <w:tcPr>
            <w:cnfStyle w:val="001000000000" w:firstRow="0" w:lastRow="0" w:firstColumn="1" w:lastColumn="0" w:oddVBand="0" w:evenVBand="0" w:oddHBand="0" w:evenHBand="0" w:firstRowFirstColumn="0" w:firstRowLastColumn="0" w:lastRowFirstColumn="0" w:lastRowLastColumn="0"/>
            <w:tcW w:w="9016" w:type="dxa"/>
            <w:gridSpan w:val="4"/>
          </w:tcPr>
          <w:p w14:paraId="365DA456" w14:textId="77777777" w:rsidR="00D05C68" w:rsidRPr="00FB119D" w:rsidRDefault="00D05C68" w:rsidP="00FB119D">
            <w:pPr>
              <w:pStyle w:val="ListBullet-dotick"/>
              <w:numPr>
                <w:ilvl w:val="0"/>
                <w:numId w:val="0"/>
              </w:numPr>
              <w:rPr>
                <w:sz w:val="20"/>
                <w:szCs w:val="20"/>
              </w:rPr>
            </w:pPr>
            <w:r w:rsidRPr="00FB119D">
              <w:rPr>
                <w:sz w:val="20"/>
                <w:szCs w:val="20"/>
              </w:rPr>
              <w:t>A = active ingredient for a medicine has the same meaning as in the Regulations</w:t>
            </w:r>
          </w:p>
          <w:p w14:paraId="7430D75E" w14:textId="77777777" w:rsidR="00D05C68" w:rsidRPr="00FB119D" w:rsidRDefault="00D05C68" w:rsidP="00FB119D">
            <w:pPr>
              <w:pStyle w:val="ListBullet-dotick"/>
              <w:numPr>
                <w:ilvl w:val="0"/>
                <w:numId w:val="0"/>
              </w:numPr>
              <w:rPr>
                <w:sz w:val="20"/>
                <w:szCs w:val="20"/>
              </w:rPr>
            </w:pPr>
            <w:r w:rsidRPr="00FB119D">
              <w:rPr>
                <w:sz w:val="20"/>
                <w:szCs w:val="20"/>
              </w:rPr>
              <w:t>H = homeopathic preparation ingredient meaning an ingredient that is a constituent of a homeopathic preparation</w:t>
            </w:r>
          </w:p>
        </w:tc>
      </w:tr>
    </w:tbl>
    <w:p w14:paraId="26F38D5D" w14:textId="7CD0F295" w:rsidR="00D05C68" w:rsidRDefault="00D05C68" w:rsidP="00FB119D">
      <w:pPr>
        <w:pStyle w:val="ListBullet"/>
      </w:pPr>
      <w:r>
        <w:t xml:space="preserve">The </w:t>
      </w:r>
      <w:hyperlink r:id="rId41" w:history="1">
        <w:r w:rsidRPr="007176A9">
          <w:rPr>
            <w:rStyle w:val="Hyperlink"/>
          </w:rPr>
          <w:t>TGA prescribing medicines in pregnancy database</w:t>
        </w:r>
      </w:hyperlink>
      <w:r>
        <w:t xml:space="preserve"> classifies </w:t>
      </w:r>
      <w:r w:rsidR="00ED5C1F" w:rsidRPr="00ED5C1F">
        <w:rPr>
          <w:i/>
          <w:iCs/>
        </w:rPr>
        <w:t>A</w:t>
      </w:r>
      <w:r w:rsidR="0064243F" w:rsidRPr="00ED5C1F">
        <w:rPr>
          <w:i/>
          <w:iCs/>
        </w:rPr>
        <w:t>tropa belladonna</w:t>
      </w:r>
      <w:r>
        <w:t xml:space="preserve"> as:</w:t>
      </w:r>
    </w:p>
    <w:tbl>
      <w:tblPr>
        <w:tblStyle w:val="TableTGAblue"/>
        <w:tblW w:w="0" w:type="auto"/>
        <w:tblLook w:val="04A0" w:firstRow="1" w:lastRow="0" w:firstColumn="1" w:lastColumn="0" w:noHBand="0" w:noVBand="1"/>
      </w:tblPr>
      <w:tblGrid>
        <w:gridCol w:w="1799"/>
        <w:gridCol w:w="1800"/>
        <w:gridCol w:w="1802"/>
        <w:gridCol w:w="1802"/>
        <w:gridCol w:w="1803"/>
      </w:tblGrid>
      <w:tr w:rsidR="00FB119D" w:rsidRPr="00FB119D" w14:paraId="5E127BFF" w14:textId="77777777" w:rsidTr="00FB1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882F49C" w14:textId="77777777" w:rsidR="00D05C68" w:rsidRPr="00FB119D" w:rsidRDefault="00D05C68" w:rsidP="00190A7F">
            <w:pPr>
              <w:pStyle w:val="Tabletitle"/>
              <w:rPr>
                <w:rFonts w:asciiTheme="minorHAnsi" w:hAnsiTheme="minorHAnsi" w:cstheme="minorHAnsi"/>
                <w:b/>
                <w:bCs/>
                <w:color w:val="FFFFFF" w:themeColor="background1"/>
                <w:sz w:val="20"/>
                <w:szCs w:val="20"/>
              </w:rPr>
            </w:pPr>
            <w:r w:rsidRPr="00FB119D">
              <w:rPr>
                <w:rFonts w:asciiTheme="minorHAnsi" w:hAnsiTheme="minorHAnsi" w:cstheme="minorHAnsi"/>
                <w:b/>
                <w:bCs/>
                <w:color w:val="FFFFFF" w:themeColor="background1"/>
                <w:sz w:val="20"/>
                <w:szCs w:val="20"/>
              </w:rPr>
              <w:t>Drug name</w:t>
            </w:r>
          </w:p>
        </w:tc>
        <w:tc>
          <w:tcPr>
            <w:tcW w:w="1803" w:type="dxa"/>
          </w:tcPr>
          <w:p w14:paraId="02EEFDFC" w14:textId="77777777" w:rsidR="00D05C68" w:rsidRPr="00FB119D" w:rsidRDefault="00D05C68" w:rsidP="00190A7F">
            <w:pPr>
              <w:pStyle w:val="Tabletit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B119D">
              <w:rPr>
                <w:rFonts w:asciiTheme="minorHAnsi" w:hAnsiTheme="minorHAnsi" w:cstheme="minorHAnsi"/>
                <w:b/>
                <w:bCs/>
                <w:color w:val="FFFFFF" w:themeColor="background1"/>
                <w:sz w:val="20"/>
                <w:szCs w:val="20"/>
              </w:rPr>
              <w:t>Category</w:t>
            </w:r>
          </w:p>
        </w:tc>
        <w:tc>
          <w:tcPr>
            <w:tcW w:w="1803" w:type="dxa"/>
          </w:tcPr>
          <w:p w14:paraId="259262F2" w14:textId="77777777" w:rsidR="00D05C68" w:rsidRPr="00FB119D" w:rsidRDefault="00D05C68" w:rsidP="00190A7F">
            <w:pPr>
              <w:pStyle w:val="Tabletit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B119D">
              <w:rPr>
                <w:rFonts w:asciiTheme="minorHAnsi" w:hAnsiTheme="minorHAnsi" w:cstheme="minorHAnsi"/>
                <w:b/>
                <w:bCs/>
                <w:color w:val="FFFFFF" w:themeColor="background1"/>
                <w:sz w:val="20"/>
                <w:szCs w:val="20"/>
              </w:rPr>
              <w:t>Classification Level 1</w:t>
            </w:r>
          </w:p>
        </w:tc>
        <w:tc>
          <w:tcPr>
            <w:tcW w:w="1803" w:type="dxa"/>
          </w:tcPr>
          <w:p w14:paraId="7BEAB2CF" w14:textId="77777777" w:rsidR="00D05C68" w:rsidRPr="00FB119D" w:rsidRDefault="00D05C68" w:rsidP="00190A7F">
            <w:pPr>
              <w:pStyle w:val="Tabletit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B119D">
              <w:rPr>
                <w:rFonts w:asciiTheme="minorHAnsi" w:hAnsiTheme="minorHAnsi" w:cstheme="minorHAnsi"/>
                <w:b/>
                <w:bCs/>
                <w:color w:val="FFFFFF" w:themeColor="background1"/>
                <w:sz w:val="20"/>
                <w:szCs w:val="20"/>
              </w:rPr>
              <w:t>Classification Level 2</w:t>
            </w:r>
          </w:p>
        </w:tc>
        <w:tc>
          <w:tcPr>
            <w:tcW w:w="1804" w:type="dxa"/>
          </w:tcPr>
          <w:p w14:paraId="75DA9852" w14:textId="77777777" w:rsidR="00D05C68" w:rsidRPr="00FB119D" w:rsidRDefault="00D05C68" w:rsidP="00190A7F">
            <w:pPr>
              <w:pStyle w:val="Tabletit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B119D">
              <w:rPr>
                <w:rFonts w:asciiTheme="minorHAnsi" w:hAnsiTheme="minorHAnsi" w:cstheme="minorHAnsi"/>
                <w:b/>
                <w:bCs/>
                <w:color w:val="FFFFFF" w:themeColor="background1"/>
                <w:sz w:val="20"/>
                <w:szCs w:val="20"/>
              </w:rPr>
              <w:t>Classification Level 3</w:t>
            </w:r>
          </w:p>
        </w:tc>
      </w:tr>
      <w:tr w:rsidR="00474575" w:rsidRPr="00FB119D" w14:paraId="2820509A" w14:textId="77777777" w:rsidTr="00FB119D">
        <w:tc>
          <w:tcPr>
            <w:cnfStyle w:val="001000000000" w:firstRow="0" w:lastRow="0" w:firstColumn="1" w:lastColumn="0" w:oddVBand="0" w:evenVBand="0" w:oddHBand="0" w:evenHBand="0" w:firstRowFirstColumn="0" w:firstRowLastColumn="0" w:lastRowFirstColumn="0" w:lastRowLastColumn="0"/>
            <w:tcW w:w="1803" w:type="dxa"/>
          </w:tcPr>
          <w:p w14:paraId="062BC95F" w14:textId="25A64DF3" w:rsidR="00474575" w:rsidRPr="00FB119D" w:rsidRDefault="00474575" w:rsidP="00FB119D">
            <w:pPr>
              <w:pStyle w:val="ListBullet-donotcross"/>
              <w:numPr>
                <w:ilvl w:val="0"/>
                <w:numId w:val="0"/>
              </w:numPr>
              <w:rPr>
                <w:sz w:val="20"/>
                <w:szCs w:val="20"/>
                <w:highlight w:val="yellow"/>
              </w:rPr>
            </w:pPr>
            <w:r w:rsidRPr="00FB119D">
              <w:rPr>
                <w:sz w:val="20"/>
                <w:szCs w:val="20"/>
              </w:rPr>
              <w:t>belladonna</w:t>
            </w:r>
          </w:p>
        </w:tc>
        <w:tc>
          <w:tcPr>
            <w:tcW w:w="1803" w:type="dxa"/>
          </w:tcPr>
          <w:p w14:paraId="58D8EBEC" w14:textId="13FF0AA5" w:rsidR="00474575" w:rsidRPr="00FB119D" w:rsidRDefault="00474575" w:rsidP="00FB119D">
            <w:pPr>
              <w:pStyle w:val="ListBullet-donotcros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B2</w:t>
            </w:r>
          </w:p>
        </w:tc>
        <w:tc>
          <w:tcPr>
            <w:tcW w:w="1803" w:type="dxa"/>
          </w:tcPr>
          <w:p w14:paraId="14DF8F3C" w14:textId="3A481603" w:rsidR="00474575" w:rsidRPr="00FB119D" w:rsidRDefault="00474575" w:rsidP="00FB119D">
            <w:pPr>
              <w:pStyle w:val="ListBullet-donotcros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Cholinergic and Anticholinergic Agents</w:t>
            </w:r>
          </w:p>
        </w:tc>
        <w:tc>
          <w:tcPr>
            <w:tcW w:w="1803" w:type="dxa"/>
          </w:tcPr>
          <w:p w14:paraId="5F86A3BF" w14:textId="77777777" w:rsidR="00474575" w:rsidRPr="00FB119D" w:rsidRDefault="00474575" w:rsidP="00FB119D">
            <w:pPr>
              <w:pStyle w:val="ListBullet-donotcros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804" w:type="dxa"/>
          </w:tcPr>
          <w:p w14:paraId="4B44C402" w14:textId="77777777" w:rsidR="00474575" w:rsidRPr="00FB119D" w:rsidRDefault="00474575" w:rsidP="00FB119D">
            <w:pPr>
              <w:pStyle w:val="ListBullet-donotcross"/>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r>
      <w:tr w:rsidR="00D05C68" w:rsidRPr="00FB119D" w14:paraId="2CED1E1D" w14:textId="77777777" w:rsidTr="00FB119D">
        <w:tc>
          <w:tcPr>
            <w:cnfStyle w:val="001000000000" w:firstRow="0" w:lastRow="0" w:firstColumn="1" w:lastColumn="0" w:oddVBand="0" w:evenVBand="0" w:oddHBand="0" w:evenHBand="0" w:firstRowFirstColumn="0" w:firstRowLastColumn="0" w:lastRowFirstColumn="0" w:lastRowLastColumn="0"/>
            <w:tcW w:w="9016" w:type="dxa"/>
            <w:gridSpan w:val="5"/>
          </w:tcPr>
          <w:p w14:paraId="283EB201" w14:textId="77777777" w:rsidR="00D05C68" w:rsidRPr="00FB119D" w:rsidRDefault="00D05C68" w:rsidP="009C7813">
            <w:pPr>
              <w:keepNext/>
              <w:keepLines/>
              <w:spacing w:before="120" w:after="120"/>
              <w:rPr>
                <w:rFonts w:cs="Arial"/>
                <w:sz w:val="20"/>
                <w:szCs w:val="20"/>
              </w:rPr>
            </w:pPr>
            <w:r w:rsidRPr="00FB119D">
              <w:rPr>
                <w:rFonts w:cs="Arial"/>
                <w:b/>
                <w:sz w:val="20"/>
                <w:szCs w:val="20"/>
              </w:rPr>
              <w:lastRenderedPageBreak/>
              <w:t>Category B2</w:t>
            </w:r>
            <w:r w:rsidRPr="00FB119D">
              <w:rPr>
                <w:rFonts w:cs="Arial"/>
                <w:sz w:val="20"/>
                <w:szCs w:val="20"/>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174AD57F" w14:textId="15C6CC82" w:rsidR="00D05C68" w:rsidRPr="00FB119D" w:rsidRDefault="00D05C68" w:rsidP="00474575">
            <w:pPr>
              <w:keepNext/>
              <w:keepLines/>
              <w:spacing w:before="120" w:after="120"/>
              <w:rPr>
                <w:sz w:val="20"/>
                <w:szCs w:val="20"/>
              </w:rPr>
            </w:pPr>
            <w:r w:rsidRPr="00FB119D">
              <w:rPr>
                <w:rFonts w:cs="Arial"/>
                <w:sz w:val="20"/>
                <w:szCs w:val="20"/>
              </w:rPr>
              <w:t>Studies in animals are inadequate or may be lacking, but available data show no evidence of an increased occurrence of foetal damage.</w:t>
            </w:r>
          </w:p>
        </w:tc>
      </w:tr>
    </w:tbl>
    <w:p w14:paraId="2886B6B9" w14:textId="5D06BC07" w:rsidR="00D05C68" w:rsidRDefault="00474575" w:rsidP="00FB119D">
      <w:pPr>
        <w:pStyle w:val="ListBullet"/>
      </w:pPr>
      <w:r>
        <w:t>T</w:t>
      </w:r>
      <w:r w:rsidR="00D05C68">
        <w:t xml:space="preserve">he </w:t>
      </w:r>
      <w:hyperlink r:id="rId42" w:history="1">
        <w:r w:rsidR="00D05C68" w:rsidRPr="000929FD">
          <w:rPr>
            <w:rStyle w:val="Hyperlink"/>
          </w:rPr>
          <w:t>Therapeutic Goods (Medicines Advisory Statements) Specification 2021</w:t>
        </w:r>
      </w:hyperlink>
      <w:r w:rsidR="00D05C68">
        <w:t xml:space="preserve"> requires the following warning statements pertaining to [Substance] to be included on the labelling:</w:t>
      </w:r>
    </w:p>
    <w:tbl>
      <w:tblPr>
        <w:tblStyle w:val="TableTGAblue"/>
        <w:tblW w:w="0" w:type="auto"/>
        <w:tblLook w:val="04A0" w:firstRow="1" w:lastRow="0" w:firstColumn="1" w:lastColumn="0" w:noHBand="0" w:noVBand="1"/>
      </w:tblPr>
      <w:tblGrid>
        <w:gridCol w:w="3003"/>
        <w:gridCol w:w="3001"/>
        <w:gridCol w:w="3002"/>
      </w:tblGrid>
      <w:tr w:rsidR="00D05C68" w:rsidRPr="00FB119D" w14:paraId="05F17BC0" w14:textId="77777777" w:rsidTr="00FB1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31CA941" w14:textId="77777777" w:rsidR="00D05C68" w:rsidRPr="00FB119D" w:rsidRDefault="00D05C68" w:rsidP="00FB119D">
            <w:pPr>
              <w:pStyle w:val="ListBullet"/>
              <w:numPr>
                <w:ilvl w:val="0"/>
                <w:numId w:val="0"/>
              </w:numPr>
              <w:rPr>
                <w:sz w:val="20"/>
                <w:szCs w:val="20"/>
              </w:rPr>
            </w:pPr>
            <w:r w:rsidRPr="00FB119D">
              <w:rPr>
                <w:sz w:val="20"/>
                <w:szCs w:val="20"/>
              </w:rPr>
              <w:t>Substance</w:t>
            </w:r>
          </w:p>
        </w:tc>
        <w:tc>
          <w:tcPr>
            <w:tcW w:w="3005" w:type="dxa"/>
          </w:tcPr>
          <w:p w14:paraId="0D95F87C" w14:textId="77777777" w:rsidR="00D05C68" w:rsidRPr="00FB119D" w:rsidRDefault="00D05C68" w:rsidP="00FB119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FB119D">
              <w:rPr>
                <w:sz w:val="20"/>
                <w:szCs w:val="20"/>
              </w:rPr>
              <w:t>Conditions</w:t>
            </w:r>
          </w:p>
        </w:tc>
        <w:tc>
          <w:tcPr>
            <w:tcW w:w="3006" w:type="dxa"/>
          </w:tcPr>
          <w:p w14:paraId="4D6A66AB" w14:textId="77777777" w:rsidR="00D05C68" w:rsidRPr="00FB119D" w:rsidRDefault="00D05C68" w:rsidP="00FB119D">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FB119D">
              <w:rPr>
                <w:sz w:val="20"/>
                <w:szCs w:val="20"/>
              </w:rPr>
              <w:t>Required Statement(s)</w:t>
            </w:r>
          </w:p>
        </w:tc>
      </w:tr>
      <w:tr w:rsidR="00D808E7" w:rsidRPr="00FB119D" w14:paraId="798F2762" w14:textId="77777777" w:rsidTr="00FB119D">
        <w:tc>
          <w:tcPr>
            <w:cnfStyle w:val="001000000000" w:firstRow="0" w:lastRow="0" w:firstColumn="1" w:lastColumn="0" w:oddVBand="0" w:evenVBand="0" w:oddHBand="0" w:evenHBand="0" w:firstRowFirstColumn="0" w:firstRowLastColumn="0" w:lastRowFirstColumn="0" w:lastRowLastColumn="0"/>
            <w:tcW w:w="3005" w:type="dxa"/>
          </w:tcPr>
          <w:p w14:paraId="1C252F1F" w14:textId="0902F84D" w:rsidR="00D808E7" w:rsidRPr="00FB119D" w:rsidRDefault="00D808E7" w:rsidP="00FB119D">
            <w:pPr>
              <w:pStyle w:val="ListBullet"/>
              <w:numPr>
                <w:ilvl w:val="0"/>
                <w:numId w:val="0"/>
              </w:numPr>
              <w:rPr>
                <w:sz w:val="20"/>
                <w:szCs w:val="20"/>
              </w:rPr>
            </w:pPr>
            <w:r w:rsidRPr="00FB119D">
              <w:rPr>
                <w:sz w:val="20"/>
                <w:szCs w:val="20"/>
              </w:rPr>
              <w:t>Atropa belladona</w:t>
            </w:r>
          </w:p>
        </w:tc>
        <w:tc>
          <w:tcPr>
            <w:tcW w:w="3005" w:type="dxa"/>
          </w:tcPr>
          <w:p w14:paraId="598D7ED8" w14:textId="51FC5705" w:rsidR="00D808E7" w:rsidRPr="00FB119D" w:rsidRDefault="00D808E7" w:rsidP="00FB119D">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In preparations for oral use, EXCEPT where indicated exclusively for the treatment of motion/travel sickness</w:t>
            </w:r>
          </w:p>
        </w:tc>
        <w:tc>
          <w:tcPr>
            <w:tcW w:w="3006" w:type="dxa"/>
          </w:tcPr>
          <w:p w14:paraId="2448025B" w14:textId="58A34BBB" w:rsidR="00D808E7" w:rsidRPr="00FB119D" w:rsidRDefault="00D808E7" w:rsidP="00FB119D">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FB119D">
              <w:rPr>
                <w:sz w:val="20"/>
                <w:szCs w:val="20"/>
              </w:rPr>
              <w:t>If the condition persists after 2 days of treatment, seek medical advice</w:t>
            </w:r>
          </w:p>
        </w:tc>
      </w:tr>
    </w:tbl>
    <w:p w14:paraId="33AA2874" w14:textId="748D3781" w:rsidR="00010B40" w:rsidRPr="00275AF7" w:rsidRDefault="00D05C68" w:rsidP="00FB119D">
      <w:pPr>
        <w:pStyle w:val="ListBullet"/>
      </w:pPr>
      <w:r w:rsidRPr="00275AF7">
        <w:t xml:space="preserve">As of </w:t>
      </w:r>
      <w:r w:rsidR="002C1879">
        <w:t>August</w:t>
      </w:r>
      <w:r w:rsidR="00D808E7" w:rsidRPr="00275AF7">
        <w:t xml:space="preserve"> 2024,</w:t>
      </w:r>
      <w:r w:rsidRPr="00275AF7">
        <w:t xml:space="preserve"> there were </w:t>
      </w:r>
      <w:r w:rsidR="00B17B42">
        <w:t>62</w:t>
      </w:r>
      <w:r w:rsidR="00D808E7" w:rsidRPr="00275AF7">
        <w:t xml:space="preserve"> </w:t>
      </w:r>
      <w:r w:rsidRPr="00275AF7">
        <w:t xml:space="preserve">reports of adverse events for products containing </w:t>
      </w:r>
      <w:r w:rsidR="00A91F01" w:rsidRPr="00A91F01">
        <w:rPr>
          <w:i/>
          <w:iCs/>
        </w:rPr>
        <w:t>A</w:t>
      </w:r>
      <w:r w:rsidR="00440A97" w:rsidRPr="00A91F01">
        <w:rPr>
          <w:i/>
          <w:iCs/>
        </w:rPr>
        <w:t>tropa belladonna</w:t>
      </w:r>
      <w:r w:rsidR="00440A97" w:rsidRPr="00275AF7">
        <w:t xml:space="preserve"> </w:t>
      </w:r>
      <w:r w:rsidRPr="00275AF7">
        <w:t xml:space="preserve">as an active ingredient on the </w:t>
      </w:r>
      <w:hyperlink r:id="rId43" w:history="1">
        <w:r w:rsidRPr="00C86FD0">
          <w:rPr>
            <w:rStyle w:val="Hyperlink"/>
            <w:rFonts w:asciiTheme="minorHAnsi" w:hAnsiTheme="minorHAnsi"/>
          </w:rPr>
          <w:t>Database of Adverse Events Notifications (DAEN)</w:t>
        </w:r>
      </w:hyperlink>
      <w:r w:rsidRPr="00275AF7">
        <w:t xml:space="preserve">, with </w:t>
      </w:r>
      <w:r w:rsidR="002C1879">
        <w:t>62</w:t>
      </w:r>
      <w:r w:rsidRPr="00275AF7">
        <w:t xml:space="preserve"> reports where </w:t>
      </w:r>
      <w:r w:rsidR="00A91F01" w:rsidRPr="00A91F01">
        <w:rPr>
          <w:i/>
          <w:iCs/>
        </w:rPr>
        <w:t>A</w:t>
      </w:r>
      <w:r w:rsidR="00440A97" w:rsidRPr="00A91F01">
        <w:rPr>
          <w:i/>
          <w:iCs/>
        </w:rPr>
        <w:t>tropa belladonna</w:t>
      </w:r>
      <w:r w:rsidR="00440A97" w:rsidRPr="00275AF7">
        <w:t xml:space="preserve"> </w:t>
      </w:r>
      <w:r w:rsidRPr="00275AF7">
        <w:t>was the single suspected medicine.</w:t>
      </w:r>
      <w:r w:rsidR="00010B40" w:rsidRPr="00275AF7">
        <w:t xml:space="preserve"> From 2013, 6 reports have been received</w:t>
      </w:r>
      <w:r w:rsidR="00ED1E1D" w:rsidRPr="00275AF7">
        <w:t xml:space="preserve"> and 4 of those in the last 12 months to May 2024.</w:t>
      </w:r>
    </w:p>
    <w:p w14:paraId="75BD03FD" w14:textId="07CB8BD5" w:rsidR="00D05C68" w:rsidRPr="00B769E5" w:rsidRDefault="00D05C68" w:rsidP="00FB119D">
      <w:pPr>
        <w:pStyle w:val="ListBullet"/>
      </w:pPr>
      <w:r w:rsidRPr="00B769E5">
        <w:t xml:space="preserve">There were no reports of deaths associated with </w:t>
      </w:r>
      <w:r w:rsidR="00E67E49" w:rsidRPr="00E67E49">
        <w:rPr>
          <w:i/>
          <w:iCs/>
        </w:rPr>
        <w:t xml:space="preserve">Atropa </w:t>
      </w:r>
      <w:r w:rsidR="003F012C" w:rsidRPr="00E67E49">
        <w:rPr>
          <w:i/>
          <w:iCs/>
        </w:rPr>
        <w:t>belladonna</w:t>
      </w:r>
      <w:r w:rsidR="003F012C" w:rsidRPr="00B769E5">
        <w:t xml:space="preserve"> </w:t>
      </w:r>
      <w:r w:rsidRPr="00B769E5">
        <w:t>use</w:t>
      </w:r>
      <w:r w:rsidR="00B769E5" w:rsidRPr="00B769E5">
        <w:t xml:space="preserve"> in Australia</w:t>
      </w:r>
      <w:r w:rsidRPr="00B769E5">
        <w:t xml:space="preserve">. </w:t>
      </w:r>
    </w:p>
    <w:p w14:paraId="2790AACF" w14:textId="32A81358" w:rsidR="00B9088C" w:rsidRPr="00275AF7" w:rsidRDefault="00B9088C" w:rsidP="00FB119D">
      <w:pPr>
        <w:pStyle w:val="ListBullet"/>
      </w:pPr>
      <w:r w:rsidRPr="00275AF7">
        <w:t xml:space="preserve">As of June 2024, there was one product containing </w:t>
      </w:r>
      <w:r w:rsidR="00E67E49" w:rsidRPr="00524FD4">
        <w:rPr>
          <w:i/>
          <w:iCs/>
        </w:rPr>
        <w:t xml:space="preserve">Atropa </w:t>
      </w:r>
      <w:r w:rsidRPr="00524FD4">
        <w:rPr>
          <w:i/>
          <w:iCs/>
        </w:rPr>
        <w:t>belladonna</w:t>
      </w:r>
      <w:r w:rsidRPr="00275AF7">
        <w:t xml:space="preserve"> as an active ingredient/constituent or scheduled </w:t>
      </w:r>
      <w:r w:rsidR="00E67E49" w:rsidRPr="00E67E49">
        <w:rPr>
          <w:i/>
          <w:iCs/>
        </w:rPr>
        <w:t xml:space="preserve">Atropa </w:t>
      </w:r>
      <w:r w:rsidRPr="00E67E49">
        <w:rPr>
          <w:i/>
          <w:iCs/>
        </w:rPr>
        <w:t>belladonna</w:t>
      </w:r>
      <w:r w:rsidRPr="00275AF7">
        <w:t xml:space="preserve"> listed on the </w:t>
      </w:r>
      <w:hyperlink r:id="rId44" w:history="1">
        <w:r w:rsidRPr="00275AF7">
          <w:rPr>
            <w:rStyle w:val="Hyperlink"/>
            <w:rFonts w:asciiTheme="minorHAnsi" w:hAnsiTheme="minorHAnsi"/>
          </w:rPr>
          <w:t>Public Chemical Registration Information System Search (PubCRIS)</w:t>
        </w:r>
      </w:hyperlink>
      <w:r w:rsidRPr="00275AF7">
        <w:t>.</w:t>
      </w:r>
    </w:p>
    <w:p w14:paraId="48C0DF83" w14:textId="74FAECD5" w:rsidR="00E1082F" w:rsidRPr="00275AF7" w:rsidRDefault="00E1082F" w:rsidP="00FB119D">
      <w:pPr>
        <w:pStyle w:val="ListBullet"/>
      </w:pPr>
      <w:r w:rsidRPr="00275AF7">
        <w:t xml:space="preserve">There were no adverse experiences were recorded for </w:t>
      </w:r>
      <w:r w:rsidR="00E67E49" w:rsidRPr="00E67E49">
        <w:rPr>
          <w:i/>
          <w:iCs/>
        </w:rPr>
        <w:t>A</w:t>
      </w:r>
      <w:r w:rsidRPr="00E67E49">
        <w:rPr>
          <w:i/>
          <w:iCs/>
        </w:rPr>
        <w:t>tropa belladonna</w:t>
      </w:r>
      <w:r w:rsidRPr="00B1257F">
        <w:t xml:space="preserve"> in</w:t>
      </w:r>
      <w:r w:rsidRPr="00275AF7">
        <w:t xml:space="preserve"> the </w:t>
      </w:r>
      <w:hyperlink r:id="rId45" w:history="1">
        <w:r w:rsidRPr="00275AF7">
          <w:rPr>
            <w:rStyle w:val="Hyperlink"/>
            <w:rFonts w:asciiTheme="minorHAnsi" w:hAnsiTheme="minorHAnsi"/>
          </w:rPr>
          <w:t>APVMA Adverse Experience Reporting Program</w:t>
        </w:r>
      </w:hyperlink>
      <w:r w:rsidRPr="00275AF7">
        <w:rPr>
          <w:color w:val="0000FF"/>
          <w:u w:val="single"/>
        </w:rPr>
        <w:t xml:space="preserve"> database (AERP)</w:t>
      </w:r>
      <w:r w:rsidRPr="00275AF7">
        <w:t xml:space="preserve"> </w:t>
      </w:r>
      <w:r w:rsidR="00440A97" w:rsidRPr="00275AF7">
        <w:t>from 2014-2023.</w:t>
      </w:r>
    </w:p>
    <w:p w14:paraId="60EE052B" w14:textId="77777777" w:rsidR="00D05C68" w:rsidRDefault="00D05C68" w:rsidP="00D05C68">
      <w:pPr>
        <w:pStyle w:val="Heading4"/>
      </w:pPr>
      <w:bookmarkStart w:id="56" w:name="_Toc177657868"/>
      <w:r>
        <w:t>International regulations</w:t>
      </w:r>
      <w:bookmarkEnd w:id="56"/>
    </w:p>
    <w:p w14:paraId="7989BA0D" w14:textId="595CADB9" w:rsidR="00EA60E6" w:rsidRPr="00184B40" w:rsidRDefault="00EA60E6" w:rsidP="00B65AAE">
      <w:pPr>
        <w:numPr>
          <w:ilvl w:val="0"/>
          <w:numId w:val="11"/>
        </w:numPr>
        <w:spacing w:before="120" w:after="180" w:line="240" w:lineRule="atLeast"/>
        <w:rPr>
          <w:rFonts w:asciiTheme="minorHAnsi" w:eastAsia="Cambria" w:hAnsiTheme="minorHAnsi" w:cstheme="minorHAnsi"/>
        </w:rPr>
      </w:pPr>
      <w:r w:rsidRPr="00184B40">
        <w:rPr>
          <w:rFonts w:asciiTheme="minorHAnsi" w:hAnsiTheme="minorHAnsi" w:cstheme="minorHAnsi"/>
          <w:color w:val="2E2925"/>
          <w:shd w:val="clear" w:color="auto" w:fill="FFFFFF"/>
        </w:rPr>
        <w:t>In September 2016, the FDA warned against the use of </w:t>
      </w:r>
      <w:hyperlink r:id="rId46" w:history="1">
        <w:r w:rsidRPr="00184B40">
          <w:rPr>
            <w:rStyle w:val="Hyperlink"/>
            <w:rFonts w:asciiTheme="minorHAnsi" w:hAnsiTheme="minorHAnsi" w:cstheme="minorHAnsi"/>
            <w:color w:val="1A57AD"/>
            <w:shd w:val="clear" w:color="auto" w:fill="FFFFFF"/>
          </w:rPr>
          <w:t>homeopathic teething tablets and gels</w:t>
        </w:r>
      </w:hyperlink>
      <w:r w:rsidRPr="00184B40">
        <w:rPr>
          <w:rFonts w:asciiTheme="minorHAnsi" w:hAnsiTheme="minorHAnsi" w:cstheme="minorHAnsi"/>
          <w:color w:val="2E2925"/>
          <w:shd w:val="clear" w:color="auto" w:fill="FFFFFF"/>
        </w:rPr>
        <w:t xml:space="preserve"> containing belladonna, a toxic </w:t>
      </w:r>
      <w:r w:rsidR="00E67E49" w:rsidRPr="00E67E49">
        <w:rPr>
          <w:rFonts w:asciiTheme="minorHAnsi" w:hAnsiTheme="minorHAnsi" w:cstheme="minorHAnsi"/>
          <w:i/>
          <w:iCs/>
          <w:color w:val="2E2925"/>
          <w:shd w:val="clear" w:color="auto" w:fill="FFFFFF"/>
        </w:rPr>
        <w:t>A</w:t>
      </w:r>
      <w:r w:rsidRPr="00E67E49">
        <w:rPr>
          <w:rFonts w:asciiTheme="minorHAnsi" w:hAnsiTheme="minorHAnsi" w:cstheme="minorHAnsi"/>
          <w:i/>
          <w:iCs/>
          <w:color w:val="2E2925"/>
          <w:shd w:val="clear" w:color="auto" w:fill="FFFFFF"/>
        </w:rPr>
        <w:t>tropa belladonna</w:t>
      </w:r>
      <w:r w:rsidRPr="00184B40">
        <w:rPr>
          <w:rFonts w:asciiTheme="minorHAnsi" w:hAnsiTheme="minorHAnsi" w:cstheme="minorHAnsi"/>
          <w:color w:val="2E2925"/>
          <w:shd w:val="clear" w:color="auto" w:fill="FFFFFF"/>
        </w:rPr>
        <w:t xml:space="preserve"> that has an unpredictable response in children under two years of age, after the products were associated with </w:t>
      </w:r>
      <w:hyperlink r:id="rId47" w:history="1">
        <w:r w:rsidRPr="00184B40">
          <w:rPr>
            <w:rStyle w:val="Hyperlink"/>
            <w:rFonts w:asciiTheme="minorHAnsi" w:hAnsiTheme="minorHAnsi" w:cstheme="minorHAnsi"/>
            <w:color w:val="1A57AD"/>
            <w:shd w:val="clear" w:color="auto" w:fill="FFFFFF"/>
          </w:rPr>
          <w:t>serious adverse events</w:t>
        </w:r>
      </w:hyperlink>
      <w:r w:rsidRPr="00184B40">
        <w:rPr>
          <w:rFonts w:asciiTheme="minorHAnsi" w:hAnsiTheme="minorHAnsi" w:cstheme="minorHAnsi"/>
          <w:color w:val="2E2925"/>
          <w:shd w:val="clear" w:color="auto" w:fill="FFFFFF"/>
        </w:rPr>
        <w:t>, including seizures and deaths, in infants and children. An </w:t>
      </w:r>
      <w:hyperlink r:id="rId48" w:history="1">
        <w:r w:rsidRPr="00184B40">
          <w:rPr>
            <w:rStyle w:val="Hyperlink"/>
            <w:rFonts w:asciiTheme="minorHAnsi" w:hAnsiTheme="minorHAnsi" w:cstheme="minorHAnsi"/>
            <w:color w:val="1A57AD"/>
            <w:shd w:val="clear" w:color="auto" w:fill="FFFFFF"/>
          </w:rPr>
          <w:t>FDA lab analysis</w:t>
        </w:r>
      </w:hyperlink>
      <w:r w:rsidRPr="00184B40">
        <w:rPr>
          <w:rFonts w:asciiTheme="minorHAnsi" w:hAnsiTheme="minorHAnsi" w:cstheme="minorHAnsi"/>
          <w:color w:val="2E2925"/>
          <w:shd w:val="clear" w:color="auto" w:fill="FFFFFF"/>
        </w:rPr>
        <w:t xml:space="preserve"> later confirmed that certain homeopathic teething tablets contained elevated and inconsistent levels of belladonna. A similar issue occurred in 2010. </w:t>
      </w:r>
    </w:p>
    <w:p w14:paraId="33B380A8" w14:textId="53818645" w:rsidR="00EA60E6" w:rsidRPr="00184B40" w:rsidRDefault="00EC6D3B" w:rsidP="00B65AAE">
      <w:pPr>
        <w:numPr>
          <w:ilvl w:val="0"/>
          <w:numId w:val="11"/>
        </w:numPr>
        <w:spacing w:before="120" w:after="180" w:line="240" w:lineRule="atLeast"/>
        <w:rPr>
          <w:rFonts w:asciiTheme="minorHAnsi" w:eastAsia="Cambria" w:hAnsiTheme="minorHAnsi" w:cstheme="minorHAnsi"/>
        </w:rPr>
      </w:pPr>
      <w:r>
        <w:rPr>
          <w:rFonts w:asciiTheme="minorHAnsi" w:eastAsia="Cambria" w:hAnsiTheme="minorHAnsi" w:cstheme="minorHAnsi"/>
        </w:rPr>
        <w:t>An</w:t>
      </w:r>
      <w:r w:rsidR="00EA60E6" w:rsidRPr="00184B40">
        <w:rPr>
          <w:rFonts w:asciiTheme="minorHAnsi" w:eastAsia="Cambria" w:hAnsiTheme="minorHAnsi" w:cstheme="minorHAnsi"/>
        </w:rPr>
        <w:t xml:space="preserve"> </w:t>
      </w:r>
      <w:hyperlink r:id="rId49" w:history="1">
        <w:r w:rsidR="00EA60E6" w:rsidRPr="00EC6D3B">
          <w:rPr>
            <w:rStyle w:val="Hyperlink"/>
            <w:rFonts w:asciiTheme="minorHAnsi" w:eastAsia="Cambria" w:hAnsiTheme="minorHAnsi" w:cstheme="minorHAnsi"/>
          </w:rPr>
          <w:t>FDA report</w:t>
        </w:r>
      </w:hyperlink>
      <w:r w:rsidR="00EA60E6" w:rsidRPr="00184B40">
        <w:rPr>
          <w:rFonts w:asciiTheme="minorHAnsi" w:eastAsia="Cambria" w:hAnsiTheme="minorHAnsi" w:cstheme="minorHAnsi"/>
        </w:rPr>
        <w:t xml:space="preserve"> indicated that</w:t>
      </w:r>
      <w:r w:rsidR="00EA60E6" w:rsidRPr="00184B40">
        <w:rPr>
          <w:rFonts w:asciiTheme="minorHAnsi" w:hAnsiTheme="minorHAnsi" w:cstheme="minorHAnsi"/>
          <w:color w:val="2E2925"/>
          <w:shd w:val="clear" w:color="auto" w:fill="FFFFFF"/>
        </w:rPr>
        <w:t xml:space="preserve"> “Inconsistency in levels of </w:t>
      </w:r>
      <w:r w:rsidR="00EA60E6" w:rsidRPr="00275AF7">
        <w:rPr>
          <w:rFonts w:asciiTheme="minorHAnsi" w:hAnsiTheme="minorHAnsi" w:cstheme="minorHAnsi"/>
          <w:color w:val="2E2925"/>
          <w:shd w:val="clear" w:color="auto" w:fill="FFFFFF"/>
        </w:rPr>
        <w:t xml:space="preserve">belladonna, a toxic </w:t>
      </w:r>
      <w:r w:rsidR="00E67E49" w:rsidRPr="00E67E49">
        <w:rPr>
          <w:rFonts w:asciiTheme="minorHAnsi" w:hAnsiTheme="minorHAnsi" w:cstheme="minorHAnsi"/>
          <w:i/>
          <w:iCs/>
          <w:color w:val="2E2925"/>
          <w:shd w:val="clear" w:color="auto" w:fill="FFFFFF"/>
        </w:rPr>
        <w:t xml:space="preserve">Atropa </w:t>
      </w:r>
      <w:r w:rsidR="00EA60E6" w:rsidRPr="00E67E49">
        <w:rPr>
          <w:rFonts w:asciiTheme="minorHAnsi" w:hAnsiTheme="minorHAnsi" w:cstheme="minorHAnsi"/>
          <w:i/>
          <w:iCs/>
          <w:color w:val="2E2925"/>
          <w:shd w:val="clear" w:color="auto" w:fill="FFFFFF"/>
        </w:rPr>
        <w:t>belladonna</w:t>
      </w:r>
      <w:r w:rsidR="00EA60E6" w:rsidRPr="00275AF7">
        <w:rPr>
          <w:rFonts w:asciiTheme="minorHAnsi" w:hAnsiTheme="minorHAnsi" w:cstheme="minorHAnsi"/>
          <w:color w:val="2E2925"/>
          <w:shd w:val="clear" w:color="auto" w:fill="FFFFFF"/>
        </w:rPr>
        <w:t>, signals a poorly controlled manufacturing process and poses an </w:t>
      </w:r>
      <w:hyperlink r:id="rId50" w:history="1">
        <w:r w:rsidR="00EA60E6" w:rsidRPr="00275AF7">
          <w:rPr>
            <w:rStyle w:val="Hyperlink"/>
            <w:rFonts w:asciiTheme="minorHAnsi" w:hAnsiTheme="minorHAnsi" w:cstheme="minorHAnsi"/>
            <w:color w:val="auto"/>
            <w:u w:val="none"/>
            <w:shd w:val="clear" w:color="auto" w:fill="FFFFFF"/>
          </w:rPr>
          <w:t>unnecessary risk</w:t>
        </w:r>
      </w:hyperlink>
      <w:r w:rsidR="00EA60E6" w:rsidRPr="00275AF7">
        <w:rPr>
          <w:rFonts w:asciiTheme="minorHAnsi" w:hAnsiTheme="minorHAnsi" w:cstheme="minorHAnsi"/>
          <w:shd w:val="clear" w:color="auto" w:fill="FFFFFF"/>
        </w:rPr>
        <w:t xml:space="preserve"> to </w:t>
      </w:r>
      <w:r w:rsidR="00EA60E6" w:rsidRPr="00275AF7">
        <w:rPr>
          <w:rFonts w:asciiTheme="minorHAnsi" w:hAnsiTheme="minorHAnsi" w:cstheme="minorHAnsi"/>
          <w:color w:val="2E2925"/>
          <w:shd w:val="clear" w:color="auto" w:fill="FFFFFF"/>
        </w:rPr>
        <w:t>infants</w:t>
      </w:r>
      <w:r w:rsidR="00EA60E6" w:rsidRPr="00184B40">
        <w:rPr>
          <w:rFonts w:asciiTheme="minorHAnsi" w:hAnsiTheme="minorHAnsi" w:cstheme="minorHAnsi"/>
          <w:color w:val="2E2925"/>
          <w:shd w:val="clear" w:color="auto" w:fill="FFFFFF"/>
        </w:rPr>
        <w:t xml:space="preserve"> and children under two years of age.”</w:t>
      </w:r>
    </w:p>
    <w:p w14:paraId="085B714B" w14:textId="2F7D455F" w:rsidR="00EA60E6" w:rsidRDefault="00DA6C7B" w:rsidP="00FB119D">
      <w:pPr>
        <w:pStyle w:val="ListBullet"/>
      </w:pPr>
      <w:hyperlink r:id="rId51" w:history="1">
        <w:r w:rsidR="00EA60E6" w:rsidRPr="00EC36DF">
          <w:rPr>
            <w:rStyle w:val="Hyperlink"/>
          </w:rPr>
          <w:t>Medsafe - New Zealand</w:t>
        </w:r>
      </w:hyperlink>
      <w:r w:rsidR="00C6420C">
        <w:t xml:space="preserve"> lists both hyoscyamine, a component of </w:t>
      </w:r>
      <w:r w:rsidR="00E67E49" w:rsidRPr="00E67E49">
        <w:rPr>
          <w:i/>
          <w:iCs/>
        </w:rPr>
        <w:t xml:space="preserve">Atropa </w:t>
      </w:r>
      <w:r w:rsidR="00C6420C" w:rsidRPr="00E67E49">
        <w:rPr>
          <w:i/>
          <w:iCs/>
        </w:rPr>
        <w:t>belladonna</w:t>
      </w:r>
      <w:r w:rsidR="00BA0796">
        <w:t xml:space="preserve">, and </w:t>
      </w:r>
      <w:r w:rsidR="00E67E49" w:rsidRPr="00E67E49">
        <w:rPr>
          <w:i/>
          <w:iCs/>
        </w:rPr>
        <w:t xml:space="preserve">Atropa </w:t>
      </w:r>
      <w:r w:rsidR="00BA0796" w:rsidRPr="00E67E49">
        <w:rPr>
          <w:i/>
          <w:iCs/>
        </w:rPr>
        <w:t>belladonna</w:t>
      </w:r>
      <w:r w:rsidR="00BA0796">
        <w:t xml:space="preserve"> as follows:</w:t>
      </w:r>
    </w:p>
    <w:tbl>
      <w:tblPr>
        <w:tblStyle w:val="TableTGAblue"/>
        <w:tblW w:w="0" w:type="auto"/>
        <w:tblLayout w:type="fixed"/>
        <w:tblLook w:val="04A0" w:firstRow="1" w:lastRow="0" w:firstColumn="1" w:lastColumn="0" w:noHBand="0" w:noVBand="1"/>
      </w:tblPr>
      <w:tblGrid>
        <w:gridCol w:w="1353"/>
        <w:gridCol w:w="6008"/>
        <w:gridCol w:w="1645"/>
      </w:tblGrid>
      <w:tr w:rsidR="00EA60E6" w14:paraId="04BED97D" w14:textId="77777777" w:rsidTr="00FB119D">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353" w:type="dxa"/>
            <w:hideMark/>
          </w:tcPr>
          <w:p w14:paraId="37160FEE" w14:textId="77777777" w:rsidR="00EA60E6" w:rsidRPr="00190A7F" w:rsidRDefault="00EA60E6" w:rsidP="00190A7F">
            <w:pPr>
              <w:pStyle w:val="Tabletitle"/>
              <w:rPr>
                <w:rFonts w:asciiTheme="minorHAnsi" w:hAnsiTheme="minorHAnsi" w:cstheme="minorHAnsi"/>
                <w:b/>
                <w:bCs/>
                <w:color w:val="FFFFFF" w:themeColor="background1"/>
                <w:sz w:val="20"/>
                <w:szCs w:val="20"/>
              </w:rPr>
            </w:pPr>
            <w:r w:rsidRPr="00190A7F">
              <w:rPr>
                <w:rFonts w:asciiTheme="minorHAnsi" w:hAnsiTheme="minorHAnsi" w:cstheme="minorHAnsi"/>
                <w:b/>
                <w:bCs/>
                <w:color w:val="FFFFFF" w:themeColor="background1"/>
                <w:sz w:val="20"/>
                <w:szCs w:val="20"/>
              </w:rPr>
              <w:t>Ingredient</w:t>
            </w:r>
          </w:p>
        </w:tc>
        <w:tc>
          <w:tcPr>
            <w:tcW w:w="6008" w:type="dxa"/>
            <w:hideMark/>
          </w:tcPr>
          <w:p w14:paraId="646DF473" w14:textId="77777777" w:rsidR="00EA60E6" w:rsidRPr="00190A7F" w:rsidRDefault="00EA60E6" w:rsidP="00190A7F">
            <w:pPr>
              <w:pStyle w:val="Tabletit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190A7F">
              <w:rPr>
                <w:rFonts w:asciiTheme="minorHAnsi" w:hAnsiTheme="minorHAnsi" w:cstheme="minorHAnsi"/>
                <w:b/>
                <w:bCs/>
                <w:color w:val="FFFFFF" w:themeColor="background1"/>
                <w:sz w:val="20"/>
                <w:szCs w:val="20"/>
              </w:rPr>
              <w:t>Conditions (if any)</w:t>
            </w:r>
          </w:p>
        </w:tc>
        <w:tc>
          <w:tcPr>
            <w:tcW w:w="1645" w:type="dxa"/>
            <w:hideMark/>
          </w:tcPr>
          <w:p w14:paraId="6947DB8F" w14:textId="77777777" w:rsidR="00EA60E6" w:rsidRPr="00190A7F" w:rsidRDefault="00EA60E6" w:rsidP="00190A7F">
            <w:pPr>
              <w:pStyle w:val="Tabletitl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190A7F">
              <w:rPr>
                <w:rFonts w:asciiTheme="minorHAnsi" w:hAnsiTheme="minorHAnsi" w:cstheme="minorHAnsi"/>
                <w:b/>
                <w:bCs/>
                <w:color w:val="FFFFFF" w:themeColor="background1"/>
                <w:sz w:val="20"/>
                <w:szCs w:val="20"/>
              </w:rPr>
              <w:t>Classification</w:t>
            </w:r>
          </w:p>
        </w:tc>
      </w:tr>
      <w:tr w:rsidR="00EA60E6" w14:paraId="656B38E5" w14:textId="77777777" w:rsidTr="00FB119D">
        <w:tc>
          <w:tcPr>
            <w:cnfStyle w:val="001000000000" w:firstRow="0" w:lastRow="0" w:firstColumn="1" w:lastColumn="0" w:oddVBand="0" w:evenVBand="0" w:oddHBand="0" w:evenHBand="0" w:firstRowFirstColumn="0" w:firstRowLastColumn="0" w:lastRowFirstColumn="0" w:lastRowLastColumn="0"/>
            <w:tcW w:w="1353" w:type="dxa"/>
            <w:tcBorders>
              <w:top w:val="single" w:sz="8" w:space="0" w:color="002C47"/>
              <w:left w:val="single" w:sz="8" w:space="0" w:color="002C47"/>
              <w:bottom w:val="single" w:sz="8" w:space="0" w:color="002C47"/>
              <w:right w:val="single" w:sz="8" w:space="0" w:color="002C47"/>
            </w:tcBorders>
            <w:hideMark/>
          </w:tcPr>
          <w:p w14:paraId="28AA5067" w14:textId="77777777" w:rsidR="00EA60E6" w:rsidRPr="00184B40" w:rsidRDefault="00EA60E6">
            <w:pPr>
              <w:rPr>
                <w:rFonts w:asciiTheme="minorHAnsi" w:hAnsiTheme="minorHAnsi" w:cstheme="minorHAnsi"/>
                <w:sz w:val="18"/>
                <w:szCs w:val="18"/>
              </w:rPr>
            </w:pPr>
            <w:r w:rsidRPr="00184B40">
              <w:rPr>
                <w:rFonts w:asciiTheme="minorHAnsi" w:hAnsiTheme="minorHAnsi" w:cstheme="minorHAnsi"/>
                <w:sz w:val="18"/>
                <w:szCs w:val="18"/>
              </w:rPr>
              <w:t>Hyoscyamine</w:t>
            </w:r>
          </w:p>
        </w:tc>
        <w:tc>
          <w:tcPr>
            <w:tcW w:w="6008" w:type="dxa"/>
            <w:tcBorders>
              <w:top w:val="single" w:sz="8" w:space="0" w:color="002C47"/>
              <w:left w:val="single" w:sz="8" w:space="0" w:color="002C47"/>
              <w:bottom w:val="single" w:sz="8" w:space="0" w:color="002C47"/>
              <w:right w:val="single" w:sz="8" w:space="0" w:color="002C47"/>
            </w:tcBorders>
            <w:hideMark/>
          </w:tcPr>
          <w:p w14:paraId="28DB378A" w14:textId="77777777" w:rsidR="00EA60E6" w:rsidRPr="00184B40"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84B40">
              <w:rPr>
                <w:rStyle w:val="Strong"/>
                <w:rFonts w:asciiTheme="minorHAnsi" w:hAnsiTheme="minorHAnsi" w:cstheme="minorHAnsi"/>
                <w:sz w:val="18"/>
                <w:szCs w:val="18"/>
              </w:rPr>
              <w:t>except</w:t>
            </w:r>
            <w:r w:rsidRPr="00184B40">
              <w:rPr>
                <w:rFonts w:asciiTheme="minorHAnsi" w:hAnsiTheme="minorHAnsi" w:cstheme="minorHAnsi"/>
                <w:sz w:val="18"/>
                <w:szCs w:val="18"/>
              </w:rPr>
              <w:t> when specified elsewhere in this schedule;</w:t>
            </w:r>
            <w:r w:rsidRPr="00184B40">
              <w:rPr>
                <w:rFonts w:asciiTheme="minorHAnsi" w:hAnsiTheme="minorHAnsi" w:cstheme="minorHAnsi"/>
                <w:sz w:val="18"/>
                <w:szCs w:val="18"/>
              </w:rPr>
              <w:br/>
            </w:r>
            <w:r w:rsidRPr="00184B40">
              <w:rPr>
                <w:rStyle w:val="Strong"/>
                <w:rFonts w:asciiTheme="minorHAnsi" w:hAnsiTheme="minorHAnsi" w:cstheme="minorHAnsi"/>
                <w:sz w:val="18"/>
                <w:szCs w:val="18"/>
              </w:rPr>
              <w:t>except</w:t>
            </w:r>
            <w:r w:rsidRPr="00184B40">
              <w:rPr>
                <w:rFonts w:asciiTheme="minorHAnsi" w:hAnsiTheme="minorHAnsi" w:cstheme="minorHAnsi"/>
                <w:sz w:val="18"/>
                <w:szCs w:val="18"/>
              </w:rPr>
              <w:t> in medicines containing 300 micrograms or less per litre or per kilogram</w:t>
            </w:r>
          </w:p>
        </w:tc>
        <w:tc>
          <w:tcPr>
            <w:tcW w:w="1645" w:type="dxa"/>
            <w:tcBorders>
              <w:top w:val="single" w:sz="8" w:space="0" w:color="002C47"/>
              <w:left w:val="single" w:sz="8" w:space="0" w:color="002C47"/>
              <w:bottom w:val="single" w:sz="8" w:space="0" w:color="002C47"/>
              <w:right w:val="single" w:sz="8" w:space="0" w:color="002C47"/>
            </w:tcBorders>
            <w:hideMark/>
          </w:tcPr>
          <w:p w14:paraId="7CEE84D7" w14:textId="77777777" w:rsidR="00EA60E6" w:rsidRPr="00184B40"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84B40">
              <w:rPr>
                <w:rFonts w:asciiTheme="minorHAnsi" w:hAnsiTheme="minorHAnsi" w:cstheme="minorHAnsi"/>
                <w:sz w:val="18"/>
                <w:szCs w:val="18"/>
              </w:rPr>
              <w:t>Prescription</w:t>
            </w:r>
          </w:p>
        </w:tc>
      </w:tr>
      <w:tr w:rsidR="00EA60E6" w14:paraId="01E0EA64" w14:textId="77777777" w:rsidTr="00FB119D">
        <w:tc>
          <w:tcPr>
            <w:cnfStyle w:val="001000000000" w:firstRow="0" w:lastRow="0" w:firstColumn="1" w:lastColumn="0" w:oddVBand="0" w:evenVBand="0" w:oddHBand="0" w:evenHBand="0" w:firstRowFirstColumn="0" w:firstRowLastColumn="0" w:lastRowFirstColumn="0" w:lastRowLastColumn="0"/>
            <w:tcW w:w="1353" w:type="dxa"/>
            <w:tcBorders>
              <w:top w:val="single" w:sz="8" w:space="0" w:color="002C47"/>
              <w:left w:val="single" w:sz="8" w:space="0" w:color="002C47"/>
              <w:bottom w:val="single" w:sz="8" w:space="0" w:color="002C47"/>
              <w:right w:val="single" w:sz="8" w:space="0" w:color="002C47"/>
            </w:tcBorders>
            <w:hideMark/>
          </w:tcPr>
          <w:p w14:paraId="5D728EB8" w14:textId="77777777" w:rsidR="00EA60E6" w:rsidRPr="00184B40" w:rsidRDefault="00EA60E6">
            <w:pPr>
              <w:rPr>
                <w:rFonts w:asciiTheme="minorHAnsi" w:hAnsiTheme="minorHAnsi" w:cstheme="minorHAnsi"/>
                <w:sz w:val="18"/>
                <w:szCs w:val="18"/>
              </w:rPr>
            </w:pPr>
            <w:r w:rsidRPr="00184B40">
              <w:rPr>
                <w:rFonts w:asciiTheme="minorHAnsi" w:hAnsiTheme="minorHAnsi" w:cstheme="minorHAnsi"/>
                <w:sz w:val="18"/>
                <w:szCs w:val="18"/>
              </w:rPr>
              <w:lastRenderedPageBreak/>
              <w:t>Hyoscyamine</w:t>
            </w:r>
          </w:p>
        </w:tc>
        <w:tc>
          <w:tcPr>
            <w:tcW w:w="6008" w:type="dxa"/>
            <w:tcBorders>
              <w:top w:val="single" w:sz="8" w:space="0" w:color="002C47"/>
              <w:left w:val="single" w:sz="8" w:space="0" w:color="002C47"/>
              <w:bottom w:val="single" w:sz="8" w:space="0" w:color="002C47"/>
              <w:right w:val="single" w:sz="8" w:space="0" w:color="002C47"/>
            </w:tcBorders>
            <w:hideMark/>
          </w:tcPr>
          <w:p w14:paraId="0EDA0768" w14:textId="77777777" w:rsidR="00EA60E6" w:rsidRPr="00184B40"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84B40">
              <w:rPr>
                <w:rFonts w:asciiTheme="minorHAnsi" w:hAnsiTheme="minorHAnsi" w:cstheme="minorHAnsi"/>
                <w:sz w:val="18"/>
                <w:szCs w:val="18"/>
              </w:rPr>
              <w:t>for external use in medicines containing 0.03% or less of total solanaceous alkaloids;</w:t>
            </w:r>
            <w:r w:rsidRPr="00184B40">
              <w:rPr>
                <w:rFonts w:asciiTheme="minorHAnsi" w:hAnsiTheme="minorHAnsi" w:cstheme="minorHAnsi"/>
                <w:sz w:val="18"/>
                <w:szCs w:val="18"/>
              </w:rPr>
              <w:br/>
              <w:t>for oral use in liquid form in medicines containing 0.03% or less and 0.3 milligrams or less per dose and not more than 1.2 milligrams per recommended daily dose of total solanaceous alkaloids;</w:t>
            </w:r>
            <w:r w:rsidRPr="00184B40">
              <w:rPr>
                <w:rFonts w:asciiTheme="minorHAnsi" w:hAnsiTheme="minorHAnsi" w:cstheme="minorHAnsi"/>
                <w:sz w:val="18"/>
                <w:szCs w:val="18"/>
              </w:rPr>
              <w:br/>
              <w:t>in solid dose form in medicines containing 0.3 milligrams or less per dose form and not more than 1.2 milligrams per recommended daily dose of total solanaceous alkaloids</w:t>
            </w:r>
          </w:p>
        </w:tc>
        <w:tc>
          <w:tcPr>
            <w:tcW w:w="1645" w:type="dxa"/>
            <w:tcBorders>
              <w:top w:val="single" w:sz="8" w:space="0" w:color="002C47"/>
              <w:left w:val="single" w:sz="8" w:space="0" w:color="002C47"/>
              <w:bottom w:val="single" w:sz="8" w:space="0" w:color="002C47"/>
              <w:right w:val="single" w:sz="8" w:space="0" w:color="002C47"/>
            </w:tcBorders>
            <w:hideMark/>
          </w:tcPr>
          <w:p w14:paraId="5D5ADD19" w14:textId="77777777" w:rsidR="00EA60E6" w:rsidRPr="00184B40"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84B40">
              <w:rPr>
                <w:rFonts w:asciiTheme="minorHAnsi" w:hAnsiTheme="minorHAnsi" w:cstheme="minorHAnsi"/>
                <w:sz w:val="18"/>
                <w:szCs w:val="18"/>
              </w:rPr>
              <w:t>Pharmacy Only</w:t>
            </w:r>
          </w:p>
        </w:tc>
      </w:tr>
      <w:tr w:rsidR="00000FA0" w:rsidRPr="00000FA0" w14:paraId="67C43D5C" w14:textId="77777777" w:rsidTr="00FB119D">
        <w:tc>
          <w:tcPr>
            <w:cnfStyle w:val="001000000000" w:firstRow="0" w:lastRow="0" w:firstColumn="1" w:lastColumn="0" w:oddVBand="0" w:evenVBand="0" w:oddHBand="0" w:evenHBand="0" w:firstRowFirstColumn="0" w:firstRowLastColumn="0" w:lastRowFirstColumn="0" w:lastRowLastColumn="0"/>
            <w:tcW w:w="1353" w:type="dxa"/>
            <w:tcBorders>
              <w:top w:val="single" w:sz="8" w:space="0" w:color="002C47"/>
              <w:left w:val="single" w:sz="8" w:space="0" w:color="002C47"/>
              <w:bottom w:val="single" w:sz="8" w:space="0" w:color="002C47"/>
              <w:right w:val="single" w:sz="8" w:space="0" w:color="002C47"/>
            </w:tcBorders>
            <w:hideMark/>
          </w:tcPr>
          <w:p w14:paraId="2C8CBDCB" w14:textId="77777777" w:rsidR="00EA60E6" w:rsidRPr="00210006" w:rsidRDefault="00EA60E6">
            <w:pPr>
              <w:rPr>
                <w:rFonts w:asciiTheme="minorHAnsi" w:hAnsiTheme="minorHAnsi" w:cstheme="minorHAnsi"/>
                <w:color w:val="auto"/>
                <w:sz w:val="18"/>
                <w:szCs w:val="18"/>
              </w:rPr>
            </w:pPr>
            <w:r w:rsidRPr="00210006">
              <w:rPr>
                <w:rFonts w:asciiTheme="minorHAnsi" w:hAnsiTheme="minorHAnsi" w:cstheme="minorHAnsi"/>
                <w:color w:val="auto"/>
                <w:sz w:val="18"/>
                <w:szCs w:val="18"/>
              </w:rPr>
              <w:t>Atropa belladonna</w:t>
            </w:r>
          </w:p>
        </w:tc>
        <w:tc>
          <w:tcPr>
            <w:tcW w:w="6008" w:type="dxa"/>
            <w:tcBorders>
              <w:top w:val="single" w:sz="8" w:space="0" w:color="002C47"/>
              <w:left w:val="single" w:sz="8" w:space="0" w:color="002C47"/>
              <w:bottom w:val="single" w:sz="8" w:space="0" w:color="002C47"/>
              <w:right w:val="single" w:sz="8" w:space="0" w:color="002C47"/>
            </w:tcBorders>
            <w:hideMark/>
          </w:tcPr>
          <w:p w14:paraId="2E59E8D2" w14:textId="77777777" w:rsidR="00EA60E6" w:rsidRPr="00210006"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210006">
              <w:rPr>
                <w:rStyle w:val="Strong"/>
                <w:rFonts w:asciiTheme="minorHAnsi" w:hAnsiTheme="minorHAnsi" w:cstheme="minorHAnsi"/>
                <w:color w:val="auto"/>
                <w:sz w:val="18"/>
                <w:szCs w:val="18"/>
              </w:rPr>
              <w:t>except</w:t>
            </w:r>
            <w:r w:rsidRPr="00210006">
              <w:rPr>
                <w:rFonts w:asciiTheme="minorHAnsi" w:hAnsiTheme="minorHAnsi" w:cstheme="minorHAnsi"/>
                <w:color w:val="auto"/>
                <w:sz w:val="18"/>
                <w:szCs w:val="18"/>
              </w:rPr>
              <w:t> when specified elsewhere in this schedule;</w:t>
            </w:r>
            <w:r w:rsidRPr="00210006">
              <w:rPr>
                <w:rFonts w:asciiTheme="minorHAnsi" w:hAnsiTheme="minorHAnsi" w:cstheme="minorHAnsi"/>
                <w:color w:val="auto"/>
                <w:sz w:val="18"/>
                <w:szCs w:val="18"/>
              </w:rPr>
              <w:br/>
            </w:r>
            <w:r w:rsidRPr="00210006">
              <w:rPr>
                <w:rStyle w:val="Strong"/>
                <w:rFonts w:asciiTheme="minorHAnsi" w:hAnsiTheme="minorHAnsi" w:cstheme="minorHAnsi"/>
                <w:color w:val="auto"/>
                <w:sz w:val="18"/>
                <w:szCs w:val="18"/>
              </w:rPr>
              <w:t>except</w:t>
            </w:r>
            <w:r w:rsidRPr="00210006">
              <w:rPr>
                <w:rFonts w:asciiTheme="minorHAnsi" w:hAnsiTheme="minorHAnsi" w:cstheme="minorHAnsi"/>
                <w:color w:val="auto"/>
                <w:sz w:val="18"/>
                <w:szCs w:val="18"/>
              </w:rPr>
              <w:t> in medicines containing 300 micrograms or less of total solanaceous alkaloids per litre or per kilogram</w:t>
            </w:r>
          </w:p>
        </w:tc>
        <w:tc>
          <w:tcPr>
            <w:tcW w:w="1645" w:type="dxa"/>
            <w:tcBorders>
              <w:top w:val="single" w:sz="8" w:space="0" w:color="002C47"/>
              <w:left w:val="single" w:sz="8" w:space="0" w:color="002C47"/>
              <w:bottom w:val="single" w:sz="8" w:space="0" w:color="002C47"/>
              <w:right w:val="single" w:sz="8" w:space="0" w:color="002C47"/>
            </w:tcBorders>
            <w:hideMark/>
          </w:tcPr>
          <w:p w14:paraId="4A458320" w14:textId="77777777" w:rsidR="00EA60E6" w:rsidRPr="00210006"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210006">
              <w:rPr>
                <w:rFonts w:asciiTheme="minorHAnsi" w:hAnsiTheme="minorHAnsi" w:cstheme="minorHAnsi"/>
                <w:color w:val="auto"/>
                <w:sz w:val="18"/>
                <w:szCs w:val="18"/>
              </w:rPr>
              <w:t>Prescription</w:t>
            </w:r>
          </w:p>
        </w:tc>
      </w:tr>
      <w:tr w:rsidR="00000FA0" w:rsidRPr="00000FA0" w14:paraId="0DCA8527" w14:textId="77777777" w:rsidTr="00FB119D">
        <w:tc>
          <w:tcPr>
            <w:cnfStyle w:val="001000000000" w:firstRow="0" w:lastRow="0" w:firstColumn="1" w:lastColumn="0" w:oddVBand="0" w:evenVBand="0" w:oddHBand="0" w:evenHBand="0" w:firstRowFirstColumn="0" w:firstRowLastColumn="0" w:lastRowFirstColumn="0" w:lastRowLastColumn="0"/>
            <w:tcW w:w="1353" w:type="dxa"/>
            <w:tcBorders>
              <w:top w:val="single" w:sz="8" w:space="0" w:color="002C47"/>
              <w:left w:val="single" w:sz="8" w:space="0" w:color="002C47"/>
              <w:bottom w:val="single" w:sz="8" w:space="0" w:color="002C47"/>
              <w:right w:val="single" w:sz="8" w:space="0" w:color="002C47"/>
            </w:tcBorders>
            <w:hideMark/>
          </w:tcPr>
          <w:p w14:paraId="6E72F159" w14:textId="77777777" w:rsidR="00EA60E6" w:rsidRPr="00210006" w:rsidRDefault="00EA60E6">
            <w:pPr>
              <w:rPr>
                <w:rFonts w:asciiTheme="minorHAnsi" w:hAnsiTheme="minorHAnsi" w:cstheme="minorHAnsi"/>
                <w:color w:val="auto"/>
                <w:sz w:val="18"/>
                <w:szCs w:val="18"/>
              </w:rPr>
            </w:pPr>
            <w:r w:rsidRPr="00210006">
              <w:rPr>
                <w:rFonts w:asciiTheme="minorHAnsi" w:hAnsiTheme="minorHAnsi" w:cstheme="minorHAnsi"/>
                <w:color w:val="auto"/>
                <w:sz w:val="18"/>
                <w:szCs w:val="18"/>
              </w:rPr>
              <w:t>Atropa belladonna</w:t>
            </w:r>
          </w:p>
        </w:tc>
        <w:tc>
          <w:tcPr>
            <w:tcW w:w="6008" w:type="dxa"/>
            <w:tcBorders>
              <w:top w:val="single" w:sz="8" w:space="0" w:color="002C47"/>
              <w:left w:val="single" w:sz="8" w:space="0" w:color="002C47"/>
              <w:bottom w:val="single" w:sz="8" w:space="0" w:color="002C47"/>
              <w:right w:val="single" w:sz="8" w:space="0" w:color="002C47"/>
            </w:tcBorders>
            <w:hideMark/>
          </w:tcPr>
          <w:p w14:paraId="4AA1D7FF" w14:textId="77777777" w:rsidR="00EA60E6" w:rsidRPr="00210006" w:rsidRDefault="00EA60E6">
            <w:pPr>
              <w:tabs>
                <w:tab w:val="left" w:pos="1845"/>
              </w:tabs>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cstheme="minorHAnsi"/>
                <w:color w:val="auto"/>
                <w:sz w:val="18"/>
                <w:szCs w:val="18"/>
              </w:rPr>
            </w:pPr>
            <w:r w:rsidRPr="00210006">
              <w:rPr>
                <w:rFonts w:asciiTheme="minorHAnsi" w:hAnsiTheme="minorHAnsi" w:cstheme="minorHAnsi"/>
                <w:sz w:val="18"/>
                <w:szCs w:val="18"/>
                <w:shd w:val="clear" w:color="auto" w:fill="FFFFFF"/>
              </w:rPr>
              <w:t>for external use in medicines containing 0.03% or less of the alkaloids of belladonna;</w:t>
            </w:r>
            <w:r w:rsidRPr="00000FA0">
              <w:rPr>
                <w:rFonts w:asciiTheme="minorHAnsi" w:hAnsiTheme="minorHAnsi" w:cstheme="minorHAnsi"/>
                <w:sz w:val="18"/>
                <w:szCs w:val="18"/>
              </w:rPr>
              <w:br/>
            </w:r>
            <w:r w:rsidRPr="00000FA0">
              <w:rPr>
                <w:rFonts w:asciiTheme="minorHAnsi" w:hAnsiTheme="minorHAnsi" w:cstheme="minorHAnsi"/>
                <w:sz w:val="18"/>
                <w:szCs w:val="18"/>
                <w:shd w:val="clear" w:color="auto" w:fill="FFFFFF"/>
              </w:rPr>
              <w:t>for oral use in liquid form in medicines containing 0.03% or less and 0.3 milligrams or less per dose and not more than 1.2 milligrams per recommended daily dose of the alkaloids of belladonna or in solid dose form in medicines containing 0.3 milligrams or less per dose form and not more than 1.2 milligrams per recommended daily dose of the alkaloids of belladonna</w:t>
            </w:r>
          </w:p>
        </w:tc>
        <w:tc>
          <w:tcPr>
            <w:tcW w:w="1645" w:type="dxa"/>
            <w:tcBorders>
              <w:top w:val="single" w:sz="8" w:space="0" w:color="002C47"/>
              <w:left w:val="single" w:sz="8" w:space="0" w:color="002C47"/>
              <w:bottom w:val="single" w:sz="8" w:space="0" w:color="002C47"/>
              <w:right w:val="single" w:sz="8" w:space="0" w:color="002C47"/>
            </w:tcBorders>
            <w:hideMark/>
          </w:tcPr>
          <w:p w14:paraId="3DE8246F" w14:textId="77777777" w:rsidR="00EA60E6" w:rsidRPr="00210006" w:rsidRDefault="00EA60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210006">
              <w:rPr>
                <w:rFonts w:asciiTheme="minorHAnsi" w:hAnsiTheme="minorHAnsi" w:cstheme="minorHAnsi"/>
                <w:color w:val="auto"/>
                <w:sz w:val="18"/>
                <w:szCs w:val="18"/>
              </w:rPr>
              <w:t>Pharmacy Only</w:t>
            </w:r>
          </w:p>
        </w:tc>
      </w:tr>
    </w:tbl>
    <w:p w14:paraId="2D62DFF1" w14:textId="095F8308" w:rsidR="00EA60E6" w:rsidRPr="00184B40" w:rsidRDefault="00DA6C7B" w:rsidP="00FB119D">
      <w:pPr>
        <w:pStyle w:val="ListBullet"/>
        <w:rPr>
          <w:sz w:val="22"/>
          <w:szCs w:val="22"/>
        </w:rPr>
      </w:pPr>
      <w:hyperlink r:id="rId52" w:history="1">
        <w:r w:rsidR="00EA60E6" w:rsidRPr="00EE5E9B">
          <w:rPr>
            <w:rStyle w:val="Hyperlink"/>
            <w:rFonts w:asciiTheme="minorHAnsi" w:hAnsiTheme="minorHAnsi"/>
          </w:rPr>
          <w:t>Health Canada</w:t>
        </w:r>
      </w:hyperlink>
      <w:r w:rsidR="00EA60E6">
        <w:t xml:space="preserve"> has several active homeopathic products containing belladonna which are listed as natural products.</w:t>
      </w:r>
    </w:p>
    <w:p w14:paraId="4535F1EC" w14:textId="631BA0FF" w:rsidR="00EA60E6" w:rsidRDefault="00EA60E6" w:rsidP="00FB119D">
      <w:pPr>
        <w:pStyle w:val="ListBullet"/>
      </w:pPr>
      <w:r>
        <w:t xml:space="preserve">The </w:t>
      </w:r>
      <w:hyperlink r:id="rId53" w:history="1">
        <w:r w:rsidRPr="005E22F4">
          <w:rPr>
            <w:rStyle w:val="Hyperlink"/>
            <w:rFonts w:asciiTheme="minorHAnsi" w:hAnsiTheme="minorHAnsi"/>
          </w:rPr>
          <w:t xml:space="preserve">Health Products </w:t>
        </w:r>
        <w:r w:rsidR="005E22F4">
          <w:rPr>
            <w:rStyle w:val="Hyperlink"/>
            <w:rFonts w:asciiTheme="minorHAnsi" w:hAnsiTheme="minorHAnsi"/>
          </w:rPr>
          <w:t xml:space="preserve">Regulatory </w:t>
        </w:r>
        <w:r w:rsidRPr="005E22F4">
          <w:rPr>
            <w:rStyle w:val="Hyperlink"/>
            <w:rFonts w:asciiTheme="minorHAnsi" w:hAnsiTheme="minorHAnsi"/>
          </w:rPr>
          <w:t>Authority</w:t>
        </w:r>
      </w:hyperlink>
      <w:r>
        <w:t xml:space="preserve"> </w:t>
      </w:r>
      <w:r w:rsidR="005E22F4">
        <w:t xml:space="preserve">in </w:t>
      </w:r>
      <w:r>
        <w:t xml:space="preserve">Ireland has one authorised product containing </w:t>
      </w:r>
      <w:r w:rsidR="00FB119D" w:rsidRPr="00FB119D">
        <w:rPr>
          <w:i/>
          <w:iCs/>
        </w:rPr>
        <w:t xml:space="preserve">Atropa </w:t>
      </w:r>
      <w:r w:rsidRPr="00FB119D">
        <w:rPr>
          <w:i/>
          <w:iCs/>
        </w:rPr>
        <w:t>belladonna</w:t>
      </w:r>
      <w:r>
        <w:t>. It does not require a medical prescription.</w:t>
      </w:r>
    </w:p>
    <w:p w14:paraId="5D4E93AB" w14:textId="77777777" w:rsidR="00C71EA4" w:rsidRPr="00C71EA4" w:rsidRDefault="00C71EA4" w:rsidP="007B3FCB">
      <w:pPr>
        <w:pStyle w:val="Heading3"/>
        <w:rPr>
          <w:sz w:val="22"/>
          <w:szCs w:val="22"/>
          <w:lang w:eastAsia="en-AU"/>
        </w:rPr>
      </w:pPr>
      <w:bookmarkStart w:id="57" w:name="_Toc177657869"/>
      <w:r w:rsidRPr="00C71EA4">
        <w:rPr>
          <w:lang w:eastAsia="en-AU"/>
        </w:rPr>
        <w:t>Pyridoxine, pyridoxal or pyridoxamine (vitamin B</w:t>
      </w:r>
      <w:r w:rsidRPr="00FB119D">
        <w:rPr>
          <w:vertAlign w:val="subscript"/>
          <w:lang w:eastAsia="en-AU"/>
        </w:rPr>
        <w:t>6</w:t>
      </w:r>
      <w:r w:rsidRPr="00C71EA4">
        <w:rPr>
          <w:lang w:eastAsia="en-AU"/>
        </w:rPr>
        <w:t>)</w:t>
      </w:r>
      <w:bookmarkEnd w:id="57"/>
      <w:r w:rsidRPr="00C71EA4">
        <w:rPr>
          <w:lang w:eastAsia="en-AU"/>
        </w:rPr>
        <w:t> </w:t>
      </w:r>
    </w:p>
    <w:p w14:paraId="2A83E9A7" w14:textId="77777777" w:rsidR="00C71EA4" w:rsidRPr="00C71EA4" w:rsidRDefault="00C71EA4" w:rsidP="007B3FCB">
      <w:pPr>
        <w:pStyle w:val="Heading4"/>
        <w:rPr>
          <w:sz w:val="22"/>
          <w:szCs w:val="22"/>
        </w:rPr>
      </w:pPr>
      <w:bookmarkStart w:id="58" w:name="_Toc177657870"/>
      <w:r w:rsidRPr="00C71EA4">
        <w:t>Proposal</w:t>
      </w:r>
      <w:bookmarkEnd w:id="58"/>
      <w:r w:rsidRPr="00C71EA4">
        <w:t> </w:t>
      </w:r>
    </w:p>
    <w:p w14:paraId="21A7800A" w14:textId="41FE1D8C" w:rsidR="00C71EA4" w:rsidRPr="00C71EA4" w:rsidRDefault="00C71EA4" w:rsidP="007B3FCB">
      <w:pPr>
        <w:rPr>
          <w:lang w:eastAsia="en-AU"/>
        </w:rPr>
      </w:pPr>
      <w:r w:rsidRPr="00C71EA4">
        <w:rPr>
          <w:lang w:eastAsia="en-AU"/>
        </w:rPr>
        <w:t>The applicant has proposed to amend the current Po</w:t>
      </w:r>
      <w:r w:rsidR="00AB7A11">
        <w:rPr>
          <w:lang w:eastAsia="en-AU"/>
        </w:rPr>
        <w:t>i</w:t>
      </w:r>
      <w:r w:rsidRPr="00C71EA4">
        <w:rPr>
          <w:lang w:eastAsia="en-AU"/>
        </w:rPr>
        <w:t>son</w:t>
      </w:r>
      <w:r w:rsidR="00AB7A11">
        <w:rPr>
          <w:lang w:eastAsia="en-AU"/>
        </w:rPr>
        <w:t>s</w:t>
      </w:r>
      <w:r w:rsidRPr="00C71EA4">
        <w:rPr>
          <w:lang w:eastAsia="en-AU"/>
        </w:rPr>
        <w:t xml:space="preserve"> Standard in relation to </w:t>
      </w:r>
      <w:r w:rsidR="00524FD4">
        <w:rPr>
          <w:lang w:eastAsia="en-AU"/>
        </w:rPr>
        <w:t>p</w:t>
      </w:r>
      <w:r w:rsidRPr="00C71EA4">
        <w:rPr>
          <w:lang w:eastAsia="en-AU"/>
        </w:rPr>
        <w:t xml:space="preserve">yridoxine, pyridoxal and pyridoxamine </w:t>
      </w:r>
      <w:r w:rsidR="00524FD4">
        <w:rPr>
          <w:lang w:eastAsia="en-AU"/>
        </w:rPr>
        <w:t xml:space="preserve">which </w:t>
      </w:r>
      <w:r w:rsidRPr="00C71EA4">
        <w:rPr>
          <w:lang w:eastAsia="en-AU"/>
        </w:rPr>
        <w:t xml:space="preserve">are different forms of vitamin B6. Under the proposal, human therapeutic preparations containing between 5 mg and 200 mg of pyridoxine, pyridoxal or pyridoxamine would be included </w:t>
      </w:r>
      <w:r w:rsidR="00000FA0">
        <w:rPr>
          <w:lang w:eastAsia="en-AU"/>
        </w:rPr>
        <w:t>in a new Pharmacist Only Medicine (</w:t>
      </w:r>
      <w:r w:rsidRPr="00C71EA4">
        <w:rPr>
          <w:lang w:eastAsia="en-AU"/>
        </w:rPr>
        <w:t>Schedule 3)</w:t>
      </w:r>
      <w:r w:rsidR="00000FA0">
        <w:rPr>
          <w:lang w:eastAsia="en-AU"/>
        </w:rPr>
        <w:t xml:space="preserve"> entry</w:t>
      </w:r>
      <w:r w:rsidRPr="00C71EA4">
        <w:rPr>
          <w:lang w:eastAsia="en-AU"/>
        </w:rPr>
        <w:t>. These preparations are currently exempted from Schedule 4 and are not scheduled otherwise.  </w:t>
      </w:r>
    </w:p>
    <w:p w14:paraId="31E7C757" w14:textId="20455D72" w:rsidR="00C71EA4" w:rsidRPr="00C71EA4" w:rsidRDefault="00C71EA4" w:rsidP="007B3FCB">
      <w:pPr>
        <w:pStyle w:val="Heading4"/>
        <w:rPr>
          <w:sz w:val="22"/>
          <w:szCs w:val="22"/>
        </w:rPr>
      </w:pPr>
      <w:bookmarkStart w:id="59" w:name="_Toc177657871"/>
      <w:r w:rsidRPr="00C71EA4">
        <w:t>CAS number</w:t>
      </w:r>
      <w:bookmarkEnd w:id="59"/>
    </w:p>
    <w:p w14:paraId="23D727EE" w14:textId="4CEF71B7" w:rsidR="00C71EA4" w:rsidRPr="00C71EA4" w:rsidRDefault="00C71EA4" w:rsidP="00524FD4">
      <w:pPr>
        <w:pStyle w:val="ListBullet"/>
        <w:numPr>
          <w:ilvl w:val="0"/>
          <w:numId w:val="0"/>
        </w:numPr>
        <w:ind w:left="360" w:hanging="360"/>
        <w:rPr>
          <w:lang w:eastAsia="en-AU"/>
        </w:rPr>
      </w:pPr>
      <w:r w:rsidRPr="00C71EA4">
        <w:rPr>
          <w:lang w:eastAsia="en-AU"/>
        </w:rPr>
        <w:t>65-23-6 </w:t>
      </w:r>
      <w:r w:rsidR="002A2CC4">
        <w:rPr>
          <w:lang w:eastAsia="en-AU"/>
        </w:rPr>
        <w:t>(</w:t>
      </w:r>
      <w:r w:rsidR="002A2CC4" w:rsidRPr="00C71EA4">
        <w:rPr>
          <w:lang w:eastAsia="en-AU"/>
        </w:rPr>
        <w:t>Pyridoxine</w:t>
      </w:r>
      <w:r w:rsidR="002A2CC4">
        <w:rPr>
          <w:lang w:eastAsia="en-AU"/>
        </w:rPr>
        <w:t>)</w:t>
      </w:r>
    </w:p>
    <w:p w14:paraId="10238857" w14:textId="18EA507A" w:rsidR="00C71EA4" w:rsidRPr="00C71EA4" w:rsidRDefault="00C71EA4" w:rsidP="00524FD4">
      <w:pPr>
        <w:pStyle w:val="ListBullet"/>
        <w:numPr>
          <w:ilvl w:val="0"/>
          <w:numId w:val="0"/>
        </w:numPr>
        <w:ind w:left="360" w:hanging="360"/>
        <w:rPr>
          <w:lang w:eastAsia="en-AU"/>
        </w:rPr>
      </w:pPr>
      <w:r w:rsidRPr="00C71EA4">
        <w:rPr>
          <w:lang w:eastAsia="en-AU"/>
        </w:rPr>
        <w:t>66-72-8</w:t>
      </w:r>
      <w:r w:rsidR="002A2CC4">
        <w:rPr>
          <w:lang w:eastAsia="en-AU"/>
        </w:rPr>
        <w:t xml:space="preserve"> (</w:t>
      </w:r>
      <w:r w:rsidR="002A2CC4" w:rsidRPr="00C71EA4">
        <w:rPr>
          <w:lang w:eastAsia="en-AU"/>
        </w:rPr>
        <w:t>Pyridoxal</w:t>
      </w:r>
      <w:r w:rsidR="002A2CC4">
        <w:rPr>
          <w:lang w:eastAsia="en-AU"/>
        </w:rPr>
        <w:t>)</w:t>
      </w:r>
      <w:r w:rsidRPr="00C71EA4">
        <w:rPr>
          <w:lang w:eastAsia="en-AU"/>
        </w:rPr>
        <w:t> </w:t>
      </w:r>
    </w:p>
    <w:p w14:paraId="3E3231E5" w14:textId="701E075F" w:rsidR="00C71EA4" w:rsidRPr="00C71EA4" w:rsidRDefault="00C71EA4" w:rsidP="00524FD4">
      <w:pPr>
        <w:pStyle w:val="ListBullet"/>
        <w:numPr>
          <w:ilvl w:val="0"/>
          <w:numId w:val="0"/>
        </w:numPr>
        <w:ind w:left="360" w:hanging="360"/>
        <w:rPr>
          <w:lang w:eastAsia="en-AU"/>
        </w:rPr>
      </w:pPr>
      <w:r w:rsidRPr="00C71EA4">
        <w:rPr>
          <w:lang w:eastAsia="en-AU"/>
        </w:rPr>
        <w:t>85-87-0 </w:t>
      </w:r>
      <w:r w:rsidR="002A2CC4">
        <w:rPr>
          <w:lang w:eastAsia="en-AU"/>
        </w:rPr>
        <w:t>(</w:t>
      </w:r>
      <w:r w:rsidR="002A2CC4" w:rsidRPr="00C71EA4">
        <w:rPr>
          <w:lang w:eastAsia="en-AU"/>
        </w:rPr>
        <w:t>Pyridoxamine</w:t>
      </w:r>
      <w:r w:rsidR="002A2CC4">
        <w:rPr>
          <w:lang w:eastAsia="en-AU"/>
        </w:rPr>
        <w:t>)</w:t>
      </w:r>
    </w:p>
    <w:p w14:paraId="26B0F230" w14:textId="77777777" w:rsidR="00C71EA4" w:rsidRPr="00C71EA4" w:rsidRDefault="00C71EA4" w:rsidP="007B3FCB">
      <w:pPr>
        <w:pStyle w:val="Heading4"/>
        <w:rPr>
          <w:sz w:val="22"/>
          <w:szCs w:val="22"/>
        </w:rPr>
      </w:pPr>
      <w:bookmarkStart w:id="60" w:name="_Toc177657872"/>
      <w:r w:rsidRPr="00C71EA4">
        <w:t>Alternative names</w:t>
      </w:r>
      <w:bookmarkEnd w:id="60"/>
      <w:r w:rsidRPr="00C71EA4">
        <w:t> </w:t>
      </w:r>
    </w:p>
    <w:p w14:paraId="6D47E6AA" w14:textId="77777777" w:rsidR="00C71EA4" w:rsidRPr="00C71EA4" w:rsidRDefault="00C71EA4" w:rsidP="007B3FCB">
      <w:pPr>
        <w:rPr>
          <w:lang w:eastAsia="en-AU"/>
        </w:rPr>
      </w:pPr>
      <w:r w:rsidRPr="00C71EA4">
        <w:rPr>
          <w:lang w:eastAsia="en-AU"/>
        </w:rPr>
        <w:t>Vitamin B6 </w:t>
      </w:r>
    </w:p>
    <w:p w14:paraId="7A68EFAE" w14:textId="77777777" w:rsidR="00C71EA4" w:rsidRPr="00C71EA4" w:rsidRDefault="00C71EA4" w:rsidP="007B3FCB">
      <w:pPr>
        <w:pStyle w:val="Heading4"/>
        <w:rPr>
          <w:sz w:val="22"/>
          <w:szCs w:val="22"/>
        </w:rPr>
      </w:pPr>
      <w:bookmarkStart w:id="61" w:name="_Toc177657873"/>
      <w:r w:rsidRPr="00C71EA4">
        <w:t>Applicant</w:t>
      </w:r>
      <w:bookmarkEnd w:id="61"/>
      <w:r w:rsidRPr="00C71EA4">
        <w:t> </w:t>
      </w:r>
    </w:p>
    <w:p w14:paraId="26BFE404" w14:textId="77777777" w:rsidR="00C71EA4" w:rsidRPr="00C71EA4" w:rsidRDefault="00C71EA4" w:rsidP="007B3FCB">
      <w:pPr>
        <w:rPr>
          <w:lang w:eastAsia="en-AU"/>
        </w:rPr>
      </w:pPr>
      <w:r w:rsidRPr="00C71EA4">
        <w:rPr>
          <w:lang w:eastAsia="en-AU"/>
        </w:rPr>
        <w:t>Private applicant </w:t>
      </w:r>
    </w:p>
    <w:p w14:paraId="2A9B4665" w14:textId="77777777" w:rsidR="00C71EA4" w:rsidRPr="007B3FCB" w:rsidRDefault="00C71EA4" w:rsidP="007B3FCB">
      <w:pPr>
        <w:pStyle w:val="Heading4"/>
      </w:pPr>
      <w:bookmarkStart w:id="62" w:name="_Toc177657874"/>
      <w:r w:rsidRPr="007B3FCB">
        <w:t>Proposed Scheduling </w:t>
      </w:r>
      <w:bookmarkEnd w:id="62"/>
    </w:p>
    <w:p w14:paraId="21E85B79" w14:textId="35FC4036" w:rsidR="00C71EA4" w:rsidRPr="00C71EA4" w:rsidRDefault="00C71EA4" w:rsidP="0069007F">
      <w:pPr>
        <w:rPr>
          <w:lang w:eastAsia="en-AU"/>
        </w:rPr>
      </w:pPr>
      <w:r w:rsidRPr="00C71EA4">
        <w:rPr>
          <w:lang w:eastAsia="en-AU"/>
        </w:rPr>
        <w:t xml:space="preserve">Pyridoxine, pyridoxal or pyridoxamine for human therapeutic use are currently scheduled as </w:t>
      </w:r>
      <w:r w:rsidR="00FB119D">
        <w:rPr>
          <w:lang w:eastAsia="en-AU"/>
        </w:rPr>
        <w:t>a Prescription only medicines (</w:t>
      </w:r>
      <w:r w:rsidRPr="00C71EA4">
        <w:rPr>
          <w:lang w:eastAsia="en-AU"/>
        </w:rPr>
        <w:t>Schedule 4</w:t>
      </w:r>
      <w:r w:rsidR="00FB119D">
        <w:rPr>
          <w:lang w:eastAsia="en-AU"/>
        </w:rPr>
        <w:t>)</w:t>
      </w:r>
      <w:r w:rsidRPr="00C71EA4">
        <w:rPr>
          <w:lang w:eastAsia="en-AU"/>
        </w:rPr>
        <w:t xml:space="preserve"> except: </w:t>
      </w:r>
    </w:p>
    <w:p w14:paraId="6A09EF12" w14:textId="0517A3A3" w:rsidR="00C71EA4" w:rsidRPr="00C71EA4" w:rsidRDefault="00C71EA4" w:rsidP="00B65AAE">
      <w:pPr>
        <w:pStyle w:val="ListParagraph"/>
        <w:numPr>
          <w:ilvl w:val="0"/>
          <w:numId w:val="10"/>
        </w:numPr>
        <w:rPr>
          <w:lang w:eastAsia="en-AU"/>
        </w:rPr>
      </w:pPr>
      <w:r w:rsidRPr="00C71EA4">
        <w:rPr>
          <w:lang w:eastAsia="en-AU"/>
        </w:rPr>
        <w:lastRenderedPageBreak/>
        <w:t>in oral preparations containing 200 mg or less but more than 50 mg of pyridoxine, pyridoxal or pyridoxamine per recommended daily dose when compliant with the requirements of the required advisory statements for medicine labels; or </w:t>
      </w:r>
    </w:p>
    <w:p w14:paraId="1A2575A2" w14:textId="61399BC2" w:rsidR="00C71EA4" w:rsidRPr="00C71EA4" w:rsidRDefault="00C71EA4" w:rsidP="00B65AAE">
      <w:pPr>
        <w:pStyle w:val="ListParagraph"/>
        <w:numPr>
          <w:ilvl w:val="0"/>
          <w:numId w:val="10"/>
        </w:numPr>
        <w:rPr>
          <w:lang w:eastAsia="en-AU"/>
        </w:rPr>
      </w:pPr>
      <w:r w:rsidRPr="00C71EA4">
        <w:rPr>
          <w:lang w:eastAsia="en-AU"/>
        </w:rPr>
        <w:t>in oral preparations containing 50 mg or less of pyridoxine, pyridoxal or pyridoxamine per recommended daily dose. </w:t>
      </w:r>
    </w:p>
    <w:p w14:paraId="2A1E9781" w14:textId="4CC05874" w:rsidR="00C71EA4" w:rsidRPr="00C71EA4" w:rsidRDefault="00C71EA4" w:rsidP="00E7246A">
      <w:pPr>
        <w:rPr>
          <w:lang w:eastAsia="en-AU"/>
        </w:rPr>
      </w:pPr>
      <w:r w:rsidRPr="00C71EA4">
        <w:rPr>
          <w:lang w:eastAsia="en-AU"/>
        </w:rPr>
        <w:t>The applicant’s proposed amendments to the Poisons Standard are</w:t>
      </w:r>
      <w:r w:rsidRPr="00C71EA4">
        <w:rPr>
          <w:sz w:val="17"/>
          <w:szCs w:val="17"/>
          <w:vertAlign w:val="superscript"/>
          <w:lang w:eastAsia="en-AU"/>
        </w:rPr>
        <w:t>1</w:t>
      </w:r>
      <w:r w:rsidRPr="00C71EA4">
        <w:rPr>
          <w:lang w:eastAsia="en-AU"/>
        </w:rPr>
        <w:t>: </w:t>
      </w:r>
    </w:p>
    <w:p w14:paraId="72A6E68F" w14:textId="77777777" w:rsidR="00C71EA4" w:rsidRPr="00B74609" w:rsidRDefault="00C71EA4" w:rsidP="00B74609">
      <w:pPr>
        <w:ind w:left="426"/>
        <w:rPr>
          <w:rFonts w:cs="Arial"/>
          <w:b/>
          <w:bCs/>
        </w:rPr>
      </w:pPr>
      <w:r w:rsidRPr="00382738">
        <w:rPr>
          <w:b/>
          <w:bCs/>
          <w:lang w:eastAsia="en-AU"/>
        </w:rPr>
        <w:t>Schedule 4 – Amend Entry </w:t>
      </w:r>
    </w:p>
    <w:p w14:paraId="07E7ECB8" w14:textId="4B0DCA69" w:rsidR="00C71EA4" w:rsidRPr="00C71EA4" w:rsidRDefault="00C71EA4" w:rsidP="006236A8">
      <w:pPr>
        <w:ind w:left="720"/>
        <w:rPr>
          <w:strike/>
          <w:color w:val="FF0000"/>
          <w:lang w:eastAsia="en-AU"/>
        </w:rPr>
      </w:pPr>
      <w:r w:rsidRPr="006236A8">
        <w:rPr>
          <w:rFonts w:cs="Arial"/>
        </w:rPr>
        <w:t>PYRIDOXINE, PYRIDOXAL O</w:t>
      </w:r>
      <w:r w:rsidRPr="006236A8">
        <w:rPr>
          <w:lang w:eastAsia="en-AU"/>
        </w:rPr>
        <w:t>R</w:t>
      </w:r>
      <w:r w:rsidRPr="00C71EA4">
        <w:rPr>
          <w:lang w:eastAsia="en-AU"/>
        </w:rPr>
        <w:t xml:space="preserve"> PYRIDOXAMINE for human therapeutic use </w:t>
      </w:r>
      <w:r w:rsidRPr="00C71EA4">
        <w:rPr>
          <w:color w:val="00B050"/>
          <w:lang w:eastAsia="en-AU"/>
        </w:rPr>
        <w:t>except when included in Schedule 3.</w:t>
      </w:r>
    </w:p>
    <w:p w14:paraId="6771108E" w14:textId="77777777" w:rsidR="00C71EA4" w:rsidRPr="00C71EA4" w:rsidRDefault="00C71EA4" w:rsidP="007926DF">
      <w:pPr>
        <w:ind w:left="1440"/>
        <w:rPr>
          <w:strike/>
          <w:color w:val="FF0000"/>
          <w:lang w:eastAsia="en-AU"/>
        </w:rPr>
      </w:pPr>
      <w:r w:rsidRPr="00C71EA4">
        <w:rPr>
          <w:strike/>
          <w:color w:val="FF0000"/>
          <w:lang w:eastAsia="en-AU"/>
        </w:rPr>
        <w:t xml:space="preserve">(a) </w:t>
      </w:r>
      <w:r w:rsidRPr="00C71EA4">
        <w:rPr>
          <w:strike/>
          <w:color w:val="FF0000"/>
          <w:lang w:eastAsia="en-AU"/>
        </w:rPr>
        <w:tab/>
        <w:t>in oral preparations containing 200 mg or less but more than 50 mg of pyridoxine, pyridoxal or pyridoxamine per recommended daily dose when compliant with the requirements of the required advisory statements for medicine labels; or </w:t>
      </w:r>
    </w:p>
    <w:p w14:paraId="7794FCE3" w14:textId="77777777" w:rsidR="00C71EA4" w:rsidRPr="00C71EA4" w:rsidRDefault="00C71EA4" w:rsidP="007926DF">
      <w:pPr>
        <w:ind w:left="1440"/>
        <w:rPr>
          <w:strike/>
          <w:color w:val="FF0000"/>
          <w:lang w:eastAsia="en-AU"/>
        </w:rPr>
      </w:pPr>
      <w:r w:rsidRPr="00C71EA4">
        <w:rPr>
          <w:strike/>
          <w:color w:val="FF0000"/>
          <w:lang w:eastAsia="en-AU"/>
        </w:rPr>
        <w:t xml:space="preserve"> (b) </w:t>
      </w:r>
      <w:r w:rsidRPr="00C71EA4">
        <w:rPr>
          <w:strike/>
          <w:color w:val="FF0000"/>
          <w:lang w:eastAsia="en-AU"/>
        </w:rPr>
        <w:tab/>
        <w:t>in oral preparations containing 50 mg or less of pyridoxine, pyridoxal or pyridoxamine per recommended daily dose. </w:t>
      </w:r>
    </w:p>
    <w:p w14:paraId="29B6807C" w14:textId="55C2DA8E" w:rsidR="00C71EA4" w:rsidRPr="00B74609" w:rsidRDefault="00C71EA4" w:rsidP="00B74609">
      <w:pPr>
        <w:ind w:left="426"/>
        <w:rPr>
          <w:rFonts w:cs="Arial"/>
          <w:b/>
          <w:bCs/>
        </w:rPr>
      </w:pPr>
      <w:r w:rsidRPr="00382738">
        <w:rPr>
          <w:b/>
          <w:bCs/>
          <w:lang w:eastAsia="en-AU"/>
        </w:rPr>
        <w:t>Schedule 3 – New Entry </w:t>
      </w:r>
    </w:p>
    <w:p w14:paraId="1A28E9A0" w14:textId="719729ED" w:rsidR="00C71EA4" w:rsidRPr="00C71EA4" w:rsidRDefault="00C71EA4" w:rsidP="00FB119D">
      <w:pPr>
        <w:ind w:left="720"/>
        <w:rPr>
          <w:lang w:eastAsia="en-AU"/>
        </w:rPr>
      </w:pPr>
      <w:r w:rsidRPr="006236A8">
        <w:rPr>
          <w:color w:val="00B050"/>
          <w:lang w:eastAsia="en-AU"/>
        </w:rPr>
        <w:t>PYRIDOXINE, PYRIDOXAL</w:t>
      </w:r>
      <w:r w:rsidRPr="00382738">
        <w:rPr>
          <w:color w:val="00B050"/>
          <w:lang w:eastAsia="en-AU"/>
        </w:rPr>
        <w:t xml:space="preserve"> OR PYRIDOXAMINE for human therapeutic use when in oral preparations containing 200 mg or less </w:t>
      </w:r>
      <w:r w:rsidRPr="00C71EA4">
        <w:rPr>
          <w:color w:val="00B050"/>
          <w:lang w:eastAsia="en-AU"/>
        </w:rPr>
        <w:t>but more than 5 mg</w:t>
      </w:r>
      <w:r w:rsidRPr="00382738">
        <w:rPr>
          <w:color w:val="00B050"/>
          <w:lang w:eastAsia="en-AU"/>
        </w:rPr>
        <w:t xml:space="preserve"> of pyridoxine, pyridoxal or pyridoxamine per recommended daily dose when compliant with the requirements of the required advisory statements for medicine</w:t>
      </w:r>
      <w:r w:rsidR="00ED5C1F">
        <w:rPr>
          <w:color w:val="00B050"/>
          <w:lang w:eastAsia="en-AU"/>
        </w:rPr>
        <w:t xml:space="preserve"> labels</w:t>
      </w:r>
      <w:r w:rsidR="004A713B" w:rsidRPr="00382738">
        <w:rPr>
          <w:color w:val="00B050"/>
          <w:lang w:eastAsia="en-AU"/>
        </w:rPr>
        <w:t>.</w:t>
      </w:r>
    </w:p>
    <w:p w14:paraId="2E976509" w14:textId="77777777" w:rsidR="00C71EA4" w:rsidRPr="00B74609" w:rsidRDefault="00C71EA4" w:rsidP="00B74609">
      <w:pPr>
        <w:ind w:left="426"/>
        <w:rPr>
          <w:rFonts w:cs="Arial"/>
          <w:b/>
          <w:bCs/>
        </w:rPr>
      </w:pPr>
      <w:r w:rsidRPr="007926DF">
        <w:rPr>
          <w:b/>
          <w:bCs/>
          <w:lang w:eastAsia="en-AU"/>
        </w:rPr>
        <w:t>Index – Amend Entry </w:t>
      </w:r>
    </w:p>
    <w:p w14:paraId="010BCFCF" w14:textId="5E3F5554" w:rsidR="00C71EA4" w:rsidRPr="00C71EA4" w:rsidRDefault="00C71EA4" w:rsidP="006236A8">
      <w:pPr>
        <w:ind w:left="720"/>
        <w:rPr>
          <w:lang w:eastAsia="en-AU"/>
        </w:rPr>
      </w:pPr>
      <w:r w:rsidRPr="006236A8">
        <w:rPr>
          <w:lang w:eastAsia="en-AU"/>
        </w:rPr>
        <w:t>PYRIDOXINE, PYRIDOX</w:t>
      </w:r>
      <w:r w:rsidRPr="00C71EA4">
        <w:rPr>
          <w:lang w:eastAsia="en-AU"/>
        </w:rPr>
        <w:t>AL OR PYRIDOXAMINE</w:t>
      </w:r>
    </w:p>
    <w:p w14:paraId="3D2FDAE4" w14:textId="3EB95135" w:rsidR="00C71EA4" w:rsidRPr="00C71EA4" w:rsidRDefault="00C71EA4" w:rsidP="006236A8">
      <w:pPr>
        <w:spacing w:after="0"/>
        <w:ind w:left="294" w:firstLine="415"/>
      </w:pPr>
      <w:r w:rsidRPr="00C71EA4">
        <w:t>Schedule 4</w:t>
      </w:r>
    </w:p>
    <w:p w14:paraId="6FED3A7D" w14:textId="666D21FD" w:rsidR="00C71EA4" w:rsidRPr="007926DF" w:rsidRDefault="00C71EA4" w:rsidP="006236A8">
      <w:pPr>
        <w:spacing w:after="0"/>
        <w:ind w:left="294" w:firstLine="415"/>
        <w:rPr>
          <w:color w:val="00B050"/>
          <w:lang w:eastAsia="en-AU"/>
        </w:rPr>
      </w:pPr>
      <w:r w:rsidRPr="007926DF">
        <w:rPr>
          <w:color w:val="00B050"/>
          <w:lang w:eastAsia="en-AU"/>
        </w:rPr>
        <w:t>Schedule 3</w:t>
      </w:r>
    </w:p>
    <w:p w14:paraId="5649AAE2" w14:textId="77777777" w:rsidR="00C71EA4" w:rsidRPr="00C71EA4" w:rsidRDefault="00C71EA4" w:rsidP="007B3FCB">
      <w:pPr>
        <w:pStyle w:val="Heading4"/>
        <w:rPr>
          <w:sz w:val="22"/>
          <w:szCs w:val="22"/>
        </w:rPr>
      </w:pPr>
      <w:bookmarkStart w:id="63" w:name="_Toc177657875"/>
      <w:r w:rsidRPr="00C71EA4">
        <w:t>Background</w:t>
      </w:r>
      <w:bookmarkEnd w:id="63"/>
      <w:r w:rsidRPr="00C71EA4">
        <w:t> </w:t>
      </w:r>
    </w:p>
    <w:p w14:paraId="632D94EA" w14:textId="03BDC88C" w:rsidR="00C71EA4" w:rsidRPr="00C71EA4" w:rsidRDefault="00C71EA4" w:rsidP="007B3FCB">
      <w:pPr>
        <w:rPr>
          <w:lang w:eastAsia="en-AU"/>
        </w:rPr>
      </w:pPr>
      <w:r w:rsidRPr="00C71EA4">
        <w:rPr>
          <w:lang w:eastAsia="en-AU"/>
        </w:rPr>
        <w:t>Vitamin B6 is a water-soluble, essential nutrient found in food. It acts as a co-enzyme in numerous enzymatic reactions in the metabolism of amino acids, carbohydrates and lipids. Vitamin B6 is also important for the synthesis of many neurotransmitters, haemoglobin formation and immune functions.</w:t>
      </w:r>
    </w:p>
    <w:p w14:paraId="66B6B5AA" w14:textId="133A445F" w:rsidR="00C71EA4" w:rsidRPr="00C71EA4" w:rsidRDefault="00C71EA4" w:rsidP="00740F29">
      <w:pPr>
        <w:rPr>
          <w:lang w:eastAsia="en-AU"/>
        </w:rPr>
      </w:pPr>
      <w:r w:rsidRPr="00C71EA4">
        <w:rPr>
          <w:lang w:eastAsia="en-AU"/>
        </w:rPr>
        <w:t>Vitamin B6</w:t>
      </w:r>
      <w:r w:rsidRPr="00740F29">
        <w:rPr>
          <w:lang w:eastAsia="en-AU"/>
        </w:rPr>
        <w:t xml:space="preserve"> refers </w:t>
      </w:r>
      <w:r w:rsidR="00000FA0">
        <w:rPr>
          <w:lang w:eastAsia="en-AU"/>
        </w:rPr>
        <w:t xml:space="preserve">to </w:t>
      </w:r>
      <w:r w:rsidRPr="00740F29">
        <w:rPr>
          <w:lang w:eastAsia="en-AU"/>
        </w:rPr>
        <w:t>6 compounds with vitamin B6 activity:</w:t>
      </w:r>
      <w:r w:rsidR="00740F29">
        <w:rPr>
          <w:lang w:eastAsia="en-AU"/>
        </w:rPr>
        <w:t xml:space="preserve"> </w:t>
      </w:r>
      <w:r w:rsidRPr="00C71EA4">
        <w:rPr>
          <w:lang w:eastAsia="en-AU"/>
        </w:rPr>
        <w:t>pyridoxine, pyridoxal, pyridoxamine</w:t>
      </w:r>
      <w:r w:rsidRPr="00740F29">
        <w:rPr>
          <w:lang w:eastAsia="en-AU"/>
        </w:rPr>
        <w:t xml:space="preserve"> and </w:t>
      </w:r>
      <w:r w:rsidR="00000FA0">
        <w:rPr>
          <w:lang w:eastAsia="en-AU"/>
        </w:rPr>
        <w:t xml:space="preserve">each of </w:t>
      </w:r>
      <w:r w:rsidRPr="00740F29">
        <w:rPr>
          <w:lang w:eastAsia="en-AU"/>
        </w:rPr>
        <w:t xml:space="preserve">their 5’-phosphate esters. </w:t>
      </w:r>
      <w:r w:rsidRPr="00C71EA4">
        <w:rPr>
          <w:lang w:eastAsia="en-AU"/>
        </w:rPr>
        <w:t>Pyridoxine hydrochloride, pyridoxal 5</w:t>
      </w:r>
      <w:r w:rsidRPr="00740F29">
        <w:rPr>
          <w:lang w:eastAsia="en-AU"/>
        </w:rPr>
        <w:t>’</w:t>
      </w:r>
      <w:r w:rsidRPr="00C71EA4">
        <w:rPr>
          <w:lang w:eastAsia="en-AU"/>
        </w:rPr>
        <w:t>-phosphate, and pyridoxal 5</w:t>
      </w:r>
      <w:r w:rsidRPr="00740F29">
        <w:rPr>
          <w:lang w:eastAsia="en-AU"/>
        </w:rPr>
        <w:t>’</w:t>
      </w:r>
      <w:r w:rsidRPr="00C71EA4">
        <w:rPr>
          <w:lang w:eastAsia="en-AU"/>
        </w:rPr>
        <w:t>-phosphate monohydrate are available for use in listed medicines.</w:t>
      </w:r>
    </w:p>
    <w:p w14:paraId="0A6420BD" w14:textId="2C030F6D" w:rsidR="00C71EA4" w:rsidRPr="001B474B" w:rsidRDefault="00C71EA4" w:rsidP="007B3FCB">
      <w:r w:rsidRPr="00C71EA4">
        <w:rPr>
          <w:lang w:eastAsia="en-AU"/>
        </w:rPr>
        <w:t xml:space="preserve">Accumulation of vitamin B6 through supplemental intake can cause peripheral neuropathy, which has symptoms of tingling, burning or numbness, usually in the </w:t>
      </w:r>
      <w:r w:rsidRPr="001B474B">
        <w:t>hands or feet. It usually occurs at high doses or following long-term use of products containing vitamin B6, especially when people are taking multiple products containing vitamin B6. Peripheral neuropathy</w:t>
      </w:r>
      <w:r w:rsidRPr="00C71EA4">
        <w:rPr>
          <w:lang w:eastAsia="en-AU"/>
        </w:rPr>
        <w:t xml:space="preserve"> can also occur at low doses</w:t>
      </w:r>
      <w:r w:rsidRPr="001B474B">
        <w:t>.</w:t>
      </w:r>
    </w:p>
    <w:p w14:paraId="3E48AE4E" w14:textId="22C349F9" w:rsidR="00C71EA4" w:rsidRPr="00C71EA4" w:rsidRDefault="00C71EA4" w:rsidP="007B3FCB">
      <w:pPr>
        <w:pStyle w:val="Heading4"/>
        <w:rPr>
          <w:sz w:val="22"/>
          <w:szCs w:val="22"/>
        </w:rPr>
      </w:pPr>
      <w:bookmarkStart w:id="64" w:name="_Toc177657876"/>
      <w:r w:rsidRPr="00C71EA4">
        <w:t>Summary of applicant’s reasons for the proposal</w:t>
      </w:r>
      <w:bookmarkEnd w:id="64"/>
    </w:p>
    <w:p w14:paraId="0553B04B" w14:textId="556415EC" w:rsidR="00C71EA4" w:rsidRPr="00C71EA4" w:rsidRDefault="00C71EA4" w:rsidP="00FB119D">
      <w:pPr>
        <w:pStyle w:val="ListBullet"/>
        <w:rPr>
          <w:lang w:eastAsia="en-AU"/>
        </w:rPr>
      </w:pPr>
      <w:r w:rsidRPr="001B474B">
        <w:t>In the applicant’s opinion, increasing</w:t>
      </w:r>
      <w:r w:rsidRPr="00C71EA4">
        <w:rPr>
          <w:lang w:eastAsia="en-AU"/>
        </w:rPr>
        <w:t xml:space="preserve"> number of patients are presenting with vitamin B6 toxicity that is causing progressive and often severe nerve damage.</w:t>
      </w:r>
    </w:p>
    <w:p w14:paraId="47358658" w14:textId="385E4CB3" w:rsidR="00302ED4" w:rsidRDefault="00302ED4" w:rsidP="00FB119D">
      <w:pPr>
        <w:pStyle w:val="ListBullet"/>
        <w:rPr>
          <w:lang w:eastAsia="en-AU"/>
        </w:rPr>
      </w:pPr>
      <w:r w:rsidRPr="00302ED4">
        <w:rPr>
          <w:lang w:eastAsia="en-AU"/>
        </w:rPr>
        <w:t>Vitamin B6 (pyridoxine) is present in numerous multivitamin and mineral supplements that can be bought in supermarkets, health food shops and pharmacies without a prescription.</w:t>
      </w:r>
    </w:p>
    <w:p w14:paraId="2EF816A6" w14:textId="47A2AF8D" w:rsidR="00867F31" w:rsidRDefault="00C71EA4" w:rsidP="00FB119D">
      <w:pPr>
        <w:pStyle w:val="ListBullet"/>
        <w:rPr>
          <w:lang w:eastAsia="en-AU"/>
        </w:rPr>
      </w:pPr>
      <w:r w:rsidRPr="00C71EA4">
        <w:rPr>
          <w:lang w:eastAsia="en-AU"/>
        </w:rPr>
        <w:t xml:space="preserve">The applicant stated </w:t>
      </w:r>
      <w:r w:rsidRPr="0042019C">
        <w:t>that many p</w:t>
      </w:r>
      <w:r w:rsidRPr="00C71EA4">
        <w:rPr>
          <w:lang w:eastAsia="en-AU"/>
        </w:rPr>
        <w:t>eople are not aware that vitamin B6 can cause peripheral neuropathy.</w:t>
      </w:r>
    </w:p>
    <w:p w14:paraId="0F9C1F97" w14:textId="398573CD" w:rsidR="00764815" w:rsidRDefault="00867F31" w:rsidP="00FB119D">
      <w:pPr>
        <w:pStyle w:val="ListBullet"/>
        <w:rPr>
          <w:lang w:eastAsia="en-AU"/>
        </w:rPr>
      </w:pPr>
      <w:r>
        <w:rPr>
          <w:lang w:eastAsia="en-AU"/>
        </w:rPr>
        <w:lastRenderedPageBreak/>
        <w:t>The applic</w:t>
      </w:r>
      <w:r w:rsidR="00A77A09">
        <w:rPr>
          <w:lang w:eastAsia="en-AU"/>
        </w:rPr>
        <w:t xml:space="preserve">ation </w:t>
      </w:r>
      <w:r w:rsidR="00524FD4">
        <w:rPr>
          <w:lang w:eastAsia="en-AU"/>
        </w:rPr>
        <w:t>stated</w:t>
      </w:r>
      <w:r w:rsidR="00A77A09">
        <w:rPr>
          <w:lang w:eastAsia="en-AU"/>
        </w:rPr>
        <w:t xml:space="preserve"> that c</w:t>
      </w:r>
      <w:r w:rsidR="00C71EA4" w:rsidRPr="00C71EA4">
        <w:rPr>
          <w:lang w:eastAsia="en-AU"/>
        </w:rPr>
        <w:t xml:space="preserve">onsumers are </w:t>
      </w:r>
      <w:r w:rsidR="00DA50B4">
        <w:rPr>
          <w:lang w:eastAsia="en-AU"/>
        </w:rPr>
        <w:t xml:space="preserve">self-medicating </w:t>
      </w:r>
      <w:r w:rsidR="00764815">
        <w:rPr>
          <w:lang w:eastAsia="en-AU"/>
        </w:rPr>
        <w:t xml:space="preserve">by </w:t>
      </w:r>
      <w:r w:rsidR="00C71EA4" w:rsidRPr="00C71EA4">
        <w:rPr>
          <w:lang w:eastAsia="en-AU"/>
        </w:rPr>
        <w:t>using these supplements and taking more than more than one tablet daily</w:t>
      </w:r>
      <w:r w:rsidR="00A77A09">
        <w:rPr>
          <w:lang w:eastAsia="en-AU"/>
        </w:rPr>
        <w:t xml:space="preserve"> from multiple sources</w:t>
      </w:r>
      <w:r w:rsidR="00FB119D">
        <w:rPr>
          <w:lang w:eastAsia="en-AU"/>
        </w:rPr>
        <w:t>. Examples include</w:t>
      </w:r>
      <w:r w:rsidR="00C71EA4" w:rsidRPr="00C71EA4">
        <w:rPr>
          <w:lang w:eastAsia="en-AU"/>
        </w:rPr>
        <w:t xml:space="preserve"> magnesium supplement</w:t>
      </w:r>
      <w:r w:rsidR="00FB119D">
        <w:rPr>
          <w:lang w:eastAsia="en-AU"/>
        </w:rPr>
        <w:t>s</w:t>
      </w:r>
      <w:r w:rsidR="00C71EA4" w:rsidRPr="00C71EA4">
        <w:rPr>
          <w:lang w:eastAsia="en-AU"/>
        </w:rPr>
        <w:t xml:space="preserve"> to control muscle cramps or taking several supplements each of which contain vitamin B6.</w:t>
      </w:r>
    </w:p>
    <w:p w14:paraId="1ED9FF76" w14:textId="441DA565" w:rsidR="00D570FE" w:rsidRDefault="00C71EA4" w:rsidP="00FB119D">
      <w:pPr>
        <w:pStyle w:val="ListBullet"/>
        <w:rPr>
          <w:lang w:eastAsia="en-AU"/>
        </w:rPr>
      </w:pPr>
      <w:r w:rsidRPr="00C71EA4">
        <w:rPr>
          <w:lang w:eastAsia="en-AU"/>
        </w:rPr>
        <w:t>While products containing a daily dose of vitamin B6 above 10 mg require a warning about peripheral neuropathy, consumers often do not read the warnings.</w:t>
      </w:r>
    </w:p>
    <w:p w14:paraId="49BAF863" w14:textId="61044086" w:rsidR="00C71EA4" w:rsidRPr="0042019C" w:rsidRDefault="00C71EA4" w:rsidP="00FB119D">
      <w:pPr>
        <w:pStyle w:val="ListBullet"/>
      </w:pPr>
      <w:r w:rsidRPr="0042019C">
        <w:t xml:space="preserve">Further, elderly patients </w:t>
      </w:r>
      <w:r w:rsidR="00000FA0">
        <w:t>who receive</w:t>
      </w:r>
      <w:r w:rsidRPr="0042019C">
        <w:t xml:space="preserve"> a vitamin B6-containing supplement </w:t>
      </w:r>
      <w:r w:rsidR="00000FA0">
        <w:t>included in</w:t>
      </w:r>
      <w:r w:rsidRPr="0042019C">
        <w:t xml:space="preserve"> a Webster Pack</w:t>
      </w:r>
      <w:r w:rsidR="00000FA0">
        <w:rPr>
          <w:rStyle w:val="FootnoteReference"/>
        </w:rPr>
        <w:footnoteReference w:id="5"/>
      </w:r>
      <w:r w:rsidR="00000FA0">
        <w:t xml:space="preserve"> </w:t>
      </w:r>
      <w:r w:rsidR="00E67E49">
        <w:t>do</w:t>
      </w:r>
      <w:r w:rsidRPr="0042019C">
        <w:t xml:space="preserve"> </w:t>
      </w:r>
      <w:r w:rsidR="00E67E49">
        <w:t>not</w:t>
      </w:r>
      <w:r w:rsidRPr="0042019C">
        <w:t xml:space="preserve"> have the opportunity to see the warning</w:t>
      </w:r>
      <w:r w:rsidR="00000FA0">
        <w:t>s</w:t>
      </w:r>
      <w:r w:rsidRPr="0042019C">
        <w:t>.</w:t>
      </w:r>
    </w:p>
    <w:p w14:paraId="24D7B992" w14:textId="3668328A" w:rsidR="00C71EA4" w:rsidRPr="00C71EA4" w:rsidRDefault="00C71EA4" w:rsidP="00FB119D">
      <w:pPr>
        <w:pStyle w:val="ListBullet"/>
        <w:rPr>
          <w:lang w:eastAsia="en-AU"/>
        </w:rPr>
      </w:pPr>
      <w:r w:rsidRPr="00C71EA4">
        <w:rPr>
          <w:lang w:eastAsia="en-AU"/>
        </w:rPr>
        <w:t xml:space="preserve">Ceasing the </w:t>
      </w:r>
      <w:r w:rsidR="00FB119D">
        <w:rPr>
          <w:lang w:eastAsia="en-AU"/>
        </w:rPr>
        <w:t xml:space="preserve">vitamin </w:t>
      </w:r>
      <w:r w:rsidRPr="00C71EA4">
        <w:rPr>
          <w:lang w:eastAsia="en-AU"/>
        </w:rPr>
        <w:t>B6 containing supplement may result in the condition improving</w:t>
      </w:r>
      <w:r w:rsidR="00000FA0">
        <w:rPr>
          <w:lang w:eastAsia="en-AU"/>
        </w:rPr>
        <w:t>,</w:t>
      </w:r>
      <w:r w:rsidRPr="00C71EA4">
        <w:rPr>
          <w:lang w:eastAsia="en-AU"/>
        </w:rPr>
        <w:t xml:space="preserve"> however</w:t>
      </w:r>
      <w:r w:rsidRPr="00210006">
        <w:rPr>
          <w:lang w:eastAsia="en-AU"/>
        </w:rPr>
        <w:t>,</w:t>
      </w:r>
      <w:r w:rsidRPr="00000FA0">
        <w:rPr>
          <w:lang w:eastAsia="en-AU"/>
        </w:rPr>
        <w:t xml:space="preserve"> for many</w:t>
      </w:r>
      <w:r w:rsidRPr="00210006">
        <w:rPr>
          <w:lang w:eastAsia="en-AU"/>
        </w:rPr>
        <w:t>,</w:t>
      </w:r>
      <w:r w:rsidRPr="00C71EA4">
        <w:rPr>
          <w:lang w:eastAsia="en-AU"/>
        </w:rPr>
        <w:t xml:space="preserve"> the damage is permanent and stopping the supplement will only </w:t>
      </w:r>
      <w:r w:rsidR="00000FA0">
        <w:rPr>
          <w:lang w:eastAsia="en-AU"/>
        </w:rPr>
        <w:t>prevent</w:t>
      </w:r>
      <w:r w:rsidR="00000FA0" w:rsidRPr="00C71EA4">
        <w:rPr>
          <w:lang w:eastAsia="en-AU"/>
        </w:rPr>
        <w:t xml:space="preserve"> </w:t>
      </w:r>
      <w:r w:rsidRPr="00C71EA4">
        <w:rPr>
          <w:lang w:eastAsia="en-AU"/>
        </w:rPr>
        <w:t>further damage.</w:t>
      </w:r>
    </w:p>
    <w:p w14:paraId="02F6D415" w14:textId="77777777" w:rsidR="00C71EA4" w:rsidRPr="00C71EA4" w:rsidRDefault="00C71EA4" w:rsidP="007B3FCB">
      <w:pPr>
        <w:pStyle w:val="Heading4"/>
        <w:rPr>
          <w:sz w:val="22"/>
          <w:szCs w:val="22"/>
        </w:rPr>
      </w:pPr>
      <w:bookmarkStart w:id="65" w:name="_Toc177657877"/>
      <w:r w:rsidRPr="00C71EA4">
        <w:t>Key uses</w:t>
      </w:r>
      <w:bookmarkEnd w:id="65"/>
      <w:r w:rsidRPr="00C71EA4">
        <w:t> </w:t>
      </w:r>
    </w:p>
    <w:p w14:paraId="5232EC64" w14:textId="117278D5" w:rsidR="00C71EA4" w:rsidRPr="00C71EA4" w:rsidRDefault="00C71EA4" w:rsidP="009A67C0">
      <w:pPr>
        <w:rPr>
          <w:lang w:eastAsia="en-AU"/>
        </w:rPr>
      </w:pPr>
      <w:r w:rsidRPr="00C71EA4">
        <w:rPr>
          <w:lang w:eastAsia="en-AU"/>
        </w:rPr>
        <w:t>Vitamin B6 is commonly present in products such as multivitamins, vitamin B complexes and mineral preparations –</w:t>
      </w:r>
      <w:r w:rsidR="00000FA0" w:rsidRPr="00210006">
        <w:rPr>
          <w:color w:val="0078D4"/>
          <w:lang w:eastAsia="en-AU"/>
        </w:rPr>
        <w:t xml:space="preserve"> </w:t>
      </w:r>
      <w:r w:rsidRPr="00C71EA4">
        <w:rPr>
          <w:lang w:eastAsia="en-AU"/>
        </w:rPr>
        <w:t>often in combination with magnesium or zinc.</w:t>
      </w:r>
    </w:p>
    <w:p w14:paraId="06A38C1B" w14:textId="1FE473DD" w:rsidR="00C71EA4" w:rsidRPr="002A2CC4" w:rsidRDefault="00C71EA4" w:rsidP="009A67C0">
      <w:pPr>
        <w:rPr>
          <w:lang w:eastAsia="en-AU"/>
        </w:rPr>
      </w:pPr>
      <w:r w:rsidRPr="00C71EA4">
        <w:rPr>
          <w:lang w:eastAsia="en-AU"/>
        </w:rPr>
        <w:t>It is generally used as a nutritional supplement by the public for a variety of perceived health benefits, including morning sickness, cardiovascular disease, premenstrual syndrome, depression and carpal tunnel syndrome.</w:t>
      </w:r>
    </w:p>
    <w:p w14:paraId="4B428EC5" w14:textId="32255950" w:rsidR="00C71EA4" w:rsidRPr="002A2CC4" w:rsidRDefault="00C71EA4" w:rsidP="009A67C0">
      <w:pPr>
        <w:rPr>
          <w:lang w:eastAsia="en-AU"/>
        </w:rPr>
      </w:pPr>
      <w:r w:rsidRPr="002A2CC4">
        <w:rPr>
          <w:lang w:eastAsia="en-AU"/>
        </w:rPr>
        <w:t>Clinical deficiency of vitamin B6 is rare</w:t>
      </w:r>
      <w:r w:rsidR="002A2CC4" w:rsidRPr="002A2CC4">
        <w:rPr>
          <w:lang w:eastAsia="en-AU"/>
        </w:rPr>
        <w:t>.</w:t>
      </w:r>
      <w:r w:rsidR="00524FD4">
        <w:rPr>
          <w:rStyle w:val="FootnoteReference"/>
          <w:lang w:eastAsia="en-AU"/>
        </w:rPr>
        <w:footnoteReference w:id="6"/>
      </w:r>
      <w:r w:rsidRPr="002A2CC4">
        <w:rPr>
          <w:lang w:eastAsia="en-AU"/>
        </w:rPr>
        <w:t xml:space="preserve"> Vitamin B6 supplementation is a therapeutic option for a variety of medical conditions</w:t>
      </w:r>
      <w:r w:rsidR="00FB119D">
        <w:rPr>
          <w:lang w:eastAsia="en-AU"/>
        </w:rPr>
        <w:t>, for example,</w:t>
      </w:r>
      <w:r w:rsidRPr="002A2CC4">
        <w:rPr>
          <w:lang w:eastAsia="en-AU"/>
        </w:rPr>
        <w:t xml:space="preserve"> seizures from isoniazid toxicity and intractable vomiting during pregnancy.</w:t>
      </w:r>
    </w:p>
    <w:p w14:paraId="536C06CA" w14:textId="4B260BD2" w:rsidR="00C71EA4" w:rsidRPr="00C71EA4" w:rsidRDefault="00C71EA4" w:rsidP="009A67C0">
      <w:pPr>
        <w:rPr>
          <w:lang w:eastAsia="en-AU"/>
        </w:rPr>
      </w:pPr>
      <w:r w:rsidRPr="002A2CC4">
        <w:rPr>
          <w:lang w:eastAsia="en-AU"/>
        </w:rPr>
        <w:t>Intake from food-based sources of pyridoxine do not cause toxicity</w:t>
      </w:r>
      <w:r w:rsidR="002A2CC4" w:rsidRPr="002A2CC4">
        <w:rPr>
          <w:lang w:eastAsia="en-AU"/>
        </w:rPr>
        <w:t>.</w:t>
      </w:r>
      <w:r w:rsidR="00524FD4">
        <w:rPr>
          <w:rStyle w:val="FootnoteReference"/>
          <w:lang w:eastAsia="en-AU"/>
        </w:rPr>
        <w:footnoteReference w:id="7"/>
      </w:r>
    </w:p>
    <w:p w14:paraId="724D4A72" w14:textId="302369D3" w:rsidR="00C71EA4" w:rsidRPr="00C71EA4" w:rsidRDefault="00C71EA4" w:rsidP="009A67C0">
      <w:pPr>
        <w:pStyle w:val="Heading4"/>
      </w:pPr>
      <w:bookmarkStart w:id="66" w:name="_Toc177657878"/>
      <w:r w:rsidRPr="00C71EA4">
        <w:t>Australian regulations</w:t>
      </w:r>
      <w:bookmarkEnd w:id="66"/>
    </w:p>
    <w:p w14:paraId="1A2DFA2B" w14:textId="77777777" w:rsidR="00C71EA4" w:rsidRPr="00C71EA4" w:rsidRDefault="00C71EA4" w:rsidP="00FB119D">
      <w:pPr>
        <w:pStyle w:val="ListBullet"/>
        <w:rPr>
          <w:lang w:eastAsia="en-AU"/>
        </w:rPr>
      </w:pPr>
      <w:r w:rsidRPr="00C71EA4">
        <w:rPr>
          <w:lang w:eastAsia="en-AU"/>
        </w:rPr>
        <w:t xml:space="preserve">According to the </w:t>
      </w:r>
      <w:hyperlink r:id="rId54" w:tgtFrame="_blank" w:history="1">
        <w:r w:rsidRPr="00C71EA4">
          <w:rPr>
            <w:lang w:eastAsia="en-AU"/>
          </w:rPr>
          <w:t>TGA Ingredient Database</w:t>
        </w:r>
      </w:hyperlink>
      <w:r w:rsidRPr="00C71EA4">
        <w:rPr>
          <w:lang w:eastAsia="en-AU"/>
        </w:rPr>
        <w:t>, vitamin B6 is available as active, excipient or equivalent ingredient in a number of applications. </w:t>
      </w:r>
    </w:p>
    <w:tbl>
      <w:tblPr>
        <w:tblStyle w:val="TableTGAblue"/>
        <w:tblW w:w="0" w:type="dxa"/>
        <w:tblLook w:val="04A0" w:firstRow="1" w:lastRow="0" w:firstColumn="1" w:lastColumn="0" w:noHBand="0" w:noVBand="1"/>
      </w:tblPr>
      <w:tblGrid>
        <w:gridCol w:w="1575"/>
        <w:gridCol w:w="2385"/>
        <w:gridCol w:w="2385"/>
        <w:gridCol w:w="2385"/>
      </w:tblGrid>
      <w:tr w:rsidR="00C71EA4" w:rsidRPr="00524FD4" w14:paraId="6B5BF477" w14:textId="77777777" w:rsidTr="00416C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70E2F5BF" w14:textId="77777777" w:rsidR="00C71EA4" w:rsidRPr="00524FD4" w:rsidRDefault="00C71EA4" w:rsidP="00524FD4">
            <w:pPr>
              <w:pStyle w:val="Tabletitle"/>
              <w:spacing w:before="100" w:beforeAutospacing="1"/>
              <w:rPr>
                <w:rFonts w:ascii="Arial" w:hAnsi="Arial"/>
                <w:color w:val="FFFFFF" w:themeColor="background1"/>
                <w:sz w:val="18"/>
                <w:szCs w:val="18"/>
              </w:rPr>
            </w:pPr>
            <w:r w:rsidRPr="00524FD4">
              <w:rPr>
                <w:color w:val="FFFFFF" w:themeColor="background1"/>
                <w:sz w:val="18"/>
                <w:szCs w:val="18"/>
              </w:rPr>
              <w:t>  </w:t>
            </w:r>
          </w:p>
        </w:tc>
        <w:tc>
          <w:tcPr>
            <w:tcW w:w="2385" w:type="dxa"/>
            <w:hideMark/>
          </w:tcPr>
          <w:p w14:paraId="4DFA8E15" w14:textId="77777777" w:rsidR="00C71EA4" w:rsidRPr="00524FD4" w:rsidRDefault="00C71EA4" w:rsidP="00524FD4">
            <w:pPr>
              <w:pStyle w:val="Tabletitle"/>
              <w:spacing w:before="100" w:before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18"/>
                <w:szCs w:val="18"/>
              </w:rPr>
            </w:pPr>
            <w:r w:rsidRPr="00524FD4">
              <w:rPr>
                <w:rFonts w:asciiTheme="minorHAnsi" w:hAnsiTheme="minorHAnsi" w:cstheme="minorHAnsi"/>
                <w:b/>
                <w:bCs/>
                <w:color w:val="FFFFFF" w:themeColor="background1"/>
                <w:sz w:val="18"/>
                <w:szCs w:val="18"/>
              </w:rPr>
              <w:t>Active ingredient </w:t>
            </w:r>
          </w:p>
        </w:tc>
        <w:tc>
          <w:tcPr>
            <w:tcW w:w="2385" w:type="dxa"/>
            <w:hideMark/>
          </w:tcPr>
          <w:p w14:paraId="20299279" w14:textId="77777777" w:rsidR="00C71EA4" w:rsidRPr="00524FD4" w:rsidRDefault="00C71EA4" w:rsidP="00524FD4">
            <w:pPr>
              <w:pStyle w:val="Tabletitle"/>
              <w:spacing w:before="100" w:before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18"/>
                <w:szCs w:val="18"/>
              </w:rPr>
            </w:pPr>
            <w:r w:rsidRPr="00524FD4">
              <w:rPr>
                <w:rFonts w:asciiTheme="minorHAnsi" w:hAnsiTheme="minorHAnsi" w:cstheme="minorHAnsi"/>
                <w:b/>
                <w:bCs/>
                <w:color w:val="FFFFFF" w:themeColor="background1"/>
                <w:sz w:val="18"/>
                <w:szCs w:val="18"/>
              </w:rPr>
              <w:t>Excipient ingredient </w:t>
            </w:r>
          </w:p>
        </w:tc>
        <w:tc>
          <w:tcPr>
            <w:tcW w:w="2385" w:type="dxa"/>
            <w:hideMark/>
          </w:tcPr>
          <w:p w14:paraId="75E4F370" w14:textId="77777777" w:rsidR="00C71EA4" w:rsidRPr="00524FD4" w:rsidRDefault="00C71EA4" w:rsidP="00524FD4">
            <w:pPr>
              <w:pStyle w:val="Tabletitle"/>
              <w:spacing w:before="100" w:before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18"/>
                <w:szCs w:val="18"/>
              </w:rPr>
            </w:pPr>
            <w:r w:rsidRPr="00524FD4">
              <w:rPr>
                <w:rFonts w:asciiTheme="minorHAnsi" w:hAnsiTheme="minorHAnsi" w:cstheme="minorHAnsi"/>
                <w:b/>
                <w:bCs/>
                <w:color w:val="FFFFFF" w:themeColor="background1"/>
                <w:sz w:val="18"/>
                <w:szCs w:val="18"/>
              </w:rPr>
              <w:t>Equivalent ingredient </w:t>
            </w:r>
          </w:p>
        </w:tc>
      </w:tr>
      <w:tr w:rsidR="00FB119D" w:rsidRPr="00524FD4" w14:paraId="3D8A3741" w14:textId="77777777" w:rsidTr="00416CF3">
        <w:trPr>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3F4BD6DA" w14:textId="555A7D28" w:rsidR="00C71EA4" w:rsidRPr="00524FD4" w:rsidRDefault="00C71EA4" w:rsidP="00524FD4">
            <w:pPr>
              <w:pStyle w:val="Tabledescription"/>
              <w:spacing w:before="100" w:beforeAutospacing="1"/>
              <w:rPr>
                <w:rFonts w:asciiTheme="minorHAnsi" w:hAnsiTheme="minorHAnsi" w:cstheme="minorHAnsi"/>
                <w:color w:val="auto"/>
                <w:szCs w:val="18"/>
              </w:rPr>
            </w:pPr>
            <w:r w:rsidRPr="00524FD4">
              <w:rPr>
                <w:rFonts w:asciiTheme="minorHAnsi" w:hAnsiTheme="minorHAnsi" w:cstheme="minorHAnsi"/>
                <w:color w:val="auto"/>
                <w:szCs w:val="18"/>
              </w:rPr>
              <w:t>Pyridoxine</w:t>
            </w:r>
          </w:p>
        </w:tc>
        <w:tc>
          <w:tcPr>
            <w:tcW w:w="2385" w:type="dxa"/>
            <w:hideMark/>
          </w:tcPr>
          <w:p w14:paraId="5B7E4A9A" w14:textId="0B805827"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Export Only, Over the Counter, Prescription Medicines</w:t>
            </w:r>
          </w:p>
        </w:tc>
        <w:tc>
          <w:tcPr>
            <w:tcW w:w="2385" w:type="dxa"/>
            <w:hideMark/>
          </w:tcPr>
          <w:p w14:paraId="1700D4E2" w14:textId="55C283DE"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Devices, Export Only, Over the Counter, Prescription Medicines</w:t>
            </w:r>
          </w:p>
        </w:tc>
        <w:tc>
          <w:tcPr>
            <w:tcW w:w="2385" w:type="dxa"/>
            <w:hideMark/>
          </w:tcPr>
          <w:p w14:paraId="15F39AE6" w14:textId="2249C23A"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Export Only, Listed Medicines, Prescription Medicines</w:t>
            </w:r>
          </w:p>
        </w:tc>
      </w:tr>
      <w:tr w:rsidR="00FB119D" w:rsidRPr="00524FD4" w14:paraId="24B9644B" w14:textId="77777777" w:rsidTr="00416CF3">
        <w:trPr>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33F105E3" w14:textId="3A1BB184" w:rsidR="00C71EA4" w:rsidRPr="00524FD4" w:rsidRDefault="00C71EA4" w:rsidP="00524FD4">
            <w:pPr>
              <w:pStyle w:val="Tabledescription"/>
              <w:spacing w:before="100" w:beforeAutospacing="1"/>
              <w:rPr>
                <w:rFonts w:asciiTheme="minorHAnsi" w:hAnsiTheme="minorHAnsi" w:cstheme="minorHAnsi"/>
                <w:color w:val="auto"/>
                <w:szCs w:val="18"/>
              </w:rPr>
            </w:pPr>
            <w:r w:rsidRPr="00524FD4">
              <w:rPr>
                <w:rFonts w:asciiTheme="minorHAnsi" w:hAnsiTheme="minorHAnsi" w:cstheme="minorHAnsi"/>
                <w:color w:val="auto"/>
                <w:szCs w:val="18"/>
              </w:rPr>
              <w:t>Pyridoxine hydrochloride</w:t>
            </w:r>
          </w:p>
        </w:tc>
        <w:tc>
          <w:tcPr>
            <w:tcW w:w="2385" w:type="dxa"/>
            <w:hideMark/>
          </w:tcPr>
          <w:p w14:paraId="407BB3CD" w14:textId="77777777"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Export Only, Listed Medicines, Over the Counter, Prescription Medicines </w:t>
            </w:r>
          </w:p>
        </w:tc>
        <w:tc>
          <w:tcPr>
            <w:tcW w:w="2385" w:type="dxa"/>
            <w:hideMark/>
          </w:tcPr>
          <w:p w14:paraId="64AD8D3F" w14:textId="5375E07B"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Devices, Export Only, Listed Medicines, Over the Counter, Prescription Medicines</w:t>
            </w:r>
          </w:p>
        </w:tc>
        <w:tc>
          <w:tcPr>
            <w:tcW w:w="2385" w:type="dxa"/>
            <w:hideMark/>
          </w:tcPr>
          <w:p w14:paraId="7110988E" w14:textId="6C31AC1E"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Not available in any application</w:t>
            </w:r>
          </w:p>
        </w:tc>
      </w:tr>
      <w:tr w:rsidR="00FB119D" w:rsidRPr="00524FD4" w14:paraId="4E2E8421" w14:textId="77777777" w:rsidTr="00416CF3">
        <w:trPr>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77494984" w14:textId="796AA6FC" w:rsidR="00C71EA4" w:rsidRPr="00524FD4" w:rsidRDefault="00C71EA4" w:rsidP="00524FD4">
            <w:pPr>
              <w:pStyle w:val="Tabledescription"/>
              <w:spacing w:before="100" w:beforeAutospacing="1"/>
              <w:rPr>
                <w:rFonts w:asciiTheme="minorHAnsi" w:hAnsiTheme="minorHAnsi" w:cstheme="minorHAnsi"/>
                <w:color w:val="auto"/>
                <w:szCs w:val="18"/>
              </w:rPr>
            </w:pPr>
            <w:r w:rsidRPr="00524FD4">
              <w:rPr>
                <w:rFonts w:asciiTheme="minorHAnsi" w:hAnsiTheme="minorHAnsi" w:cstheme="minorHAnsi"/>
                <w:color w:val="auto"/>
                <w:szCs w:val="18"/>
              </w:rPr>
              <w:t>Pyridoxal hydrochloride</w:t>
            </w:r>
          </w:p>
        </w:tc>
        <w:tc>
          <w:tcPr>
            <w:tcW w:w="2385" w:type="dxa"/>
            <w:hideMark/>
          </w:tcPr>
          <w:p w14:paraId="5196369A" w14:textId="0B94FFB2"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Prescription Medicines</w:t>
            </w:r>
          </w:p>
        </w:tc>
        <w:tc>
          <w:tcPr>
            <w:tcW w:w="2385" w:type="dxa"/>
            <w:hideMark/>
          </w:tcPr>
          <w:p w14:paraId="0AB99049" w14:textId="6E2203BD"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Devices, Prescription Medicines</w:t>
            </w:r>
          </w:p>
        </w:tc>
        <w:tc>
          <w:tcPr>
            <w:tcW w:w="2385" w:type="dxa"/>
            <w:hideMark/>
          </w:tcPr>
          <w:p w14:paraId="0BE0E7EF" w14:textId="29F64CB8"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Not available in any application</w:t>
            </w:r>
          </w:p>
        </w:tc>
      </w:tr>
      <w:tr w:rsidR="00FB119D" w:rsidRPr="00524FD4" w14:paraId="169DDA59" w14:textId="77777777" w:rsidTr="00416CF3">
        <w:trPr>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4C5FC6EF" w14:textId="216FE9D3" w:rsidR="00C71EA4" w:rsidRPr="00524FD4" w:rsidRDefault="00C71EA4" w:rsidP="00524FD4">
            <w:pPr>
              <w:pStyle w:val="Tabledescription"/>
              <w:spacing w:before="100" w:beforeAutospacing="1"/>
              <w:rPr>
                <w:rFonts w:asciiTheme="minorHAnsi" w:hAnsiTheme="minorHAnsi" w:cstheme="minorHAnsi"/>
                <w:color w:val="auto"/>
                <w:szCs w:val="18"/>
              </w:rPr>
            </w:pPr>
            <w:r w:rsidRPr="00524FD4">
              <w:rPr>
                <w:rFonts w:asciiTheme="minorHAnsi" w:hAnsiTheme="minorHAnsi" w:cstheme="minorHAnsi"/>
                <w:color w:val="auto"/>
                <w:szCs w:val="18"/>
              </w:rPr>
              <w:t>Pyridoxal 5-phosphate</w:t>
            </w:r>
          </w:p>
        </w:tc>
        <w:tc>
          <w:tcPr>
            <w:tcW w:w="2385" w:type="dxa"/>
            <w:hideMark/>
          </w:tcPr>
          <w:p w14:paraId="1DCF0825" w14:textId="0F42E273"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Export Only, Listed Medicines, Over the Counter, Prescription Medicines</w:t>
            </w:r>
          </w:p>
        </w:tc>
        <w:tc>
          <w:tcPr>
            <w:tcW w:w="2385" w:type="dxa"/>
            <w:hideMark/>
          </w:tcPr>
          <w:p w14:paraId="2A783348" w14:textId="13F61CF6"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Biologicals, Devices, Listed Medicines, Prescription Medicines.</w:t>
            </w:r>
          </w:p>
        </w:tc>
        <w:tc>
          <w:tcPr>
            <w:tcW w:w="2385" w:type="dxa"/>
            <w:hideMark/>
          </w:tcPr>
          <w:p w14:paraId="605421B4" w14:textId="63C1D245"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Not available in any application</w:t>
            </w:r>
          </w:p>
        </w:tc>
      </w:tr>
      <w:tr w:rsidR="00FB119D" w:rsidRPr="00524FD4" w14:paraId="0DE8A7DE" w14:textId="77777777" w:rsidTr="00416CF3">
        <w:trPr>
          <w:trHeight w:val="300"/>
        </w:trPr>
        <w:tc>
          <w:tcPr>
            <w:cnfStyle w:val="001000000000" w:firstRow="0" w:lastRow="0" w:firstColumn="1" w:lastColumn="0" w:oddVBand="0" w:evenVBand="0" w:oddHBand="0" w:evenHBand="0" w:firstRowFirstColumn="0" w:firstRowLastColumn="0" w:lastRowFirstColumn="0" w:lastRowLastColumn="0"/>
            <w:tcW w:w="1575" w:type="dxa"/>
            <w:hideMark/>
          </w:tcPr>
          <w:p w14:paraId="449F7170" w14:textId="19C845D0" w:rsidR="00C71EA4" w:rsidRPr="00524FD4" w:rsidRDefault="00C71EA4" w:rsidP="00524FD4">
            <w:pPr>
              <w:pStyle w:val="Tabledescription"/>
              <w:spacing w:before="100" w:beforeAutospacing="1"/>
              <w:rPr>
                <w:rFonts w:asciiTheme="minorHAnsi" w:hAnsiTheme="minorHAnsi" w:cstheme="minorHAnsi"/>
                <w:color w:val="auto"/>
                <w:szCs w:val="18"/>
              </w:rPr>
            </w:pPr>
            <w:r w:rsidRPr="00524FD4">
              <w:rPr>
                <w:rFonts w:asciiTheme="minorHAnsi" w:hAnsiTheme="minorHAnsi" w:cstheme="minorHAnsi"/>
                <w:color w:val="auto"/>
                <w:szCs w:val="18"/>
              </w:rPr>
              <w:lastRenderedPageBreak/>
              <w:t>Pyridoxal 5-phosphate monohydrate</w:t>
            </w:r>
          </w:p>
        </w:tc>
        <w:tc>
          <w:tcPr>
            <w:tcW w:w="2385" w:type="dxa"/>
            <w:hideMark/>
          </w:tcPr>
          <w:p w14:paraId="41A49EAE" w14:textId="124DE1AA"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Export Only, Listed Medicines, Over the Counter, Prescription Medicines</w:t>
            </w:r>
          </w:p>
        </w:tc>
        <w:tc>
          <w:tcPr>
            <w:tcW w:w="2385" w:type="dxa"/>
            <w:hideMark/>
          </w:tcPr>
          <w:p w14:paraId="636857FE" w14:textId="50D70159"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Not available in any application.</w:t>
            </w:r>
          </w:p>
        </w:tc>
        <w:tc>
          <w:tcPr>
            <w:tcW w:w="2385" w:type="dxa"/>
            <w:hideMark/>
          </w:tcPr>
          <w:p w14:paraId="3504A2DC" w14:textId="635B9992" w:rsidR="00C71EA4" w:rsidRPr="00524FD4" w:rsidRDefault="00C71EA4" w:rsidP="00524FD4">
            <w:pPr>
              <w:pStyle w:val="Tabledescription"/>
              <w:spacing w:before="100" w:before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24FD4">
              <w:rPr>
                <w:rFonts w:asciiTheme="minorHAnsi" w:hAnsiTheme="minorHAnsi" w:cstheme="minorHAnsi"/>
                <w:color w:val="auto"/>
                <w:szCs w:val="18"/>
              </w:rPr>
              <w:t>Not available in any application.</w:t>
            </w:r>
          </w:p>
        </w:tc>
      </w:tr>
    </w:tbl>
    <w:p w14:paraId="317CB03D" w14:textId="4C1F5D4A" w:rsidR="00C71EA4" w:rsidRPr="00E662A1" w:rsidRDefault="00C71EA4" w:rsidP="00E662A1">
      <w:pPr>
        <w:pStyle w:val="Footer"/>
        <w:rPr>
          <w:color w:val="auto"/>
          <w:lang w:eastAsia="en-AU"/>
        </w:rPr>
      </w:pPr>
      <w:r w:rsidRPr="00E662A1">
        <w:rPr>
          <w:color w:val="auto"/>
          <w:lang w:eastAsia="en-AU"/>
        </w:rPr>
        <w:t>Note: Pyridoxine hydrochloride is available as homoeopathic ingredient in Listed Medicines while pyridoxal 5-phosphate and pyridoxal 5-phosphate monohydrate are not.</w:t>
      </w:r>
    </w:p>
    <w:p w14:paraId="1781DDAB" w14:textId="6A4AC542" w:rsidR="00C71EA4" w:rsidRPr="00C71EA4" w:rsidRDefault="00C71EA4" w:rsidP="00FB119D">
      <w:pPr>
        <w:pStyle w:val="ListBullet"/>
        <w:rPr>
          <w:lang w:eastAsia="en-AU"/>
        </w:rPr>
      </w:pPr>
      <w:r w:rsidRPr="00C71EA4">
        <w:rPr>
          <w:lang w:eastAsia="en-AU"/>
        </w:rPr>
        <w:t>Currently there are more than 1</w:t>
      </w:r>
      <w:r w:rsidR="00000FA0">
        <w:rPr>
          <w:lang w:eastAsia="en-AU"/>
        </w:rPr>
        <w:t>,</w:t>
      </w:r>
      <w:r w:rsidRPr="00C71EA4">
        <w:rPr>
          <w:lang w:eastAsia="en-AU"/>
        </w:rPr>
        <w:t xml:space="preserve">500 medicines in Australia that contain vitamin B6 as an active ingredient. Most of these are health supplements that can be bought in supermarkets, health foods stores and pharmacies without a prescription and </w:t>
      </w:r>
      <w:r w:rsidR="00000FA0">
        <w:rPr>
          <w:lang w:eastAsia="en-AU"/>
        </w:rPr>
        <w:t xml:space="preserve">are </w:t>
      </w:r>
      <w:r w:rsidRPr="00C71EA4">
        <w:rPr>
          <w:lang w:eastAsia="en-AU"/>
        </w:rPr>
        <w:t>classified as listed medicines. There are also 7 registered complementary medicines and 10 prescription medicines.</w:t>
      </w:r>
    </w:p>
    <w:p w14:paraId="6C21A3DD" w14:textId="517E6BF6" w:rsidR="00C71EA4" w:rsidRPr="00C71EA4" w:rsidRDefault="00C71EA4" w:rsidP="00FB119D">
      <w:pPr>
        <w:pStyle w:val="ListBullet"/>
        <w:rPr>
          <w:lang w:eastAsia="en-AU"/>
        </w:rPr>
      </w:pPr>
      <w:r w:rsidRPr="00C71EA4">
        <w:rPr>
          <w:lang w:eastAsia="en-AU"/>
        </w:rPr>
        <w:t xml:space="preserve">According to the </w:t>
      </w:r>
      <w:hyperlink r:id="rId55" w:tgtFrame="_blank" w:history="1">
        <w:r w:rsidRPr="00C71EA4">
          <w:rPr>
            <w:color w:val="0000FF"/>
            <w:u w:val="single"/>
            <w:lang w:eastAsia="en-AU"/>
          </w:rPr>
          <w:t>Therapeutic Goods (Permissible Ingredients) Determination (No. 2) 2024</w:t>
        </w:r>
      </w:hyperlink>
      <w:r w:rsidRPr="00C71EA4">
        <w:rPr>
          <w:lang w:eastAsia="en-AU"/>
        </w:rPr>
        <w:t>, pyridoxine hydrochloride, pyridoxal 5-phosphate, and pyridoxal 5-phosphate monohydrate are available for use in listed medicines as follows:</w:t>
      </w:r>
    </w:p>
    <w:p w14:paraId="61983EB5" w14:textId="7A00A749" w:rsidR="00C71EA4" w:rsidRPr="00C71EA4" w:rsidRDefault="00C71EA4" w:rsidP="00BB585F">
      <w:pPr>
        <w:pStyle w:val="ListBullet2"/>
        <w:rPr>
          <w:lang w:eastAsia="en-AU"/>
        </w:rPr>
      </w:pPr>
      <w:r w:rsidRPr="00C71EA4">
        <w:rPr>
          <w:lang w:eastAsia="en-AU"/>
        </w:rPr>
        <w:t>pyridoxine hydrochloride: active ingredient, excipient</w:t>
      </w:r>
    </w:p>
    <w:p w14:paraId="28AA9579" w14:textId="6070ECB5" w:rsidR="00C71EA4" w:rsidRPr="00C71EA4" w:rsidRDefault="00C71EA4" w:rsidP="00BB585F">
      <w:pPr>
        <w:pStyle w:val="ListBullet2"/>
        <w:rPr>
          <w:lang w:eastAsia="en-AU"/>
        </w:rPr>
      </w:pPr>
      <w:r w:rsidRPr="00C71EA4">
        <w:rPr>
          <w:lang w:eastAsia="en-AU"/>
        </w:rPr>
        <w:t>pyridoxal 5-phosphate: active ingredient</w:t>
      </w:r>
    </w:p>
    <w:p w14:paraId="33351621" w14:textId="6735C09B" w:rsidR="00C71EA4" w:rsidRPr="00C71EA4" w:rsidRDefault="00C71EA4" w:rsidP="00BB585F">
      <w:pPr>
        <w:pStyle w:val="ListBullet2"/>
        <w:rPr>
          <w:lang w:eastAsia="en-AU"/>
        </w:rPr>
      </w:pPr>
      <w:r w:rsidRPr="00C71EA4">
        <w:rPr>
          <w:lang w:eastAsia="en-AU"/>
        </w:rPr>
        <w:t>pyridoxal 5-phosphate monohydrate: active ingredient, excipient and homeopathic ingredient.</w:t>
      </w:r>
    </w:p>
    <w:p w14:paraId="169EBB4B" w14:textId="142AE6E2" w:rsidR="00C71EA4" w:rsidRPr="00C71EA4" w:rsidRDefault="00C71EA4" w:rsidP="00FB119D">
      <w:pPr>
        <w:pStyle w:val="ListBullet"/>
        <w:rPr>
          <w:lang w:eastAsia="en-AU"/>
        </w:rPr>
      </w:pPr>
      <w:r w:rsidRPr="00C71EA4">
        <w:rPr>
          <w:lang w:eastAsia="en-AU"/>
        </w:rPr>
        <w:t>The following restrictions apply when pyridoxine hydrochloride, pyridoxal 5-phosphate, and pyridoxal 5-phosphate monohydrate are used in listed medicines.</w:t>
      </w:r>
    </w:p>
    <w:p w14:paraId="6283F4C6" w14:textId="4CE82725" w:rsidR="00C71EA4" w:rsidRPr="00C71EA4" w:rsidRDefault="00C71EA4" w:rsidP="00945A16">
      <w:pPr>
        <w:pStyle w:val="ListBullet2"/>
        <w:rPr>
          <w:lang w:eastAsia="en-AU"/>
        </w:rPr>
      </w:pPr>
      <w:r w:rsidRPr="00C71EA4">
        <w:rPr>
          <w:lang w:eastAsia="en-AU"/>
        </w:rPr>
        <w:t>Pyridoxine is a mandatory component of pyridoxal 5-phosphate, the percentage for which should be calculated based on the molecular weight of the above permissible ingredients.</w:t>
      </w:r>
    </w:p>
    <w:p w14:paraId="7B524989" w14:textId="01329561" w:rsidR="00C71EA4" w:rsidRPr="00C71EA4" w:rsidRDefault="00C71EA4" w:rsidP="00945A16">
      <w:pPr>
        <w:pStyle w:val="ListBullet2"/>
        <w:rPr>
          <w:lang w:eastAsia="en-AU"/>
        </w:rPr>
      </w:pPr>
      <w:r w:rsidRPr="00C71EA4">
        <w:rPr>
          <w:lang w:eastAsia="en-AU"/>
        </w:rPr>
        <w:t>The maximum recommended daily dose of the medicine must not provide more than:</w:t>
      </w:r>
    </w:p>
    <w:p w14:paraId="1EDC0568" w14:textId="0C99630A" w:rsidR="00C71EA4" w:rsidRPr="00210006" w:rsidRDefault="00C71EA4" w:rsidP="00B65AAE">
      <w:pPr>
        <w:pStyle w:val="ListBullet3"/>
        <w:numPr>
          <w:ilvl w:val="0"/>
          <w:numId w:val="12"/>
        </w:numPr>
        <w:rPr>
          <w:color w:val="auto"/>
          <w:lang w:eastAsia="en-AU"/>
        </w:rPr>
      </w:pPr>
      <w:r w:rsidRPr="00210006">
        <w:rPr>
          <w:color w:val="auto"/>
          <w:lang w:eastAsia="en-AU"/>
        </w:rPr>
        <w:t>15 mg of pyridoxine for children aged between 1 and 3 years (inclusive)</w:t>
      </w:r>
    </w:p>
    <w:p w14:paraId="79C82B56" w14:textId="73791DF8" w:rsidR="00C71EA4" w:rsidRPr="00210006" w:rsidRDefault="00C71EA4" w:rsidP="00B65AAE">
      <w:pPr>
        <w:pStyle w:val="ListBullet3"/>
        <w:numPr>
          <w:ilvl w:val="0"/>
          <w:numId w:val="12"/>
        </w:numPr>
        <w:rPr>
          <w:color w:val="auto"/>
          <w:lang w:eastAsia="en-AU"/>
        </w:rPr>
      </w:pPr>
      <w:r w:rsidRPr="00210006">
        <w:rPr>
          <w:color w:val="auto"/>
          <w:lang w:eastAsia="en-AU"/>
        </w:rPr>
        <w:t>20 mg of pyridoxine for children aged between 4 and 8 years (inclusive)</w:t>
      </w:r>
    </w:p>
    <w:p w14:paraId="0F338A2A" w14:textId="087FA64D" w:rsidR="00C71EA4" w:rsidRPr="00210006" w:rsidRDefault="00C71EA4" w:rsidP="00B65AAE">
      <w:pPr>
        <w:pStyle w:val="ListBullet3"/>
        <w:numPr>
          <w:ilvl w:val="0"/>
          <w:numId w:val="12"/>
        </w:numPr>
        <w:rPr>
          <w:color w:val="auto"/>
          <w:lang w:eastAsia="en-AU"/>
        </w:rPr>
      </w:pPr>
      <w:r w:rsidRPr="00210006">
        <w:rPr>
          <w:color w:val="auto"/>
          <w:lang w:eastAsia="en-AU"/>
        </w:rPr>
        <w:t>30 mg of pyridoxine for children aged between 9 and 13 years (inclusive)</w:t>
      </w:r>
    </w:p>
    <w:p w14:paraId="474833EA" w14:textId="241B82C2" w:rsidR="00C71EA4" w:rsidRPr="00210006" w:rsidRDefault="00C71EA4" w:rsidP="00B65AAE">
      <w:pPr>
        <w:pStyle w:val="ListBullet3"/>
        <w:numPr>
          <w:ilvl w:val="0"/>
          <w:numId w:val="12"/>
        </w:numPr>
        <w:rPr>
          <w:color w:val="auto"/>
          <w:lang w:eastAsia="en-AU"/>
        </w:rPr>
      </w:pPr>
      <w:r w:rsidRPr="00210006">
        <w:rPr>
          <w:color w:val="auto"/>
          <w:lang w:eastAsia="en-AU"/>
        </w:rPr>
        <w:t>40 mg of pyridoxine for individuals aged 14 and 18 years (inclusive)</w:t>
      </w:r>
    </w:p>
    <w:p w14:paraId="37FC7CDD" w14:textId="4E741B73" w:rsidR="00C71EA4" w:rsidRPr="00210006" w:rsidRDefault="00C71EA4" w:rsidP="00B65AAE">
      <w:pPr>
        <w:pStyle w:val="ListBullet3"/>
        <w:numPr>
          <w:ilvl w:val="0"/>
          <w:numId w:val="12"/>
        </w:numPr>
        <w:rPr>
          <w:color w:val="auto"/>
          <w:lang w:eastAsia="en-AU"/>
        </w:rPr>
      </w:pPr>
      <w:r w:rsidRPr="00210006">
        <w:rPr>
          <w:color w:val="auto"/>
          <w:lang w:eastAsia="en-AU"/>
        </w:rPr>
        <w:t>100 mg of pyridoxine for individuals aged 19 years and older</w:t>
      </w:r>
    </w:p>
    <w:p w14:paraId="6C4EF07E" w14:textId="574DF5D9" w:rsidR="00C71EA4" w:rsidRPr="00C71EA4" w:rsidRDefault="00C71EA4" w:rsidP="00945A16">
      <w:pPr>
        <w:pStyle w:val="ListBullet2"/>
        <w:rPr>
          <w:lang w:eastAsia="en-AU"/>
        </w:rPr>
      </w:pPr>
      <w:r w:rsidRPr="00C71EA4">
        <w:rPr>
          <w:lang w:eastAsia="en-AU"/>
        </w:rPr>
        <w:t>If the maximum recommended daily dose of the medicine provides more than 10 mg of pyridoxine, the following warning statement is required on the medicine label:</w:t>
      </w:r>
    </w:p>
    <w:p w14:paraId="2B6CF32F" w14:textId="64DD7553" w:rsidR="00C71EA4" w:rsidRPr="00C71EA4" w:rsidRDefault="00C71EA4" w:rsidP="00FB119D">
      <w:pPr>
        <w:pStyle w:val="ListBullet2"/>
        <w:numPr>
          <w:ilvl w:val="0"/>
          <w:numId w:val="0"/>
        </w:numPr>
        <w:ind w:left="720"/>
        <w:rPr>
          <w:lang w:eastAsia="en-AU"/>
        </w:rPr>
      </w:pPr>
      <w:r w:rsidRPr="00C71EA4">
        <w:rPr>
          <w:lang w:eastAsia="en-AU"/>
        </w:rPr>
        <w:t>(VITB6SX) 'WARNING - Stop taking this medication if you experience tingling, burning or numbness and see your healthcare practitioner as soon as possible. [Contains vitamin B6].</w:t>
      </w:r>
    </w:p>
    <w:p w14:paraId="0DBA0AA6" w14:textId="1EEAD5C9" w:rsidR="00C71EA4" w:rsidRPr="00C71EA4" w:rsidRDefault="00C71EA4" w:rsidP="00FB119D">
      <w:pPr>
        <w:pStyle w:val="ListBullet"/>
        <w:rPr>
          <w:lang w:eastAsia="en-AU"/>
        </w:rPr>
      </w:pPr>
      <w:r w:rsidRPr="00C71EA4">
        <w:rPr>
          <w:lang w:eastAsia="en-AU"/>
        </w:rPr>
        <w:t xml:space="preserve">Vitamin B6 is not included in </w:t>
      </w:r>
      <w:hyperlink r:id="rId56" w:tgtFrame="_blank" w:history="1">
        <w:r w:rsidRPr="00C71EA4">
          <w:rPr>
            <w:color w:val="0000FF"/>
            <w:u w:val="single"/>
            <w:lang w:eastAsia="en-AU"/>
          </w:rPr>
          <w:t>TGA prescribing medicines in pregnancy database</w:t>
        </w:r>
      </w:hyperlink>
    </w:p>
    <w:p w14:paraId="35373B1A" w14:textId="32183153" w:rsidR="00C71EA4" w:rsidRPr="00C71EA4" w:rsidRDefault="00C71EA4" w:rsidP="00FB119D">
      <w:pPr>
        <w:pStyle w:val="ListBullet"/>
        <w:rPr>
          <w:lang w:eastAsia="en-AU"/>
        </w:rPr>
      </w:pPr>
      <w:r w:rsidRPr="00C71EA4">
        <w:rPr>
          <w:lang w:eastAsia="en-AU"/>
        </w:rPr>
        <w:t xml:space="preserve">The </w:t>
      </w:r>
      <w:hyperlink r:id="rId57" w:tgtFrame="_blank" w:history="1">
        <w:r w:rsidRPr="00C71EA4">
          <w:rPr>
            <w:color w:val="0000FF"/>
            <w:u w:val="single"/>
            <w:lang w:eastAsia="en-AU"/>
          </w:rPr>
          <w:t>Therapeutic Goods (Medicines Advisory Statements) Specification 2021</w:t>
        </w:r>
      </w:hyperlink>
      <w:r w:rsidRPr="00C71EA4">
        <w:rPr>
          <w:lang w:eastAsia="en-AU"/>
        </w:rPr>
        <w:t xml:space="preserve"> requires the following warning statements pertaining to vitamin B6 (pyridoxine or pyridoxal) to be included on the labelling:</w:t>
      </w:r>
    </w:p>
    <w:tbl>
      <w:tblPr>
        <w:tblW w:w="865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2977"/>
        <w:gridCol w:w="4340"/>
      </w:tblGrid>
      <w:tr w:rsidR="00C71EA4" w:rsidRPr="00C71EA4" w14:paraId="7CA66A40" w14:textId="77777777" w:rsidTr="00210006">
        <w:trPr>
          <w:trHeight w:val="300"/>
        </w:trPr>
        <w:tc>
          <w:tcPr>
            <w:tcW w:w="1333" w:type="dxa"/>
            <w:tcBorders>
              <w:top w:val="single" w:sz="6" w:space="0" w:color="002C47"/>
              <w:left w:val="single" w:sz="6" w:space="0" w:color="002C47"/>
              <w:bottom w:val="single" w:sz="6" w:space="0" w:color="002C47"/>
              <w:right w:val="nil"/>
            </w:tcBorders>
            <w:shd w:val="clear" w:color="auto" w:fill="006DA7"/>
            <w:hideMark/>
          </w:tcPr>
          <w:p w14:paraId="22E32226" w14:textId="77777777" w:rsidR="00C71EA4" w:rsidRPr="00FD43B8" w:rsidRDefault="00C71EA4" w:rsidP="00FD43B8">
            <w:pPr>
              <w:pStyle w:val="Tabletitle"/>
              <w:rPr>
                <w:color w:val="FFFFFF" w:themeColor="background1"/>
                <w:lang w:eastAsia="en-AU"/>
              </w:rPr>
            </w:pPr>
            <w:r w:rsidRPr="00FD43B8">
              <w:rPr>
                <w:color w:val="FFFFFF" w:themeColor="background1"/>
                <w:lang w:eastAsia="en-AU"/>
              </w:rPr>
              <w:t>Substance </w:t>
            </w:r>
          </w:p>
        </w:tc>
        <w:tc>
          <w:tcPr>
            <w:tcW w:w="2977" w:type="dxa"/>
            <w:tcBorders>
              <w:top w:val="single" w:sz="6" w:space="0" w:color="002C47"/>
              <w:left w:val="nil"/>
              <w:bottom w:val="single" w:sz="6" w:space="0" w:color="002C47"/>
              <w:right w:val="nil"/>
            </w:tcBorders>
            <w:shd w:val="clear" w:color="auto" w:fill="006DA7"/>
            <w:hideMark/>
          </w:tcPr>
          <w:p w14:paraId="7EA1CD23" w14:textId="77777777" w:rsidR="00C71EA4" w:rsidRPr="00FD43B8" w:rsidRDefault="00C71EA4" w:rsidP="00FD43B8">
            <w:pPr>
              <w:pStyle w:val="Tabletitle"/>
              <w:rPr>
                <w:color w:val="FFFFFF" w:themeColor="background1"/>
                <w:lang w:eastAsia="en-AU"/>
              </w:rPr>
            </w:pPr>
            <w:r w:rsidRPr="00FD43B8">
              <w:rPr>
                <w:color w:val="FFFFFF" w:themeColor="background1"/>
                <w:lang w:eastAsia="en-AU"/>
              </w:rPr>
              <w:t>Conditions  </w:t>
            </w:r>
          </w:p>
        </w:tc>
        <w:tc>
          <w:tcPr>
            <w:tcW w:w="4340" w:type="dxa"/>
            <w:tcBorders>
              <w:top w:val="single" w:sz="6" w:space="0" w:color="002C47"/>
              <w:left w:val="nil"/>
              <w:bottom w:val="single" w:sz="6" w:space="0" w:color="002C47"/>
              <w:right w:val="single" w:sz="6" w:space="0" w:color="002C47"/>
            </w:tcBorders>
            <w:shd w:val="clear" w:color="auto" w:fill="006DA7"/>
            <w:hideMark/>
          </w:tcPr>
          <w:p w14:paraId="2047C6E8" w14:textId="77777777" w:rsidR="00C71EA4" w:rsidRPr="00FD43B8" w:rsidRDefault="00C71EA4" w:rsidP="00FD43B8">
            <w:pPr>
              <w:pStyle w:val="Tabletitle"/>
              <w:rPr>
                <w:color w:val="FFFFFF" w:themeColor="background1"/>
                <w:lang w:eastAsia="en-AU"/>
              </w:rPr>
            </w:pPr>
            <w:r w:rsidRPr="00FD43B8">
              <w:rPr>
                <w:color w:val="FFFFFF" w:themeColor="background1"/>
                <w:lang w:eastAsia="en-AU"/>
              </w:rPr>
              <w:t>Required Statement(s)  </w:t>
            </w:r>
          </w:p>
        </w:tc>
      </w:tr>
      <w:tr w:rsidR="00C71EA4" w:rsidRPr="00C71EA4" w14:paraId="66A96730" w14:textId="77777777" w:rsidTr="00210006">
        <w:trPr>
          <w:trHeight w:val="300"/>
        </w:trPr>
        <w:tc>
          <w:tcPr>
            <w:tcW w:w="1333" w:type="dxa"/>
            <w:tcBorders>
              <w:top w:val="single" w:sz="6" w:space="0" w:color="002C47"/>
              <w:left w:val="single" w:sz="6" w:space="0" w:color="002C47"/>
              <w:bottom w:val="single" w:sz="6" w:space="0" w:color="002C47"/>
              <w:right w:val="single" w:sz="6" w:space="0" w:color="002C47"/>
            </w:tcBorders>
            <w:shd w:val="clear" w:color="auto" w:fill="auto"/>
            <w:hideMark/>
          </w:tcPr>
          <w:p w14:paraId="17470D64" w14:textId="6529048F" w:rsidR="00C71EA4" w:rsidRPr="00210006" w:rsidRDefault="00C71EA4" w:rsidP="00FD43B8">
            <w:pPr>
              <w:pStyle w:val="Tabledescription"/>
              <w:rPr>
                <w:rFonts w:ascii="Times New Roman" w:hAnsi="Times New Roman"/>
                <w:color w:val="auto"/>
                <w:szCs w:val="18"/>
                <w:lang w:eastAsia="en-AU"/>
              </w:rPr>
            </w:pPr>
            <w:r w:rsidRPr="00210006">
              <w:rPr>
                <w:color w:val="auto"/>
                <w:szCs w:val="18"/>
                <w:lang w:eastAsia="en-AU"/>
              </w:rPr>
              <w:t>Vitamin B6</w:t>
            </w:r>
          </w:p>
          <w:p w14:paraId="1BD97DC9" w14:textId="71A0BFC2" w:rsidR="00C71EA4" w:rsidRPr="00210006" w:rsidRDefault="00C71EA4" w:rsidP="00FD43B8">
            <w:pPr>
              <w:pStyle w:val="Tabledescription"/>
              <w:rPr>
                <w:color w:val="auto"/>
                <w:szCs w:val="18"/>
                <w:lang w:eastAsia="en-AU"/>
              </w:rPr>
            </w:pPr>
            <w:r w:rsidRPr="00210006">
              <w:rPr>
                <w:color w:val="auto"/>
                <w:szCs w:val="18"/>
                <w:lang w:eastAsia="en-AU"/>
              </w:rPr>
              <w:t>pyridoxal</w:t>
            </w:r>
          </w:p>
          <w:p w14:paraId="01BB544D" w14:textId="3EE95F33" w:rsidR="00C71EA4" w:rsidRPr="00210006" w:rsidRDefault="00C71EA4" w:rsidP="00FD43B8">
            <w:pPr>
              <w:pStyle w:val="Tabledescription"/>
              <w:rPr>
                <w:color w:val="auto"/>
                <w:szCs w:val="18"/>
                <w:lang w:eastAsia="en-AU"/>
              </w:rPr>
            </w:pPr>
            <w:r w:rsidRPr="00210006">
              <w:rPr>
                <w:color w:val="auto"/>
                <w:szCs w:val="18"/>
                <w:lang w:eastAsia="en-AU"/>
              </w:rPr>
              <w:t>pyridoxine</w:t>
            </w:r>
          </w:p>
        </w:tc>
        <w:tc>
          <w:tcPr>
            <w:tcW w:w="2977" w:type="dxa"/>
            <w:tcBorders>
              <w:top w:val="single" w:sz="6" w:space="0" w:color="002C47"/>
              <w:left w:val="single" w:sz="6" w:space="0" w:color="002C47"/>
              <w:bottom w:val="single" w:sz="6" w:space="0" w:color="002C47"/>
              <w:right w:val="single" w:sz="6" w:space="0" w:color="002C47"/>
            </w:tcBorders>
            <w:shd w:val="clear" w:color="auto" w:fill="auto"/>
            <w:hideMark/>
          </w:tcPr>
          <w:p w14:paraId="0A9DBE01" w14:textId="77777777" w:rsidR="00C71EA4" w:rsidRPr="00210006" w:rsidRDefault="00C71EA4" w:rsidP="00FD43B8">
            <w:pPr>
              <w:pStyle w:val="Tabledescription"/>
              <w:rPr>
                <w:rFonts w:ascii="Times New Roman" w:hAnsi="Times New Roman"/>
                <w:color w:val="auto"/>
                <w:szCs w:val="18"/>
                <w:lang w:eastAsia="en-AU"/>
              </w:rPr>
            </w:pPr>
            <w:r w:rsidRPr="00210006">
              <w:rPr>
                <w:color w:val="auto"/>
                <w:szCs w:val="18"/>
                <w:lang w:eastAsia="en-AU"/>
              </w:rPr>
              <w:t>In SINGLE-INGREDIENT preparations containing 200 mg or less but more than 50 mg of [pyridoxine / pyridoxal] per recommended daily dose </w:t>
            </w:r>
          </w:p>
        </w:tc>
        <w:tc>
          <w:tcPr>
            <w:tcW w:w="4340" w:type="dxa"/>
            <w:tcBorders>
              <w:top w:val="single" w:sz="6" w:space="0" w:color="002C47"/>
              <w:left w:val="single" w:sz="6" w:space="0" w:color="002C47"/>
              <w:bottom w:val="single" w:sz="6" w:space="0" w:color="002C47"/>
              <w:right w:val="single" w:sz="6" w:space="0" w:color="002C47"/>
            </w:tcBorders>
            <w:shd w:val="clear" w:color="auto" w:fill="auto"/>
            <w:hideMark/>
          </w:tcPr>
          <w:p w14:paraId="608EF066" w14:textId="77777777" w:rsidR="00C71EA4" w:rsidRPr="00210006" w:rsidRDefault="00C71EA4" w:rsidP="00FD43B8">
            <w:pPr>
              <w:pStyle w:val="Tabledescription"/>
              <w:rPr>
                <w:rFonts w:ascii="Times New Roman" w:hAnsi="Times New Roman"/>
                <w:color w:val="auto"/>
                <w:szCs w:val="18"/>
                <w:lang w:eastAsia="en-AU"/>
              </w:rPr>
            </w:pPr>
            <w:r w:rsidRPr="00210006">
              <w:rPr>
                <w:color w:val="auto"/>
                <w:szCs w:val="18"/>
                <w:lang w:eastAsia="en-AU"/>
              </w:rPr>
              <w:t>WARNING – Stop taking this medication if you experience tingling, burning or numbness and see your healthcare practitioner as soon as possible. </w:t>
            </w:r>
          </w:p>
        </w:tc>
      </w:tr>
      <w:tr w:rsidR="00C71EA4" w:rsidRPr="00C71EA4" w14:paraId="374345E2" w14:textId="77777777" w:rsidTr="00210006">
        <w:trPr>
          <w:trHeight w:val="300"/>
        </w:trPr>
        <w:tc>
          <w:tcPr>
            <w:tcW w:w="1333" w:type="dxa"/>
            <w:tcBorders>
              <w:top w:val="single" w:sz="6" w:space="0" w:color="002C47"/>
              <w:left w:val="single" w:sz="6" w:space="0" w:color="002C47"/>
              <w:bottom w:val="single" w:sz="6" w:space="0" w:color="002C47"/>
              <w:right w:val="single" w:sz="6" w:space="0" w:color="002C47"/>
            </w:tcBorders>
            <w:shd w:val="clear" w:color="auto" w:fill="auto"/>
            <w:hideMark/>
          </w:tcPr>
          <w:p w14:paraId="0BE88DCF" w14:textId="19F60CC2" w:rsidR="00C71EA4" w:rsidRPr="00210006" w:rsidRDefault="00C71EA4" w:rsidP="00FD43B8">
            <w:pPr>
              <w:pStyle w:val="Tabledescription"/>
              <w:rPr>
                <w:rFonts w:ascii="Times New Roman" w:hAnsi="Times New Roman"/>
                <w:color w:val="auto"/>
                <w:szCs w:val="18"/>
                <w:lang w:eastAsia="en-AU"/>
              </w:rPr>
            </w:pPr>
            <w:r w:rsidRPr="00210006">
              <w:rPr>
                <w:color w:val="auto"/>
                <w:szCs w:val="18"/>
                <w:lang w:eastAsia="en-AU"/>
              </w:rPr>
              <w:lastRenderedPageBreak/>
              <w:t>Vitamin B6</w:t>
            </w:r>
          </w:p>
          <w:p w14:paraId="7394EADB" w14:textId="0F54312B" w:rsidR="00C71EA4" w:rsidRPr="00210006" w:rsidRDefault="00C71EA4" w:rsidP="00FD43B8">
            <w:pPr>
              <w:pStyle w:val="Tabledescription"/>
              <w:rPr>
                <w:color w:val="auto"/>
                <w:szCs w:val="18"/>
                <w:lang w:eastAsia="en-AU"/>
              </w:rPr>
            </w:pPr>
            <w:r w:rsidRPr="00210006">
              <w:rPr>
                <w:color w:val="auto"/>
                <w:szCs w:val="18"/>
                <w:lang w:eastAsia="en-AU"/>
              </w:rPr>
              <w:t>pyridoxal</w:t>
            </w:r>
          </w:p>
          <w:p w14:paraId="0A3E62BC" w14:textId="2BEEE510" w:rsidR="00C71EA4" w:rsidRPr="00210006" w:rsidRDefault="00C71EA4" w:rsidP="00E662A1">
            <w:pPr>
              <w:pStyle w:val="Tabledescription"/>
              <w:rPr>
                <w:rFonts w:ascii="Times New Roman" w:hAnsi="Times New Roman"/>
                <w:color w:val="auto"/>
                <w:szCs w:val="18"/>
                <w:lang w:eastAsia="en-AU"/>
              </w:rPr>
            </w:pPr>
            <w:r w:rsidRPr="00210006">
              <w:rPr>
                <w:color w:val="auto"/>
                <w:szCs w:val="18"/>
                <w:lang w:eastAsia="en-AU"/>
              </w:rPr>
              <w:t>pyridoxine</w:t>
            </w:r>
          </w:p>
        </w:tc>
        <w:tc>
          <w:tcPr>
            <w:tcW w:w="2977" w:type="dxa"/>
            <w:tcBorders>
              <w:top w:val="single" w:sz="6" w:space="0" w:color="002C47"/>
              <w:left w:val="single" w:sz="6" w:space="0" w:color="002C47"/>
              <w:bottom w:val="single" w:sz="6" w:space="0" w:color="002C47"/>
              <w:right w:val="single" w:sz="6" w:space="0" w:color="002C47"/>
            </w:tcBorders>
            <w:shd w:val="clear" w:color="auto" w:fill="auto"/>
            <w:hideMark/>
          </w:tcPr>
          <w:p w14:paraId="165E7967" w14:textId="77777777" w:rsidR="00C71EA4" w:rsidRPr="00210006" w:rsidRDefault="00C71EA4" w:rsidP="00FD43B8">
            <w:pPr>
              <w:pStyle w:val="Tabledescription"/>
              <w:rPr>
                <w:rFonts w:ascii="Times New Roman" w:hAnsi="Times New Roman"/>
                <w:color w:val="auto"/>
                <w:szCs w:val="18"/>
                <w:lang w:eastAsia="en-AU"/>
              </w:rPr>
            </w:pPr>
            <w:r w:rsidRPr="00210006">
              <w:rPr>
                <w:color w:val="auto"/>
                <w:szCs w:val="18"/>
                <w:lang w:eastAsia="en-AU"/>
              </w:rPr>
              <w:t>In MULTI-INGREDIENT preparations containing 200 mg or less but more than 50 mg of [pyridoxine / pyridoxal] per recommended daily dose </w:t>
            </w:r>
          </w:p>
        </w:tc>
        <w:tc>
          <w:tcPr>
            <w:tcW w:w="4340" w:type="dxa"/>
            <w:tcBorders>
              <w:top w:val="single" w:sz="6" w:space="0" w:color="002C47"/>
              <w:left w:val="single" w:sz="6" w:space="0" w:color="002C47"/>
              <w:bottom w:val="single" w:sz="6" w:space="0" w:color="002C47"/>
              <w:right w:val="single" w:sz="6" w:space="0" w:color="002C47"/>
            </w:tcBorders>
            <w:shd w:val="clear" w:color="auto" w:fill="auto"/>
            <w:hideMark/>
          </w:tcPr>
          <w:p w14:paraId="41641340" w14:textId="77777777" w:rsidR="00C71EA4" w:rsidRPr="00210006" w:rsidRDefault="00C71EA4" w:rsidP="00FD43B8">
            <w:pPr>
              <w:pStyle w:val="Tabledescription"/>
              <w:rPr>
                <w:rFonts w:ascii="Times New Roman" w:hAnsi="Times New Roman"/>
                <w:color w:val="auto"/>
                <w:szCs w:val="18"/>
                <w:lang w:eastAsia="en-AU"/>
              </w:rPr>
            </w:pPr>
            <w:r w:rsidRPr="00210006">
              <w:rPr>
                <w:color w:val="auto"/>
                <w:szCs w:val="18"/>
                <w:lang w:eastAsia="en-AU"/>
              </w:rPr>
              <w:t>WARNING – Stop taking this medication if you experience tingling, burning or numbness and see your healthcare practitioner as soon as possible. </w:t>
            </w:r>
            <w:r w:rsidRPr="00210006">
              <w:rPr>
                <w:strike/>
                <w:color w:val="auto"/>
                <w:szCs w:val="18"/>
                <w:lang w:eastAsia="en-AU"/>
              </w:rPr>
              <w:t xml:space="preserve"> </w:t>
            </w:r>
            <w:r w:rsidRPr="00210006">
              <w:rPr>
                <w:color w:val="auto"/>
                <w:szCs w:val="18"/>
                <w:lang w:eastAsia="en-AU"/>
              </w:rPr>
              <w:t>Contains vitamin B6. </w:t>
            </w:r>
          </w:p>
        </w:tc>
      </w:tr>
    </w:tbl>
    <w:p w14:paraId="2ADCBB75" w14:textId="06D65143" w:rsidR="00C71EA4" w:rsidRPr="00C71EA4" w:rsidRDefault="00C71EA4" w:rsidP="00C71EA4">
      <w:pPr>
        <w:spacing w:after="0" w:line="240" w:lineRule="auto"/>
        <w:textAlignment w:val="baseline"/>
        <w:rPr>
          <w:rFonts w:eastAsia="Times New Roman" w:cs="Arial"/>
          <w:color w:val="000000"/>
          <w:sz w:val="22"/>
          <w:szCs w:val="22"/>
          <w:lang w:eastAsia="en-AU"/>
        </w:rPr>
      </w:pPr>
    </w:p>
    <w:p w14:paraId="71102E80" w14:textId="4E39AA6A" w:rsidR="00C71EA4" w:rsidRPr="00C71EA4" w:rsidRDefault="00C71EA4" w:rsidP="00FB119D">
      <w:pPr>
        <w:pStyle w:val="ListBullet"/>
        <w:rPr>
          <w:lang w:eastAsia="en-AU"/>
        </w:rPr>
      </w:pPr>
      <w:r w:rsidRPr="00C71EA4">
        <w:rPr>
          <w:lang w:eastAsia="en-AU"/>
        </w:rPr>
        <w:t xml:space="preserve">As of 20 August 2024, there were 113 reports of peripheral neuropathy, peripheral sensory neuropathy, small fibre neuropathy or chronic polyneuropathy for products containing vitamin B6 on the </w:t>
      </w:r>
      <w:hyperlink r:id="rId58" w:tgtFrame="_blank" w:history="1">
        <w:r w:rsidRPr="00C71EA4">
          <w:rPr>
            <w:lang w:eastAsia="en-AU"/>
          </w:rPr>
          <w:t>Database of Adverse Event Notifications (DAEN)</w:t>
        </w:r>
      </w:hyperlink>
      <w:r w:rsidRPr="00C71EA4">
        <w:rPr>
          <w:lang w:eastAsia="en-AU"/>
        </w:rPr>
        <w:t xml:space="preserve">. </w:t>
      </w:r>
      <w:r w:rsidR="00000FA0">
        <w:rPr>
          <w:lang w:eastAsia="en-AU"/>
        </w:rPr>
        <w:t>The m</w:t>
      </w:r>
      <w:r w:rsidRPr="00C71EA4">
        <w:rPr>
          <w:lang w:eastAsia="en-AU"/>
        </w:rPr>
        <w:t>ajority of these adverse events were reported since 2023. </w:t>
      </w:r>
    </w:p>
    <w:p w14:paraId="14D4CAC8" w14:textId="77777777" w:rsidR="00C71EA4" w:rsidRPr="00C71EA4" w:rsidRDefault="00C71EA4" w:rsidP="00A840C0">
      <w:pPr>
        <w:pStyle w:val="ListBullet2"/>
        <w:rPr>
          <w:lang w:eastAsia="en-AU"/>
        </w:rPr>
      </w:pPr>
      <w:r w:rsidRPr="00C71EA4">
        <w:rPr>
          <w:lang w:eastAsia="en-AU"/>
        </w:rPr>
        <w:t>55 of these also reported ‘Hypervitaminosis B6’ and/or ‘Vitamin B6 increased’ </w:t>
      </w:r>
    </w:p>
    <w:p w14:paraId="42740BE2" w14:textId="77777777" w:rsidR="00C71EA4" w:rsidRPr="00FB119D" w:rsidRDefault="00C71EA4" w:rsidP="00A840C0">
      <w:pPr>
        <w:pStyle w:val="ListBullet2"/>
        <w:rPr>
          <w:lang w:eastAsia="en-AU"/>
        </w:rPr>
      </w:pPr>
      <w:r w:rsidRPr="00C71EA4">
        <w:rPr>
          <w:lang w:eastAsia="en-AU"/>
        </w:rPr>
        <w:t xml:space="preserve">an additional 71 cases reporting ‘Hypervitaminosis B6’ and/or ‘Vitamin B6 increased’ some of which also reported symptoms of peripheral neuropathy but used other reaction terms (such </w:t>
      </w:r>
      <w:r w:rsidRPr="00FB119D">
        <w:rPr>
          <w:lang w:eastAsia="en-AU"/>
        </w:rPr>
        <w:t>as paraesthesia, burning sensation etc.). </w:t>
      </w:r>
    </w:p>
    <w:p w14:paraId="78F8C3E6" w14:textId="56E9A3F0" w:rsidR="00C71EA4" w:rsidRPr="00C71EA4" w:rsidRDefault="00C71EA4" w:rsidP="00FB119D">
      <w:pPr>
        <w:pStyle w:val="ListBullet"/>
        <w:rPr>
          <w:lang w:eastAsia="en-AU"/>
        </w:rPr>
      </w:pPr>
      <w:r w:rsidRPr="00FB119D">
        <w:rPr>
          <w:lang w:eastAsia="en-AU"/>
        </w:rPr>
        <w:t xml:space="preserve">As of </w:t>
      </w:r>
      <w:r w:rsidR="00FB119D">
        <w:rPr>
          <w:lang w:eastAsia="en-AU"/>
        </w:rPr>
        <w:t xml:space="preserve">25 August </w:t>
      </w:r>
      <w:r w:rsidRPr="00FB119D">
        <w:rPr>
          <w:lang w:eastAsia="en-AU"/>
        </w:rPr>
        <w:t>2024, there</w:t>
      </w:r>
      <w:r w:rsidRPr="00C71EA4">
        <w:rPr>
          <w:lang w:eastAsia="en-AU"/>
        </w:rPr>
        <w:t xml:space="preserve"> were 23 products containing vitamin B6 as an active ingredient listed on the </w:t>
      </w:r>
      <w:hyperlink r:id="rId59" w:tgtFrame="_blank" w:history="1">
        <w:r w:rsidRPr="00C71EA4">
          <w:rPr>
            <w:color w:val="0000FF"/>
            <w:u w:val="single"/>
            <w:lang w:eastAsia="en-AU"/>
          </w:rPr>
          <w:t>Public Chemical Registration Information System Search (PubCRIS)</w:t>
        </w:r>
      </w:hyperlink>
      <w:r w:rsidRPr="00C71EA4">
        <w:rPr>
          <w:lang w:eastAsia="en-AU"/>
        </w:rPr>
        <w:t>.  </w:t>
      </w:r>
    </w:p>
    <w:p w14:paraId="7A8056D9" w14:textId="13CB5861" w:rsidR="00C71EA4" w:rsidRPr="00C71EA4" w:rsidRDefault="00C71EA4" w:rsidP="00FB119D">
      <w:pPr>
        <w:pStyle w:val="ListBullet"/>
        <w:rPr>
          <w:lang w:eastAsia="en-AU"/>
        </w:rPr>
      </w:pPr>
      <w:r w:rsidRPr="00C71EA4">
        <w:rPr>
          <w:lang w:eastAsia="en-AU"/>
        </w:rPr>
        <w:t>Between 2015-16 and 2019-20</w:t>
      </w:r>
      <w:r w:rsidR="006B1A24">
        <w:rPr>
          <w:lang w:eastAsia="en-AU"/>
        </w:rPr>
        <w:t>1</w:t>
      </w:r>
      <w:r w:rsidRPr="00C71EA4">
        <w:rPr>
          <w:lang w:eastAsia="en-AU"/>
        </w:rPr>
        <w:t xml:space="preserve">1 adverse experience </w:t>
      </w:r>
      <w:r w:rsidR="00E31772" w:rsidRPr="00C71EA4">
        <w:rPr>
          <w:lang w:eastAsia="en-AU"/>
        </w:rPr>
        <w:t>related</w:t>
      </w:r>
      <w:r w:rsidRPr="00C71EA4">
        <w:rPr>
          <w:lang w:eastAsia="en-AU"/>
        </w:rPr>
        <w:t xml:space="preserve"> to animal health was recorded for vitamin B6 in the </w:t>
      </w:r>
      <w:hyperlink r:id="rId60" w:tgtFrame="_blank" w:history="1">
        <w:r w:rsidRPr="00C71EA4">
          <w:rPr>
            <w:color w:val="0000FF"/>
            <w:u w:val="single"/>
            <w:lang w:eastAsia="en-AU"/>
          </w:rPr>
          <w:t>APVMA Adverse Experience Reporting Program</w:t>
        </w:r>
      </w:hyperlink>
      <w:r w:rsidRPr="00C71EA4">
        <w:rPr>
          <w:color w:val="0000FF"/>
          <w:u w:val="single"/>
          <w:lang w:eastAsia="en-AU"/>
        </w:rPr>
        <w:t xml:space="preserve"> database (AERP)</w:t>
      </w:r>
      <w:r w:rsidR="00FB119D" w:rsidRPr="00FB119D">
        <w:rPr>
          <w:lang w:eastAsia="en-AU"/>
        </w:rPr>
        <w:t>.</w:t>
      </w:r>
    </w:p>
    <w:p w14:paraId="2890AC42" w14:textId="5F436180" w:rsidR="00C71EA4" w:rsidRPr="006B1A24" w:rsidRDefault="00C71EA4" w:rsidP="00FB119D">
      <w:pPr>
        <w:pStyle w:val="ListBullet"/>
      </w:pPr>
      <w:r w:rsidRPr="00C71EA4">
        <w:rPr>
          <w:lang w:eastAsia="en-AU"/>
        </w:rPr>
        <w:t xml:space="preserve">The </w:t>
      </w:r>
      <w:hyperlink r:id="rId61" w:tgtFrame="_blank" w:history="1">
        <w:r w:rsidRPr="00C71EA4">
          <w:rPr>
            <w:color w:val="0000FF"/>
            <w:u w:val="single"/>
            <w:lang w:eastAsia="en-AU"/>
          </w:rPr>
          <w:t>Nutrient Reference Values for Australia and New Zealand</w:t>
        </w:r>
      </w:hyperlink>
      <w:r w:rsidRPr="00C71EA4">
        <w:rPr>
          <w:lang w:eastAsia="en-AU"/>
        </w:rPr>
        <w:t xml:space="preserve"> for vitamin B6 published by the National Health and Medical Research Council establish appropriate upper levels of intake of 50</w:t>
      </w:r>
      <w:r w:rsidR="006B1A24">
        <w:rPr>
          <w:lang w:eastAsia="en-AU"/>
        </w:rPr>
        <w:t> </w:t>
      </w:r>
      <w:r w:rsidRPr="00C71EA4">
        <w:rPr>
          <w:lang w:eastAsia="en-AU"/>
        </w:rPr>
        <w:t xml:space="preserve">mg pyridoxine per </w:t>
      </w:r>
      <w:r w:rsidRPr="006B1A24">
        <w:t>day</w:t>
      </w:r>
      <w:r w:rsidR="00E31772" w:rsidRPr="006B1A24">
        <w:t xml:space="preserve"> </w:t>
      </w:r>
      <w:r w:rsidRPr="006B1A24">
        <w:t>from all sources. </w:t>
      </w:r>
    </w:p>
    <w:p w14:paraId="512D2955" w14:textId="77777777" w:rsidR="00C71EA4" w:rsidRPr="00C71EA4" w:rsidRDefault="00C71EA4" w:rsidP="00FB119D">
      <w:pPr>
        <w:pStyle w:val="ListBullet"/>
        <w:rPr>
          <w:lang w:eastAsia="en-AU"/>
        </w:rPr>
      </w:pPr>
      <w:r w:rsidRPr="00C71EA4">
        <w:rPr>
          <w:lang w:eastAsia="en-AU"/>
        </w:rPr>
        <w:t>As of August 2024, pyridoxine and pyridoxal 5’-phosphate and pyridoxal phosphate, monohydrate are listed on the Australian Inventory of Industrial Chemicals. Pyridoxamine is not listed. </w:t>
      </w:r>
    </w:p>
    <w:p w14:paraId="4C97750D" w14:textId="77777777" w:rsidR="00C71EA4" w:rsidRPr="00C71EA4" w:rsidRDefault="00C71EA4" w:rsidP="007B3FCB">
      <w:pPr>
        <w:pStyle w:val="Heading4"/>
        <w:rPr>
          <w:sz w:val="22"/>
          <w:szCs w:val="22"/>
        </w:rPr>
      </w:pPr>
      <w:bookmarkStart w:id="67" w:name="_Toc177657879"/>
      <w:r w:rsidRPr="00C71EA4">
        <w:t>International regulations</w:t>
      </w:r>
      <w:bookmarkEnd w:id="67"/>
      <w:r w:rsidRPr="00C71EA4">
        <w:t> </w:t>
      </w:r>
    </w:p>
    <w:p w14:paraId="69723F06" w14:textId="42720900" w:rsidR="00C71EA4" w:rsidRPr="00C71EA4" w:rsidRDefault="00C71EA4" w:rsidP="00FB119D">
      <w:pPr>
        <w:pStyle w:val="ListBullet"/>
        <w:rPr>
          <w:lang w:eastAsia="en-AU"/>
        </w:rPr>
      </w:pPr>
      <w:r w:rsidRPr="00C71EA4">
        <w:rPr>
          <w:lang w:eastAsia="en-AU"/>
        </w:rPr>
        <w:t xml:space="preserve">In </w:t>
      </w:r>
      <w:r w:rsidRPr="00524FD4">
        <w:rPr>
          <w:lang w:eastAsia="en-AU"/>
        </w:rPr>
        <w:t xml:space="preserve">Canada vitamin B6 is available as dietary supplement without a prescription that are regulated as </w:t>
      </w:r>
      <w:r w:rsidRPr="00524FD4">
        <w:rPr>
          <w:shd w:val="clear" w:color="auto" w:fill="FFFFFF"/>
          <w:lang w:eastAsia="en-AU"/>
        </w:rPr>
        <w:t>natural and non-Prescription health products</w:t>
      </w:r>
      <w:r w:rsidRPr="00524FD4">
        <w:rPr>
          <w:lang w:eastAsia="en-AU"/>
        </w:rPr>
        <w:t xml:space="preserve">. </w:t>
      </w:r>
      <w:r w:rsidRPr="00C71EA4">
        <w:rPr>
          <w:lang w:eastAsia="en-AU"/>
        </w:rPr>
        <w:t xml:space="preserve">The </w:t>
      </w:r>
      <w:hyperlink r:id="rId62" w:tgtFrame="_blank" w:history="1">
        <w:r w:rsidRPr="00C71EA4">
          <w:rPr>
            <w:color w:val="0000FF"/>
            <w:u w:val="single"/>
            <w:shd w:val="clear" w:color="auto" w:fill="FFFFFF"/>
            <w:lang w:eastAsia="en-AU"/>
          </w:rPr>
          <w:t>Licensed Natural Health Products Database</w:t>
        </w:r>
      </w:hyperlink>
      <w:r w:rsidRPr="00C71EA4">
        <w:rPr>
          <w:color w:val="333333"/>
          <w:shd w:val="clear" w:color="auto" w:fill="FFFFFF"/>
          <w:lang w:eastAsia="en-AU"/>
        </w:rPr>
        <w:t xml:space="preserve"> </w:t>
      </w:r>
      <w:r w:rsidRPr="00524FD4">
        <w:rPr>
          <w:shd w:val="clear" w:color="auto" w:fill="FFFFFF"/>
          <w:lang w:eastAsia="en-AU"/>
        </w:rPr>
        <w:t>includes 33 active products. The maximum daily dose of vitamin B6 that can be provided by any of these supplements is 50</w:t>
      </w:r>
      <w:r w:rsidR="00FD43B8" w:rsidRPr="00524FD4">
        <w:rPr>
          <w:shd w:val="clear" w:color="auto" w:fill="FFFFFF"/>
          <w:lang w:eastAsia="en-AU"/>
        </w:rPr>
        <w:t> </w:t>
      </w:r>
      <w:r w:rsidRPr="00524FD4">
        <w:rPr>
          <w:shd w:val="clear" w:color="auto" w:fill="FFFFFF"/>
          <w:lang w:eastAsia="en-AU"/>
        </w:rPr>
        <w:t>mg/day.</w:t>
      </w:r>
      <w:r w:rsidRPr="00524FD4">
        <w:rPr>
          <w:lang w:eastAsia="en-AU"/>
        </w:rPr>
        <w:t> </w:t>
      </w:r>
    </w:p>
    <w:p w14:paraId="5EE8B812" w14:textId="1192C271" w:rsidR="00C71EA4" w:rsidRPr="00C71EA4" w:rsidRDefault="00C71EA4" w:rsidP="00FB119D">
      <w:pPr>
        <w:pStyle w:val="ListBullet"/>
        <w:rPr>
          <w:lang w:eastAsia="en-AU"/>
        </w:rPr>
      </w:pPr>
      <w:r w:rsidRPr="00C71EA4">
        <w:rPr>
          <w:lang w:eastAsia="en-AU"/>
        </w:rPr>
        <w:t xml:space="preserve">Vitamin B6 is also available as ethical (unscheduled non-prescription products that are used by professionals) and prescription medicines. The </w:t>
      </w:r>
      <w:hyperlink r:id="rId63" w:tgtFrame="_blank" w:history="1">
        <w:r w:rsidRPr="00C71EA4">
          <w:rPr>
            <w:color w:val="0000FF"/>
            <w:u w:val="single"/>
            <w:lang w:eastAsia="en-AU"/>
          </w:rPr>
          <w:t>Health Canada Drug Product Database</w:t>
        </w:r>
      </w:hyperlink>
      <w:r w:rsidRPr="00C71EA4">
        <w:rPr>
          <w:lang w:eastAsia="en-AU"/>
        </w:rPr>
        <w:t xml:space="preserve"> 11 products containing pyridoxine that are currently marketed. Of these 11, </w:t>
      </w:r>
      <w:r w:rsidR="00000FA0">
        <w:rPr>
          <w:lang w:eastAsia="en-AU"/>
        </w:rPr>
        <w:t xml:space="preserve">there </w:t>
      </w:r>
      <w:r w:rsidRPr="00C71EA4">
        <w:rPr>
          <w:lang w:eastAsia="en-AU"/>
        </w:rPr>
        <w:t xml:space="preserve">are </w:t>
      </w:r>
      <w:r w:rsidR="00000FA0">
        <w:rPr>
          <w:lang w:eastAsia="en-AU"/>
        </w:rPr>
        <w:t xml:space="preserve">3 </w:t>
      </w:r>
      <w:r w:rsidRPr="00C71EA4">
        <w:rPr>
          <w:lang w:eastAsia="en-AU"/>
        </w:rPr>
        <w:t>ethical products and 8 are prescription medicines. </w:t>
      </w:r>
    </w:p>
    <w:p w14:paraId="20EA8426" w14:textId="77777777" w:rsidR="00C71EA4" w:rsidRPr="00C71EA4" w:rsidRDefault="00C71EA4" w:rsidP="00FB119D">
      <w:pPr>
        <w:pStyle w:val="ListBullet"/>
        <w:rPr>
          <w:lang w:eastAsia="en-AU"/>
        </w:rPr>
      </w:pPr>
      <w:r w:rsidRPr="00210006">
        <w:rPr>
          <w:lang w:eastAsia="en-AU"/>
        </w:rPr>
        <w:t xml:space="preserve">The </w:t>
      </w:r>
      <w:hyperlink r:id="rId64" w:tgtFrame="_blank" w:history="1">
        <w:r w:rsidRPr="00C71EA4">
          <w:rPr>
            <w:color w:val="0000FF"/>
            <w:u w:val="single"/>
            <w:lang w:eastAsia="en-AU"/>
          </w:rPr>
          <w:t>New Zealand Medsafe Medicines Classification Database</w:t>
        </w:r>
      </w:hyperlink>
      <w:r w:rsidRPr="00E31772">
        <w:rPr>
          <w:lang w:eastAsia="en-AU"/>
        </w:rPr>
        <w:t xml:space="preserve"> lists pyridoxine as follows:</w:t>
      </w:r>
      <w:r w:rsidRPr="00C71EA4">
        <w:rPr>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4"/>
        <w:gridCol w:w="4872"/>
        <w:gridCol w:w="2204"/>
      </w:tblGrid>
      <w:tr w:rsidR="00C71EA4" w:rsidRPr="00C71EA4" w14:paraId="1D17FD59" w14:textId="77777777" w:rsidTr="00C71EA4">
        <w:trPr>
          <w:trHeight w:val="300"/>
        </w:trPr>
        <w:tc>
          <w:tcPr>
            <w:tcW w:w="1935" w:type="dxa"/>
            <w:tcBorders>
              <w:top w:val="single" w:sz="6" w:space="0" w:color="002C47"/>
              <w:left w:val="single" w:sz="6" w:space="0" w:color="002C47"/>
              <w:bottom w:val="single" w:sz="6" w:space="0" w:color="002C47"/>
              <w:right w:val="nil"/>
            </w:tcBorders>
            <w:shd w:val="clear" w:color="auto" w:fill="006DA7"/>
            <w:hideMark/>
          </w:tcPr>
          <w:p w14:paraId="5FDC7813" w14:textId="77777777" w:rsidR="00C71EA4" w:rsidRPr="00E31772" w:rsidRDefault="00C71EA4" w:rsidP="00E31772">
            <w:pPr>
              <w:pStyle w:val="Tabletitle"/>
              <w:rPr>
                <w:color w:val="FFFFFF" w:themeColor="background1"/>
                <w:lang w:eastAsia="en-AU"/>
              </w:rPr>
            </w:pPr>
            <w:r w:rsidRPr="00E31772">
              <w:rPr>
                <w:color w:val="FFFFFF" w:themeColor="background1"/>
                <w:lang w:eastAsia="en-AU"/>
              </w:rPr>
              <w:t>Ingredient </w:t>
            </w:r>
          </w:p>
        </w:tc>
        <w:tc>
          <w:tcPr>
            <w:tcW w:w="4875" w:type="dxa"/>
            <w:tcBorders>
              <w:top w:val="single" w:sz="6" w:space="0" w:color="002C47"/>
              <w:left w:val="nil"/>
              <w:bottom w:val="single" w:sz="6" w:space="0" w:color="002C47"/>
              <w:right w:val="nil"/>
            </w:tcBorders>
            <w:shd w:val="clear" w:color="auto" w:fill="006DA7"/>
            <w:hideMark/>
          </w:tcPr>
          <w:p w14:paraId="27F75BAD" w14:textId="77777777" w:rsidR="00C71EA4" w:rsidRPr="00E31772" w:rsidRDefault="00C71EA4" w:rsidP="00E31772">
            <w:pPr>
              <w:pStyle w:val="Tabletitle"/>
              <w:rPr>
                <w:color w:val="FFFFFF" w:themeColor="background1"/>
                <w:lang w:eastAsia="en-AU"/>
              </w:rPr>
            </w:pPr>
            <w:r w:rsidRPr="00E31772">
              <w:rPr>
                <w:color w:val="FFFFFF" w:themeColor="background1"/>
                <w:lang w:eastAsia="en-AU"/>
              </w:rPr>
              <w:t>Conditions (if any) </w:t>
            </w:r>
          </w:p>
        </w:tc>
        <w:tc>
          <w:tcPr>
            <w:tcW w:w="2205" w:type="dxa"/>
            <w:tcBorders>
              <w:top w:val="single" w:sz="6" w:space="0" w:color="002C47"/>
              <w:left w:val="nil"/>
              <w:bottom w:val="single" w:sz="6" w:space="0" w:color="002C47"/>
              <w:right w:val="single" w:sz="6" w:space="0" w:color="002C47"/>
            </w:tcBorders>
            <w:shd w:val="clear" w:color="auto" w:fill="006DA7"/>
            <w:hideMark/>
          </w:tcPr>
          <w:p w14:paraId="5784CF77" w14:textId="77777777" w:rsidR="00C71EA4" w:rsidRPr="00E31772" w:rsidRDefault="00C71EA4" w:rsidP="00E31772">
            <w:pPr>
              <w:pStyle w:val="Tabletitle"/>
              <w:rPr>
                <w:color w:val="FFFFFF" w:themeColor="background1"/>
                <w:lang w:eastAsia="en-AU"/>
              </w:rPr>
            </w:pPr>
            <w:r w:rsidRPr="00E31772">
              <w:rPr>
                <w:color w:val="FFFFFF" w:themeColor="background1"/>
                <w:lang w:eastAsia="en-AU"/>
              </w:rPr>
              <w:t>Classification </w:t>
            </w:r>
          </w:p>
        </w:tc>
      </w:tr>
      <w:tr w:rsidR="00C71EA4" w:rsidRPr="00C71EA4" w14:paraId="64BB57B5" w14:textId="77777777" w:rsidTr="00C71EA4">
        <w:trPr>
          <w:trHeight w:val="300"/>
        </w:trPr>
        <w:tc>
          <w:tcPr>
            <w:tcW w:w="1935" w:type="dxa"/>
            <w:tcBorders>
              <w:top w:val="single" w:sz="6" w:space="0" w:color="002C47"/>
              <w:left w:val="single" w:sz="6" w:space="0" w:color="002C47"/>
              <w:bottom w:val="single" w:sz="6" w:space="0" w:color="002C47"/>
              <w:right w:val="single" w:sz="6" w:space="0" w:color="002C47"/>
            </w:tcBorders>
            <w:shd w:val="clear" w:color="auto" w:fill="auto"/>
            <w:hideMark/>
          </w:tcPr>
          <w:p w14:paraId="3C5EEF23" w14:textId="77777777" w:rsidR="00C71EA4" w:rsidRPr="00210006" w:rsidRDefault="00C71EA4" w:rsidP="00E31772">
            <w:pPr>
              <w:pStyle w:val="Tabledescription"/>
              <w:rPr>
                <w:color w:val="auto"/>
                <w:lang w:eastAsia="en-AU"/>
              </w:rPr>
            </w:pPr>
            <w:r w:rsidRPr="00210006">
              <w:rPr>
                <w:color w:val="auto"/>
                <w:lang w:eastAsia="en-AU"/>
              </w:rPr>
              <w:t>Pyridoxine </w:t>
            </w:r>
          </w:p>
        </w:tc>
        <w:tc>
          <w:tcPr>
            <w:tcW w:w="4875" w:type="dxa"/>
            <w:tcBorders>
              <w:top w:val="single" w:sz="6" w:space="0" w:color="002C47"/>
              <w:left w:val="single" w:sz="6" w:space="0" w:color="002C47"/>
              <w:bottom w:val="single" w:sz="6" w:space="0" w:color="002C47"/>
              <w:right w:val="single" w:sz="6" w:space="0" w:color="002C47"/>
            </w:tcBorders>
            <w:shd w:val="clear" w:color="auto" w:fill="auto"/>
            <w:hideMark/>
          </w:tcPr>
          <w:p w14:paraId="2108E736" w14:textId="77777777" w:rsidR="00C71EA4" w:rsidRPr="00210006" w:rsidRDefault="00C71EA4" w:rsidP="00E31772">
            <w:pPr>
              <w:pStyle w:val="Tabledescription"/>
              <w:rPr>
                <w:color w:val="auto"/>
                <w:lang w:eastAsia="en-AU"/>
              </w:rPr>
            </w:pPr>
            <w:r w:rsidRPr="00210006">
              <w:rPr>
                <w:color w:val="auto"/>
                <w:lang w:eastAsia="en-AU"/>
              </w:rPr>
              <w:t>in medicines containing more than 200 milligrams per recommended daily dose </w:t>
            </w:r>
          </w:p>
        </w:tc>
        <w:tc>
          <w:tcPr>
            <w:tcW w:w="2205" w:type="dxa"/>
            <w:tcBorders>
              <w:top w:val="single" w:sz="6" w:space="0" w:color="002C47"/>
              <w:left w:val="single" w:sz="6" w:space="0" w:color="002C47"/>
              <w:bottom w:val="single" w:sz="6" w:space="0" w:color="002C47"/>
              <w:right w:val="single" w:sz="6" w:space="0" w:color="002C47"/>
            </w:tcBorders>
            <w:shd w:val="clear" w:color="auto" w:fill="auto"/>
            <w:hideMark/>
          </w:tcPr>
          <w:p w14:paraId="6D9ABFC2" w14:textId="77777777" w:rsidR="00C71EA4" w:rsidRPr="00210006" w:rsidRDefault="00C71EA4" w:rsidP="00E31772">
            <w:pPr>
              <w:pStyle w:val="Tabledescription"/>
              <w:rPr>
                <w:color w:val="auto"/>
                <w:lang w:eastAsia="en-AU"/>
              </w:rPr>
            </w:pPr>
            <w:r w:rsidRPr="00210006">
              <w:rPr>
                <w:color w:val="auto"/>
                <w:lang w:eastAsia="en-AU"/>
              </w:rPr>
              <w:t>Prescription </w:t>
            </w:r>
          </w:p>
        </w:tc>
      </w:tr>
      <w:tr w:rsidR="00C71EA4" w:rsidRPr="00C71EA4" w14:paraId="4E74475C" w14:textId="77777777" w:rsidTr="00C71EA4">
        <w:trPr>
          <w:trHeight w:val="300"/>
        </w:trPr>
        <w:tc>
          <w:tcPr>
            <w:tcW w:w="1935" w:type="dxa"/>
            <w:tcBorders>
              <w:top w:val="single" w:sz="6" w:space="0" w:color="002C47"/>
              <w:left w:val="single" w:sz="6" w:space="0" w:color="002C47"/>
              <w:bottom w:val="single" w:sz="6" w:space="0" w:color="002C47"/>
              <w:right w:val="single" w:sz="6" w:space="0" w:color="002C47"/>
            </w:tcBorders>
            <w:shd w:val="clear" w:color="auto" w:fill="auto"/>
            <w:hideMark/>
          </w:tcPr>
          <w:p w14:paraId="022099B1" w14:textId="77777777" w:rsidR="00C71EA4" w:rsidRPr="00210006" w:rsidRDefault="00C71EA4" w:rsidP="00E31772">
            <w:pPr>
              <w:pStyle w:val="Tabledescription"/>
              <w:rPr>
                <w:color w:val="auto"/>
                <w:lang w:eastAsia="en-AU"/>
              </w:rPr>
            </w:pPr>
            <w:r w:rsidRPr="00210006">
              <w:rPr>
                <w:color w:val="auto"/>
                <w:lang w:eastAsia="en-AU"/>
              </w:rPr>
              <w:t>Pyridoxine </w:t>
            </w:r>
          </w:p>
        </w:tc>
        <w:tc>
          <w:tcPr>
            <w:tcW w:w="4875" w:type="dxa"/>
            <w:tcBorders>
              <w:top w:val="single" w:sz="6" w:space="0" w:color="002C47"/>
              <w:left w:val="single" w:sz="6" w:space="0" w:color="002C47"/>
              <w:bottom w:val="single" w:sz="6" w:space="0" w:color="002C47"/>
              <w:right w:val="single" w:sz="6" w:space="0" w:color="002C47"/>
            </w:tcBorders>
            <w:shd w:val="clear" w:color="auto" w:fill="auto"/>
            <w:hideMark/>
          </w:tcPr>
          <w:p w14:paraId="37B4D419" w14:textId="77777777" w:rsidR="00C71EA4" w:rsidRPr="00210006" w:rsidRDefault="00C71EA4" w:rsidP="00E31772">
            <w:pPr>
              <w:pStyle w:val="Tabledescription"/>
              <w:rPr>
                <w:color w:val="auto"/>
                <w:lang w:eastAsia="en-AU"/>
              </w:rPr>
            </w:pPr>
            <w:r w:rsidRPr="00210006">
              <w:rPr>
                <w:color w:val="auto"/>
                <w:lang w:eastAsia="en-AU"/>
              </w:rPr>
              <w:t>in medicines containing 200 milligrams or less per recommended daily dose </w:t>
            </w:r>
          </w:p>
        </w:tc>
        <w:tc>
          <w:tcPr>
            <w:tcW w:w="2205" w:type="dxa"/>
            <w:tcBorders>
              <w:top w:val="single" w:sz="6" w:space="0" w:color="002C47"/>
              <w:left w:val="single" w:sz="6" w:space="0" w:color="002C47"/>
              <w:bottom w:val="single" w:sz="6" w:space="0" w:color="002C47"/>
              <w:right w:val="single" w:sz="6" w:space="0" w:color="002C47"/>
            </w:tcBorders>
            <w:shd w:val="clear" w:color="auto" w:fill="auto"/>
            <w:hideMark/>
          </w:tcPr>
          <w:p w14:paraId="2F3990C9" w14:textId="77777777" w:rsidR="00C71EA4" w:rsidRPr="00210006" w:rsidRDefault="00C71EA4" w:rsidP="00E31772">
            <w:pPr>
              <w:pStyle w:val="Tabledescription"/>
              <w:rPr>
                <w:color w:val="auto"/>
                <w:lang w:eastAsia="en-AU"/>
              </w:rPr>
            </w:pPr>
            <w:r w:rsidRPr="00210006">
              <w:rPr>
                <w:color w:val="auto"/>
                <w:lang w:eastAsia="en-AU"/>
              </w:rPr>
              <w:t>General sale </w:t>
            </w:r>
          </w:p>
        </w:tc>
      </w:tr>
    </w:tbl>
    <w:p w14:paraId="5DE2742E" w14:textId="2007DF89" w:rsidR="00C71EA4" w:rsidRPr="00C71EA4" w:rsidRDefault="00C71EA4" w:rsidP="00FB119D">
      <w:pPr>
        <w:pStyle w:val="ListBullet"/>
        <w:rPr>
          <w:color w:val="000000"/>
          <w:lang w:eastAsia="en-AU"/>
        </w:rPr>
      </w:pPr>
      <w:r w:rsidRPr="00C71EA4">
        <w:rPr>
          <w:lang w:eastAsia="en-AU"/>
        </w:rPr>
        <w:t>In the US, vitamins are commonly available as dietary supplements. However, a complete list of all dietary supplements sold in the United States is not available from the F</w:t>
      </w:r>
      <w:r w:rsidRPr="00C71EA4">
        <w:rPr>
          <w:color w:val="000000"/>
          <w:lang w:eastAsia="en-AU"/>
        </w:rPr>
        <w:t xml:space="preserve">ood and Drug </w:t>
      </w:r>
      <w:r w:rsidRPr="00C71EA4">
        <w:rPr>
          <w:color w:val="000000"/>
          <w:lang w:eastAsia="en-AU"/>
        </w:rPr>
        <w:lastRenderedPageBreak/>
        <w:t xml:space="preserve">Administration. </w:t>
      </w:r>
      <w:r w:rsidRPr="00C71EA4">
        <w:rPr>
          <w:color w:val="0000FF"/>
          <w:u w:val="single"/>
          <w:lang w:eastAsia="en-AU"/>
        </w:rPr>
        <w:t xml:space="preserve">The </w:t>
      </w:r>
      <w:hyperlink r:id="rId65" w:tgtFrame="_blank" w:history="1">
        <w:r w:rsidRPr="00C71EA4">
          <w:rPr>
            <w:color w:val="0000FF"/>
            <w:u w:val="single"/>
            <w:lang w:eastAsia="en-AU"/>
          </w:rPr>
          <w:t>US Food and Drug Administration’s Orange Book</w:t>
        </w:r>
      </w:hyperlink>
      <w:r w:rsidRPr="00C71EA4">
        <w:rPr>
          <w:u w:val="single"/>
          <w:lang w:eastAsia="en-AU"/>
        </w:rPr>
        <w:t xml:space="preserve"> </w:t>
      </w:r>
      <w:r w:rsidRPr="00C71EA4">
        <w:rPr>
          <w:lang w:eastAsia="en-AU"/>
        </w:rPr>
        <w:t>includes 11 prescription-only medicines that are currently available. </w:t>
      </w:r>
    </w:p>
    <w:p w14:paraId="538FE7CB" w14:textId="26C1A0E9" w:rsidR="00C71EA4" w:rsidRPr="00C71EA4" w:rsidRDefault="00C71EA4" w:rsidP="00FB119D">
      <w:pPr>
        <w:pStyle w:val="ListBullet"/>
        <w:rPr>
          <w:color w:val="000000"/>
          <w:lang w:eastAsia="en-AU"/>
        </w:rPr>
      </w:pPr>
      <w:r w:rsidRPr="00C71EA4">
        <w:rPr>
          <w:color w:val="0000FF"/>
          <w:u w:val="single"/>
          <w:lang w:eastAsia="en-AU"/>
        </w:rPr>
        <w:t xml:space="preserve">Ireland’s </w:t>
      </w:r>
      <w:hyperlink r:id="rId66" w:tgtFrame="_blank" w:history="1">
        <w:r w:rsidRPr="00C71EA4">
          <w:rPr>
            <w:color w:val="0000FF"/>
            <w:u w:val="single"/>
            <w:lang w:eastAsia="en-AU"/>
          </w:rPr>
          <w:t>Health Products Regulatory Authority</w:t>
        </w:r>
      </w:hyperlink>
      <w:r w:rsidRPr="00C71EA4">
        <w:rPr>
          <w:u w:val="single"/>
          <w:lang w:eastAsia="en-AU"/>
        </w:rPr>
        <w:t xml:space="preserve"> </w:t>
      </w:r>
      <w:r w:rsidRPr="00C71EA4">
        <w:rPr>
          <w:lang w:eastAsia="en-AU"/>
        </w:rPr>
        <w:t xml:space="preserve">regulates 10 products containing pyridoxine hydrochloride. All are available for supply through pharmacies only and </w:t>
      </w:r>
      <w:r w:rsidR="00000FA0">
        <w:rPr>
          <w:lang w:eastAsia="en-AU"/>
        </w:rPr>
        <w:t>9</w:t>
      </w:r>
      <w:r w:rsidR="00000FA0" w:rsidRPr="00C71EA4">
        <w:rPr>
          <w:lang w:eastAsia="en-AU"/>
        </w:rPr>
        <w:t xml:space="preserve"> </w:t>
      </w:r>
      <w:r w:rsidRPr="00C71EA4">
        <w:rPr>
          <w:lang w:eastAsia="en-AU"/>
        </w:rPr>
        <w:t>require prescription. </w:t>
      </w:r>
    </w:p>
    <w:p w14:paraId="52BC43D7" w14:textId="77777777" w:rsidR="00C71EA4" w:rsidRPr="00C71EA4" w:rsidRDefault="00C71EA4" w:rsidP="00FB119D">
      <w:pPr>
        <w:pStyle w:val="ListBullet"/>
        <w:rPr>
          <w:lang w:eastAsia="en-AU"/>
        </w:rPr>
      </w:pPr>
      <w:r w:rsidRPr="00C71EA4">
        <w:rPr>
          <w:lang w:eastAsia="en-AU"/>
        </w:rPr>
        <w:t>In the UK, vitamins are available as food supplements where the use is not intended to treat or prevent diseases in humans or to modify physiological functions. Vitamin B6 is permitted for use in the manufacture of food supplements. Supplements providing more than 10 mg vitamins B6 per day are required to have a label warning statements regarding possible mild tingling and numbness from long term use.      </w:t>
      </w:r>
    </w:p>
    <w:p w14:paraId="1B837AEE" w14:textId="5E514307" w:rsidR="00C71EA4" w:rsidRPr="00C71EA4" w:rsidRDefault="00C71EA4" w:rsidP="00FB119D">
      <w:pPr>
        <w:pStyle w:val="ListBullet"/>
        <w:rPr>
          <w:lang w:eastAsia="en-AU"/>
        </w:rPr>
      </w:pPr>
      <w:r w:rsidRPr="00C71EA4">
        <w:rPr>
          <w:lang w:eastAsia="en-AU"/>
        </w:rPr>
        <w:t xml:space="preserve">The UK </w:t>
      </w:r>
      <w:hyperlink r:id="rId67" w:tgtFrame="_blank" w:history="1">
        <w:r w:rsidRPr="00C71EA4">
          <w:rPr>
            <w:color w:val="0000FF"/>
            <w:u w:val="single"/>
            <w:lang w:eastAsia="en-AU"/>
          </w:rPr>
          <w:t>electronic medicines compendium (emc)</w:t>
        </w:r>
      </w:hyperlink>
      <w:r w:rsidRPr="00C71EA4">
        <w:rPr>
          <w:lang w:eastAsia="en-AU"/>
        </w:rPr>
        <w:t xml:space="preserve"> lists 6 prescription only medicines and one pharmacy only medicine containing vitamin B6. Only one medicine is available for general sale that provides 2 mg vitamin </w:t>
      </w:r>
      <w:r w:rsidR="00000FA0">
        <w:rPr>
          <w:lang w:eastAsia="en-AU"/>
        </w:rPr>
        <w:t>B</w:t>
      </w:r>
      <w:r w:rsidR="00000FA0" w:rsidRPr="00C71EA4">
        <w:rPr>
          <w:lang w:eastAsia="en-AU"/>
        </w:rPr>
        <w:t xml:space="preserve">6 </w:t>
      </w:r>
      <w:r w:rsidRPr="00C71EA4">
        <w:rPr>
          <w:lang w:eastAsia="en-AU"/>
        </w:rPr>
        <w:t>per 5 m</w:t>
      </w:r>
      <w:r w:rsidR="00000FA0">
        <w:rPr>
          <w:lang w:eastAsia="en-AU"/>
        </w:rPr>
        <w:t>l</w:t>
      </w:r>
      <w:r w:rsidRPr="00C71EA4">
        <w:rPr>
          <w:lang w:eastAsia="en-AU"/>
        </w:rPr>
        <w:t xml:space="preserve"> syrup.  </w:t>
      </w:r>
    </w:p>
    <w:p w14:paraId="1E0FBE8D" w14:textId="77777777" w:rsidR="00C71EA4" w:rsidRPr="00C71EA4" w:rsidRDefault="00C71EA4" w:rsidP="00FB119D">
      <w:pPr>
        <w:pStyle w:val="ListBullet"/>
        <w:rPr>
          <w:lang w:eastAsia="en-AU"/>
        </w:rPr>
      </w:pPr>
      <w:r w:rsidRPr="00C71EA4">
        <w:rPr>
          <w:lang w:eastAsia="en-AU"/>
        </w:rPr>
        <w:t>The regulatory approach for acceptable levels and warnings varies internationally. </w:t>
      </w:r>
    </w:p>
    <w:p w14:paraId="5D0DE2A4" w14:textId="77777777" w:rsidR="00C71EA4" w:rsidRPr="00C71EA4" w:rsidRDefault="00C71EA4" w:rsidP="006D5175">
      <w:pPr>
        <w:pStyle w:val="ListBullet2"/>
        <w:rPr>
          <w:lang w:eastAsia="en-AU"/>
        </w:rPr>
      </w:pPr>
      <w:r w:rsidRPr="00C71EA4">
        <w:rPr>
          <w:lang w:eastAsia="en-AU"/>
        </w:rPr>
        <w:t>The European Food Safety Authority established a daily upper limit for supplemental pyridoxine of 25 mg/day </w:t>
      </w:r>
    </w:p>
    <w:p w14:paraId="78BC88FD" w14:textId="0C3185DF" w:rsidR="00C71EA4" w:rsidRPr="00C71EA4" w:rsidRDefault="00C71EA4" w:rsidP="006D5175">
      <w:pPr>
        <w:pStyle w:val="ListBullet2"/>
        <w:rPr>
          <w:lang w:eastAsia="en-AU"/>
        </w:rPr>
      </w:pPr>
      <w:r w:rsidRPr="00C71EA4">
        <w:rPr>
          <w:lang w:eastAsia="en-AU"/>
        </w:rPr>
        <w:t xml:space="preserve">The US Food and Drugs Administration and Health Canada set an upper safe limit of </w:t>
      </w:r>
      <w:r w:rsidR="00000FA0" w:rsidRPr="00C71EA4">
        <w:rPr>
          <w:lang w:eastAsia="en-AU"/>
        </w:rPr>
        <w:t>100</w:t>
      </w:r>
      <w:r w:rsidR="00000FA0">
        <w:rPr>
          <w:lang w:eastAsia="en-AU"/>
        </w:rPr>
        <w:t> </w:t>
      </w:r>
      <w:r w:rsidRPr="00C71EA4">
        <w:rPr>
          <w:lang w:eastAsia="en-AU"/>
        </w:rPr>
        <w:t>mg/day </w:t>
      </w:r>
    </w:p>
    <w:p w14:paraId="73E042D3" w14:textId="77777777" w:rsidR="00C71EA4" w:rsidRPr="00C71EA4" w:rsidRDefault="00C71EA4" w:rsidP="006D5175">
      <w:pPr>
        <w:pStyle w:val="ListBullet2"/>
        <w:rPr>
          <w:lang w:eastAsia="en-AU"/>
        </w:rPr>
      </w:pPr>
      <w:r w:rsidRPr="00C71EA4">
        <w:rPr>
          <w:lang w:eastAsia="en-AU"/>
        </w:rPr>
        <w:t>The Association of Southeast Asian Nations recommends a maximum limit of 100 mg/day vitamin B6. However, Thailand has implemented its own limit of 2 mg/day.  </w:t>
      </w:r>
    </w:p>
    <w:p w14:paraId="7D708EA9" w14:textId="77777777" w:rsidR="00C71EA4" w:rsidRPr="00C71EA4" w:rsidRDefault="00C71EA4" w:rsidP="006D5175">
      <w:pPr>
        <w:pStyle w:val="ListBullet2"/>
        <w:rPr>
          <w:lang w:eastAsia="en-AU"/>
        </w:rPr>
      </w:pPr>
      <w:r w:rsidRPr="00C71EA4">
        <w:rPr>
          <w:lang w:eastAsia="en-AU"/>
        </w:rPr>
        <w:t>The Expert Group on Vitamins and Minerals UK (EVM), of the Medicines and Healthcare products Regulatory Agency UK, established a safe upper limit for daily consumption of vitamin B6 10 mg/day for a 60 kg human adult. </w:t>
      </w:r>
    </w:p>
    <w:p w14:paraId="64E86634" w14:textId="77777777" w:rsidR="00C71EA4" w:rsidRPr="002D7167" w:rsidRDefault="00C71EA4" w:rsidP="00FB119D">
      <w:pPr>
        <w:pStyle w:val="ListBullet"/>
        <w:numPr>
          <w:ilvl w:val="0"/>
          <w:numId w:val="0"/>
        </w:numPr>
        <w:ind w:left="360"/>
      </w:pPr>
    </w:p>
    <w:p w14:paraId="49A4E8B2" w14:textId="50DBDE31" w:rsidR="00ED6749" w:rsidRDefault="00ED6749">
      <w:pPr>
        <w:rPr>
          <w:rFonts w:eastAsia="Cambria" w:cs="Times New Roman"/>
        </w:rPr>
      </w:pPr>
      <w:r>
        <w:br w:type="page"/>
      </w:r>
    </w:p>
    <w:p w14:paraId="0E7BFFCC" w14:textId="77777777" w:rsidR="00524FD4" w:rsidRDefault="00524FD4" w:rsidP="00524FD4">
      <w:pPr>
        <w:pStyle w:val="Heading2"/>
      </w:pPr>
      <w:bookmarkStart w:id="68" w:name="_Toc177657880"/>
      <w:bookmarkStart w:id="69" w:name="_Hlk177374710"/>
      <w:r>
        <w:lastRenderedPageBreak/>
        <w:t>Proposed amendment referred for scheduling advice to Joint ACMS-ACCS meeting #38</w:t>
      </w:r>
      <w:bookmarkEnd w:id="68"/>
    </w:p>
    <w:p w14:paraId="09F337ED" w14:textId="33D8F86E" w:rsidR="00ED6749" w:rsidRPr="00215D48" w:rsidRDefault="002A2CC4" w:rsidP="00ED6749">
      <w:pPr>
        <w:pStyle w:val="Heading3"/>
      </w:pPr>
      <w:bookmarkStart w:id="70" w:name="_Toc177657881"/>
      <w:r>
        <w:t>E</w:t>
      </w:r>
      <w:r w:rsidR="004E5606" w:rsidRPr="00BB0798">
        <w:t>thylene oxide, propylene oxide and epichlorohydrin</w:t>
      </w:r>
      <w:bookmarkEnd w:id="69"/>
      <w:bookmarkEnd w:id="70"/>
    </w:p>
    <w:p w14:paraId="52B538B7" w14:textId="77777777" w:rsidR="00ED6749" w:rsidRDefault="00ED6749" w:rsidP="00ED6749">
      <w:pPr>
        <w:pStyle w:val="Heading4"/>
        <w:rPr>
          <w:rFonts w:cs="Arial"/>
        </w:rPr>
      </w:pPr>
      <w:bookmarkStart w:id="71" w:name="_Toc177657882"/>
      <w:r>
        <w:rPr>
          <w:rFonts w:cs="Arial"/>
        </w:rPr>
        <w:t>Proposal</w:t>
      </w:r>
      <w:bookmarkEnd w:id="71"/>
    </w:p>
    <w:p w14:paraId="0D4DB879" w14:textId="1135719E" w:rsidR="00ED6749" w:rsidRPr="009A7D3B" w:rsidRDefault="009A7D3B" w:rsidP="009A7D3B">
      <w:pPr>
        <w:pStyle w:val="Default"/>
        <w:rPr>
          <w:rFonts w:cstheme="minorBidi"/>
          <w:color w:val="auto"/>
          <w:sz w:val="20"/>
          <w:szCs w:val="20"/>
        </w:rPr>
      </w:pPr>
      <w:r w:rsidRPr="009A7D3B">
        <w:rPr>
          <w:rFonts w:cstheme="minorBidi"/>
          <w:color w:val="auto"/>
          <w:sz w:val="20"/>
          <w:szCs w:val="20"/>
        </w:rPr>
        <w:t>This application proposes a low</w:t>
      </w:r>
      <w:r w:rsidR="002A2CC4">
        <w:rPr>
          <w:rFonts w:cstheme="minorBidi"/>
          <w:color w:val="auto"/>
          <w:sz w:val="20"/>
          <w:szCs w:val="20"/>
        </w:rPr>
        <w:t>-concentration</w:t>
      </w:r>
      <w:r w:rsidR="002A2CC4" w:rsidRPr="009A7D3B">
        <w:rPr>
          <w:rFonts w:cstheme="minorBidi"/>
          <w:color w:val="auto"/>
          <w:sz w:val="20"/>
          <w:szCs w:val="20"/>
        </w:rPr>
        <w:t xml:space="preserve"> </w:t>
      </w:r>
      <w:r w:rsidR="000F1A08" w:rsidRPr="009A7D3B">
        <w:rPr>
          <w:rFonts w:cstheme="minorBidi"/>
          <w:color w:val="auto"/>
          <w:sz w:val="20"/>
          <w:szCs w:val="20"/>
        </w:rPr>
        <w:t>cut-off</w:t>
      </w:r>
      <w:r w:rsidRPr="009A7D3B">
        <w:rPr>
          <w:rFonts w:cstheme="minorBidi"/>
          <w:color w:val="auto"/>
          <w:sz w:val="20"/>
          <w:szCs w:val="20"/>
        </w:rPr>
        <w:t xml:space="preserve"> be added to the </w:t>
      </w:r>
      <w:r w:rsidR="000F1A08">
        <w:rPr>
          <w:rFonts w:cstheme="minorBidi"/>
          <w:color w:val="auto"/>
          <w:sz w:val="20"/>
          <w:szCs w:val="20"/>
        </w:rPr>
        <w:t>Dangerous Poison (</w:t>
      </w:r>
      <w:r w:rsidRPr="009A7D3B">
        <w:rPr>
          <w:rFonts w:cstheme="minorBidi"/>
          <w:color w:val="auto"/>
          <w:sz w:val="20"/>
          <w:szCs w:val="20"/>
        </w:rPr>
        <w:t>Schedule 7</w:t>
      </w:r>
      <w:r w:rsidR="000F1A08">
        <w:rPr>
          <w:rFonts w:cstheme="minorBidi"/>
          <w:color w:val="auto"/>
          <w:sz w:val="20"/>
          <w:szCs w:val="20"/>
        </w:rPr>
        <w:t>)</w:t>
      </w:r>
      <w:r w:rsidRPr="009A7D3B">
        <w:rPr>
          <w:rFonts w:cstheme="minorBidi"/>
          <w:color w:val="auto"/>
          <w:sz w:val="20"/>
          <w:szCs w:val="20"/>
        </w:rPr>
        <w:t xml:space="preserve"> entries for ethylene oxide, propylene oxide and </w:t>
      </w:r>
      <w:bookmarkStart w:id="72" w:name="_Hlk177033937"/>
      <w:r w:rsidRPr="009A7D3B">
        <w:rPr>
          <w:rFonts w:cstheme="minorBidi"/>
          <w:color w:val="auto"/>
          <w:sz w:val="20"/>
          <w:szCs w:val="20"/>
        </w:rPr>
        <w:t>epichlorohydrin</w:t>
      </w:r>
      <w:bookmarkEnd w:id="72"/>
      <w:r w:rsidR="00D4398B">
        <w:rPr>
          <w:rFonts w:cstheme="minorBidi"/>
          <w:color w:val="auto"/>
          <w:sz w:val="20"/>
          <w:szCs w:val="20"/>
        </w:rPr>
        <w:t>. The proposal will enable</w:t>
      </w:r>
      <w:r w:rsidR="000F1A08">
        <w:rPr>
          <w:rFonts w:cstheme="minorBidi"/>
          <w:color w:val="auto"/>
          <w:sz w:val="20"/>
          <w:szCs w:val="20"/>
        </w:rPr>
        <w:t xml:space="preserve"> preparations containing </w:t>
      </w:r>
      <w:r w:rsidR="00524FD4">
        <w:rPr>
          <w:rFonts w:cstheme="minorBidi"/>
          <w:color w:val="auto"/>
          <w:sz w:val="20"/>
          <w:szCs w:val="20"/>
        </w:rPr>
        <w:t xml:space="preserve">trace amounts of </w:t>
      </w:r>
      <w:r w:rsidR="000F1A08" w:rsidRPr="009A7D3B">
        <w:rPr>
          <w:rFonts w:cstheme="minorBidi"/>
          <w:color w:val="auto"/>
          <w:sz w:val="20"/>
          <w:szCs w:val="20"/>
        </w:rPr>
        <w:t>ethylene oxide, propylene oxide and epichlorohydrin</w:t>
      </w:r>
      <w:r w:rsidR="004E5606" w:rsidRPr="009A7D3B">
        <w:rPr>
          <w:rFonts w:cstheme="minorBidi"/>
          <w:color w:val="auto"/>
          <w:sz w:val="20"/>
          <w:szCs w:val="20"/>
        </w:rPr>
        <w:t xml:space="preserve"> </w:t>
      </w:r>
      <w:r w:rsidR="00D4398B">
        <w:rPr>
          <w:rFonts w:cstheme="minorBidi"/>
          <w:color w:val="auto"/>
          <w:sz w:val="20"/>
          <w:szCs w:val="20"/>
        </w:rPr>
        <w:t>to be</w:t>
      </w:r>
      <w:r w:rsidR="000F1A08">
        <w:rPr>
          <w:rFonts w:cstheme="minorBidi"/>
          <w:color w:val="auto"/>
          <w:sz w:val="20"/>
          <w:szCs w:val="20"/>
        </w:rPr>
        <w:t xml:space="preserve"> exempted from </w:t>
      </w:r>
      <w:r w:rsidR="00D4398B">
        <w:rPr>
          <w:rFonts w:cstheme="minorBidi"/>
          <w:color w:val="auto"/>
          <w:sz w:val="20"/>
          <w:szCs w:val="20"/>
        </w:rPr>
        <w:t>scheduling</w:t>
      </w:r>
      <w:r w:rsidR="004E5606" w:rsidRPr="009A7D3B">
        <w:rPr>
          <w:rFonts w:cstheme="minorBidi"/>
          <w:color w:val="auto"/>
          <w:sz w:val="20"/>
          <w:szCs w:val="20"/>
        </w:rPr>
        <w:t>.</w:t>
      </w:r>
    </w:p>
    <w:p w14:paraId="79AAB453" w14:textId="77777777" w:rsidR="00ED6749" w:rsidRDefault="00ED6749" w:rsidP="00ED6749">
      <w:pPr>
        <w:pStyle w:val="Heading4"/>
      </w:pPr>
      <w:bookmarkStart w:id="73" w:name="_Toc177657883"/>
      <w:r>
        <w:t>CAS number</w:t>
      </w:r>
      <w:bookmarkEnd w:id="73"/>
    </w:p>
    <w:p w14:paraId="0532B8EC" w14:textId="3554297A" w:rsidR="00BB0798" w:rsidRDefault="00BB0798" w:rsidP="00ED6749">
      <w:r>
        <w:t>75-21-8</w:t>
      </w:r>
      <w:r w:rsidR="00E67E49">
        <w:t xml:space="preserve"> (ethylene oxide)</w:t>
      </w:r>
    </w:p>
    <w:p w14:paraId="3D3EBDC1" w14:textId="262883D7" w:rsidR="00BB0798" w:rsidRDefault="00E0298C" w:rsidP="00ED6749">
      <w:r>
        <w:t>75-56-9</w:t>
      </w:r>
      <w:r w:rsidR="00E67E49">
        <w:t xml:space="preserve"> (propylene oxide)</w:t>
      </w:r>
    </w:p>
    <w:p w14:paraId="14E23772" w14:textId="17AD0CB1" w:rsidR="00BB0798" w:rsidRDefault="00A77CE9" w:rsidP="00F9113E">
      <w:pPr>
        <w:autoSpaceDE w:val="0"/>
        <w:autoSpaceDN w:val="0"/>
        <w:adjustRightInd w:val="0"/>
        <w:spacing w:after="0" w:line="240" w:lineRule="auto"/>
      </w:pPr>
      <w:r>
        <w:t>106-89-8</w:t>
      </w:r>
      <w:r w:rsidR="00E67E49">
        <w:t xml:space="preserve"> (epichlorohydrin)</w:t>
      </w:r>
    </w:p>
    <w:p w14:paraId="1100BA1F" w14:textId="77777777" w:rsidR="00ED6749" w:rsidRDefault="00ED6749" w:rsidP="00ED6749">
      <w:pPr>
        <w:pStyle w:val="Heading4"/>
      </w:pPr>
      <w:bookmarkStart w:id="74" w:name="_Toc177657884"/>
      <w:r>
        <w:t>Alternative names</w:t>
      </w:r>
      <w:bookmarkEnd w:id="74"/>
    </w:p>
    <w:p w14:paraId="6D3224F6" w14:textId="3A237126" w:rsidR="00BB0798" w:rsidRDefault="00096A22" w:rsidP="00BB0798">
      <w:pPr>
        <w:pStyle w:val="Default"/>
        <w:rPr>
          <w:sz w:val="20"/>
          <w:szCs w:val="20"/>
        </w:rPr>
      </w:pPr>
      <w:r>
        <w:rPr>
          <w:sz w:val="20"/>
          <w:szCs w:val="20"/>
        </w:rPr>
        <w:t xml:space="preserve">Ethylene </w:t>
      </w:r>
      <w:r w:rsidR="00BB0798">
        <w:rPr>
          <w:sz w:val="20"/>
          <w:szCs w:val="20"/>
        </w:rPr>
        <w:t xml:space="preserve">oxide: </w:t>
      </w:r>
      <w:r w:rsidR="00BB0798" w:rsidRPr="0095358B">
        <w:rPr>
          <w:sz w:val="20"/>
          <w:szCs w:val="20"/>
        </w:rPr>
        <w:t>1,2-</w:t>
      </w:r>
      <w:r w:rsidR="00F9113E">
        <w:rPr>
          <w:sz w:val="20"/>
          <w:szCs w:val="20"/>
        </w:rPr>
        <w:t>e</w:t>
      </w:r>
      <w:r w:rsidR="00BB0798" w:rsidRPr="0095358B">
        <w:rPr>
          <w:sz w:val="20"/>
          <w:szCs w:val="20"/>
        </w:rPr>
        <w:t>poxyethane</w:t>
      </w:r>
      <w:r w:rsidR="00EB54A8">
        <w:rPr>
          <w:sz w:val="20"/>
          <w:szCs w:val="20"/>
        </w:rPr>
        <w:t>;</w:t>
      </w:r>
      <w:r w:rsidR="00BB0798">
        <w:rPr>
          <w:sz w:val="20"/>
          <w:szCs w:val="20"/>
        </w:rPr>
        <w:t xml:space="preserve"> </w:t>
      </w:r>
      <w:r w:rsidR="00BB0798" w:rsidRPr="0095358B">
        <w:rPr>
          <w:sz w:val="20"/>
          <w:szCs w:val="20"/>
        </w:rPr>
        <w:t>oxirane</w:t>
      </w:r>
      <w:r w:rsidR="00BB0798">
        <w:rPr>
          <w:sz w:val="20"/>
          <w:szCs w:val="20"/>
        </w:rPr>
        <w:t xml:space="preserve">, </w:t>
      </w:r>
      <w:r w:rsidR="00BB0798" w:rsidRPr="0095358B">
        <w:rPr>
          <w:sz w:val="20"/>
          <w:szCs w:val="20"/>
        </w:rPr>
        <w:t>oxacyclopropane</w:t>
      </w:r>
      <w:r w:rsidR="00EB54A8">
        <w:rPr>
          <w:sz w:val="20"/>
          <w:szCs w:val="20"/>
        </w:rPr>
        <w:t>;</w:t>
      </w:r>
      <w:r w:rsidR="00BB0798">
        <w:rPr>
          <w:sz w:val="20"/>
          <w:szCs w:val="20"/>
        </w:rPr>
        <w:t xml:space="preserve"> </w:t>
      </w:r>
      <w:r w:rsidR="00BB0798" w:rsidRPr="0095358B">
        <w:rPr>
          <w:sz w:val="20"/>
          <w:szCs w:val="20"/>
        </w:rPr>
        <w:t>epoxyethane</w:t>
      </w:r>
      <w:r w:rsidR="00EB54A8">
        <w:rPr>
          <w:sz w:val="20"/>
          <w:szCs w:val="20"/>
        </w:rPr>
        <w:t>;</w:t>
      </w:r>
      <w:r w:rsidR="00BB0798" w:rsidRPr="0095358B">
        <w:rPr>
          <w:sz w:val="20"/>
          <w:szCs w:val="20"/>
        </w:rPr>
        <w:t xml:space="preserve"> dimethylene oxide</w:t>
      </w:r>
      <w:r w:rsidR="00EB54A8">
        <w:rPr>
          <w:sz w:val="20"/>
          <w:szCs w:val="20"/>
        </w:rPr>
        <w:t>;</w:t>
      </w:r>
      <w:r w:rsidR="00BB0798" w:rsidRPr="0095358B">
        <w:rPr>
          <w:sz w:val="20"/>
          <w:szCs w:val="20"/>
        </w:rPr>
        <w:t xml:space="preserve"> dihydrooxirene</w:t>
      </w:r>
      <w:r w:rsidR="00EB54A8">
        <w:rPr>
          <w:sz w:val="20"/>
          <w:szCs w:val="20"/>
        </w:rPr>
        <w:t>;</w:t>
      </w:r>
      <w:r w:rsidR="00F9113E">
        <w:rPr>
          <w:sz w:val="20"/>
          <w:szCs w:val="20"/>
        </w:rPr>
        <w:t xml:space="preserve"> ETO</w:t>
      </w:r>
      <w:r w:rsidR="00EB54A8">
        <w:rPr>
          <w:sz w:val="20"/>
          <w:szCs w:val="20"/>
        </w:rPr>
        <w:t>;</w:t>
      </w:r>
      <w:r w:rsidR="00F9113E">
        <w:rPr>
          <w:sz w:val="20"/>
          <w:szCs w:val="20"/>
        </w:rPr>
        <w:t xml:space="preserve"> ethene oxide</w:t>
      </w:r>
      <w:r w:rsidR="00EB54A8">
        <w:rPr>
          <w:sz w:val="20"/>
          <w:szCs w:val="20"/>
        </w:rPr>
        <w:t>;</w:t>
      </w:r>
      <w:r w:rsidR="00F9113E">
        <w:rPr>
          <w:sz w:val="20"/>
          <w:szCs w:val="20"/>
        </w:rPr>
        <w:t xml:space="preserve"> oxidoethane</w:t>
      </w:r>
      <w:r w:rsidR="00EB54A8">
        <w:rPr>
          <w:sz w:val="20"/>
          <w:szCs w:val="20"/>
        </w:rPr>
        <w:t>.</w:t>
      </w:r>
    </w:p>
    <w:p w14:paraId="63F0E929" w14:textId="514BDD89" w:rsidR="00ED6749" w:rsidRPr="009A7D3B" w:rsidRDefault="00096A22" w:rsidP="00FB119D">
      <w:pPr>
        <w:pStyle w:val="Default"/>
      </w:pPr>
      <w:r>
        <w:rPr>
          <w:sz w:val="20"/>
          <w:szCs w:val="20"/>
        </w:rPr>
        <w:t>P</w:t>
      </w:r>
      <w:r w:rsidRPr="00E0298C">
        <w:rPr>
          <w:sz w:val="20"/>
          <w:szCs w:val="20"/>
        </w:rPr>
        <w:t xml:space="preserve">ropylene </w:t>
      </w:r>
      <w:r w:rsidR="00BB0798" w:rsidRPr="00E0298C">
        <w:rPr>
          <w:sz w:val="20"/>
          <w:szCs w:val="20"/>
        </w:rPr>
        <w:t>oxide</w:t>
      </w:r>
      <w:r w:rsidR="00BB0798">
        <w:rPr>
          <w:sz w:val="20"/>
          <w:szCs w:val="20"/>
        </w:rPr>
        <w:t>:</w:t>
      </w:r>
      <w:r w:rsidR="00E0298C">
        <w:rPr>
          <w:sz w:val="20"/>
          <w:szCs w:val="20"/>
        </w:rPr>
        <w:t xml:space="preserve"> methyl</w:t>
      </w:r>
      <w:r>
        <w:rPr>
          <w:sz w:val="20"/>
          <w:szCs w:val="20"/>
        </w:rPr>
        <w:t xml:space="preserve"> </w:t>
      </w:r>
      <w:r w:rsidR="00E0298C">
        <w:rPr>
          <w:sz w:val="20"/>
          <w:szCs w:val="20"/>
        </w:rPr>
        <w:t>oxirane</w:t>
      </w:r>
      <w:r w:rsidR="000D1929">
        <w:rPr>
          <w:sz w:val="20"/>
          <w:szCs w:val="20"/>
        </w:rPr>
        <w:t>;</w:t>
      </w:r>
      <w:r w:rsidR="00E0298C">
        <w:rPr>
          <w:sz w:val="20"/>
          <w:szCs w:val="20"/>
        </w:rPr>
        <w:t xml:space="preserve"> 1,2-epoxypropane </w:t>
      </w:r>
      <w:r>
        <w:rPr>
          <w:sz w:val="20"/>
          <w:szCs w:val="20"/>
        </w:rPr>
        <w:t>, p</w:t>
      </w:r>
      <w:r w:rsidRPr="00096A22">
        <w:rPr>
          <w:sz w:val="20"/>
          <w:szCs w:val="20"/>
        </w:rPr>
        <w:t>ropylene epoxide</w:t>
      </w:r>
      <w:r w:rsidR="00EB54A8">
        <w:rPr>
          <w:sz w:val="20"/>
          <w:szCs w:val="20"/>
        </w:rPr>
        <w:t>;</w:t>
      </w:r>
      <w:r>
        <w:rPr>
          <w:sz w:val="20"/>
          <w:szCs w:val="20"/>
        </w:rPr>
        <w:t xml:space="preserve"> m</w:t>
      </w:r>
      <w:r w:rsidRPr="00096A22">
        <w:rPr>
          <w:sz w:val="20"/>
          <w:szCs w:val="20"/>
        </w:rPr>
        <w:t>ethyl ethylene oxide</w:t>
      </w:r>
      <w:r w:rsidR="000D1929">
        <w:rPr>
          <w:sz w:val="20"/>
          <w:szCs w:val="20"/>
        </w:rPr>
        <w:t xml:space="preserve">; </w:t>
      </w:r>
      <w:r>
        <w:rPr>
          <w:sz w:val="20"/>
          <w:szCs w:val="20"/>
        </w:rPr>
        <w:t>E</w:t>
      </w:r>
      <w:r w:rsidRPr="00FF22A8">
        <w:rPr>
          <w:sz w:val="20"/>
          <w:szCs w:val="20"/>
        </w:rPr>
        <w:t>pichlorohydrin</w:t>
      </w:r>
      <w:r w:rsidR="00BB0798">
        <w:rPr>
          <w:sz w:val="20"/>
          <w:szCs w:val="20"/>
        </w:rPr>
        <w:t>:</w:t>
      </w:r>
      <w:r w:rsidR="00F9113E">
        <w:rPr>
          <w:sz w:val="20"/>
          <w:szCs w:val="20"/>
        </w:rPr>
        <w:t xml:space="preserve"> </w:t>
      </w:r>
      <w:r w:rsidR="003C1EE6">
        <w:rPr>
          <w:sz w:val="20"/>
          <w:szCs w:val="20"/>
        </w:rPr>
        <w:t>e</w:t>
      </w:r>
      <w:r w:rsidR="00F9113E" w:rsidRPr="00FF22A8">
        <w:rPr>
          <w:sz w:val="20"/>
          <w:szCs w:val="20"/>
        </w:rPr>
        <w:t xml:space="preserve">thylene </w:t>
      </w:r>
      <w:r w:rsidR="00F9113E" w:rsidRPr="005C4B4C">
        <w:rPr>
          <w:sz w:val="20"/>
          <w:szCs w:val="20"/>
        </w:rPr>
        <w:t>chlorohydrin</w:t>
      </w:r>
      <w:r w:rsidR="000D1929">
        <w:rPr>
          <w:sz w:val="20"/>
          <w:szCs w:val="20"/>
        </w:rPr>
        <w:t xml:space="preserve">; </w:t>
      </w:r>
      <w:r w:rsidR="00F9113E" w:rsidRPr="005C4B4C">
        <w:rPr>
          <w:sz w:val="20"/>
          <w:szCs w:val="20"/>
        </w:rPr>
        <w:t>ECH,</w:t>
      </w:r>
      <w:r>
        <w:rPr>
          <w:sz w:val="20"/>
          <w:szCs w:val="20"/>
        </w:rPr>
        <w:t xml:space="preserve"> </w:t>
      </w:r>
      <w:r w:rsidRPr="00096A22">
        <w:rPr>
          <w:sz w:val="20"/>
          <w:szCs w:val="20"/>
        </w:rPr>
        <w:t>2-(</w:t>
      </w:r>
      <w:r>
        <w:rPr>
          <w:sz w:val="20"/>
          <w:szCs w:val="20"/>
        </w:rPr>
        <w:t>c</w:t>
      </w:r>
      <w:r w:rsidRPr="00096A22">
        <w:rPr>
          <w:sz w:val="20"/>
          <w:szCs w:val="20"/>
        </w:rPr>
        <w:t>hloromethyl)oxirane</w:t>
      </w:r>
      <w:r w:rsidR="000D1929">
        <w:rPr>
          <w:sz w:val="20"/>
          <w:szCs w:val="20"/>
        </w:rPr>
        <w:t>;</w:t>
      </w:r>
      <w:r>
        <w:rPr>
          <w:sz w:val="20"/>
          <w:szCs w:val="20"/>
        </w:rPr>
        <w:t xml:space="preserve"> </w:t>
      </w:r>
      <w:r w:rsidRPr="00096A22">
        <w:rPr>
          <w:sz w:val="20"/>
          <w:szCs w:val="20"/>
        </w:rPr>
        <w:t>1-</w:t>
      </w:r>
      <w:r>
        <w:rPr>
          <w:sz w:val="20"/>
          <w:szCs w:val="20"/>
        </w:rPr>
        <w:t>c</w:t>
      </w:r>
      <w:r w:rsidRPr="00096A22">
        <w:rPr>
          <w:sz w:val="20"/>
          <w:szCs w:val="20"/>
        </w:rPr>
        <w:t>hloro-2,3-epoxypropane</w:t>
      </w:r>
      <w:r w:rsidR="000D1929">
        <w:rPr>
          <w:sz w:val="20"/>
          <w:szCs w:val="20"/>
        </w:rPr>
        <w:t>;</w:t>
      </w:r>
      <w:r>
        <w:rPr>
          <w:sz w:val="20"/>
          <w:szCs w:val="20"/>
        </w:rPr>
        <w:t xml:space="preserve"> c</w:t>
      </w:r>
      <w:r w:rsidRPr="00096A22">
        <w:rPr>
          <w:sz w:val="20"/>
          <w:szCs w:val="20"/>
        </w:rPr>
        <w:t>hloro-1,2-propylene oxide</w:t>
      </w:r>
      <w:r w:rsidR="000D1929">
        <w:rPr>
          <w:sz w:val="20"/>
          <w:szCs w:val="20"/>
        </w:rPr>
        <w:t xml:space="preserve">; </w:t>
      </w:r>
      <w:r w:rsidR="00EB54A8">
        <w:rPr>
          <w:sz w:val="20"/>
          <w:szCs w:val="20"/>
        </w:rPr>
        <w:t>o</w:t>
      </w:r>
      <w:r w:rsidR="000D1929" w:rsidRPr="00EB54A8">
        <w:rPr>
          <w:sz w:val="20"/>
          <w:szCs w:val="20"/>
        </w:rPr>
        <w:t>xirane, (chloromethyl)-</w:t>
      </w:r>
    </w:p>
    <w:p w14:paraId="2C2DC90D" w14:textId="77777777" w:rsidR="00ED6749" w:rsidRDefault="00ED6749" w:rsidP="00ED6749">
      <w:pPr>
        <w:pStyle w:val="Heading4"/>
      </w:pPr>
      <w:bookmarkStart w:id="75" w:name="_Toc177657885"/>
      <w:r>
        <w:t>Applicant</w:t>
      </w:r>
      <w:bookmarkEnd w:id="75"/>
    </w:p>
    <w:p w14:paraId="7386B490" w14:textId="53BEE336" w:rsidR="00ED6749" w:rsidRDefault="00ED6749" w:rsidP="00ED6749">
      <w:r>
        <w:t xml:space="preserve">Private applicant </w:t>
      </w:r>
    </w:p>
    <w:p w14:paraId="11C9E509" w14:textId="77777777" w:rsidR="00ED6749" w:rsidRDefault="00ED6749" w:rsidP="00ED6749">
      <w:pPr>
        <w:pStyle w:val="Heading4"/>
      </w:pPr>
      <w:bookmarkStart w:id="76" w:name="_Toc177657886"/>
      <w:r>
        <w:t>Proposed scheduling</w:t>
      </w:r>
      <w:bookmarkEnd w:id="76"/>
    </w:p>
    <w:p w14:paraId="68DD74CF" w14:textId="77777777" w:rsidR="00ED6749" w:rsidRDefault="00ED6749" w:rsidP="00ED6749">
      <w:r>
        <w:t>The applicant’s proposed amendments to the Poisons Standard are:</w:t>
      </w:r>
      <w:r>
        <w:rPr>
          <w:rStyle w:val="FootnoteReference"/>
        </w:rPr>
        <w:footnoteReference w:id="8"/>
      </w:r>
    </w:p>
    <w:p w14:paraId="6395F10D" w14:textId="22458213" w:rsidR="009A7D3B" w:rsidRDefault="00ED6749" w:rsidP="005C4B4C">
      <w:pPr>
        <w:ind w:left="426"/>
      </w:pPr>
      <w:r w:rsidRPr="0028705E">
        <w:rPr>
          <w:b/>
          <w:bCs/>
        </w:rPr>
        <w:t xml:space="preserve">Schedule </w:t>
      </w:r>
      <w:r w:rsidR="009A7D3B">
        <w:rPr>
          <w:b/>
          <w:bCs/>
        </w:rPr>
        <w:t>7</w:t>
      </w:r>
      <w:r w:rsidRPr="0028705E">
        <w:rPr>
          <w:b/>
          <w:bCs/>
        </w:rPr>
        <w:t xml:space="preserve"> – Amend Entry</w:t>
      </w:r>
    </w:p>
    <w:p w14:paraId="3DC2FF03" w14:textId="73C7B239" w:rsidR="009A7D3B" w:rsidRDefault="009A7D3B" w:rsidP="009A7D3B">
      <w:pPr>
        <w:pStyle w:val="Default"/>
        <w:ind w:left="709"/>
        <w:rPr>
          <w:sz w:val="20"/>
          <w:szCs w:val="20"/>
        </w:rPr>
      </w:pPr>
      <w:r>
        <w:rPr>
          <w:sz w:val="20"/>
          <w:szCs w:val="20"/>
        </w:rPr>
        <w:t xml:space="preserve">ETHYLENE OXIDE </w:t>
      </w:r>
      <w:r w:rsidRPr="005C4B4C">
        <w:rPr>
          <w:rFonts w:cstheme="minorBidi"/>
          <w:color w:val="00B050"/>
          <w:sz w:val="20"/>
          <w:szCs w:val="20"/>
          <w:lang w:eastAsia="en-AU"/>
        </w:rPr>
        <w:t>except in preparations containing less than 0.002%</w:t>
      </w:r>
    </w:p>
    <w:p w14:paraId="01ED5C5E" w14:textId="77777777" w:rsidR="008F38C3" w:rsidRDefault="008F38C3" w:rsidP="008F38C3">
      <w:pPr>
        <w:pStyle w:val="Default"/>
        <w:ind w:left="709"/>
        <w:rPr>
          <w:sz w:val="20"/>
          <w:szCs w:val="20"/>
        </w:rPr>
      </w:pPr>
    </w:p>
    <w:p w14:paraId="1454DAE8" w14:textId="77777777" w:rsidR="00ED6749" w:rsidRPr="0028705E" w:rsidRDefault="00ED6749" w:rsidP="00ED6749">
      <w:pPr>
        <w:ind w:left="426"/>
        <w:rPr>
          <w:b/>
          <w:bCs/>
        </w:rPr>
      </w:pPr>
      <w:r w:rsidRPr="0028705E">
        <w:rPr>
          <w:b/>
          <w:bCs/>
        </w:rPr>
        <w:t>Index</w:t>
      </w:r>
    </w:p>
    <w:p w14:paraId="165EA7E3" w14:textId="01B61F60" w:rsidR="00ED6749" w:rsidRDefault="00E0298C" w:rsidP="00ED6749">
      <w:pPr>
        <w:ind w:left="709"/>
      </w:pPr>
      <w:r>
        <w:t>ETHYLENE OXIDE</w:t>
      </w:r>
    </w:p>
    <w:p w14:paraId="73AEA465" w14:textId="77777777" w:rsidR="008F38C3" w:rsidRDefault="008F38C3" w:rsidP="00ED6749">
      <w:pPr>
        <w:ind w:left="709"/>
      </w:pPr>
    </w:p>
    <w:p w14:paraId="0A0085E2" w14:textId="4F0D3429" w:rsidR="008F38C3" w:rsidRDefault="008F38C3" w:rsidP="005C4B4C">
      <w:pPr>
        <w:ind w:left="426"/>
      </w:pPr>
      <w:r w:rsidRPr="0028705E">
        <w:rPr>
          <w:b/>
          <w:bCs/>
        </w:rPr>
        <w:t xml:space="preserve">Schedule </w:t>
      </w:r>
      <w:r>
        <w:rPr>
          <w:b/>
          <w:bCs/>
        </w:rPr>
        <w:t>7</w:t>
      </w:r>
      <w:r w:rsidRPr="0028705E">
        <w:rPr>
          <w:b/>
          <w:bCs/>
        </w:rPr>
        <w:t xml:space="preserve"> – Amend Entry</w:t>
      </w:r>
    </w:p>
    <w:p w14:paraId="511CD2FE" w14:textId="4896E1AF" w:rsidR="008F38C3" w:rsidRDefault="008F38C3" w:rsidP="008F38C3">
      <w:pPr>
        <w:pStyle w:val="Default"/>
        <w:ind w:left="709"/>
        <w:rPr>
          <w:sz w:val="20"/>
          <w:szCs w:val="20"/>
        </w:rPr>
      </w:pPr>
      <w:r>
        <w:rPr>
          <w:sz w:val="20"/>
          <w:szCs w:val="20"/>
        </w:rPr>
        <w:t xml:space="preserve">PROPYLENE OXIDE </w:t>
      </w:r>
      <w:r w:rsidRPr="00FB119D">
        <w:rPr>
          <w:rFonts w:cstheme="minorBidi"/>
          <w:color w:val="00B050"/>
          <w:sz w:val="20"/>
          <w:szCs w:val="20"/>
          <w:lang w:eastAsia="en-AU"/>
        </w:rPr>
        <w:t>except in preparations containing less than 0.002%</w:t>
      </w:r>
    </w:p>
    <w:p w14:paraId="59D73456" w14:textId="77777777" w:rsidR="008F38C3" w:rsidRDefault="008F38C3" w:rsidP="008F38C3">
      <w:pPr>
        <w:pStyle w:val="Default"/>
        <w:ind w:left="709"/>
        <w:rPr>
          <w:sz w:val="20"/>
          <w:szCs w:val="20"/>
        </w:rPr>
      </w:pPr>
    </w:p>
    <w:p w14:paraId="2FFFADD2" w14:textId="77777777" w:rsidR="008F38C3" w:rsidRPr="0028705E" w:rsidRDefault="008F38C3" w:rsidP="008F38C3">
      <w:pPr>
        <w:ind w:left="426"/>
        <w:rPr>
          <w:b/>
          <w:bCs/>
        </w:rPr>
      </w:pPr>
      <w:r w:rsidRPr="0028705E">
        <w:rPr>
          <w:b/>
          <w:bCs/>
        </w:rPr>
        <w:t>Index</w:t>
      </w:r>
    </w:p>
    <w:p w14:paraId="7EBC1E50" w14:textId="07E81954" w:rsidR="008F38C3" w:rsidRDefault="008F38C3" w:rsidP="008F38C3">
      <w:pPr>
        <w:ind w:left="709"/>
      </w:pPr>
      <w:r>
        <w:t>PROPYLENE OXIDE</w:t>
      </w:r>
    </w:p>
    <w:p w14:paraId="5721D01D" w14:textId="77777777" w:rsidR="003C1EE6" w:rsidRDefault="003C1EE6" w:rsidP="008F38C3">
      <w:pPr>
        <w:ind w:left="709"/>
      </w:pPr>
    </w:p>
    <w:p w14:paraId="50E623C3" w14:textId="77777777" w:rsidR="003C1EE6" w:rsidRDefault="003C1EE6" w:rsidP="003C1EE6">
      <w:pPr>
        <w:ind w:left="426"/>
      </w:pPr>
      <w:r w:rsidRPr="0028705E">
        <w:rPr>
          <w:b/>
          <w:bCs/>
        </w:rPr>
        <w:t xml:space="preserve">Schedule </w:t>
      </w:r>
      <w:r>
        <w:rPr>
          <w:b/>
          <w:bCs/>
        </w:rPr>
        <w:t>7</w:t>
      </w:r>
      <w:r w:rsidRPr="0028705E">
        <w:rPr>
          <w:b/>
          <w:bCs/>
        </w:rPr>
        <w:t xml:space="preserve"> – Amend Entry</w:t>
      </w:r>
    </w:p>
    <w:p w14:paraId="27F6E27B" w14:textId="5F5CD9C7" w:rsidR="003C1EE6" w:rsidRDefault="003C1EE6" w:rsidP="003C1EE6">
      <w:pPr>
        <w:pStyle w:val="Default"/>
        <w:ind w:left="709"/>
        <w:rPr>
          <w:sz w:val="20"/>
          <w:szCs w:val="20"/>
        </w:rPr>
      </w:pPr>
      <w:r w:rsidRPr="003C1EE6">
        <w:rPr>
          <w:sz w:val="20"/>
          <w:szCs w:val="20"/>
        </w:rPr>
        <w:t>EPICHLOROHYDRIN</w:t>
      </w:r>
      <w:r>
        <w:rPr>
          <w:sz w:val="20"/>
          <w:szCs w:val="20"/>
        </w:rPr>
        <w:t xml:space="preserve"> </w:t>
      </w:r>
      <w:r w:rsidRPr="00B77F23">
        <w:rPr>
          <w:rFonts w:cstheme="minorBidi"/>
          <w:color w:val="00B050"/>
          <w:sz w:val="20"/>
          <w:szCs w:val="20"/>
          <w:lang w:eastAsia="en-AU"/>
        </w:rPr>
        <w:t>except in preparations containing less than 0.002%</w:t>
      </w:r>
    </w:p>
    <w:p w14:paraId="455B5F13" w14:textId="77777777" w:rsidR="003C1EE6" w:rsidRDefault="003C1EE6" w:rsidP="003C1EE6">
      <w:pPr>
        <w:pStyle w:val="Default"/>
        <w:ind w:left="709"/>
        <w:rPr>
          <w:sz w:val="20"/>
          <w:szCs w:val="20"/>
        </w:rPr>
      </w:pPr>
    </w:p>
    <w:p w14:paraId="5D5B464D" w14:textId="77777777" w:rsidR="003C1EE6" w:rsidRPr="0028705E" w:rsidRDefault="003C1EE6" w:rsidP="003C1EE6">
      <w:pPr>
        <w:ind w:left="426"/>
        <w:rPr>
          <w:b/>
          <w:bCs/>
        </w:rPr>
      </w:pPr>
      <w:r w:rsidRPr="0028705E">
        <w:rPr>
          <w:b/>
          <w:bCs/>
        </w:rPr>
        <w:t>Index</w:t>
      </w:r>
    </w:p>
    <w:p w14:paraId="26B534C5" w14:textId="313EC32C" w:rsidR="003C1EE6" w:rsidRDefault="003C1EE6" w:rsidP="008F38C3">
      <w:pPr>
        <w:ind w:left="709"/>
      </w:pPr>
      <w:r w:rsidRPr="003C1EE6">
        <w:t>EPICHLOROHYDRIN</w:t>
      </w:r>
    </w:p>
    <w:p w14:paraId="7659B8ED" w14:textId="77777777" w:rsidR="00ED6749" w:rsidRDefault="00ED6749" w:rsidP="00ED6749">
      <w:pPr>
        <w:pStyle w:val="Heading4"/>
      </w:pPr>
      <w:bookmarkStart w:id="77" w:name="_Toc177657887"/>
      <w:r>
        <w:t>Background</w:t>
      </w:r>
      <w:bookmarkEnd w:id="77"/>
    </w:p>
    <w:p w14:paraId="13832D87" w14:textId="5CCAEAE4" w:rsidR="00096A22" w:rsidRPr="007741F6" w:rsidRDefault="007741F6" w:rsidP="00096A22">
      <w:r>
        <w:t>Ethylene oxide</w:t>
      </w:r>
      <w:r w:rsidR="00F9113E" w:rsidRPr="007741F6">
        <w:t xml:space="preserve"> is a fumigant registered for use to reduce microbials on whole and</w:t>
      </w:r>
      <w:r>
        <w:t xml:space="preserve"> </w:t>
      </w:r>
      <w:r w:rsidR="00F9113E" w:rsidRPr="007741F6">
        <w:t>ground spices or other seasoning materials, and to fumigate beekeeping</w:t>
      </w:r>
      <w:r>
        <w:t xml:space="preserve"> </w:t>
      </w:r>
      <w:r w:rsidR="00F9113E" w:rsidRPr="007741F6">
        <w:t>equipment (</w:t>
      </w:r>
      <w:r w:rsidR="002A2CC4">
        <w:t>for example</w:t>
      </w:r>
      <w:r w:rsidR="00F9113E" w:rsidRPr="007741F6">
        <w:t>, wooden ware, boxes and frames).</w:t>
      </w:r>
      <w:r w:rsidR="00096A22">
        <w:t>Other</w:t>
      </w:r>
      <w:r w:rsidR="00096A22" w:rsidRPr="007741F6">
        <w:t xml:space="preserve"> uses of </w:t>
      </w:r>
      <w:r w:rsidR="00096A22">
        <w:t>ethylene oxide</w:t>
      </w:r>
      <w:r w:rsidR="00096A22" w:rsidRPr="007741F6">
        <w:t xml:space="preserve"> include the fumigation/sterili</w:t>
      </w:r>
      <w:r w:rsidR="00E67E49">
        <w:t>s</w:t>
      </w:r>
      <w:r w:rsidR="00096A22" w:rsidRPr="007741F6">
        <w:t>ation of medical or</w:t>
      </w:r>
      <w:r w:rsidR="00096A22">
        <w:t xml:space="preserve"> </w:t>
      </w:r>
      <w:r w:rsidR="00096A22" w:rsidRPr="007741F6">
        <w:t>laboratory equipment, pharmaceuticals, and aseptic packaging; or to reduce the</w:t>
      </w:r>
      <w:r w:rsidR="00096A22">
        <w:t xml:space="preserve"> </w:t>
      </w:r>
      <w:r w:rsidR="00096A22" w:rsidRPr="007741F6">
        <w:t>microbial load on cosmetics; and to sterili</w:t>
      </w:r>
      <w:r w:rsidR="00E67E49">
        <w:t>s</w:t>
      </w:r>
      <w:r w:rsidR="00096A22" w:rsidRPr="007741F6">
        <w:t>e artifacts, archival material, library objects, and</w:t>
      </w:r>
      <w:r w:rsidR="00096A22">
        <w:t xml:space="preserve"> </w:t>
      </w:r>
      <w:r w:rsidR="00096A22" w:rsidRPr="007741F6">
        <w:t>musical</w:t>
      </w:r>
      <w:r w:rsidR="00696B84">
        <w:t xml:space="preserve"> </w:t>
      </w:r>
      <w:r w:rsidR="001454FC">
        <w:t>instruments</w:t>
      </w:r>
      <w:r w:rsidR="00096A22" w:rsidRPr="007741F6">
        <w:t>.</w:t>
      </w:r>
      <w:r w:rsidR="008F646E" w:rsidRPr="008F646E">
        <w:t xml:space="preserve"> </w:t>
      </w:r>
      <w:r w:rsidR="008F646E" w:rsidRPr="007741F6">
        <w:t xml:space="preserve">It is applied by commercial applicators only; there are no residential uses of </w:t>
      </w:r>
      <w:r w:rsidR="008F646E">
        <w:t>ethylene oxide</w:t>
      </w:r>
      <w:r w:rsidR="008F646E" w:rsidRPr="007741F6">
        <w:t>.</w:t>
      </w:r>
    </w:p>
    <w:p w14:paraId="225BBB34" w14:textId="66C03DED" w:rsidR="00F9113E" w:rsidRPr="00524FD4" w:rsidRDefault="00696B84" w:rsidP="007741F6">
      <w:pPr>
        <w:rPr>
          <w:rFonts w:cs="Arial"/>
          <w:shd w:val="clear" w:color="auto" w:fill="FFFFFF"/>
        </w:rPr>
      </w:pPr>
      <w:r w:rsidRPr="00524FD4">
        <w:rPr>
          <w:rFonts w:cs="Arial"/>
          <w:shd w:val="clear" w:color="auto" w:fill="FFFFFF"/>
        </w:rPr>
        <w:t>Propylene oxide is used in the production of polyethers (the primary component of polyurethane foams) and </w:t>
      </w:r>
      <w:r w:rsidRPr="00524FD4">
        <w:rPr>
          <w:rFonts w:cs="Arial"/>
          <w:bdr w:val="single" w:sz="2" w:space="0" w:color="E5E7EB" w:frame="1"/>
          <w:shd w:val="clear" w:color="auto" w:fill="FFFFFF"/>
        </w:rPr>
        <w:t>propylene glycol</w:t>
      </w:r>
      <w:r w:rsidRPr="00524FD4">
        <w:rPr>
          <w:rFonts w:cs="Arial"/>
          <w:shd w:val="clear" w:color="auto" w:fill="FFFFFF"/>
        </w:rPr>
        <w:t>.</w:t>
      </w:r>
    </w:p>
    <w:p w14:paraId="4FAD3D2F" w14:textId="6122B681" w:rsidR="00915B95" w:rsidRPr="00524FD4" w:rsidRDefault="00915B95" w:rsidP="007741F6">
      <w:r w:rsidRPr="00524FD4">
        <w:rPr>
          <w:rFonts w:cs="Arial"/>
          <w:shd w:val="clear" w:color="auto" w:fill="FFFFFF"/>
        </w:rPr>
        <w:t>Epichlorohydrin is mainly used in the production of </w:t>
      </w:r>
      <w:r w:rsidRPr="00524FD4">
        <w:rPr>
          <w:rFonts w:cs="Arial"/>
          <w:bdr w:val="single" w:sz="2" w:space="0" w:color="E5E7EB" w:frame="1"/>
          <w:shd w:val="clear" w:color="auto" w:fill="FFFFFF"/>
        </w:rPr>
        <w:t>epoxy resins</w:t>
      </w:r>
      <w:r w:rsidRPr="00524FD4">
        <w:rPr>
          <w:rStyle w:val="FootnoteReference"/>
          <w:rFonts w:cs="Arial"/>
          <w:bdr w:val="single" w:sz="2" w:space="0" w:color="E5E7EB" w:frame="1"/>
          <w:shd w:val="clear" w:color="auto" w:fill="FFFFFF"/>
        </w:rPr>
        <w:footnoteReference w:id="9"/>
      </w:r>
      <w:r w:rsidRPr="00524FD4">
        <w:rPr>
          <w:rFonts w:cs="Arial"/>
          <w:shd w:val="clear" w:color="auto" w:fill="FFFFFF"/>
        </w:rPr>
        <w:t>.</w:t>
      </w:r>
    </w:p>
    <w:p w14:paraId="1D74EBEF" w14:textId="77777777" w:rsidR="00ED6749" w:rsidRDefault="00ED6749" w:rsidP="00ED6749">
      <w:pPr>
        <w:pStyle w:val="Heading4"/>
      </w:pPr>
      <w:bookmarkStart w:id="78" w:name="_Toc177657888"/>
      <w:r>
        <w:t>Summary of applicant’s reasons for the proposal</w:t>
      </w:r>
      <w:bookmarkEnd w:id="78"/>
    </w:p>
    <w:p w14:paraId="4B37C83C" w14:textId="0C4385E7" w:rsidR="004E5606" w:rsidRDefault="004E5606" w:rsidP="00FB119D">
      <w:pPr>
        <w:pStyle w:val="ListBullet"/>
      </w:pPr>
      <w:r>
        <w:t xml:space="preserve">Ethylene oxide, propylene oxide and epichlorohydrin are </w:t>
      </w:r>
      <w:r w:rsidR="002A2CC4">
        <w:t>Dangerous poison (</w:t>
      </w:r>
      <w:r>
        <w:t>S</w:t>
      </w:r>
      <w:r w:rsidR="002A2CC4">
        <w:t xml:space="preserve">chedule </w:t>
      </w:r>
      <w:r>
        <w:t>7</w:t>
      </w:r>
      <w:r w:rsidR="002A2CC4">
        <w:t>)</w:t>
      </w:r>
      <w:r>
        <w:t xml:space="preserve"> substances with no cut-off </w:t>
      </w:r>
      <w:r w:rsidR="002A2CC4">
        <w:t xml:space="preserve">concentration </w:t>
      </w:r>
      <w:r>
        <w:t>or use exemption. They are used in the manufacture of poly-ethoxylated surfactants</w:t>
      </w:r>
      <w:r w:rsidR="00ED5C1F">
        <w:t>. C</w:t>
      </w:r>
      <w:r>
        <w:t>onsequently</w:t>
      </w:r>
      <w:r w:rsidR="00ED5C1F">
        <w:t>, these substances can be</w:t>
      </w:r>
      <w:r>
        <w:t xml:space="preserve"> </w:t>
      </w:r>
      <w:r w:rsidR="002A2CC4">
        <w:t>present as a trace impurity</w:t>
      </w:r>
      <w:r>
        <w:t xml:space="preserve"> in many commonly used surfactants, </w:t>
      </w:r>
      <w:r w:rsidR="002A2CC4">
        <w:t xml:space="preserve">for example, </w:t>
      </w:r>
      <w:r>
        <w:t xml:space="preserve">alkylphenol ethoxylates. </w:t>
      </w:r>
      <w:r w:rsidR="002A2CC4">
        <w:t xml:space="preserve">Under </w:t>
      </w:r>
      <w:r>
        <w:t>the Poisons Standard</w:t>
      </w:r>
      <w:r w:rsidR="002A2CC4">
        <w:t>,</w:t>
      </w:r>
      <w:r>
        <w:t xml:space="preserve"> products using these surfactants </w:t>
      </w:r>
      <w:r w:rsidR="002A2CC4">
        <w:t xml:space="preserve">are classified as a Dangerous Poison (Schedule </w:t>
      </w:r>
      <w:r>
        <w:t>7</w:t>
      </w:r>
      <w:r w:rsidR="002A2CC4">
        <w:t>)</w:t>
      </w:r>
      <w:r>
        <w:t>.</w:t>
      </w:r>
    </w:p>
    <w:p w14:paraId="41EAED94" w14:textId="4791DDCD" w:rsidR="009A7D3B" w:rsidRPr="009A7D3B" w:rsidRDefault="008F646E" w:rsidP="00FB119D">
      <w:pPr>
        <w:pStyle w:val="ListBullet"/>
      </w:pPr>
      <w:r>
        <w:t>Th</w:t>
      </w:r>
      <w:r w:rsidRPr="009A7D3B">
        <w:t xml:space="preserve">ese </w:t>
      </w:r>
      <w:r>
        <w:t>substances</w:t>
      </w:r>
      <w:r w:rsidRPr="009A7D3B">
        <w:t xml:space="preserve"> </w:t>
      </w:r>
      <w:r>
        <w:t xml:space="preserve">can be present in </w:t>
      </w:r>
      <w:r w:rsidR="001454FC">
        <w:t>r</w:t>
      </w:r>
      <w:r w:rsidR="001454FC" w:rsidRPr="009A7D3B">
        <w:t>aw</w:t>
      </w:r>
      <w:r w:rsidR="009A7D3B" w:rsidRPr="009A7D3B">
        <w:t xml:space="preserve"> materials </w:t>
      </w:r>
      <w:r>
        <w:t>as impurities up to a maximum level of</w:t>
      </w:r>
      <w:r w:rsidR="002A2CC4">
        <w:t xml:space="preserve"> </w:t>
      </w:r>
      <w:r w:rsidR="002A2CC4" w:rsidRPr="009A7D3B">
        <w:t>10</w:t>
      </w:r>
      <w:r w:rsidR="002A2CC4">
        <w:t> </w:t>
      </w:r>
      <w:r w:rsidR="009A7D3B" w:rsidRPr="009A7D3B">
        <w:t>ppm. The levels of ethylene oxide residue in an ethoxylated surfactant would depend on the level of ethoxylation which leads to different characteristics across surfactants. A low level cut off of 20 ppm has been suggested to avoid the need for batch testing of every batch of highly ethoxylated surfactants as a raw material, to comply with a 10 ppm limit.</w:t>
      </w:r>
    </w:p>
    <w:p w14:paraId="4BF48184" w14:textId="41F6D7A4" w:rsidR="00CC4BFF" w:rsidRDefault="008F646E" w:rsidP="00FB119D">
      <w:pPr>
        <w:pStyle w:val="ListBullet"/>
      </w:pPr>
      <w:r>
        <w:t>Poly-ethoxylated surfactants</w:t>
      </w:r>
      <w:r w:rsidR="009A7D3B" w:rsidRPr="009A7D3B">
        <w:t xml:space="preserve"> will then be formulated into a range of products with the levels dependant on the amount of surfactant in the formulation. </w:t>
      </w:r>
      <w:r w:rsidR="00CC4BFF">
        <w:t>The benefits of surfactants in a range of products is well understood. For example, hand washing with surfactant-based products is key to infection control.</w:t>
      </w:r>
    </w:p>
    <w:p w14:paraId="12055D95" w14:textId="6D72E4C7" w:rsidR="001454FC" w:rsidRDefault="00CC4BFF" w:rsidP="00FB119D">
      <w:pPr>
        <w:pStyle w:val="ListBullet"/>
      </w:pPr>
      <w:r>
        <w:t xml:space="preserve">However, </w:t>
      </w:r>
      <w:r w:rsidR="00ED5C1F">
        <w:t xml:space="preserve">the presence of these substances as </w:t>
      </w:r>
      <w:r>
        <w:t xml:space="preserve">impurities in surfactants </w:t>
      </w:r>
      <w:r w:rsidR="00ED5C1F">
        <w:t>is</w:t>
      </w:r>
      <w:r>
        <w:t xml:space="preserve"> unavoidable and </w:t>
      </w:r>
      <w:r w:rsidR="00ED5C1F">
        <w:t>occurs</w:t>
      </w:r>
      <w:r>
        <w:t xml:space="preserve"> in a range of products on the Australian market and internationally. </w:t>
      </w:r>
    </w:p>
    <w:p w14:paraId="31E6047B" w14:textId="33C51811" w:rsidR="00CC4BFF" w:rsidRPr="009A7D3B" w:rsidRDefault="00ED5C1F" w:rsidP="00FB119D">
      <w:pPr>
        <w:pStyle w:val="ListBullet"/>
      </w:pPr>
      <w:r>
        <w:t xml:space="preserve">Examples of </w:t>
      </w:r>
      <w:r w:rsidR="00D4398B">
        <w:t xml:space="preserve">residual </w:t>
      </w:r>
      <w:r w:rsidR="00CC4BFF" w:rsidRPr="009A7D3B">
        <w:t xml:space="preserve">levels of ethylene oxide </w:t>
      </w:r>
      <w:r w:rsidR="00D4398B">
        <w:t>are</w:t>
      </w:r>
      <w:r w:rsidR="00CC4BFF" w:rsidRPr="009A7D3B">
        <w:t xml:space="preserve">: </w:t>
      </w:r>
    </w:p>
    <w:p w14:paraId="6046B939" w14:textId="75C68A0A" w:rsidR="00CC4BFF" w:rsidRPr="009A7D3B" w:rsidRDefault="00CC4BFF" w:rsidP="00CC4BFF">
      <w:pPr>
        <w:pStyle w:val="ListBullet2"/>
      </w:pPr>
      <w:r w:rsidRPr="009A7D3B">
        <w:t>Cleaning products</w:t>
      </w:r>
      <w:r>
        <w:t xml:space="preserve">: </w:t>
      </w:r>
      <w:r w:rsidRPr="009A7D3B">
        <w:t>1</w:t>
      </w:r>
      <w:r w:rsidR="002A2CC4">
        <w:t>-</w:t>
      </w:r>
      <w:r w:rsidRPr="009A7D3B">
        <w:t>5 ppm</w:t>
      </w:r>
    </w:p>
    <w:p w14:paraId="143CB80B" w14:textId="5CAAAA3A" w:rsidR="00CC4BFF" w:rsidRPr="009A7D3B" w:rsidRDefault="00CC4BFF" w:rsidP="00CC4BFF">
      <w:pPr>
        <w:pStyle w:val="ListBullet2"/>
      </w:pPr>
      <w:r w:rsidRPr="009A7D3B">
        <w:t>Toothpaste</w:t>
      </w:r>
      <w:r>
        <w:t>:</w:t>
      </w:r>
      <w:r w:rsidRPr="009A7D3B">
        <w:t xml:space="preserve"> less than 1 ppb</w:t>
      </w:r>
    </w:p>
    <w:p w14:paraId="786D4CE4" w14:textId="1A515202" w:rsidR="00CC4BFF" w:rsidRPr="009A7D3B" w:rsidRDefault="00CC4BFF" w:rsidP="00CC4BFF">
      <w:pPr>
        <w:pStyle w:val="ListBullet2"/>
      </w:pPr>
      <w:r w:rsidRPr="009A7D3B">
        <w:t>Personal care products</w:t>
      </w:r>
      <w:r>
        <w:t>:</w:t>
      </w:r>
      <w:r w:rsidRPr="009A7D3B">
        <w:t xml:space="preserve"> less than 1 ppb</w:t>
      </w:r>
    </w:p>
    <w:p w14:paraId="142BD14C" w14:textId="3CC3CF86" w:rsidR="00CC4BFF" w:rsidRPr="009A7D3B" w:rsidRDefault="00CC4BFF" w:rsidP="00CC4BFF">
      <w:pPr>
        <w:pStyle w:val="ListBullet2"/>
      </w:pPr>
      <w:r w:rsidRPr="009A7D3B">
        <w:t>Air fresheners</w:t>
      </w:r>
      <w:r>
        <w:t>:</w:t>
      </w:r>
      <w:r w:rsidRPr="009A7D3B">
        <w:t xml:space="preserve"> less than 1 ppb</w:t>
      </w:r>
    </w:p>
    <w:p w14:paraId="70091DDC" w14:textId="3EFD1561" w:rsidR="00CC4BFF" w:rsidRDefault="00CC4BFF" w:rsidP="00CC4BFF">
      <w:pPr>
        <w:pStyle w:val="ListBullet2"/>
      </w:pPr>
      <w:r>
        <w:t>Therapeutic goods: less than 1 ppb</w:t>
      </w:r>
    </w:p>
    <w:p w14:paraId="6D6BFDC5" w14:textId="0E2A11F1" w:rsidR="001454FC" w:rsidRDefault="00CC4BFF" w:rsidP="00FB119D">
      <w:pPr>
        <w:pStyle w:val="ListBullet"/>
      </w:pPr>
      <w:r>
        <w:lastRenderedPageBreak/>
        <w:t>Trace levels of ethylene oxide in surfactants and products containing these surfactants do not present a risk to human health.</w:t>
      </w:r>
    </w:p>
    <w:p w14:paraId="17AEAC6F" w14:textId="1FE9F516" w:rsidR="009A7D3B" w:rsidRDefault="00CC4BFF" w:rsidP="00FB119D">
      <w:pPr>
        <w:pStyle w:val="ListBullet"/>
      </w:pPr>
      <w:r>
        <w:t>As the Poisons Standard considers risks and benefits of substances, an additional low level cut off aligns with the scheduling factors.</w:t>
      </w:r>
    </w:p>
    <w:p w14:paraId="6402717F" w14:textId="7A800C4E" w:rsidR="00CC4BFF" w:rsidRDefault="00CC4BFF" w:rsidP="00FB119D">
      <w:pPr>
        <w:pStyle w:val="ListBullet"/>
      </w:pPr>
      <w:r>
        <w:t xml:space="preserve">The impurity levels of </w:t>
      </w:r>
      <w:r w:rsidR="001454FC">
        <w:t>trace compounds</w:t>
      </w:r>
      <w:r>
        <w:t xml:space="preserve"> in surfactants and products are also controlled by other regulat</w:t>
      </w:r>
      <w:r w:rsidR="001454FC">
        <w:t>or</w:t>
      </w:r>
      <w:r>
        <w:t>s in Australia</w:t>
      </w:r>
      <w:r w:rsidR="00D4398B">
        <w:t>, for example,</w:t>
      </w:r>
      <w:r>
        <w:t xml:space="preserve"> in therapeutic good by the TGA and in consumer products by ACCC</w:t>
      </w:r>
      <w:r w:rsidR="001454FC">
        <w:t xml:space="preserve">. The applicant </w:t>
      </w:r>
      <w:r w:rsidR="00524FD4">
        <w:t>states</w:t>
      </w:r>
      <w:r w:rsidR="001454FC">
        <w:t xml:space="preserve"> that a l</w:t>
      </w:r>
      <w:r w:rsidR="00E0298C">
        <w:t>ack of a low level cut off creates over regulation of surfactants and downstream products that contain tiny amounts of impurities.</w:t>
      </w:r>
    </w:p>
    <w:p w14:paraId="3C2A23EE" w14:textId="2B5695B7" w:rsidR="00E0298C" w:rsidRDefault="00D4398B" w:rsidP="00FB119D">
      <w:pPr>
        <w:pStyle w:val="ListBullet"/>
      </w:pPr>
      <w:r>
        <w:t>The s</w:t>
      </w:r>
      <w:r w:rsidR="00E0298C">
        <w:t xml:space="preserve">urfactants that contain these impurities do not meet the Schedule 7 factors and </w:t>
      </w:r>
      <w:r>
        <w:t xml:space="preserve">it </w:t>
      </w:r>
      <w:r w:rsidR="00915B95">
        <w:t>may be</w:t>
      </w:r>
      <w:r w:rsidR="00E0298C">
        <w:t xml:space="preserve"> more appropriate to consider </w:t>
      </w:r>
      <w:r w:rsidR="000D1929">
        <w:t xml:space="preserve">each Schedule 7 surfactant substance </w:t>
      </w:r>
      <w:r w:rsidR="00E0298C">
        <w:t xml:space="preserve">separately as the need arises. </w:t>
      </w:r>
    </w:p>
    <w:p w14:paraId="780BC216" w14:textId="77777777" w:rsidR="00ED6749" w:rsidRDefault="00ED6749" w:rsidP="00ED6749">
      <w:pPr>
        <w:pStyle w:val="Heading4"/>
      </w:pPr>
      <w:bookmarkStart w:id="79" w:name="_Toc177657889"/>
      <w:r>
        <w:t>Key uses / expected use</w:t>
      </w:r>
      <w:bookmarkEnd w:id="79"/>
    </w:p>
    <w:p w14:paraId="78BEA92E" w14:textId="77777777" w:rsidR="000D1929" w:rsidRDefault="000D1929" w:rsidP="001454FC">
      <w:r>
        <w:t>Ethylene oxide, propylene oxide and epichlorohydrin are present at low levels in a large range of products. They are incorporated during manufacturing and fumigating processes.</w:t>
      </w:r>
    </w:p>
    <w:p w14:paraId="71FFEF65" w14:textId="77D31AF9" w:rsidR="009A7D3B" w:rsidRPr="001454FC" w:rsidRDefault="00BB0798" w:rsidP="001454FC">
      <w:r w:rsidRPr="001454FC">
        <w:t>Ethylene oxide</w:t>
      </w:r>
      <w:r w:rsidR="002A2CC4">
        <w:t xml:space="preserve"> </w:t>
      </w:r>
      <w:r w:rsidR="009A7D3B" w:rsidRPr="001454FC">
        <w:t>is a necessary component in the production of surfactants that are widely used in products for many industries such as healthcare, industrial and domestic cleaning, personal care and specialty products. Raw material used in the manufacture of chemical derivatives, sterilant, fumigant, insecticide.</w:t>
      </w:r>
    </w:p>
    <w:p w14:paraId="021A0E40" w14:textId="4F071208" w:rsidR="008F38C3" w:rsidRDefault="008F38C3" w:rsidP="001454FC">
      <w:r w:rsidRPr="001454FC">
        <w:t>Propylene oxide is a r</w:t>
      </w:r>
      <w:r>
        <w:t>aw material used in the manufacture of chemical derivatives, a stabiliser and a solvent.</w:t>
      </w:r>
    </w:p>
    <w:p w14:paraId="7E912F7F" w14:textId="043A5490" w:rsidR="007741F6" w:rsidRPr="001454FC" w:rsidRDefault="007741F6" w:rsidP="001454FC">
      <w:r w:rsidRPr="001454FC">
        <w:t>Epichlorohydrin</w:t>
      </w:r>
      <w:r w:rsidR="00E5050A" w:rsidRPr="001454FC">
        <w:t xml:space="preserve"> is a</w:t>
      </w:r>
      <w:r w:rsidR="002A2CC4">
        <w:t xml:space="preserve"> </w:t>
      </w:r>
      <w:r w:rsidR="00E5050A" w:rsidRPr="001454FC">
        <w:t>chemical intermediate used in a variety of applications, including epoxy resins, textiles, paper products, inks, dyes, automotive and aircraft parts, biocides, personal care products, and ion-exchange resins.</w:t>
      </w:r>
    </w:p>
    <w:p w14:paraId="0A1BEE23" w14:textId="77777777" w:rsidR="00ED6749" w:rsidRDefault="00ED6749" w:rsidP="00ED6749">
      <w:pPr>
        <w:pStyle w:val="Heading4"/>
      </w:pPr>
      <w:bookmarkStart w:id="80" w:name="_Toc177657890"/>
      <w:r>
        <w:t>Australian regulations</w:t>
      </w:r>
      <w:bookmarkEnd w:id="80"/>
    </w:p>
    <w:p w14:paraId="3B8AAD13" w14:textId="20048607" w:rsidR="00ED6749" w:rsidRDefault="00ED6749" w:rsidP="00FB119D">
      <w:pPr>
        <w:pStyle w:val="ListBullet"/>
      </w:pPr>
      <w:r>
        <w:t xml:space="preserve">According to the </w:t>
      </w:r>
      <w:hyperlink r:id="rId68" w:history="1">
        <w:r w:rsidRPr="007741F6">
          <w:rPr>
            <w:rStyle w:val="Hyperlink"/>
          </w:rPr>
          <w:t>TGA Ingredient Database</w:t>
        </w:r>
      </w:hyperlink>
      <w:r w:rsidRPr="007741F6">
        <w:t xml:space="preserve">, </w:t>
      </w:r>
      <w:r w:rsidR="007741F6" w:rsidRPr="007741F6">
        <w:t>ethylene oxide</w:t>
      </w:r>
      <w:r w:rsidRPr="007741F6">
        <w:t xml:space="preserve"> is:</w:t>
      </w:r>
    </w:p>
    <w:p w14:paraId="521E98A1" w14:textId="4CA76AB2" w:rsidR="00ED6749" w:rsidRDefault="00ED6749" w:rsidP="00ED6749">
      <w:pPr>
        <w:pStyle w:val="ListBullet2"/>
      </w:pPr>
      <w:r>
        <w:t>Available for use as an Active Ingredient in Biologicals, and Prescription Medicines</w:t>
      </w:r>
    </w:p>
    <w:p w14:paraId="7AD23373" w14:textId="6CD3CFDA" w:rsidR="00ED6749" w:rsidRDefault="00ED6749" w:rsidP="00ED6749">
      <w:pPr>
        <w:pStyle w:val="ListBullet2"/>
      </w:pPr>
      <w:r>
        <w:t xml:space="preserve">Available for use as an Excipient Ingredient in Biologicals, </w:t>
      </w:r>
      <w:r w:rsidR="007741F6">
        <w:t xml:space="preserve">Devices </w:t>
      </w:r>
      <w:r>
        <w:t>and Prescription Medicines/Not available as an Excipient Ingredient in any application</w:t>
      </w:r>
    </w:p>
    <w:p w14:paraId="6D0CB03F" w14:textId="3B229D2B" w:rsidR="00ED6749" w:rsidRDefault="00ED6749" w:rsidP="00ED6749">
      <w:pPr>
        <w:pStyle w:val="ListBullet2"/>
      </w:pPr>
      <w:r>
        <w:t xml:space="preserve">Available for use as an Equivalent Ingredient in Export Only and </w:t>
      </w:r>
      <w:r w:rsidR="007741F6">
        <w:t>Listed</w:t>
      </w:r>
      <w:r>
        <w:t xml:space="preserve"> Medicines</w:t>
      </w:r>
    </w:p>
    <w:p w14:paraId="0E9165E3" w14:textId="190AC2C8" w:rsidR="007741F6" w:rsidRDefault="007741F6" w:rsidP="00FB119D">
      <w:pPr>
        <w:pStyle w:val="ListBullet"/>
      </w:pPr>
      <w:r>
        <w:t xml:space="preserve">According to the </w:t>
      </w:r>
      <w:hyperlink r:id="rId69" w:history="1">
        <w:r w:rsidRPr="007741F6">
          <w:rPr>
            <w:rStyle w:val="Hyperlink"/>
          </w:rPr>
          <w:t>TGA Ingredient Database</w:t>
        </w:r>
      </w:hyperlink>
      <w:r w:rsidRPr="007741F6">
        <w:t xml:space="preserve">, </w:t>
      </w:r>
      <w:r>
        <w:t>propylene</w:t>
      </w:r>
      <w:r w:rsidRPr="007741F6">
        <w:t xml:space="preserve"> oxide is:</w:t>
      </w:r>
    </w:p>
    <w:p w14:paraId="7AFE5BD3" w14:textId="3BDD5F1F" w:rsidR="007741F6" w:rsidRDefault="007741F6" w:rsidP="007741F6">
      <w:pPr>
        <w:pStyle w:val="ListBullet2"/>
      </w:pPr>
      <w:r>
        <w:t xml:space="preserve">Not available for use as an Active Ingredient in any application </w:t>
      </w:r>
    </w:p>
    <w:p w14:paraId="26E46A1A" w14:textId="77777777" w:rsidR="00D4398B" w:rsidRDefault="007741F6" w:rsidP="00D4398B">
      <w:pPr>
        <w:pStyle w:val="ListBullet2"/>
      </w:pPr>
      <w:r>
        <w:t>Available for use as an Excipient Ingredient in: Export Only</w:t>
      </w:r>
    </w:p>
    <w:p w14:paraId="5892D67E" w14:textId="5BC16FA1" w:rsidR="007741F6" w:rsidRDefault="007741F6" w:rsidP="00D4398B">
      <w:pPr>
        <w:pStyle w:val="ListBullet2"/>
      </w:pPr>
      <w:r>
        <w:t xml:space="preserve">Not available as an Equivalent Ingredient in any application </w:t>
      </w:r>
    </w:p>
    <w:p w14:paraId="6B493CC3" w14:textId="776AF4B5" w:rsidR="007741F6" w:rsidRDefault="007741F6" w:rsidP="00FB119D">
      <w:pPr>
        <w:pStyle w:val="ListBullet"/>
      </w:pPr>
      <w:r>
        <w:t xml:space="preserve">According to the </w:t>
      </w:r>
      <w:hyperlink r:id="rId70" w:history="1">
        <w:r w:rsidRPr="007741F6">
          <w:rPr>
            <w:rStyle w:val="Hyperlink"/>
          </w:rPr>
          <w:t>TGA Ingredient Database</w:t>
        </w:r>
      </w:hyperlink>
      <w:r w:rsidRPr="007741F6">
        <w:t xml:space="preserve">, </w:t>
      </w:r>
      <w:r w:rsidRPr="005C4B4C">
        <w:rPr>
          <w:rFonts w:cs="Arial"/>
          <w:color w:val="000000"/>
        </w:rPr>
        <w:t>epichlorohydrin</w:t>
      </w:r>
      <w:r w:rsidRPr="007741F6">
        <w:t xml:space="preserve"> is</w:t>
      </w:r>
      <w:r w:rsidR="00FF22A8">
        <w:t xml:space="preserve"> not listed for use.</w:t>
      </w:r>
    </w:p>
    <w:p w14:paraId="73ACED49" w14:textId="77777777" w:rsidR="007741F6" w:rsidRDefault="007741F6" w:rsidP="007741F6">
      <w:pPr>
        <w:pStyle w:val="ListBullet2"/>
      </w:pPr>
      <w:r>
        <w:t xml:space="preserve">Not available for use as an Active Ingredient in any application </w:t>
      </w:r>
    </w:p>
    <w:p w14:paraId="1E6AF89F" w14:textId="77777777" w:rsidR="00D4398B" w:rsidRDefault="007741F6" w:rsidP="00D4398B">
      <w:pPr>
        <w:pStyle w:val="ListBullet2"/>
      </w:pPr>
      <w:r>
        <w:t>Available for use as an Excipient Ingredient in: Export Only</w:t>
      </w:r>
    </w:p>
    <w:p w14:paraId="527041FC" w14:textId="340AD3C5" w:rsidR="007741F6" w:rsidRDefault="007741F6" w:rsidP="00D4398B">
      <w:pPr>
        <w:pStyle w:val="ListBullet2"/>
      </w:pPr>
      <w:r>
        <w:t xml:space="preserve">Not available as an Equivalent Ingredient in any application </w:t>
      </w:r>
    </w:p>
    <w:p w14:paraId="1AD24944" w14:textId="23E59292" w:rsidR="00ED6749" w:rsidRDefault="00ED6749" w:rsidP="00FB119D">
      <w:pPr>
        <w:pStyle w:val="ListBullet"/>
      </w:pPr>
      <w:r>
        <w:lastRenderedPageBreak/>
        <w:t xml:space="preserve">As of </w:t>
      </w:r>
      <w:r w:rsidR="001454FC">
        <w:t>September 2024</w:t>
      </w:r>
      <w:r>
        <w:t xml:space="preserve">, there were </w:t>
      </w:r>
      <w:r w:rsidR="001454FC">
        <w:t xml:space="preserve">no </w:t>
      </w:r>
      <w:r>
        <w:t xml:space="preserve">medicines currently active on the </w:t>
      </w:r>
      <w:hyperlink r:id="rId71" w:history="1">
        <w:r w:rsidRPr="00C56F18">
          <w:rPr>
            <w:rStyle w:val="Hyperlink"/>
          </w:rPr>
          <w:t>Australian Register of Therapeutic Goods (ARTG)</w:t>
        </w:r>
      </w:hyperlink>
      <w:r>
        <w:t xml:space="preserve"> that contain </w:t>
      </w:r>
      <w:r w:rsidR="001454FC" w:rsidRPr="009A7D3B">
        <w:rPr>
          <w:rFonts w:cstheme="minorBidi"/>
        </w:rPr>
        <w:t xml:space="preserve">ethylene oxide, propylene oxide </w:t>
      </w:r>
      <w:r w:rsidR="001454FC">
        <w:rPr>
          <w:rFonts w:cstheme="minorBidi"/>
        </w:rPr>
        <w:t>or</w:t>
      </w:r>
      <w:r w:rsidR="001454FC" w:rsidRPr="009A7D3B">
        <w:rPr>
          <w:rFonts w:cstheme="minorBidi"/>
        </w:rPr>
        <w:t xml:space="preserve"> epichlorohydrin</w:t>
      </w:r>
      <w:r w:rsidR="001454FC">
        <w:rPr>
          <w:rFonts w:cstheme="minorBidi"/>
        </w:rPr>
        <w:t xml:space="preserve"> </w:t>
      </w:r>
      <w:r>
        <w:t xml:space="preserve">as an active ingredient. </w:t>
      </w:r>
    </w:p>
    <w:p w14:paraId="1F4055C2" w14:textId="2E879CE5" w:rsidR="00190A7F" w:rsidRDefault="00190A7F" w:rsidP="00FB119D">
      <w:pPr>
        <w:pStyle w:val="ListBullet"/>
      </w:pPr>
      <w:r>
        <w:t xml:space="preserve">Propylene oxide is not permitted to be included in listed medicines as it is not listed in the </w:t>
      </w:r>
      <w:hyperlink r:id="rId72" w:history="1">
        <w:r w:rsidRPr="00C56F18">
          <w:rPr>
            <w:rStyle w:val="Hyperlink"/>
          </w:rPr>
          <w:t>Therapeutic Goods (Permissible Ingredients) Determination</w:t>
        </w:r>
      </w:hyperlink>
      <w:r>
        <w:t xml:space="preserve"> (No.2) 2024.</w:t>
      </w:r>
    </w:p>
    <w:p w14:paraId="2792E276" w14:textId="5F5C57D3" w:rsidR="00ED6749" w:rsidRDefault="00ED6749" w:rsidP="00FB119D">
      <w:pPr>
        <w:pStyle w:val="ListBullet"/>
      </w:pPr>
      <w:r>
        <w:t xml:space="preserve">According to the </w:t>
      </w:r>
      <w:hyperlink r:id="rId73" w:history="1">
        <w:r w:rsidRPr="00C56F18">
          <w:rPr>
            <w:rStyle w:val="Hyperlink"/>
          </w:rPr>
          <w:t>Therapeutic Goods (Permissible Ingredients) Determination</w:t>
        </w:r>
      </w:hyperlink>
      <w:r>
        <w:t xml:space="preserve"> (No.</w:t>
      </w:r>
      <w:r w:rsidR="008126BE">
        <w:t>2</w:t>
      </w:r>
      <w:r>
        <w:t>) 20</w:t>
      </w:r>
      <w:r w:rsidR="008126BE">
        <w:t>24</w:t>
      </w:r>
      <w:r>
        <w:t xml:space="preserve">, </w:t>
      </w:r>
      <w:r w:rsidR="00622F85">
        <w:t xml:space="preserve">propylene oxide is not permitted to be used in listed medicines but </w:t>
      </w:r>
      <w:r w:rsidR="00190A7F">
        <w:t>ethylene oxide</w:t>
      </w:r>
      <w:r w:rsidR="008126BE">
        <w:t xml:space="preserve"> and </w:t>
      </w:r>
      <w:r w:rsidR="008126BE" w:rsidRPr="005C4B4C">
        <w:rPr>
          <w:rFonts w:cs="Arial"/>
          <w:color w:val="000000"/>
        </w:rPr>
        <w:t>epichlorohydrin</w:t>
      </w:r>
      <w:r>
        <w:t xml:space="preserve"> </w:t>
      </w:r>
      <w:r w:rsidR="00622F85">
        <w:t xml:space="preserve">are </w:t>
      </w:r>
      <w:r>
        <w:t xml:space="preserve">permitted </w:t>
      </w:r>
      <w:r w:rsidR="00622F85">
        <w:t>with certain restrictions (below)</w:t>
      </w:r>
      <w:r>
        <w:t>:</w:t>
      </w:r>
    </w:p>
    <w:tbl>
      <w:tblPr>
        <w:tblStyle w:val="TableTGAblue"/>
        <w:tblW w:w="5000" w:type="pct"/>
        <w:tblLook w:val="04A0" w:firstRow="1" w:lastRow="0" w:firstColumn="1" w:lastColumn="0" w:noHBand="0" w:noVBand="1"/>
      </w:tblPr>
      <w:tblGrid>
        <w:gridCol w:w="2072"/>
        <w:gridCol w:w="1017"/>
        <w:gridCol w:w="5917"/>
      </w:tblGrid>
      <w:tr w:rsidR="00524FD4" w:rsidRPr="00E67E49" w14:paraId="5FEE751A" w14:textId="77777777" w:rsidTr="00524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DA8766C" w14:textId="77777777"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Ingredient name</w:t>
            </w:r>
          </w:p>
        </w:tc>
        <w:tc>
          <w:tcPr>
            <w:tcW w:w="472" w:type="pct"/>
          </w:tcPr>
          <w:p w14:paraId="62D3C547" w14:textId="77777777" w:rsidR="00524FD4" w:rsidRPr="00E67E49" w:rsidRDefault="00524FD4" w:rsidP="00524FD4">
            <w:pPr>
              <w:pStyle w:val="ListBullet-dotick"/>
              <w:numPr>
                <w:ilvl w:val="0"/>
                <w:numId w:val="0"/>
              </w:num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Purpose</w:t>
            </w:r>
          </w:p>
        </w:tc>
        <w:tc>
          <w:tcPr>
            <w:tcW w:w="3353" w:type="pct"/>
          </w:tcPr>
          <w:p w14:paraId="71442FE6" w14:textId="77777777" w:rsidR="00524FD4" w:rsidRPr="00E67E49" w:rsidRDefault="00524FD4" w:rsidP="00524FD4">
            <w:pPr>
              <w:pStyle w:val="ListBullet-dotick"/>
              <w:numPr>
                <w:ilvl w:val="0"/>
                <w:numId w:val="0"/>
              </w:num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Specific requirements</w:t>
            </w:r>
          </w:p>
        </w:tc>
      </w:tr>
      <w:tr w:rsidR="00524FD4" w:rsidRPr="00E67E49" w14:paraId="1E85F834"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67242E98" w14:textId="4CCACB6A"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BEHENETH-10</w:t>
            </w:r>
          </w:p>
        </w:tc>
        <w:tc>
          <w:tcPr>
            <w:tcW w:w="472" w:type="pct"/>
          </w:tcPr>
          <w:p w14:paraId="721C7C5F" w14:textId="080D6B2B"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4619AFBE" w14:textId="5ED74E83"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topical medicines intended for use in the eye.</w:t>
            </w:r>
          </w:p>
          <w:p w14:paraId="6277E410"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1.5%.</w:t>
            </w:r>
          </w:p>
          <w:p w14:paraId="49DC2BB7" w14:textId="24F54305"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Residual levels of ethylene oxide are to be kept below the level of detection.</w:t>
            </w:r>
          </w:p>
        </w:tc>
      </w:tr>
      <w:tr w:rsidR="00524FD4" w:rsidRPr="00E67E49" w14:paraId="66C5A209"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0CF0E9E0" w14:textId="6D1E8D0C"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C11-14-ISO-ALCOHOL C-13 RICH</w:t>
            </w:r>
          </w:p>
        </w:tc>
        <w:tc>
          <w:tcPr>
            <w:tcW w:w="472" w:type="pct"/>
          </w:tcPr>
          <w:p w14:paraId="1148E50F" w14:textId="70D64E38"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1286F623"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medicines intended for use in the eye.</w:t>
            </w:r>
          </w:p>
          <w:p w14:paraId="5E9D6339"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0.125%.</w:t>
            </w:r>
          </w:p>
          <w:p w14:paraId="34882A25" w14:textId="4B566329"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Residual levels of 1,4-dioxane and ethylene oxide (and related substances) are to be kept below the level of detection.</w:t>
            </w:r>
          </w:p>
        </w:tc>
      </w:tr>
      <w:tr w:rsidR="00524FD4" w:rsidRPr="00E67E49" w14:paraId="55F66B2D"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670E5A2C" w14:textId="30C8325D"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C12-13 PARETH-3</w:t>
            </w:r>
          </w:p>
        </w:tc>
        <w:tc>
          <w:tcPr>
            <w:tcW w:w="472" w:type="pct"/>
          </w:tcPr>
          <w:p w14:paraId="2CA63535" w14:textId="77695051"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177E1779" w14:textId="159B619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medicines intended for use in the eye.</w:t>
            </w:r>
          </w:p>
          <w:p w14:paraId="5B574C28"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0.125%.</w:t>
            </w:r>
          </w:p>
          <w:p w14:paraId="7F540951" w14:textId="1BA19293"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Residual levels of 1,4-dioxane and ethylene oxide (and related substances) are to be kept below the level of detection.</w:t>
            </w:r>
          </w:p>
        </w:tc>
      </w:tr>
      <w:tr w:rsidR="00524FD4" w:rsidRPr="00E67E49" w14:paraId="402CE210"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752A61FA" w14:textId="31DE5A45"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LAURETH-2</w:t>
            </w:r>
          </w:p>
        </w:tc>
        <w:tc>
          <w:tcPr>
            <w:tcW w:w="472" w:type="pct"/>
          </w:tcPr>
          <w:p w14:paraId="75FDB7C4" w14:textId="5528CEB9"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4A383985"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medicines intended for use in the eye.</w:t>
            </w:r>
          </w:p>
          <w:p w14:paraId="6A03730A"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0.4%.</w:t>
            </w:r>
          </w:p>
          <w:p w14:paraId="217FD576" w14:textId="23B36981"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Residual levels of ethylene oxide (and related substances) must be kept below the level of detection.</w:t>
            </w:r>
          </w:p>
        </w:tc>
      </w:tr>
      <w:tr w:rsidR="00524FD4" w:rsidRPr="00E67E49" w14:paraId="05A5BC69"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0200F6D7" w14:textId="07AEC198"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LAURYL PEG/PPG-18/18 METHICONE</w:t>
            </w:r>
          </w:p>
        </w:tc>
        <w:tc>
          <w:tcPr>
            <w:tcW w:w="472" w:type="pct"/>
          </w:tcPr>
          <w:p w14:paraId="7A0A45D5" w14:textId="73C4A6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063432A9"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medicines intended for use in the eye.</w:t>
            </w:r>
          </w:p>
          <w:p w14:paraId="1B883418"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9%.</w:t>
            </w:r>
          </w:p>
          <w:p w14:paraId="7725F144" w14:textId="5A5C6632"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Residual levels of ethylene oxide (and related substances) must be kept below the level of detection.</w:t>
            </w:r>
          </w:p>
        </w:tc>
      </w:tr>
      <w:tr w:rsidR="00524FD4" w:rsidRPr="00E67E49" w14:paraId="2B6F9049"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0445CE3C" w14:textId="166133B4"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METHYL GLUCETH-10</w:t>
            </w:r>
          </w:p>
        </w:tc>
        <w:tc>
          <w:tcPr>
            <w:tcW w:w="472" w:type="pct"/>
          </w:tcPr>
          <w:p w14:paraId="05057E0F" w14:textId="1E277A6B"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3207D31D"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medicines intended for use in the eye.</w:t>
            </w:r>
          </w:p>
          <w:p w14:paraId="713AD27A"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3%.</w:t>
            </w:r>
          </w:p>
          <w:p w14:paraId="3EC1CA02" w14:textId="119386D3"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Residue levels of ethylene oxide are to be kept below the level of detection.</w:t>
            </w:r>
          </w:p>
        </w:tc>
      </w:tr>
      <w:tr w:rsidR="00524FD4" w:rsidRPr="00E67E49" w14:paraId="05B089DE"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0781A8ED" w14:textId="406A0676"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OCTYLDODECETH-25</w:t>
            </w:r>
          </w:p>
        </w:tc>
        <w:tc>
          <w:tcPr>
            <w:tcW w:w="472" w:type="pct"/>
          </w:tcPr>
          <w:p w14:paraId="143A530F" w14:textId="456D4B1D" w:rsidR="00524FD4" w:rsidRPr="00E67E49" w:rsidRDefault="000D1929"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p>
        </w:tc>
        <w:tc>
          <w:tcPr>
            <w:tcW w:w="3353" w:type="pct"/>
          </w:tcPr>
          <w:p w14:paraId="3A4F8930"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 and not to be included in medicines intended for use in the eye.</w:t>
            </w:r>
          </w:p>
          <w:p w14:paraId="1E3F6A81"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5%.</w:t>
            </w:r>
          </w:p>
          <w:p w14:paraId="1C911A74" w14:textId="6E102486"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Residual levels of 1,4-dioxane and ethylene oxide (and related substances) are to be kept below the level of detection.</w:t>
            </w:r>
          </w:p>
        </w:tc>
      </w:tr>
      <w:tr w:rsidR="00524FD4" w:rsidRPr="00E67E49" w14:paraId="39B438D0"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3086F019" w14:textId="1F002E4F"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OLETH-2</w:t>
            </w:r>
          </w:p>
        </w:tc>
        <w:tc>
          <w:tcPr>
            <w:tcW w:w="472" w:type="pct"/>
          </w:tcPr>
          <w:p w14:paraId="43B5ABB3" w14:textId="28BB14B1"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3A58BEDF" w14:textId="6890BF4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w:t>
            </w:r>
          </w:p>
          <w:p w14:paraId="0BEC5290" w14:textId="12B5181B"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Dioxane and </w:t>
            </w:r>
            <w:r>
              <w:rPr>
                <w:sz w:val="20"/>
                <w:szCs w:val="20"/>
              </w:rPr>
              <w:t>e</w:t>
            </w:r>
            <w:r w:rsidRPr="00E67E49">
              <w:rPr>
                <w:sz w:val="20"/>
                <w:szCs w:val="20"/>
              </w:rPr>
              <w:t>thylene oxide are mandatory components of Oleth-2.</w:t>
            </w:r>
          </w:p>
          <w:p w14:paraId="2B88C9D8" w14:textId="37357FC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The concentration of </w:t>
            </w:r>
            <w:r>
              <w:rPr>
                <w:sz w:val="20"/>
                <w:szCs w:val="20"/>
              </w:rPr>
              <w:t>e</w:t>
            </w:r>
            <w:r w:rsidRPr="00E67E49">
              <w:rPr>
                <w:sz w:val="20"/>
                <w:szCs w:val="20"/>
              </w:rPr>
              <w:t>thylene oxide in the medicine must be no more than 1 mg/kg or 1</w:t>
            </w:r>
            <w:r>
              <w:rPr>
                <w:sz w:val="20"/>
                <w:szCs w:val="20"/>
              </w:rPr>
              <w:t> </w:t>
            </w:r>
            <w:r w:rsidRPr="00E67E49">
              <w:rPr>
                <w:sz w:val="20"/>
                <w:szCs w:val="20"/>
              </w:rPr>
              <w:t>mg/L or 0.0001%.</w:t>
            </w:r>
          </w:p>
        </w:tc>
      </w:tr>
      <w:tr w:rsidR="00524FD4" w:rsidRPr="00E67E49" w14:paraId="691D6442"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1EDE05D7" w14:textId="16C513F2"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lastRenderedPageBreak/>
              <w:t>PEG-4 LAURATE</w:t>
            </w:r>
          </w:p>
        </w:tc>
        <w:tc>
          <w:tcPr>
            <w:tcW w:w="472" w:type="pct"/>
          </w:tcPr>
          <w:p w14:paraId="4692C3ED" w14:textId="1B0A057C"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35967C61" w14:textId="1692182E"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w:t>
            </w:r>
          </w:p>
          <w:p w14:paraId="02A08EFD" w14:textId="29E23F5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Dioxane and Ethylene oxide are mandatory components of PEG-4 laurate.</w:t>
            </w:r>
          </w:p>
          <w:p w14:paraId="077330A2" w14:textId="68A753F8"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The concentration of </w:t>
            </w:r>
            <w:r>
              <w:rPr>
                <w:sz w:val="20"/>
                <w:szCs w:val="20"/>
              </w:rPr>
              <w:t>e</w:t>
            </w:r>
            <w:r w:rsidRPr="00E67E49">
              <w:rPr>
                <w:sz w:val="20"/>
                <w:szCs w:val="20"/>
              </w:rPr>
              <w:t>thylene oxide in the medicine must be no more than 1 mg/kg or 1</w:t>
            </w:r>
            <w:r>
              <w:rPr>
                <w:sz w:val="20"/>
                <w:szCs w:val="20"/>
              </w:rPr>
              <w:t> </w:t>
            </w:r>
            <w:r w:rsidRPr="00E67E49">
              <w:rPr>
                <w:sz w:val="20"/>
                <w:szCs w:val="20"/>
              </w:rPr>
              <w:t>mg/L or 0.0001%.</w:t>
            </w:r>
          </w:p>
        </w:tc>
      </w:tr>
      <w:tr w:rsidR="00524FD4" w:rsidRPr="00E67E49" w14:paraId="7631E695"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46BE5FBB" w14:textId="52BE31E7"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PEG-40 SORBITAN DIISOSTEARATE</w:t>
            </w:r>
          </w:p>
        </w:tc>
        <w:tc>
          <w:tcPr>
            <w:tcW w:w="472" w:type="pct"/>
          </w:tcPr>
          <w:p w14:paraId="106B63FA" w14:textId="574D0E9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658DADFB" w14:textId="7E86B124"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w:t>
            </w:r>
          </w:p>
          <w:p w14:paraId="1FA93243" w14:textId="764D3CEA"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Dioxane and </w:t>
            </w:r>
            <w:r>
              <w:rPr>
                <w:sz w:val="20"/>
                <w:szCs w:val="20"/>
              </w:rPr>
              <w:t>e</w:t>
            </w:r>
            <w:r w:rsidRPr="00E67E49">
              <w:rPr>
                <w:sz w:val="20"/>
                <w:szCs w:val="20"/>
              </w:rPr>
              <w:t>thylene oxide are mandatory components of PEG-40 sorbitan diisostearate.</w:t>
            </w:r>
          </w:p>
          <w:p w14:paraId="38F9F06F" w14:textId="0C26C576"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The concentration of </w:t>
            </w:r>
            <w:r>
              <w:rPr>
                <w:sz w:val="20"/>
                <w:szCs w:val="20"/>
              </w:rPr>
              <w:t>d</w:t>
            </w:r>
            <w:r w:rsidRPr="00E67E49">
              <w:rPr>
                <w:sz w:val="20"/>
                <w:szCs w:val="20"/>
              </w:rPr>
              <w:t>ioxane in the medicine must be no more than 10 mg/kg or 10 mg/L or 0.001%.</w:t>
            </w:r>
          </w:p>
          <w:p w14:paraId="02E71589" w14:textId="1DC7BAAD"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The concentration of </w:t>
            </w:r>
            <w:r>
              <w:rPr>
                <w:sz w:val="20"/>
                <w:szCs w:val="20"/>
              </w:rPr>
              <w:t>e</w:t>
            </w:r>
            <w:r w:rsidRPr="00E67E49">
              <w:rPr>
                <w:sz w:val="20"/>
                <w:szCs w:val="20"/>
              </w:rPr>
              <w:t>thylene oxide in the medicine must be no more than 1 mg/kg or 1</w:t>
            </w:r>
            <w:r>
              <w:rPr>
                <w:sz w:val="20"/>
                <w:szCs w:val="20"/>
              </w:rPr>
              <w:t> </w:t>
            </w:r>
            <w:r w:rsidRPr="00E67E49">
              <w:rPr>
                <w:sz w:val="20"/>
                <w:szCs w:val="20"/>
              </w:rPr>
              <w:t>mg/L or 0.0001%.</w:t>
            </w:r>
          </w:p>
        </w:tc>
      </w:tr>
      <w:tr w:rsidR="00524FD4" w:rsidRPr="00E67E49" w14:paraId="2A168DA4" w14:textId="77777777" w:rsidTr="00524FD4">
        <w:tc>
          <w:tcPr>
            <w:cnfStyle w:val="001000000000" w:firstRow="0" w:lastRow="0" w:firstColumn="1" w:lastColumn="0" w:oddVBand="0" w:evenVBand="0" w:oddHBand="0" w:evenHBand="0" w:firstRowFirstColumn="0" w:firstRowLastColumn="0" w:lastRowFirstColumn="0" w:lastRowLastColumn="0"/>
            <w:tcW w:w="1175" w:type="pct"/>
          </w:tcPr>
          <w:p w14:paraId="2855EBF0" w14:textId="5AD9D9BA" w:rsidR="00524FD4" w:rsidRPr="00E67E49" w:rsidRDefault="00524FD4" w:rsidP="00524FD4">
            <w:pPr>
              <w:pStyle w:val="ListBullet-dotick"/>
              <w:numPr>
                <w:ilvl w:val="0"/>
                <w:numId w:val="0"/>
              </w:numPr>
              <w:spacing w:before="100" w:beforeAutospacing="1" w:after="100" w:afterAutospacing="1"/>
              <w:contextualSpacing/>
              <w:rPr>
                <w:sz w:val="20"/>
                <w:szCs w:val="20"/>
              </w:rPr>
            </w:pPr>
            <w:r w:rsidRPr="00E67E49">
              <w:rPr>
                <w:sz w:val="20"/>
                <w:szCs w:val="20"/>
              </w:rPr>
              <w:t>GLYCERYL STARCH</w:t>
            </w:r>
          </w:p>
        </w:tc>
        <w:tc>
          <w:tcPr>
            <w:tcW w:w="472" w:type="pct"/>
          </w:tcPr>
          <w:p w14:paraId="0349223F" w14:textId="55D4758F"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E</w:t>
            </w:r>
          </w:p>
        </w:tc>
        <w:tc>
          <w:tcPr>
            <w:tcW w:w="3353" w:type="pct"/>
          </w:tcPr>
          <w:p w14:paraId="5F4F3E38"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Only for use in topical medicines for dermal application.</w:t>
            </w:r>
          </w:p>
          <w:p w14:paraId="7E12D39D" w14:textId="77777777"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concentration in the medicine must be no more than 4%.</w:t>
            </w:r>
          </w:p>
          <w:p w14:paraId="27B37184" w14:textId="148FDA03" w:rsidR="00524FD4" w:rsidRPr="00E67E49" w:rsidRDefault="00524FD4" w:rsidP="00524FD4">
            <w:pPr>
              <w:pStyle w:val="ListBullet-dotick"/>
              <w:numPr>
                <w:ilvl w:val="0"/>
                <w:numId w:val="0"/>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The residual levels of epichlorohydrin are to be kept below the level of detection.</w:t>
            </w:r>
          </w:p>
        </w:tc>
      </w:tr>
    </w:tbl>
    <w:p w14:paraId="7B7FAE73" w14:textId="1BBC80EC" w:rsidR="00ED6749" w:rsidRDefault="0044124E" w:rsidP="00FB119D">
      <w:pPr>
        <w:pStyle w:val="ListBullet"/>
      </w:pPr>
      <w:r>
        <w:rPr>
          <w:rFonts w:cstheme="minorBidi"/>
        </w:rPr>
        <w:t>E</w:t>
      </w:r>
      <w:r w:rsidRPr="009A7D3B">
        <w:rPr>
          <w:rFonts w:cstheme="minorBidi"/>
        </w:rPr>
        <w:t>thylene oxide, propylene oxide and epichlorohydrin</w:t>
      </w:r>
      <w:r>
        <w:t xml:space="preserve"> are not medicines and</w:t>
      </w:r>
      <w:r w:rsidR="007741F6">
        <w:t>,</w:t>
      </w:r>
      <w:r>
        <w:t xml:space="preserve"> as such</w:t>
      </w:r>
      <w:r w:rsidR="007741F6">
        <w:t>,</w:t>
      </w:r>
      <w:r>
        <w:t xml:space="preserve"> are</w:t>
      </w:r>
      <w:r w:rsidR="00ED6749">
        <w:t xml:space="preserve"> not included in the </w:t>
      </w:r>
      <w:hyperlink r:id="rId74" w:history="1">
        <w:r w:rsidR="00ED6749" w:rsidRPr="007176A9">
          <w:rPr>
            <w:rStyle w:val="Hyperlink"/>
          </w:rPr>
          <w:t>TGA prescribing medicines in pregnancy database</w:t>
        </w:r>
      </w:hyperlink>
      <w:r w:rsidR="00ED6749">
        <w:t xml:space="preserve">. </w:t>
      </w:r>
    </w:p>
    <w:p w14:paraId="5C674120" w14:textId="52A93921" w:rsidR="00ED6749" w:rsidRDefault="00ED6749" w:rsidP="00FB119D">
      <w:pPr>
        <w:pStyle w:val="ListBullet"/>
      </w:pPr>
      <w:r>
        <w:t xml:space="preserve">There are no </w:t>
      </w:r>
      <w:r w:rsidRPr="000929FD">
        <w:t>warning</w:t>
      </w:r>
      <w:r>
        <w:t xml:space="preserve"> statements pertaining to </w:t>
      </w:r>
      <w:r w:rsidR="008126BE" w:rsidRPr="009A7D3B">
        <w:rPr>
          <w:rFonts w:cstheme="minorBidi"/>
        </w:rPr>
        <w:t xml:space="preserve">ethylene oxide, propylene oxide </w:t>
      </w:r>
      <w:r w:rsidR="008126BE">
        <w:rPr>
          <w:rFonts w:cstheme="minorBidi"/>
        </w:rPr>
        <w:t>or</w:t>
      </w:r>
      <w:r w:rsidR="008126BE" w:rsidRPr="009A7D3B">
        <w:rPr>
          <w:rFonts w:cstheme="minorBidi"/>
        </w:rPr>
        <w:t xml:space="preserve"> epichlorohydrin</w:t>
      </w:r>
      <w:r>
        <w:t xml:space="preserve"> in the </w:t>
      </w:r>
      <w:hyperlink r:id="rId75" w:history="1">
        <w:r w:rsidRPr="000929FD">
          <w:rPr>
            <w:rStyle w:val="Hyperlink"/>
          </w:rPr>
          <w:t>Therapeutic Goods (Medicines Advisory Statements) Specification 2021</w:t>
        </w:r>
      </w:hyperlink>
      <w:r>
        <w:t>.</w:t>
      </w:r>
    </w:p>
    <w:p w14:paraId="5939F343" w14:textId="77777777" w:rsidR="002342F9" w:rsidRDefault="00ED6749" w:rsidP="00FB119D">
      <w:pPr>
        <w:pStyle w:val="ListBullet"/>
      </w:pPr>
      <w:r>
        <w:t xml:space="preserve">As of </w:t>
      </w:r>
      <w:r w:rsidR="002342F9">
        <w:t>August 2024</w:t>
      </w:r>
      <w:r>
        <w:t xml:space="preserve">, there </w:t>
      </w:r>
      <w:r w:rsidRPr="002342F9">
        <w:t>were no reports of adverse events for products containing</w:t>
      </w:r>
      <w:r w:rsidR="002342F9" w:rsidRPr="002342F9">
        <w:rPr>
          <w:rFonts w:cstheme="minorBidi"/>
        </w:rPr>
        <w:t xml:space="preserve"> ethylene oxide, propylene oxide or epichlorohydrin</w:t>
      </w:r>
      <w:r w:rsidRPr="002342F9">
        <w:t xml:space="preserve"> a</w:t>
      </w:r>
      <w:r>
        <w:t xml:space="preserve">s an active ingredient on the </w:t>
      </w:r>
      <w:hyperlink r:id="rId76" w:history="1">
        <w:r w:rsidRPr="002342F9">
          <w:rPr>
            <w:rStyle w:val="Hyperlink"/>
            <w:rFonts w:asciiTheme="minorHAnsi" w:hAnsiTheme="minorHAnsi"/>
          </w:rPr>
          <w:t>Database of Adverse Events Notifications (DAEN)</w:t>
        </w:r>
      </w:hyperlink>
      <w:r w:rsidR="002342F9">
        <w:t>.</w:t>
      </w:r>
    </w:p>
    <w:p w14:paraId="568D5B78" w14:textId="64E6C065" w:rsidR="00ED6749" w:rsidRDefault="00ED6749" w:rsidP="00FB119D">
      <w:pPr>
        <w:pStyle w:val="ListBullet"/>
      </w:pPr>
      <w:r>
        <w:t xml:space="preserve">As of </w:t>
      </w:r>
      <w:r w:rsidR="0044124E">
        <w:t>September 2024</w:t>
      </w:r>
      <w:r>
        <w:t xml:space="preserve">, </w:t>
      </w:r>
      <w:r w:rsidRPr="0044124E">
        <w:t>there were no products containing</w:t>
      </w:r>
      <w:r>
        <w:t xml:space="preserve"> </w:t>
      </w:r>
      <w:r w:rsidR="0044124E" w:rsidRPr="009A7D3B">
        <w:rPr>
          <w:rFonts w:cstheme="minorBidi"/>
        </w:rPr>
        <w:t>epichlorohydrin</w:t>
      </w:r>
      <w:r>
        <w:t xml:space="preserve"> as an active ingredient/constituent or scheduled substance listed on the </w:t>
      </w:r>
      <w:hyperlink r:id="rId77" w:history="1">
        <w:r w:rsidRPr="008B0E64">
          <w:rPr>
            <w:rStyle w:val="Hyperlink"/>
          </w:rPr>
          <w:t>Public Chemical Registration Information System Search (PubCRIS)</w:t>
        </w:r>
      </w:hyperlink>
      <w:r>
        <w:t>.</w:t>
      </w:r>
    </w:p>
    <w:p w14:paraId="28410288" w14:textId="54764C2B" w:rsidR="0044124E" w:rsidRDefault="0044124E" w:rsidP="00FB119D">
      <w:pPr>
        <w:pStyle w:val="ListBullet"/>
      </w:pPr>
      <w:r>
        <w:t xml:space="preserve">As of September 2024, </w:t>
      </w:r>
      <w:r w:rsidRPr="0044124E">
        <w:t xml:space="preserve">there were </w:t>
      </w:r>
      <w:r>
        <w:t>21</w:t>
      </w:r>
      <w:r w:rsidRPr="0044124E">
        <w:t xml:space="preserve"> products containing</w:t>
      </w:r>
      <w:r>
        <w:t xml:space="preserve"> </w:t>
      </w:r>
      <w:r w:rsidRPr="009A7D3B">
        <w:rPr>
          <w:rFonts w:cstheme="minorBidi"/>
        </w:rPr>
        <w:t>ethylene oxide</w:t>
      </w:r>
      <w:r>
        <w:t xml:space="preserve"> as an active </w:t>
      </w:r>
      <w:r w:rsidR="004C1E18">
        <w:t>ingredient/</w:t>
      </w:r>
      <w:r>
        <w:t xml:space="preserve">constituent listed on the </w:t>
      </w:r>
      <w:hyperlink r:id="rId78" w:history="1">
        <w:r w:rsidRPr="008B0E64">
          <w:rPr>
            <w:rStyle w:val="Hyperlink"/>
          </w:rPr>
          <w:t>Public Chemical Registration Information System Search (PubCRIS)</w:t>
        </w:r>
      </w:hyperlink>
      <w:r>
        <w:t>.</w:t>
      </w:r>
    </w:p>
    <w:p w14:paraId="07FAF6B8" w14:textId="1AEA76B4" w:rsidR="00ED6749" w:rsidRPr="00524FD4" w:rsidRDefault="004C1E18" w:rsidP="00ED6749">
      <w:pPr>
        <w:pStyle w:val="ListBullet2"/>
      </w:pPr>
      <w:r w:rsidRPr="00524FD4">
        <w:t>These products are surfactants, wetting agents, fumigants (mixed function pesticides) and one miticide.</w:t>
      </w:r>
    </w:p>
    <w:p w14:paraId="22CFD1CF" w14:textId="69AEC7FA" w:rsidR="004C1E18" w:rsidRDefault="004C1E18" w:rsidP="00FB119D">
      <w:pPr>
        <w:pStyle w:val="ListBullet"/>
      </w:pPr>
      <w:r>
        <w:t xml:space="preserve">As of September 2024, </w:t>
      </w:r>
      <w:r w:rsidRPr="0044124E">
        <w:t>there w</w:t>
      </w:r>
      <w:r>
        <w:t>as</w:t>
      </w:r>
      <w:r w:rsidRPr="0044124E">
        <w:t xml:space="preserve"> </w:t>
      </w:r>
      <w:r>
        <w:t>1</w:t>
      </w:r>
      <w:r w:rsidRPr="0044124E">
        <w:t xml:space="preserve"> product containing</w:t>
      </w:r>
      <w:r>
        <w:t xml:space="preserve"> </w:t>
      </w:r>
      <w:r>
        <w:rPr>
          <w:rFonts w:cstheme="minorBidi"/>
        </w:rPr>
        <w:t>propy</w:t>
      </w:r>
      <w:r w:rsidRPr="009A7D3B">
        <w:rPr>
          <w:rFonts w:cstheme="minorBidi"/>
        </w:rPr>
        <w:t>lene oxide</w:t>
      </w:r>
      <w:r>
        <w:t xml:space="preserve"> as an active constituent listed on the </w:t>
      </w:r>
      <w:hyperlink r:id="rId79" w:history="1">
        <w:r w:rsidRPr="008B0E64">
          <w:rPr>
            <w:rStyle w:val="Hyperlink"/>
          </w:rPr>
          <w:t>Public Chemical Registration Information System Search (PubCRIS)</w:t>
        </w:r>
      </w:hyperlink>
      <w:r>
        <w:t>.</w:t>
      </w:r>
    </w:p>
    <w:p w14:paraId="41D7B6D4" w14:textId="2FD89F06" w:rsidR="00ED6749" w:rsidRDefault="00ED6749" w:rsidP="00FB119D">
      <w:pPr>
        <w:pStyle w:val="ListBullet"/>
      </w:pPr>
      <w:r>
        <w:t xml:space="preserve">In 2010-2020 the </w:t>
      </w:r>
      <w:r w:rsidR="00CB641C">
        <w:t>no</w:t>
      </w:r>
      <w:r>
        <w:t xml:space="preserve"> adverse experiences were recorded for </w:t>
      </w:r>
      <w:r w:rsidR="00CB641C">
        <w:t xml:space="preserve">ethylene oxide, propylene oxide or </w:t>
      </w:r>
      <w:r w:rsidR="00CB641C" w:rsidRPr="005C4B4C">
        <w:rPr>
          <w:rFonts w:cs="Arial"/>
          <w:color w:val="000000"/>
        </w:rPr>
        <w:t>epichlorohydrin</w:t>
      </w:r>
      <w:r w:rsidR="00CB641C" w:rsidRPr="007741F6">
        <w:t xml:space="preserve"> </w:t>
      </w:r>
      <w:r>
        <w:t xml:space="preserve">in the </w:t>
      </w:r>
      <w:hyperlink r:id="rId80" w:history="1">
        <w:r w:rsidRPr="007F0A4F">
          <w:rPr>
            <w:rStyle w:val="Hyperlink"/>
          </w:rPr>
          <w:t>APVMA Adverse Experience Reporting Program database (AERP)</w:t>
        </w:r>
      </w:hyperlink>
      <w:r w:rsidR="002A2CC4">
        <w:t>.</w:t>
      </w:r>
    </w:p>
    <w:p w14:paraId="46F1C36F" w14:textId="4175BBE7" w:rsidR="00E67E49" w:rsidRPr="00EB54A8" w:rsidRDefault="000D1929" w:rsidP="00FB119D">
      <w:pPr>
        <w:pStyle w:val="ListBullet"/>
      </w:pPr>
      <w:r w:rsidRPr="00EB54A8">
        <w:t xml:space="preserve">Ethlylene oxide, propylene oxide and </w:t>
      </w:r>
      <w:r w:rsidR="00EB54A8">
        <w:t>e</w:t>
      </w:r>
      <w:r w:rsidR="00EB54A8" w:rsidRPr="00EB54A8">
        <w:t xml:space="preserve">pichlorohydrin are included in the </w:t>
      </w:r>
      <w:hyperlink r:id="rId81" w:history="1">
        <w:r w:rsidR="00EB54A8" w:rsidRPr="00EB54A8">
          <w:rPr>
            <w:rStyle w:val="Hyperlink"/>
            <w:rFonts w:asciiTheme="minorHAnsi" w:hAnsiTheme="minorHAnsi"/>
          </w:rPr>
          <w:t>Australian Inventory of Industrial Chemicals</w:t>
        </w:r>
      </w:hyperlink>
      <w:r w:rsidR="00EB54A8" w:rsidRPr="00EB54A8">
        <w:t>.</w:t>
      </w:r>
    </w:p>
    <w:p w14:paraId="55934640" w14:textId="77777777" w:rsidR="00ED6749" w:rsidRDefault="00ED6749" w:rsidP="00ED6749">
      <w:pPr>
        <w:pStyle w:val="Heading4"/>
      </w:pPr>
      <w:bookmarkStart w:id="81" w:name="_Toc177657891"/>
      <w:r>
        <w:t>International regulations</w:t>
      </w:r>
      <w:bookmarkEnd w:id="81"/>
    </w:p>
    <w:p w14:paraId="4BEC76F9" w14:textId="52A6C821" w:rsidR="00ED6749" w:rsidRDefault="0018625C" w:rsidP="00FB119D">
      <w:pPr>
        <w:pStyle w:val="ListBullet"/>
      </w:pPr>
      <w:r>
        <w:t xml:space="preserve">Ethylene oxide is listed as an antimicrobial under the </w:t>
      </w:r>
      <w:hyperlink r:id="rId82" w:history="1">
        <w:r w:rsidRPr="00274B1E">
          <w:rPr>
            <w:rStyle w:val="Hyperlink"/>
          </w:rPr>
          <w:t>United States Environmental Protection Agency’s (US EPA) Office of Pesticides Program</w:t>
        </w:r>
      </w:hyperlink>
    </w:p>
    <w:p w14:paraId="519AC1CA" w14:textId="4FCD8A45" w:rsidR="00F9113E" w:rsidRPr="00190A7F" w:rsidRDefault="00F9113E" w:rsidP="00FB119D">
      <w:pPr>
        <w:pStyle w:val="ListBullet"/>
      </w:pPr>
      <w:r w:rsidRPr="00190A7F">
        <w:t xml:space="preserve">The Occupational Safety and Health Administration (OSHA) regulates worker exposure to </w:t>
      </w:r>
      <w:r w:rsidR="00E67E49">
        <w:t xml:space="preserve">ethylene oxide </w:t>
      </w:r>
      <w:r w:rsidRPr="00190A7F">
        <w:t>in the USA.</w:t>
      </w:r>
      <w:r w:rsidR="001454FC">
        <w:t>[Note that limits in specialised workplaces are often set higher than those for general public exposure]</w:t>
      </w:r>
    </w:p>
    <w:p w14:paraId="49299483" w14:textId="41010F32" w:rsidR="00190A7F" w:rsidRDefault="00F9113E" w:rsidP="00FB119D">
      <w:pPr>
        <w:pStyle w:val="ListBullet2"/>
      </w:pPr>
      <w:r w:rsidRPr="00190A7F">
        <w:t>In 1984, OSHA reduced the permissible exposure limit from 50 ppm to 1 ppm.</w:t>
      </w:r>
    </w:p>
    <w:p w14:paraId="66FD1A9A" w14:textId="414CFC76" w:rsidR="00F9113E" w:rsidRPr="00190A7F" w:rsidRDefault="00F9113E" w:rsidP="00FB119D">
      <w:pPr>
        <w:pStyle w:val="ListBullet2"/>
      </w:pPr>
      <w:r w:rsidRPr="00190A7F">
        <w:lastRenderedPageBreak/>
        <w:t>In 1988,</w:t>
      </w:r>
      <w:r w:rsidR="00190A7F">
        <w:t xml:space="preserve"> </w:t>
      </w:r>
      <w:r w:rsidRPr="00190A7F">
        <w:t>OSHA established a short-term exposure limit (STEL) of 5 ppm for exposures up to 15 minutes</w:t>
      </w:r>
      <w:r w:rsidR="00E67E49">
        <w:t>.</w:t>
      </w:r>
      <w:r w:rsidRPr="00F435BA">
        <w:rPr>
          <w:vertAlign w:val="superscript"/>
        </w:rPr>
        <w:footnoteReference w:id="10"/>
      </w:r>
    </w:p>
    <w:p w14:paraId="499D1F00" w14:textId="58F7B409" w:rsidR="00ED6749" w:rsidRPr="00190A7F" w:rsidRDefault="00F9113E" w:rsidP="00FB119D">
      <w:pPr>
        <w:pStyle w:val="ListBullet2"/>
      </w:pPr>
      <w:r w:rsidRPr="00190A7F">
        <w:t>In 1996, EPA required pesticide product label improvements to standardi</w:t>
      </w:r>
      <w:r w:rsidR="00524FD4">
        <w:t>s</w:t>
      </w:r>
      <w:r w:rsidRPr="00190A7F">
        <w:t>e precautionary</w:t>
      </w:r>
      <w:r w:rsidR="00190A7F">
        <w:t xml:space="preserve"> </w:t>
      </w:r>
      <w:r w:rsidRPr="00190A7F">
        <w:t xml:space="preserve">statements, specify items to be treated with </w:t>
      </w:r>
      <w:r w:rsidR="00E67E49">
        <w:t>ethylene oxide</w:t>
      </w:r>
      <w:r w:rsidRPr="00190A7F">
        <w:t>, and require all users to adopt OSHA’s risk</w:t>
      </w:r>
      <w:r w:rsidR="00460468" w:rsidRPr="00190A7F">
        <w:t xml:space="preserve"> </w:t>
      </w:r>
      <w:r w:rsidRPr="00190A7F">
        <w:t>reduction measures.</w:t>
      </w:r>
    </w:p>
    <w:p w14:paraId="0FBD918E" w14:textId="3F6A2443" w:rsidR="00ED6749" w:rsidRDefault="00A77CE9" w:rsidP="00FB119D">
      <w:pPr>
        <w:pStyle w:val="ListBullet"/>
      </w:pPr>
      <w:r w:rsidRPr="00F435BA">
        <w:t>Epichlorohydrin is toxic to humans </w:t>
      </w:r>
      <w:r w:rsidRPr="00F435BA">
        <w:rPr>
          <w:i/>
          <w:iCs/>
        </w:rPr>
        <w:t>via</w:t>
      </w:r>
      <w:r w:rsidRPr="00F435BA">
        <w:t xml:space="preserve"> multiple routes and is a potential carcinogen. The accurate measurement of </w:t>
      </w:r>
      <w:r w:rsidR="00E67E49">
        <w:t>epichlorohydrin</w:t>
      </w:r>
      <w:r w:rsidRPr="00F435BA">
        <w:t xml:space="preserve"> at trace level (&lt;0.1 μg/L</w:t>
      </w:r>
      <w:r w:rsidR="00116338">
        <w:t xml:space="preserve"> or </w:t>
      </w:r>
      <w:r w:rsidR="00116338" w:rsidRPr="00F435BA">
        <w:t>&lt;</w:t>
      </w:r>
      <w:r w:rsidR="00116338">
        <w:t>0.001 ppm</w:t>
      </w:r>
      <w:r w:rsidRPr="00F435BA">
        <w:t>) is still an obstacle hindering the monitoring and regulation of municipal water systems</w:t>
      </w:r>
      <w:r w:rsidR="00F435BA" w:rsidRPr="00F435BA">
        <w:t xml:space="preserve"> in the USA.</w:t>
      </w:r>
      <w:r w:rsidRPr="00F435BA">
        <w:rPr>
          <w:vertAlign w:val="superscript"/>
        </w:rPr>
        <w:footnoteReference w:id="11"/>
      </w:r>
    </w:p>
    <w:p w14:paraId="599E9D19" w14:textId="77777777" w:rsidR="00696B84" w:rsidRDefault="00696B84" w:rsidP="00FB119D">
      <w:pPr>
        <w:pStyle w:val="ListBullet"/>
      </w:pPr>
      <w:r>
        <w:t xml:space="preserve">The </w:t>
      </w:r>
      <w:r w:rsidRPr="003D6933">
        <w:t>European Agency for the Evaluation of Medicinal Products</w:t>
      </w:r>
      <w:r>
        <w:t xml:space="preserve"> has the following specifications in their </w:t>
      </w:r>
      <w:hyperlink r:id="rId83" w:history="1">
        <w:r w:rsidRPr="003D6933">
          <w:rPr>
            <w:rStyle w:val="Hyperlink"/>
          </w:rPr>
          <w:t>Note For Guidance On Limitations To The Use Of Ethylene Oxide In The Manufacture Of Medicinal Products</w:t>
        </w:r>
      </w:hyperlink>
      <w:r>
        <w:t>:</w:t>
      </w:r>
    </w:p>
    <w:p w14:paraId="34FDAD50" w14:textId="460FA87B" w:rsidR="00696B84" w:rsidRDefault="00696B84" w:rsidP="00696B84">
      <w:pPr>
        <w:pStyle w:val="ListBullet2"/>
      </w:pPr>
      <w:r>
        <w:t>The limits are fixed on a mass/mass basis and not on a daily intake basis. If no official test procedure (e.g. Pharmacopoeia) is available a validated test procedure must be proposed by the applicant (see also note for guidance on Validation of Analytical Procedures Methodology).</w:t>
      </w:r>
    </w:p>
    <w:p w14:paraId="02EE98C1" w14:textId="0327DA5D" w:rsidR="00696B84" w:rsidRDefault="00696B84" w:rsidP="00696B84">
      <w:pPr>
        <w:pStyle w:val="ListBullet2"/>
      </w:pPr>
      <w:r w:rsidRPr="003D6933">
        <w:rPr>
          <w:b/>
          <w:bCs/>
        </w:rPr>
        <w:t>Raw materials Specification:</w:t>
      </w:r>
      <w:r>
        <w:t xml:space="preserve"> Ethylene oxide: 1 µg/g </w:t>
      </w:r>
      <w:r w:rsidR="00116338">
        <w:t xml:space="preserve">(1 ppm) </w:t>
      </w:r>
      <w:r>
        <w:t>Ethylene chlorhydrin (or any other halogenated ethylenehydrine): 50 µg/g</w:t>
      </w:r>
      <w:r w:rsidR="00116338">
        <w:t xml:space="preserve"> (50 ppm)</w:t>
      </w:r>
      <w:r>
        <w:t>.</w:t>
      </w:r>
    </w:p>
    <w:p w14:paraId="1666CA8E" w14:textId="2AF0E17A" w:rsidR="00696B84" w:rsidRDefault="00696B84" w:rsidP="00696B84">
      <w:pPr>
        <w:pStyle w:val="ListBullet2"/>
      </w:pPr>
      <w:r w:rsidRPr="003D6933">
        <w:rPr>
          <w:b/>
          <w:bCs/>
        </w:rPr>
        <w:t>Finished product:</w:t>
      </w:r>
      <w:r>
        <w:t xml:space="preserve"> If the residual ethylene oxide originates from its use in the raw starting material, its content must be limited in the raw starting material. Specification (when used on the finished product): Ethylene oxide: 1 µg/g </w:t>
      </w:r>
      <w:r w:rsidR="00116338">
        <w:t xml:space="preserve">(1 ppm) </w:t>
      </w:r>
      <w:r>
        <w:t>Ethylene chlorhydrin (or any other halogenated ethylenehydrine): 50 µg/g</w:t>
      </w:r>
      <w:r w:rsidR="00116338">
        <w:t xml:space="preserve"> (50 ppm)</w:t>
      </w:r>
      <w:r>
        <w:t>.</w:t>
      </w:r>
    </w:p>
    <w:p w14:paraId="00756409" w14:textId="14333CF4" w:rsidR="00696B84" w:rsidRDefault="00696B84" w:rsidP="00696B84">
      <w:pPr>
        <w:pStyle w:val="ListBullet2"/>
      </w:pPr>
      <w:r w:rsidRPr="003D6933">
        <w:rPr>
          <w:b/>
          <w:bCs/>
        </w:rPr>
        <w:t xml:space="preserve">Containers Specification (based on simulated use): </w:t>
      </w:r>
      <w:r>
        <w:t xml:space="preserve">Ethylene oxide: 1 µg/ml </w:t>
      </w:r>
      <w:r w:rsidR="00116338">
        <w:t>(1 ppm)</w:t>
      </w:r>
      <w:r>
        <w:t xml:space="preserve">(container volume) Ethylene chlorhydrin (or any other halogenated ethylenehydrine): 50 µg/ml </w:t>
      </w:r>
      <w:r w:rsidR="00116338">
        <w:t xml:space="preserve">(50 ppm) </w:t>
      </w:r>
      <w:r>
        <w:t>(container volume)</w:t>
      </w:r>
    </w:p>
    <w:p w14:paraId="1BC3B4A9" w14:textId="77777777" w:rsidR="002A2CC4" w:rsidRDefault="002A2CC4">
      <w:pPr>
        <w:rPr>
          <w:rFonts w:eastAsia="Times New Roman" w:cs="Times New Roman"/>
          <w:b/>
          <w:bCs/>
          <w:color w:val="001871"/>
          <w:sz w:val="38"/>
          <w:szCs w:val="38"/>
        </w:rPr>
      </w:pPr>
      <w:r>
        <w:br w:type="page"/>
      </w:r>
    </w:p>
    <w:p w14:paraId="31400E3B" w14:textId="77777777" w:rsidR="009F47C6" w:rsidRPr="00A06035" w:rsidRDefault="009F47C6" w:rsidP="009F47C6">
      <w:pPr>
        <w:pStyle w:val="Heading3"/>
        <w:rPr>
          <w:rFonts w:eastAsia="Cambria"/>
        </w:rPr>
      </w:pPr>
      <w:bookmarkStart w:id="82" w:name="_Toc177657892"/>
      <w:r w:rsidRPr="00650645">
        <w:rPr>
          <w:rFonts w:eastAsia="Cambria"/>
          <w:i/>
          <w:iCs/>
        </w:rPr>
        <w:lastRenderedPageBreak/>
        <w:t>Symphytum officinalis</w:t>
      </w:r>
      <w:r w:rsidRPr="00A06035">
        <w:rPr>
          <w:rFonts w:eastAsia="Cambria"/>
        </w:rPr>
        <w:t xml:space="preserve"> (comfrey)</w:t>
      </w:r>
      <w:bookmarkEnd w:id="82"/>
    </w:p>
    <w:p w14:paraId="016EABA1" w14:textId="77777777" w:rsidR="009F47C6" w:rsidRDefault="009F47C6" w:rsidP="009F47C6">
      <w:pPr>
        <w:pStyle w:val="Heading4"/>
        <w:rPr>
          <w:rFonts w:cs="Arial"/>
        </w:rPr>
      </w:pPr>
      <w:bookmarkStart w:id="83" w:name="_Toc177657893"/>
      <w:r>
        <w:rPr>
          <w:rFonts w:cs="Arial"/>
        </w:rPr>
        <w:t>Proposal</w:t>
      </w:r>
      <w:bookmarkEnd w:id="83"/>
    </w:p>
    <w:p w14:paraId="0DBAE9D3" w14:textId="77777777" w:rsidR="009F47C6" w:rsidRDefault="009F47C6" w:rsidP="009F47C6">
      <w:r w:rsidRPr="00AC13DF">
        <w:t>The applica</w:t>
      </w:r>
      <w:r w:rsidRPr="00026DD7">
        <w:t xml:space="preserve">nt has </w:t>
      </w:r>
      <w:r w:rsidRPr="00AC13DF">
        <w:t xml:space="preserve">proposed to amend the Poisons Standard in relation to topical </w:t>
      </w:r>
      <w:r w:rsidRPr="00AC13DF">
        <w:rPr>
          <w:i/>
          <w:iCs/>
        </w:rPr>
        <w:t>Symphytum</w:t>
      </w:r>
      <w:r w:rsidRPr="00AC13DF">
        <w:t xml:space="preserve"> spp (comfrey) to allow dermal preparations for therapeutic or cosmetic use to be unscheduled when containing </w:t>
      </w:r>
      <w:r w:rsidRPr="00026DD7">
        <w:t xml:space="preserve">concentrations of </w:t>
      </w:r>
      <w:r w:rsidRPr="00AC13DF">
        <w:t>20% or less of comfrey.</w:t>
      </w:r>
    </w:p>
    <w:p w14:paraId="56A90F2E" w14:textId="77777777" w:rsidR="009F47C6" w:rsidRDefault="009F47C6" w:rsidP="009F47C6">
      <w:pPr>
        <w:pStyle w:val="Heading4"/>
      </w:pPr>
      <w:bookmarkStart w:id="84" w:name="_Toc177657894"/>
      <w:r>
        <w:t>CAS number</w:t>
      </w:r>
      <w:bookmarkEnd w:id="84"/>
    </w:p>
    <w:p w14:paraId="2EB840A6" w14:textId="77777777" w:rsidR="009F47C6" w:rsidRDefault="009F47C6" w:rsidP="009F47C6">
      <w:pPr>
        <w:keepNext/>
        <w:keepLines/>
        <w:spacing w:before="120" w:line="240" w:lineRule="atLeast"/>
        <w:jc w:val="both"/>
        <w:outlineLvl w:val="3"/>
      </w:pPr>
      <w:r w:rsidRPr="0010590B">
        <w:rPr>
          <w:rFonts w:eastAsia="Cambria"/>
          <w:bCs/>
        </w:rPr>
        <w:t>84696-05-9</w:t>
      </w:r>
      <w:r>
        <w:rPr>
          <w:rFonts w:eastAsia="Cambria"/>
          <w:bCs/>
        </w:rPr>
        <w:t xml:space="preserve"> </w:t>
      </w:r>
      <w:r w:rsidRPr="00D67115">
        <w:rPr>
          <w:rFonts w:eastAsia="Cambria" w:cs="Arial"/>
          <w:bCs/>
        </w:rPr>
        <w:t>(</w:t>
      </w:r>
      <w:r w:rsidRPr="00D31B6E">
        <w:rPr>
          <w:rFonts w:eastAsia="Cambria" w:cs="Arial"/>
          <w:bCs/>
          <w:i/>
          <w:iCs/>
        </w:rPr>
        <w:t>Symphytum Officinale</w:t>
      </w:r>
      <w:r w:rsidRPr="00D31B6E">
        <w:rPr>
          <w:rFonts w:eastAsia="Cambria" w:cs="Arial"/>
          <w:bCs/>
        </w:rPr>
        <w:t xml:space="preserve"> Leaf Extract)</w:t>
      </w:r>
    </w:p>
    <w:p w14:paraId="6D94F5DF" w14:textId="77777777" w:rsidR="009F47C6" w:rsidRDefault="009F47C6" w:rsidP="009F47C6">
      <w:pPr>
        <w:pStyle w:val="Heading4"/>
      </w:pPr>
      <w:bookmarkStart w:id="85" w:name="_Toc177657895"/>
      <w:r>
        <w:t>Alternative names</w:t>
      </w:r>
      <w:bookmarkEnd w:id="85"/>
    </w:p>
    <w:p w14:paraId="06A9567D" w14:textId="77777777" w:rsidR="009F47C6" w:rsidRPr="0010590B" w:rsidRDefault="009F47C6" w:rsidP="009F47C6">
      <w:pPr>
        <w:jc w:val="both"/>
        <w:rPr>
          <w:rFonts w:eastAsia="Arial"/>
        </w:rPr>
      </w:pPr>
      <w:r w:rsidRPr="0010590B">
        <w:rPr>
          <w:rFonts w:eastAsia="Arial"/>
        </w:rPr>
        <w:t>Comfrey, boneset, knitbone,</w:t>
      </w:r>
      <w:r w:rsidRPr="0010590B">
        <w:t xml:space="preserve"> </w:t>
      </w:r>
      <w:r w:rsidRPr="0010590B">
        <w:rPr>
          <w:rFonts w:eastAsia="Arial"/>
        </w:rPr>
        <w:t>black wort, wall</w:t>
      </w:r>
      <w:r>
        <w:rPr>
          <w:rFonts w:eastAsia="Arial"/>
        </w:rPr>
        <w:t xml:space="preserve"> </w:t>
      </w:r>
      <w:r w:rsidRPr="0010590B">
        <w:rPr>
          <w:rFonts w:eastAsia="Arial"/>
        </w:rPr>
        <w:t>wort, slippery root</w:t>
      </w:r>
    </w:p>
    <w:p w14:paraId="2967B13C" w14:textId="77777777" w:rsidR="009F47C6" w:rsidRDefault="009F47C6" w:rsidP="009F47C6">
      <w:pPr>
        <w:pStyle w:val="Heading4"/>
      </w:pPr>
      <w:bookmarkStart w:id="86" w:name="_Toc177657896"/>
      <w:r>
        <w:t>Applicant</w:t>
      </w:r>
      <w:bookmarkEnd w:id="86"/>
    </w:p>
    <w:p w14:paraId="0A070AA4" w14:textId="77777777" w:rsidR="009F47C6" w:rsidRDefault="009F47C6" w:rsidP="009F47C6">
      <w:r>
        <w:t>Private applicant</w:t>
      </w:r>
    </w:p>
    <w:p w14:paraId="4B2FDFC3" w14:textId="77777777" w:rsidR="009F47C6" w:rsidRDefault="009F47C6" w:rsidP="009F47C6">
      <w:pPr>
        <w:pStyle w:val="Heading4"/>
      </w:pPr>
      <w:bookmarkStart w:id="87" w:name="_Toc177657897"/>
      <w:r>
        <w:t>Proposed scheduling</w:t>
      </w:r>
      <w:bookmarkEnd w:id="87"/>
    </w:p>
    <w:p w14:paraId="06A81FCC" w14:textId="65FDE512" w:rsidR="009F47C6" w:rsidRPr="000D0203" w:rsidRDefault="009F47C6" w:rsidP="009F47C6">
      <w:pPr>
        <w:rPr>
          <w:rFonts w:cs="Arial"/>
        </w:rPr>
      </w:pPr>
      <w:r w:rsidRPr="000D0203">
        <w:rPr>
          <w:rFonts w:cs="Arial"/>
        </w:rPr>
        <w:t>The applicant’s proposed amendments to the Poisons Standard are</w:t>
      </w:r>
      <w:r w:rsidR="00E67E49">
        <w:rPr>
          <w:rFonts w:cs="Arial"/>
        </w:rPr>
        <w:t>:</w:t>
      </w:r>
      <w:r>
        <w:rPr>
          <w:rFonts w:cs="Arial"/>
          <w:vertAlign w:val="superscript"/>
        </w:rPr>
        <w:t>1</w:t>
      </w:r>
    </w:p>
    <w:p w14:paraId="7AD8946C" w14:textId="77777777" w:rsidR="009F47C6" w:rsidRPr="00153945" w:rsidRDefault="009F47C6" w:rsidP="009F47C6">
      <w:pPr>
        <w:spacing w:line="240" w:lineRule="auto"/>
        <w:ind w:left="425"/>
        <w:rPr>
          <w:rFonts w:eastAsia="Cambria" w:cs="Arial"/>
        </w:rPr>
      </w:pPr>
      <w:r w:rsidRPr="008653D9">
        <w:rPr>
          <w:rFonts w:eastAsia="Arial"/>
          <w:b/>
          <w:bCs/>
        </w:rPr>
        <w:t xml:space="preserve">Schedule 5 – Amend entry </w:t>
      </w:r>
    </w:p>
    <w:p w14:paraId="61C2DFBB" w14:textId="77777777" w:rsidR="009F47C6" w:rsidRPr="008653D9" w:rsidRDefault="009F47C6" w:rsidP="009F47C6">
      <w:pPr>
        <w:ind w:left="850"/>
        <w:rPr>
          <w:rFonts w:cs="Arial"/>
          <w:color w:val="00B050"/>
        </w:rPr>
      </w:pPr>
      <w:r w:rsidRPr="008653D9">
        <w:rPr>
          <w:rFonts w:cs="Arial"/>
        </w:rPr>
        <w:t xml:space="preserve">SYMPHYTUM spp. </w:t>
      </w:r>
      <w:r w:rsidRPr="008653D9">
        <w:rPr>
          <w:rFonts w:cs="Arial"/>
          <w:color w:val="00B050"/>
        </w:rPr>
        <w:t xml:space="preserve">in preparations </w:t>
      </w:r>
      <w:r w:rsidRPr="008653D9">
        <w:rPr>
          <w:rFonts w:cs="Arial"/>
        </w:rPr>
        <w:t xml:space="preserve">for dermal therapeutic or dermal cosmetic use </w:t>
      </w:r>
      <w:r w:rsidRPr="00423CD0">
        <w:rPr>
          <w:rFonts w:cs="Arial"/>
          <w:b/>
          <w:bCs/>
          <w:color w:val="00B050"/>
        </w:rPr>
        <w:t>except</w:t>
      </w:r>
      <w:r w:rsidRPr="008653D9">
        <w:rPr>
          <w:rFonts w:cs="Arial"/>
          <w:color w:val="00B050"/>
        </w:rPr>
        <w:t xml:space="preserve"> in preparations for dermal therapeutic or dermal cosmetic use containing 20% or less of comfrey.</w:t>
      </w:r>
    </w:p>
    <w:p w14:paraId="0C0DE360" w14:textId="77777777" w:rsidR="009F47C6" w:rsidRPr="008653D9" w:rsidRDefault="009F47C6" w:rsidP="009F47C6">
      <w:pPr>
        <w:ind w:left="425"/>
        <w:rPr>
          <w:rFonts w:eastAsia="Arial"/>
          <w:b/>
          <w:bCs/>
        </w:rPr>
      </w:pPr>
      <w:r w:rsidRPr="008653D9">
        <w:rPr>
          <w:rFonts w:eastAsia="Arial"/>
          <w:b/>
          <w:bCs/>
        </w:rPr>
        <w:t>Schedule 10 – Amend entry</w:t>
      </w:r>
    </w:p>
    <w:p w14:paraId="0BD89692" w14:textId="77777777" w:rsidR="009F47C6" w:rsidRPr="00032C4F" w:rsidRDefault="009F47C6" w:rsidP="009F47C6">
      <w:pPr>
        <w:spacing w:after="0" w:line="240" w:lineRule="auto"/>
        <w:ind w:left="850"/>
        <w:jc w:val="both"/>
        <w:rPr>
          <w:rFonts w:eastAsia="Arial"/>
        </w:rPr>
      </w:pPr>
      <w:r w:rsidRPr="008653D9">
        <w:rPr>
          <w:rFonts w:eastAsia="Cambria" w:cs="Arial"/>
        </w:rPr>
        <w:t xml:space="preserve">SYMPHYTUM spp. in preparations for human or animal use </w:t>
      </w:r>
      <w:r w:rsidRPr="008653D9">
        <w:rPr>
          <w:rFonts w:eastAsia="Cambria" w:cs="Arial"/>
          <w:b/>
        </w:rPr>
        <w:t>except</w:t>
      </w:r>
      <w:r w:rsidRPr="008653D9">
        <w:rPr>
          <w:rFonts w:eastAsia="Cambria" w:cs="Arial"/>
        </w:rPr>
        <w:t xml:space="preserve"> when </w:t>
      </w:r>
      <w:r w:rsidRPr="008653D9">
        <w:rPr>
          <w:rFonts w:eastAsia="Arial"/>
          <w:color w:val="00B050"/>
        </w:rPr>
        <w:t>included or expressly excluded</w:t>
      </w:r>
      <w:r>
        <w:rPr>
          <w:rFonts w:eastAsia="Arial"/>
          <w:color w:val="00B050"/>
        </w:rPr>
        <w:t xml:space="preserve"> from</w:t>
      </w:r>
      <w:r w:rsidRPr="008653D9">
        <w:rPr>
          <w:rFonts w:eastAsia="Cambria" w:cs="Arial"/>
        </w:rPr>
        <w:t xml:space="preserve"> Schedule 5.</w:t>
      </w:r>
    </w:p>
    <w:p w14:paraId="0F151777" w14:textId="77777777" w:rsidR="009F47C6" w:rsidRDefault="009F47C6" w:rsidP="009F47C6">
      <w:pPr>
        <w:ind w:left="425"/>
        <w:rPr>
          <w:rFonts w:eastAsia="Arial"/>
          <w:b/>
          <w:bCs/>
        </w:rPr>
      </w:pPr>
    </w:p>
    <w:p w14:paraId="3731DB17" w14:textId="77777777" w:rsidR="009F47C6" w:rsidRPr="0010590B" w:rsidRDefault="009F47C6" w:rsidP="009F47C6">
      <w:pPr>
        <w:ind w:left="425"/>
        <w:rPr>
          <w:rFonts w:eastAsia="Arial"/>
          <w:b/>
          <w:bCs/>
        </w:rPr>
      </w:pPr>
      <w:r w:rsidRPr="0010590B">
        <w:rPr>
          <w:rFonts w:eastAsia="Arial"/>
          <w:b/>
          <w:bCs/>
        </w:rPr>
        <w:t xml:space="preserve">Index </w:t>
      </w:r>
    </w:p>
    <w:p w14:paraId="0EAED74D" w14:textId="77777777" w:rsidR="009F47C6" w:rsidRDefault="009F47C6" w:rsidP="009F47C6">
      <w:pPr>
        <w:ind w:left="850"/>
        <w:rPr>
          <w:rFonts w:cs="Arial"/>
          <w:b/>
        </w:rPr>
      </w:pPr>
      <w:r w:rsidRPr="0010590B">
        <w:rPr>
          <w:rFonts w:cs="Arial"/>
          <w:b/>
        </w:rPr>
        <w:t>SYMPHYTUM spp.</w:t>
      </w:r>
      <w:r w:rsidRPr="0010590B">
        <w:rPr>
          <w:rFonts w:cs="Arial"/>
          <w:b/>
        </w:rPr>
        <w:br/>
      </w:r>
      <w:r w:rsidRPr="0010590B">
        <w:rPr>
          <w:rFonts w:cs="Arial"/>
        </w:rPr>
        <w:t>cross reference: COMFREY</w:t>
      </w:r>
    </w:p>
    <w:p w14:paraId="6486658F" w14:textId="77777777" w:rsidR="009F47C6" w:rsidRDefault="009F47C6" w:rsidP="009F47C6">
      <w:pPr>
        <w:ind w:left="850"/>
        <w:rPr>
          <w:rFonts w:cs="Arial"/>
        </w:rPr>
      </w:pPr>
      <w:r w:rsidRPr="0010590B">
        <w:rPr>
          <w:rFonts w:cs="Arial"/>
        </w:rPr>
        <w:t>Schedule 10</w:t>
      </w:r>
      <w:r w:rsidRPr="0010590B">
        <w:rPr>
          <w:rFonts w:cs="Arial"/>
        </w:rPr>
        <w:br/>
        <w:t>Schedule 5</w:t>
      </w:r>
      <w:r w:rsidRPr="0010590B">
        <w:rPr>
          <w:rFonts w:cs="Arial"/>
        </w:rPr>
        <w:br/>
        <w:t>Appendix F, clause 4</w:t>
      </w:r>
    </w:p>
    <w:p w14:paraId="647ADA2B" w14:textId="77777777" w:rsidR="00000FA0" w:rsidRDefault="00000FA0">
      <w:pPr>
        <w:rPr>
          <w:rFonts w:eastAsia="Cambria" w:cs="Times New Roman"/>
          <w:bCs/>
          <w:color w:val="001871"/>
          <w:sz w:val="28"/>
          <w:szCs w:val="26"/>
          <w:lang w:eastAsia="en-AU"/>
        </w:rPr>
      </w:pPr>
      <w:r>
        <w:br w:type="page"/>
      </w:r>
    </w:p>
    <w:p w14:paraId="12F30ED2" w14:textId="17B70D03" w:rsidR="009F47C6" w:rsidRDefault="009F47C6" w:rsidP="009F47C6">
      <w:pPr>
        <w:pStyle w:val="Heading4"/>
      </w:pPr>
      <w:bookmarkStart w:id="88" w:name="_Toc177657898"/>
      <w:r>
        <w:lastRenderedPageBreak/>
        <w:t>Background</w:t>
      </w:r>
      <w:bookmarkEnd w:id="88"/>
    </w:p>
    <w:p w14:paraId="118C4909" w14:textId="77777777" w:rsidR="009F47C6" w:rsidRDefault="009F47C6" w:rsidP="009F47C6">
      <w:pPr>
        <w:spacing w:before="120" w:after="180" w:line="240" w:lineRule="atLeast"/>
        <w:jc w:val="both"/>
        <w:rPr>
          <w:rFonts w:eastAsia="Cambria" w:cs="Arial"/>
          <w:kern w:val="24"/>
          <w:lang w:eastAsia="en-AU"/>
        </w:rPr>
      </w:pPr>
      <w:r w:rsidRPr="00F20573">
        <w:rPr>
          <w:rFonts w:eastAsia="Cambria" w:cs="Arial"/>
          <w:kern w:val="24"/>
          <w:lang w:eastAsia="en-AU"/>
        </w:rPr>
        <w:t>Topical preparations of comfrey are purported to treat pain, heal sprains, bruises, burns and joint inflammation, and to repair skin. In 1992 comfrey was listed in Schedule 5 for dermal use.</w:t>
      </w:r>
    </w:p>
    <w:p w14:paraId="4DDAA154" w14:textId="7A0991F7" w:rsidR="009F47C6" w:rsidRPr="00D51FF5" w:rsidRDefault="009F47C6" w:rsidP="009F47C6">
      <w:pPr>
        <w:spacing w:before="120" w:after="180" w:line="240" w:lineRule="atLeast"/>
        <w:jc w:val="both"/>
        <w:rPr>
          <w:rFonts w:eastAsia="Cambria" w:cs="Times New Roman"/>
        </w:rPr>
      </w:pPr>
      <w:r w:rsidRPr="00F20573">
        <w:rPr>
          <w:rFonts w:eastAsia="Cambria" w:cs="Arial"/>
          <w:kern w:val="24"/>
          <w:lang w:eastAsia="en-AU"/>
        </w:rPr>
        <w:t xml:space="preserve">Liver toxicity associated with various potential uses of comfrey, including exposures via food, creams, ointments and in traditional medicines led to the </w:t>
      </w:r>
      <w:r w:rsidR="00000FA0">
        <w:rPr>
          <w:rFonts w:eastAsia="Cambria" w:cs="Arial"/>
          <w:kern w:val="24"/>
          <w:lang w:eastAsia="en-AU"/>
        </w:rPr>
        <w:t xml:space="preserve">revision of the </w:t>
      </w:r>
      <w:r w:rsidRPr="00F20573">
        <w:rPr>
          <w:rFonts w:eastAsia="Cambria" w:cs="Arial"/>
          <w:kern w:val="24"/>
          <w:lang w:eastAsia="en-AU"/>
        </w:rPr>
        <w:t xml:space="preserve">Schedule 5 and </w:t>
      </w:r>
      <w:r w:rsidR="00000FA0">
        <w:rPr>
          <w:rFonts w:eastAsia="Cambria" w:cs="Arial"/>
          <w:kern w:val="24"/>
          <w:lang w:eastAsia="en-AU"/>
        </w:rPr>
        <w:t xml:space="preserve">Schedule </w:t>
      </w:r>
      <w:r w:rsidRPr="00F20573">
        <w:rPr>
          <w:rFonts w:eastAsia="Cambria" w:cs="Arial"/>
          <w:kern w:val="24"/>
          <w:lang w:eastAsia="en-AU"/>
        </w:rPr>
        <w:t xml:space="preserve">10 </w:t>
      </w:r>
      <w:r w:rsidR="00000FA0">
        <w:rPr>
          <w:rFonts w:eastAsia="Cambria" w:cs="Arial"/>
          <w:kern w:val="24"/>
          <w:lang w:eastAsia="en-AU"/>
        </w:rPr>
        <w:t xml:space="preserve">(previously Appendix C) </w:t>
      </w:r>
      <w:r w:rsidRPr="00F20573">
        <w:rPr>
          <w:rFonts w:eastAsia="Cambria" w:cs="Arial"/>
          <w:kern w:val="24"/>
          <w:lang w:eastAsia="en-AU"/>
        </w:rPr>
        <w:t xml:space="preserve">entries in May 1992. This wording clarified the types of products </w:t>
      </w:r>
      <w:r w:rsidRPr="00D51FF5">
        <w:rPr>
          <w:rFonts w:eastAsia="Cambria" w:cs="Times New Roman"/>
        </w:rPr>
        <w:t>included in the entries.</w:t>
      </w:r>
    </w:p>
    <w:p w14:paraId="576C0328" w14:textId="6CF718E6" w:rsidR="009F47C6" w:rsidRPr="00D51FF5" w:rsidRDefault="009F47C6" w:rsidP="009F47C6">
      <w:pPr>
        <w:spacing w:before="120" w:after="180" w:line="240" w:lineRule="atLeast"/>
        <w:jc w:val="both"/>
        <w:rPr>
          <w:rFonts w:eastAsia="Cambria" w:cs="Times New Roman"/>
        </w:rPr>
      </w:pPr>
      <w:r w:rsidRPr="00D51FF5">
        <w:rPr>
          <w:rFonts w:eastAsia="Cambria" w:cs="Times New Roman"/>
        </w:rPr>
        <w:t xml:space="preserve">To reduce ambiguity, the </w:t>
      </w:r>
      <w:r w:rsidR="007F251D">
        <w:rPr>
          <w:rFonts w:eastAsia="Cambria" w:cs="Times New Roman"/>
        </w:rPr>
        <w:t>S</w:t>
      </w:r>
      <w:r w:rsidR="001454FC">
        <w:rPr>
          <w:rFonts w:eastAsia="Cambria" w:cs="Times New Roman"/>
        </w:rPr>
        <w:t>ch</w:t>
      </w:r>
      <w:r w:rsidR="007F251D">
        <w:rPr>
          <w:rFonts w:eastAsia="Cambria" w:cs="Times New Roman"/>
        </w:rPr>
        <w:t xml:space="preserve">edule 5 </w:t>
      </w:r>
      <w:r w:rsidR="00000FA0">
        <w:rPr>
          <w:rFonts w:eastAsia="Cambria" w:cs="Times New Roman"/>
        </w:rPr>
        <w:t>entry</w:t>
      </w:r>
      <w:r w:rsidR="00000FA0" w:rsidRPr="00D51FF5">
        <w:rPr>
          <w:rFonts w:eastAsia="Cambria" w:cs="Times New Roman"/>
        </w:rPr>
        <w:t xml:space="preserve"> </w:t>
      </w:r>
      <w:r w:rsidRPr="00D51FF5">
        <w:rPr>
          <w:rFonts w:eastAsia="Cambria" w:cs="Times New Roman"/>
        </w:rPr>
        <w:t>was further amended in 2016 to specifically include only dermal therapeutic products and dermal cosmetics.</w:t>
      </w:r>
    </w:p>
    <w:p w14:paraId="65C20818" w14:textId="6103F530" w:rsidR="009F47C6" w:rsidRPr="00D51FF5" w:rsidRDefault="009F47C6" w:rsidP="009F47C6">
      <w:pPr>
        <w:spacing w:before="120" w:after="180" w:line="240" w:lineRule="atLeast"/>
        <w:jc w:val="both"/>
        <w:rPr>
          <w:rFonts w:eastAsia="Cambria" w:cs="Times New Roman"/>
        </w:rPr>
      </w:pPr>
      <w:r w:rsidRPr="00D51FF5">
        <w:rPr>
          <w:rFonts w:eastAsia="Cambria" w:cs="Times New Roman"/>
        </w:rPr>
        <w:t xml:space="preserve">In 2023, a proposal to include comfrey as a food with 0.9% alkaloids was </w:t>
      </w:r>
      <w:r w:rsidR="00000FA0">
        <w:rPr>
          <w:rFonts w:eastAsia="Cambria" w:cs="Times New Roman"/>
        </w:rPr>
        <w:t>not agreed to,</w:t>
      </w:r>
      <w:r w:rsidR="00000FA0" w:rsidRPr="00D51FF5">
        <w:rPr>
          <w:rFonts w:eastAsia="Cambria" w:cs="Times New Roman"/>
        </w:rPr>
        <w:t xml:space="preserve"> </w:t>
      </w:r>
      <w:r w:rsidRPr="00D51FF5">
        <w:rPr>
          <w:rFonts w:eastAsia="Cambria" w:cs="Times New Roman"/>
        </w:rPr>
        <w:t>due largely to the risk of liver toxicity.</w:t>
      </w:r>
    </w:p>
    <w:p w14:paraId="5FBD7681" w14:textId="77777777" w:rsidR="009F47C6" w:rsidRDefault="009F47C6" w:rsidP="009F47C6">
      <w:pPr>
        <w:pStyle w:val="Heading4"/>
      </w:pPr>
      <w:bookmarkStart w:id="89" w:name="_Toc177657899"/>
      <w:r>
        <w:t>Summary of applicant’s reasons for the proposal</w:t>
      </w:r>
      <w:bookmarkEnd w:id="89"/>
    </w:p>
    <w:p w14:paraId="02782163" w14:textId="0E8D4296" w:rsidR="009F47C6" w:rsidRPr="003332A3" w:rsidRDefault="00ED5C1F" w:rsidP="00FB119D">
      <w:pPr>
        <w:pStyle w:val="ListBullet"/>
        <w:rPr>
          <w:color w:val="002C47" w:themeColor="text1"/>
          <w:kern w:val="24"/>
          <w:lang w:eastAsia="en-AU"/>
        </w:rPr>
      </w:pPr>
      <w:r>
        <w:t xml:space="preserve">The </w:t>
      </w:r>
      <w:hyperlink r:id="rId84" w:history="1">
        <w:r w:rsidR="009F47C6" w:rsidRPr="008513EC">
          <w:rPr>
            <w:rStyle w:val="Hyperlink"/>
          </w:rPr>
          <w:t>European Scientific Cooperative on Phytotherapy Monograph (ESCOP) monograph</w:t>
        </w:r>
      </w:hyperlink>
      <w:r w:rsidR="009F47C6" w:rsidRPr="00E85BB3">
        <w:t xml:space="preserve"> </w:t>
      </w:r>
      <w:r w:rsidR="009F47C6">
        <w:t>states th</w:t>
      </w:r>
      <w:r>
        <w:t>at</w:t>
      </w:r>
      <w:r w:rsidR="009F47C6">
        <w:t xml:space="preserve"> </w:t>
      </w:r>
      <w:r w:rsidR="009F47C6" w:rsidRPr="00E85BB3">
        <w:t>comfrey root</w:t>
      </w:r>
      <w:r w:rsidR="009F47C6">
        <w:t xml:space="preserve"> can be</w:t>
      </w:r>
      <w:r w:rsidR="009F47C6" w:rsidRPr="00E85BB3">
        <w:t xml:space="preserve"> </w:t>
      </w:r>
      <w:r w:rsidR="009F47C6">
        <w:t xml:space="preserve">used </w:t>
      </w:r>
      <w:r w:rsidR="009F47C6" w:rsidRPr="00E85BB3">
        <w:t xml:space="preserve">for tendinitis, knee joint injuries, gonarthrosis, fractures and skin inflammation. </w:t>
      </w:r>
      <w:r w:rsidR="009F47C6" w:rsidRPr="005343B9">
        <w:rPr>
          <w:i/>
          <w:iCs/>
        </w:rPr>
        <w:t>Symphytum</w:t>
      </w:r>
      <w:r w:rsidR="009F47C6" w:rsidRPr="00E85BB3">
        <w:t xml:space="preserve"> species preparations have records </w:t>
      </w:r>
      <w:r w:rsidR="009F47C6">
        <w:t>of</w:t>
      </w:r>
      <w:r w:rsidR="009F47C6" w:rsidRPr="003332A3">
        <w:t xml:space="preserve"> their traditional topical use in the treatment of musculoskeletal</w:t>
      </w:r>
      <w:r w:rsidR="009F47C6">
        <w:t xml:space="preserve"> issues</w:t>
      </w:r>
      <w:r w:rsidR="009F47C6" w:rsidRPr="003332A3">
        <w:t xml:space="preserve"> such as osteoarthritis (OA), back pain, ankle sprains, joint distortion, myalgia and</w:t>
      </w:r>
      <w:r w:rsidR="009F47C6">
        <w:t xml:space="preserve"> </w:t>
      </w:r>
      <w:r w:rsidR="009F47C6" w:rsidRPr="003332A3">
        <w:t>rheumatism.</w:t>
      </w:r>
    </w:p>
    <w:p w14:paraId="55A5835E" w14:textId="77777777" w:rsidR="009F47C6" w:rsidRPr="006623F9" w:rsidRDefault="009F47C6" w:rsidP="00FB119D">
      <w:pPr>
        <w:pStyle w:val="ListBullet"/>
        <w:rPr>
          <w:color w:val="002C47" w:themeColor="text1"/>
          <w:kern w:val="24"/>
          <w:lang w:eastAsia="en-AU"/>
        </w:rPr>
      </w:pPr>
      <w:r w:rsidRPr="002810C4">
        <w:t xml:space="preserve">Three topical products have been </w:t>
      </w:r>
      <w:r>
        <w:t xml:space="preserve">registered </w:t>
      </w:r>
      <w:r w:rsidRPr="002810C4">
        <w:t xml:space="preserve">on the </w:t>
      </w:r>
      <w:hyperlink r:id="rId85" w:history="1">
        <w:r w:rsidRPr="00C03228">
          <w:rPr>
            <w:rStyle w:val="Hyperlink"/>
          </w:rPr>
          <w:t>A</w:t>
        </w:r>
        <w:r>
          <w:rPr>
            <w:rStyle w:val="Hyperlink"/>
          </w:rPr>
          <w:t>ustralian Register of Therapeutic Goods (A</w:t>
        </w:r>
        <w:r w:rsidRPr="00C03228">
          <w:rPr>
            <w:rStyle w:val="Hyperlink"/>
          </w:rPr>
          <w:t>RTG</w:t>
        </w:r>
      </w:hyperlink>
      <w:r>
        <w:t>).</w:t>
      </w:r>
    </w:p>
    <w:p w14:paraId="49AD9407" w14:textId="77777777" w:rsidR="009F47C6" w:rsidRPr="006623F9" w:rsidRDefault="009F47C6" w:rsidP="00FB119D">
      <w:pPr>
        <w:pStyle w:val="ListBullet"/>
        <w:rPr>
          <w:lang w:eastAsia="en-AU"/>
        </w:rPr>
      </w:pPr>
      <w:r w:rsidRPr="006623F9">
        <w:rPr>
          <w:lang w:eastAsia="en-AU"/>
        </w:rPr>
        <w:t>Topical comfrey preparations are widely available in Europe, USA and New Zealand, where they are unscheduled.</w:t>
      </w:r>
    </w:p>
    <w:p w14:paraId="2314AA16" w14:textId="1A8D64A4" w:rsidR="009F47C6" w:rsidRPr="006623F9" w:rsidRDefault="009F47C6" w:rsidP="00FB119D">
      <w:pPr>
        <w:pStyle w:val="ListBullet"/>
        <w:rPr>
          <w:lang w:eastAsia="en-AU"/>
        </w:rPr>
      </w:pPr>
      <w:r w:rsidRPr="006623F9">
        <w:rPr>
          <w:lang w:eastAsia="en-AU"/>
        </w:rPr>
        <w:t>Pyrrolizidine alkaloids are considered not to be of clinical significance in topical products containing comfrey</w:t>
      </w:r>
      <w:r w:rsidR="00000FA0">
        <w:rPr>
          <w:lang w:eastAsia="en-AU"/>
        </w:rPr>
        <w:t>.</w:t>
      </w:r>
      <w:r>
        <w:rPr>
          <w:rStyle w:val="FootnoteReference"/>
          <w:lang w:eastAsia="en-AU"/>
        </w:rPr>
        <w:footnoteReference w:id="12"/>
      </w:r>
    </w:p>
    <w:p w14:paraId="6ACDC3CA" w14:textId="77777777" w:rsidR="009F47C6" w:rsidRDefault="009F47C6" w:rsidP="009F47C6">
      <w:pPr>
        <w:pStyle w:val="Heading4"/>
      </w:pPr>
      <w:bookmarkStart w:id="90" w:name="_Toc177657900"/>
      <w:r>
        <w:t>Key uses / expected use</w:t>
      </w:r>
      <w:bookmarkEnd w:id="90"/>
    </w:p>
    <w:p w14:paraId="72DD0641" w14:textId="5E832DCF" w:rsidR="009F47C6" w:rsidRDefault="009F47C6" w:rsidP="00FB119D">
      <w:pPr>
        <w:pStyle w:val="ListBullet-dotick"/>
        <w:numPr>
          <w:ilvl w:val="0"/>
          <w:numId w:val="0"/>
        </w:numPr>
      </w:pPr>
      <w:r w:rsidRPr="00473BEE">
        <w:t>Medicines – topical</w:t>
      </w:r>
    </w:p>
    <w:p w14:paraId="2445DEC8" w14:textId="77777777" w:rsidR="009F47C6" w:rsidRDefault="009F47C6" w:rsidP="009F47C6">
      <w:pPr>
        <w:pStyle w:val="Heading4"/>
      </w:pPr>
      <w:bookmarkStart w:id="91" w:name="_Toc177657901"/>
      <w:r>
        <w:t>Australian regulations</w:t>
      </w:r>
      <w:bookmarkEnd w:id="91"/>
    </w:p>
    <w:p w14:paraId="2780592D" w14:textId="77777777" w:rsidR="009F47C6" w:rsidRPr="0047107E" w:rsidRDefault="009F47C6" w:rsidP="00FB119D">
      <w:pPr>
        <w:pStyle w:val="ListBullet"/>
        <w:rPr>
          <w:color w:val="000000"/>
          <w:lang w:eastAsia="en-AU"/>
        </w:rPr>
      </w:pPr>
      <w:r w:rsidRPr="00585202">
        <w:rPr>
          <w:bCs/>
        </w:rPr>
        <w:t>A</w:t>
      </w:r>
      <w:r w:rsidRPr="0047107E">
        <w:rPr>
          <w:bCs/>
        </w:rPr>
        <w:t>ccording</w:t>
      </w:r>
      <w:r w:rsidRPr="0047107E">
        <w:rPr>
          <w:color w:val="000000"/>
          <w:lang w:eastAsia="en-AU"/>
        </w:rPr>
        <w:t xml:space="preserve"> to the </w:t>
      </w:r>
      <w:hyperlink r:id="rId86" w:history="1">
        <w:r w:rsidRPr="0047107E">
          <w:rPr>
            <w:color w:val="0000FF"/>
            <w:u w:val="single"/>
            <w:lang w:eastAsia="en-AU"/>
          </w:rPr>
          <w:t>TGA Ingredient Database</w:t>
        </w:r>
      </w:hyperlink>
      <w:r w:rsidRPr="0047107E">
        <w:rPr>
          <w:color w:val="000000"/>
          <w:lang w:eastAsia="en-AU"/>
        </w:rPr>
        <w:t>, comfrey is:</w:t>
      </w:r>
    </w:p>
    <w:p w14:paraId="01E9E7DF" w14:textId="77777777" w:rsidR="009F47C6" w:rsidRPr="004E1952" w:rsidRDefault="009F47C6" w:rsidP="009F47C6">
      <w:pPr>
        <w:pStyle w:val="ListBullet2"/>
      </w:pPr>
      <w:r w:rsidRPr="004E1952">
        <w:t>Available for use as an Active Ingredient in: Export Only, Listed Medicines, Over the Counter, Prescription Medicines.</w:t>
      </w:r>
    </w:p>
    <w:p w14:paraId="0571054C" w14:textId="77777777" w:rsidR="009F47C6" w:rsidRPr="004E1952" w:rsidRDefault="009F47C6" w:rsidP="009F47C6">
      <w:pPr>
        <w:pStyle w:val="ListBullet2"/>
      </w:pPr>
      <w:r w:rsidRPr="004E1952">
        <w:t>Available for use in Listed Medicines as a Homoeopathic Ingredient only</w:t>
      </w:r>
    </w:p>
    <w:p w14:paraId="5BE4D953" w14:textId="77777777" w:rsidR="009F47C6" w:rsidRPr="004E1952" w:rsidRDefault="009F47C6" w:rsidP="009F47C6">
      <w:pPr>
        <w:pStyle w:val="ListBullet2"/>
      </w:pPr>
      <w:r w:rsidRPr="004E1952">
        <w:t>Available for use as an Excipient Ingredient in: Prescription Medicines.</w:t>
      </w:r>
    </w:p>
    <w:p w14:paraId="75723622" w14:textId="77777777" w:rsidR="009F47C6" w:rsidRPr="004E1952" w:rsidRDefault="009F47C6" w:rsidP="009F47C6">
      <w:pPr>
        <w:pStyle w:val="ListBullet2"/>
      </w:pPr>
      <w:r w:rsidRPr="004E1952">
        <w:t>Not available as an Equivalent Ingredient in any application.</w:t>
      </w:r>
    </w:p>
    <w:p w14:paraId="3993A3F9" w14:textId="77777777" w:rsidR="009F47C6" w:rsidRDefault="009F47C6" w:rsidP="00FB119D">
      <w:pPr>
        <w:pStyle w:val="ListBullet"/>
      </w:pPr>
      <w:r>
        <w:t xml:space="preserve">As of August 2024, there were 3 medicines currently active on the </w:t>
      </w:r>
      <w:hyperlink r:id="rId87" w:history="1">
        <w:r w:rsidRPr="00C56F18">
          <w:rPr>
            <w:rStyle w:val="Hyperlink"/>
          </w:rPr>
          <w:t>Australian Register of Therapeutic Goods (ARTG)</w:t>
        </w:r>
      </w:hyperlink>
      <w:r>
        <w:t xml:space="preserve"> that contain comfrey as an active ingredient. These are all non-prescription medicines.</w:t>
      </w:r>
    </w:p>
    <w:p w14:paraId="70065767" w14:textId="77777777" w:rsidR="009F47C6" w:rsidRDefault="009F47C6" w:rsidP="00FB119D">
      <w:pPr>
        <w:pStyle w:val="ListBullet"/>
      </w:pPr>
      <w:r>
        <w:t xml:space="preserve">According to the </w:t>
      </w:r>
      <w:hyperlink r:id="rId88" w:history="1">
        <w:r w:rsidRPr="00C56F18">
          <w:rPr>
            <w:rStyle w:val="Hyperlink"/>
          </w:rPr>
          <w:t>Therapeutic Goods (Permissible Ingredients) Determination</w:t>
        </w:r>
      </w:hyperlink>
      <w:r>
        <w:t xml:space="preserve"> (No.4) 2023, </w:t>
      </w:r>
      <w:r w:rsidRPr="00D102F3">
        <w:rPr>
          <w:rFonts w:cs="Arial"/>
          <w:i/>
          <w:iCs/>
          <w:color w:val="000000"/>
          <w:lang w:eastAsia="en-AU"/>
        </w:rPr>
        <w:t>symphytum officinale</w:t>
      </w:r>
      <w:r w:rsidRPr="004C22DE">
        <w:rPr>
          <w:rFonts w:cs="Arial"/>
          <w:color w:val="000000"/>
          <w:lang w:eastAsia="en-AU"/>
        </w:rPr>
        <w:t xml:space="preserve"> </w:t>
      </w:r>
      <w:r>
        <w:t>is permitted to be included in listed medicines as follows:</w:t>
      </w:r>
    </w:p>
    <w:tbl>
      <w:tblPr>
        <w:tblStyle w:val="TableTGAblue"/>
        <w:tblW w:w="0" w:type="auto"/>
        <w:tblLook w:val="04A0" w:firstRow="1" w:lastRow="0" w:firstColumn="1" w:lastColumn="0" w:noHBand="0" w:noVBand="1"/>
      </w:tblPr>
      <w:tblGrid>
        <w:gridCol w:w="703"/>
        <w:gridCol w:w="2933"/>
        <w:gridCol w:w="1097"/>
        <w:gridCol w:w="4273"/>
      </w:tblGrid>
      <w:tr w:rsidR="002A2CC4" w:rsidRPr="00E67E49" w14:paraId="623DF91E" w14:textId="77777777" w:rsidTr="00E6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3E54035A" w14:textId="77777777" w:rsidR="009F47C6" w:rsidRPr="00E67E49" w:rsidRDefault="009F47C6" w:rsidP="00FB119D">
            <w:pPr>
              <w:pStyle w:val="ListBullet-dotick"/>
              <w:numPr>
                <w:ilvl w:val="0"/>
                <w:numId w:val="0"/>
              </w:numPr>
              <w:rPr>
                <w:sz w:val="20"/>
                <w:szCs w:val="20"/>
              </w:rPr>
            </w:pPr>
            <w:r w:rsidRPr="00E67E49">
              <w:rPr>
                <w:sz w:val="20"/>
                <w:szCs w:val="20"/>
              </w:rPr>
              <w:lastRenderedPageBreak/>
              <w:t>Item</w:t>
            </w:r>
          </w:p>
        </w:tc>
        <w:tc>
          <w:tcPr>
            <w:tcW w:w="2937" w:type="dxa"/>
          </w:tcPr>
          <w:p w14:paraId="38117421" w14:textId="77777777" w:rsidR="009F47C6" w:rsidRPr="00E67E49" w:rsidRDefault="009F47C6" w:rsidP="00FB119D">
            <w:pPr>
              <w:pStyle w:val="ListBullet-dotick"/>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Ingredient name</w:t>
            </w:r>
          </w:p>
        </w:tc>
        <w:tc>
          <w:tcPr>
            <w:tcW w:w="1097" w:type="dxa"/>
          </w:tcPr>
          <w:p w14:paraId="10A0E710" w14:textId="77777777" w:rsidR="009F47C6" w:rsidRPr="00E67E49" w:rsidRDefault="009F47C6" w:rsidP="00FB119D">
            <w:pPr>
              <w:pStyle w:val="ListBullet-dotick"/>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Purpose</w:t>
            </w:r>
          </w:p>
        </w:tc>
        <w:tc>
          <w:tcPr>
            <w:tcW w:w="4279" w:type="dxa"/>
          </w:tcPr>
          <w:p w14:paraId="07CD18D3" w14:textId="77777777" w:rsidR="009F47C6" w:rsidRPr="00E67E49" w:rsidRDefault="009F47C6" w:rsidP="00FB119D">
            <w:pPr>
              <w:pStyle w:val="ListBullet-dotick"/>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Specific requirements</w:t>
            </w:r>
          </w:p>
        </w:tc>
      </w:tr>
      <w:tr w:rsidR="009F47C6" w:rsidRPr="00E67E49" w14:paraId="1E7412D0" w14:textId="77777777" w:rsidTr="00E67E49">
        <w:tc>
          <w:tcPr>
            <w:cnfStyle w:val="001000000000" w:firstRow="0" w:lastRow="0" w:firstColumn="1" w:lastColumn="0" w:oddVBand="0" w:evenVBand="0" w:oddHBand="0" w:evenHBand="0" w:firstRowFirstColumn="0" w:firstRowLastColumn="0" w:lastRowFirstColumn="0" w:lastRowLastColumn="0"/>
            <w:tcW w:w="703" w:type="dxa"/>
          </w:tcPr>
          <w:p w14:paraId="7E8AE303" w14:textId="77777777" w:rsidR="009F47C6" w:rsidRPr="00E67E49" w:rsidRDefault="009F47C6" w:rsidP="00FB119D">
            <w:pPr>
              <w:pStyle w:val="ListBullet-dotick"/>
              <w:numPr>
                <w:ilvl w:val="0"/>
                <w:numId w:val="0"/>
              </w:numPr>
              <w:rPr>
                <w:sz w:val="20"/>
                <w:szCs w:val="20"/>
              </w:rPr>
            </w:pPr>
            <w:r w:rsidRPr="00E67E49">
              <w:rPr>
                <w:sz w:val="20"/>
                <w:szCs w:val="20"/>
              </w:rPr>
              <w:t>4809</w:t>
            </w:r>
          </w:p>
        </w:tc>
        <w:tc>
          <w:tcPr>
            <w:tcW w:w="2937" w:type="dxa"/>
          </w:tcPr>
          <w:p w14:paraId="3133F89B" w14:textId="77777777" w:rsidR="009F47C6" w:rsidRPr="00E67E49" w:rsidRDefault="009F47C6"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Comfrey Root Dry</w:t>
            </w:r>
          </w:p>
        </w:tc>
        <w:tc>
          <w:tcPr>
            <w:tcW w:w="1097" w:type="dxa"/>
          </w:tcPr>
          <w:p w14:paraId="31D5185E" w14:textId="77777777" w:rsidR="009F47C6" w:rsidRPr="00E67E49" w:rsidRDefault="009F47C6"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H</w:t>
            </w:r>
          </w:p>
        </w:tc>
        <w:tc>
          <w:tcPr>
            <w:tcW w:w="4279" w:type="dxa"/>
          </w:tcPr>
          <w:p w14:paraId="5714A19E" w14:textId="77777777" w:rsidR="009F47C6" w:rsidRPr="00E67E49" w:rsidRDefault="009F47C6"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When used orally as an active homoeopathic ingredient, the concentration must be a dilution of 12X or more.</w:t>
            </w:r>
          </w:p>
          <w:p w14:paraId="4D891193" w14:textId="77777777" w:rsidR="009F47C6" w:rsidRPr="00E67E49" w:rsidRDefault="009F47C6" w:rsidP="00FB119D">
            <w:pPr>
              <w:pStyle w:val="ListBullet-dotick"/>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When used in topical medicines for dermal application, the concentration in the preparation must be no more than 10mg/kg or 10mg/L or 0.001%.</w:t>
            </w:r>
          </w:p>
        </w:tc>
      </w:tr>
      <w:tr w:rsidR="009F47C6" w:rsidRPr="00E67E49" w14:paraId="0A80BCE3" w14:textId="77777777" w:rsidTr="00E67E49">
        <w:tc>
          <w:tcPr>
            <w:cnfStyle w:val="001000000000" w:firstRow="0" w:lastRow="0" w:firstColumn="1" w:lastColumn="0" w:oddVBand="0" w:evenVBand="0" w:oddHBand="0" w:evenHBand="0" w:firstRowFirstColumn="0" w:firstRowLastColumn="0" w:lastRowFirstColumn="0" w:lastRowLastColumn="0"/>
            <w:tcW w:w="9016" w:type="dxa"/>
            <w:gridSpan w:val="4"/>
          </w:tcPr>
          <w:p w14:paraId="66028A4E" w14:textId="77777777" w:rsidR="009F47C6" w:rsidRPr="00E67E49" w:rsidRDefault="009F47C6" w:rsidP="00FB119D">
            <w:pPr>
              <w:pStyle w:val="ListBullet-dotick"/>
              <w:numPr>
                <w:ilvl w:val="0"/>
                <w:numId w:val="0"/>
              </w:numPr>
              <w:rPr>
                <w:sz w:val="20"/>
                <w:szCs w:val="20"/>
              </w:rPr>
            </w:pPr>
            <w:r w:rsidRPr="00E67E49">
              <w:rPr>
                <w:sz w:val="20"/>
                <w:szCs w:val="20"/>
              </w:rPr>
              <w:t>H = homeopathic preparation ingredient meaning an ingredient that is a constituent of a homeopathic preparation</w:t>
            </w:r>
          </w:p>
        </w:tc>
      </w:tr>
    </w:tbl>
    <w:p w14:paraId="07DB0F2F" w14:textId="77777777" w:rsidR="009F47C6" w:rsidRDefault="009F47C6" w:rsidP="00FB119D">
      <w:pPr>
        <w:pStyle w:val="ListBullet"/>
      </w:pPr>
      <w:r>
        <w:t xml:space="preserve">Comfrey is not included in the </w:t>
      </w:r>
      <w:hyperlink r:id="rId89" w:history="1">
        <w:r w:rsidRPr="007176A9">
          <w:rPr>
            <w:rStyle w:val="Hyperlink"/>
          </w:rPr>
          <w:t>TGA prescribing medicines in pregnancy database</w:t>
        </w:r>
      </w:hyperlink>
      <w:r>
        <w:t xml:space="preserve">. </w:t>
      </w:r>
    </w:p>
    <w:p w14:paraId="79E232D2" w14:textId="77777777" w:rsidR="009F47C6" w:rsidRDefault="009F47C6" w:rsidP="00FB119D">
      <w:pPr>
        <w:pStyle w:val="ListBullet"/>
      </w:pPr>
      <w:r>
        <w:t xml:space="preserve">The </w:t>
      </w:r>
      <w:hyperlink r:id="rId90" w:history="1">
        <w:r w:rsidRPr="000929FD">
          <w:rPr>
            <w:rStyle w:val="Hyperlink"/>
          </w:rPr>
          <w:t>Therapeutic Goods (Medicines Advisory Statements) Specification 2021</w:t>
        </w:r>
      </w:hyperlink>
      <w:r>
        <w:t xml:space="preserve"> requires the following warning statements pertaining to [Substance] to be included on the labelling:</w:t>
      </w:r>
    </w:p>
    <w:tbl>
      <w:tblPr>
        <w:tblStyle w:val="TableTGAblue"/>
        <w:tblW w:w="0" w:type="auto"/>
        <w:tblLook w:val="04A0" w:firstRow="1" w:lastRow="0" w:firstColumn="1" w:lastColumn="0" w:noHBand="0" w:noVBand="1"/>
      </w:tblPr>
      <w:tblGrid>
        <w:gridCol w:w="1695"/>
        <w:gridCol w:w="2266"/>
        <w:gridCol w:w="5045"/>
      </w:tblGrid>
      <w:tr w:rsidR="002A2CC4" w:rsidRPr="00E67E49" w14:paraId="330614D9" w14:textId="77777777" w:rsidTr="00E6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5C49DB1" w14:textId="77777777" w:rsidR="009F47C6" w:rsidRPr="00E67E49" w:rsidRDefault="009F47C6" w:rsidP="00ED5C1F">
            <w:pPr>
              <w:pStyle w:val="ListBullet"/>
              <w:numPr>
                <w:ilvl w:val="0"/>
                <w:numId w:val="0"/>
              </w:numPr>
              <w:spacing w:before="100" w:beforeAutospacing="1" w:after="100" w:afterAutospacing="1" w:line="240" w:lineRule="auto"/>
              <w:contextualSpacing/>
              <w:rPr>
                <w:sz w:val="20"/>
                <w:szCs w:val="20"/>
              </w:rPr>
            </w:pPr>
            <w:r w:rsidRPr="00E67E49">
              <w:rPr>
                <w:sz w:val="20"/>
                <w:szCs w:val="20"/>
              </w:rPr>
              <w:t>Substance</w:t>
            </w:r>
          </w:p>
        </w:tc>
        <w:tc>
          <w:tcPr>
            <w:tcW w:w="2268" w:type="dxa"/>
          </w:tcPr>
          <w:p w14:paraId="12E295CD" w14:textId="77777777" w:rsidR="009F47C6" w:rsidRPr="00E67E49" w:rsidRDefault="009F47C6" w:rsidP="00ED5C1F">
            <w:pPr>
              <w:pStyle w:val="ListBullet"/>
              <w:numPr>
                <w:ilvl w:val="0"/>
                <w:numId w:val="0"/>
              </w:numPr>
              <w:spacing w:before="100" w:beforeAutospacing="1" w:after="100" w:afterAutospacing="1" w:line="240" w:lineRule="auto"/>
              <w:contextualSpacing/>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Conditions</w:t>
            </w:r>
          </w:p>
        </w:tc>
        <w:tc>
          <w:tcPr>
            <w:tcW w:w="5052" w:type="dxa"/>
          </w:tcPr>
          <w:p w14:paraId="19998EC0" w14:textId="77777777" w:rsidR="009F47C6" w:rsidRPr="00E67E49" w:rsidRDefault="009F47C6" w:rsidP="00ED5C1F">
            <w:pPr>
              <w:pStyle w:val="ListBullet"/>
              <w:numPr>
                <w:ilvl w:val="0"/>
                <w:numId w:val="0"/>
              </w:numPr>
              <w:spacing w:before="100" w:beforeAutospacing="1" w:after="100" w:afterAutospacing="1" w:line="240" w:lineRule="auto"/>
              <w:contextualSpacing/>
              <w:cnfStyle w:val="100000000000" w:firstRow="1" w:lastRow="0" w:firstColumn="0" w:lastColumn="0" w:oddVBand="0" w:evenVBand="0" w:oddHBand="0" w:evenHBand="0" w:firstRowFirstColumn="0" w:firstRowLastColumn="0" w:lastRowFirstColumn="0" w:lastRowLastColumn="0"/>
              <w:rPr>
                <w:sz w:val="20"/>
                <w:szCs w:val="20"/>
              </w:rPr>
            </w:pPr>
            <w:r w:rsidRPr="00E67E49">
              <w:rPr>
                <w:sz w:val="20"/>
                <w:szCs w:val="20"/>
              </w:rPr>
              <w:t>Required Statement(s)</w:t>
            </w:r>
          </w:p>
        </w:tc>
      </w:tr>
      <w:tr w:rsidR="009F47C6" w:rsidRPr="00E67E49" w14:paraId="4BA27CE0" w14:textId="77777777" w:rsidTr="00E67E49">
        <w:tc>
          <w:tcPr>
            <w:cnfStyle w:val="001000000000" w:firstRow="0" w:lastRow="0" w:firstColumn="1" w:lastColumn="0" w:oddVBand="0" w:evenVBand="0" w:oddHBand="0" w:evenHBand="0" w:firstRowFirstColumn="0" w:firstRowLastColumn="0" w:lastRowFirstColumn="0" w:lastRowLastColumn="0"/>
            <w:tcW w:w="1696" w:type="dxa"/>
          </w:tcPr>
          <w:p w14:paraId="0B5A8C0C" w14:textId="77777777" w:rsidR="009F47C6" w:rsidRPr="00E67E49" w:rsidRDefault="009F47C6" w:rsidP="00ED5C1F">
            <w:pPr>
              <w:pStyle w:val="ListBullet"/>
              <w:numPr>
                <w:ilvl w:val="0"/>
                <w:numId w:val="0"/>
              </w:numPr>
              <w:spacing w:before="100" w:beforeAutospacing="1" w:after="100" w:afterAutospacing="1" w:line="240" w:lineRule="auto"/>
              <w:contextualSpacing/>
              <w:rPr>
                <w:sz w:val="20"/>
                <w:szCs w:val="20"/>
              </w:rPr>
            </w:pPr>
            <w:r w:rsidRPr="00E67E49">
              <w:rPr>
                <w:sz w:val="20"/>
                <w:szCs w:val="20"/>
              </w:rPr>
              <w:t>Symphytum spp</w:t>
            </w:r>
          </w:p>
        </w:tc>
        <w:tc>
          <w:tcPr>
            <w:tcW w:w="2268" w:type="dxa"/>
          </w:tcPr>
          <w:p w14:paraId="2BBB5937" w14:textId="77777777" w:rsidR="009F47C6" w:rsidRPr="00E67E49" w:rsidRDefault="009F47C6" w:rsidP="00ED5C1F">
            <w:pPr>
              <w:pStyle w:val="ListBullet"/>
              <w:numPr>
                <w:ilvl w:val="0"/>
                <w:numId w:val="0"/>
              </w:numPr>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In Schedule 5 to the current Poisons Standard</w:t>
            </w:r>
          </w:p>
        </w:tc>
        <w:tc>
          <w:tcPr>
            <w:tcW w:w="5052" w:type="dxa"/>
          </w:tcPr>
          <w:p w14:paraId="4D5A56F1" w14:textId="77777777"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7E49">
              <w:rPr>
                <w:rFonts w:asciiTheme="minorHAnsi" w:hAnsiTheme="minorHAnsi" w:cstheme="minorHAnsi"/>
                <w:sz w:val="20"/>
                <w:szCs w:val="20"/>
              </w:rPr>
              <w:t xml:space="preserve">either </w:t>
            </w:r>
          </w:p>
          <w:p w14:paraId="1DC62BBA" w14:textId="77777777"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7E49">
              <w:rPr>
                <w:rFonts w:asciiTheme="minorHAnsi" w:hAnsiTheme="minorHAnsi" w:cstheme="minorHAnsi"/>
                <w:b/>
                <w:bCs/>
                <w:sz w:val="20"/>
                <w:szCs w:val="20"/>
              </w:rPr>
              <w:t xml:space="preserve">READ SAFETY DIRECTIONS. </w:t>
            </w:r>
            <w:r w:rsidRPr="00E67E49">
              <w:rPr>
                <w:rFonts w:asciiTheme="minorHAnsi" w:hAnsiTheme="minorHAnsi" w:cstheme="minorHAnsi"/>
                <w:sz w:val="20"/>
                <w:szCs w:val="20"/>
              </w:rPr>
              <w:t xml:space="preserve">[f] </w:t>
            </w:r>
          </w:p>
          <w:p w14:paraId="56883FAF" w14:textId="77777777"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3FFF07E" w14:textId="77777777"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7E49">
              <w:rPr>
                <w:rFonts w:asciiTheme="minorHAnsi" w:hAnsiTheme="minorHAnsi" w:cstheme="minorHAnsi"/>
                <w:i/>
                <w:iCs/>
                <w:sz w:val="20"/>
                <w:szCs w:val="20"/>
              </w:rPr>
              <w:t xml:space="preserve">or </w:t>
            </w:r>
          </w:p>
          <w:p w14:paraId="4CB9FC65" w14:textId="77777777"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7E49">
              <w:rPr>
                <w:rFonts w:asciiTheme="minorHAnsi" w:hAnsiTheme="minorHAnsi" w:cstheme="minorHAnsi"/>
                <w:b/>
                <w:bCs/>
                <w:sz w:val="20"/>
                <w:szCs w:val="20"/>
              </w:rPr>
              <w:t xml:space="preserve">READ SAFETY DIRECTIONS BEFORE OPENING AND USING. </w:t>
            </w:r>
            <w:r w:rsidRPr="00E67E49">
              <w:rPr>
                <w:rFonts w:asciiTheme="minorHAnsi" w:hAnsiTheme="minorHAnsi" w:cstheme="minorHAnsi"/>
                <w:sz w:val="20"/>
                <w:szCs w:val="20"/>
              </w:rPr>
              <w:t xml:space="preserve">[f] </w:t>
            </w:r>
          </w:p>
          <w:p w14:paraId="2F811BA7" w14:textId="77777777" w:rsidR="009F47C6" w:rsidRPr="00E67E49" w:rsidRDefault="009F47C6" w:rsidP="00ED5C1F">
            <w:pPr>
              <w:spacing w:before="100" w:beforeAutospacing="1"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67E49">
              <w:rPr>
                <w:rFonts w:asciiTheme="minorHAnsi" w:hAnsiTheme="minorHAnsi" w:cstheme="minorHAnsi"/>
                <w:sz w:val="20"/>
                <w:szCs w:val="20"/>
              </w:rPr>
              <w:t>SAFETY DIRECTIONS</w:t>
            </w:r>
          </w:p>
          <w:p w14:paraId="070EAB17" w14:textId="77777777" w:rsidR="009F47C6" w:rsidRPr="00E67E49" w:rsidRDefault="009F47C6" w:rsidP="00ED5C1F">
            <w:pPr>
              <w:pStyle w:val="ListBullet2"/>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-Do not use on broken skin </w:t>
            </w:r>
          </w:p>
          <w:p w14:paraId="58C64787" w14:textId="77777777" w:rsidR="009F47C6" w:rsidRPr="00E67E49" w:rsidRDefault="009F47C6" w:rsidP="00ED5C1F">
            <w:pPr>
              <w:pStyle w:val="ListBullet2"/>
              <w:spacing w:before="100" w:beforeAutospacing="1" w:after="100" w:afterAutospacing="1"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sz w:val="20"/>
                <w:szCs w:val="20"/>
              </w:rPr>
              <w:t xml:space="preserve">-Do not use under occlusive dressing. </w:t>
            </w:r>
          </w:p>
          <w:p w14:paraId="49B2EC65" w14:textId="77777777"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261D4310" w14:textId="6A44C314" w:rsidR="009F47C6" w:rsidRPr="00E67E49" w:rsidRDefault="009F47C6" w:rsidP="00ED5C1F">
            <w:pPr>
              <w:autoSpaceDE w:val="0"/>
              <w:autoSpaceDN w:val="0"/>
              <w:adjustRightInd w:val="0"/>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sz w:val="20"/>
                <w:szCs w:val="20"/>
              </w:rPr>
            </w:pPr>
            <w:r w:rsidRPr="00E67E49">
              <w:rPr>
                <w:rFonts w:asciiTheme="minorHAnsi" w:hAnsiTheme="minorHAnsi" w:cstheme="minorHAnsi"/>
                <w:sz w:val="20"/>
                <w:szCs w:val="20"/>
              </w:rPr>
              <w:t>DO NOT SWALLOW. [g]</w:t>
            </w:r>
          </w:p>
        </w:tc>
      </w:tr>
      <w:tr w:rsidR="009F47C6" w:rsidRPr="00E67E49" w14:paraId="1DFC396C" w14:textId="77777777" w:rsidTr="00E67E49">
        <w:tc>
          <w:tcPr>
            <w:cnfStyle w:val="001000000000" w:firstRow="0" w:lastRow="0" w:firstColumn="1" w:lastColumn="0" w:oddVBand="0" w:evenVBand="0" w:oddHBand="0" w:evenHBand="0" w:firstRowFirstColumn="0" w:firstRowLastColumn="0" w:lastRowFirstColumn="0" w:lastRowLastColumn="0"/>
            <w:tcW w:w="9016" w:type="dxa"/>
            <w:gridSpan w:val="3"/>
          </w:tcPr>
          <w:p w14:paraId="339D82D4" w14:textId="77777777" w:rsidR="009F47C6" w:rsidRPr="00E67E49" w:rsidRDefault="009F47C6" w:rsidP="00ED5C1F">
            <w:pPr>
              <w:autoSpaceDE w:val="0"/>
              <w:autoSpaceDN w:val="0"/>
              <w:adjustRightInd w:val="0"/>
              <w:spacing w:before="100" w:beforeAutospacing="1" w:after="100" w:afterAutospacing="1"/>
              <w:contextualSpacing/>
              <w:rPr>
                <w:rFonts w:cs="Arial"/>
                <w:sz w:val="18"/>
                <w:szCs w:val="18"/>
              </w:rPr>
            </w:pPr>
            <w:r w:rsidRPr="00E67E49">
              <w:rPr>
                <w:rFonts w:cs="Arial"/>
                <w:sz w:val="18"/>
                <w:szCs w:val="18"/>
              </w:rPr>
              <w:t>[f] = Statements must be included on the label written:</w:t>
            </w:r>
          </w:p>
          <w:p w14:paraId="3CB0D69B" w14:textId="77777777" w:rsidR="009F47C6" w:rsidRPr="00E67E49" w:rsidRDefault="009F47C6" w:rsidP="00ED5C1F">
            <w:pPr>
              <w:autoSpaceDE w:val="0"/>
              <w:autoSpaceDN w:val="0"/>
              <w:adjustRightInd w:val="0"/>
              <w:spacing w:before="100" w:beforeAutospacing="1" w:after="100" w:afterAutospacing="1"/>
              <w:ind w:left="720"/>
              <w:contextualSpacing/>
              <w:rPr>
                <w:rFonts w:cs="Arial"/>
                <w:sz w:val="18"/>
                <w:szCs w:val="18"/>
              </w:rPr>
            </w:pPr>
            <w:r w:rsidRPr="00E67E49">
              <w:rPr>
                <w:rFonts w:cs="Arial"/>
                <w:sz w:val="18"/>
                <w:szCs w:val="18"/>
              </w:rPr>
              <w:t>(a) on a separate line or lines immediately below the cautionary statement “KEEP OUT OF REACH OF CHILDREN”; and</w:t>
            </w:r>
          </w:p>
          <w:p w14:paraId="6725DF1C" w14:textId="77777777" w:rsidR="009F47C6" w:rsidRPr="00E67E49" w:rsidRDefault="009F47C6" w:rsidP="00ED5C1F">
            <w:pPr>
              <w:autoSpaceDE w:val="0"/>
              <w:autoSpaceDN w:val="0"/>
              <w:adjustRightInd w:val="0"/>
              <w:spacing w:before="100" w:beforeAutospacing="1" w:after="100" w:afterAutospacing="1"/>
              <w:ind w:left="720"/>
              <w:contextualSpacing/>
              <w:rPr>
                <w:sz w:val="18"/>
                <w:szCs w:val="18"/>
              </w:rPr>
            </w:pPr>
            <w:r w:rsidRPr="00E67E49">
              <w:rPr>
                <w:sz w:val="18"/>
                <w:szCs w:val="18"/>
              </w:rPr>
              <w:t>(b) in bold-face sans serif capital letters of uniform thickness; and</w:t>
            </w:r>
          </w:p>
          <w:p w14:paraId="32ED171B" w14:textId="77777777" w:rsidR="009F47C6" w:rsidRPr="00E67E49" w:rsidRDefault="009F47C6" w:rsidP="00ED5C1F">
            <w:pPr>
              <w:autoSpaceDE w:val="0"/>
              <w:autoSpaceDN w:val="0"/>
              <w:adjustRightInd w:val="0"/>
              <w:spacing w:before="100" w:beforeAutospacing="1" w:after="100" w:afterAutospacing="1"/>
              <w:ind w:left="720"/>
              <w:contextualSpacing/>
              <w:rPr>
                <w:sz w:val="18"/>
                <w:szCs w:val="18"/>
              </w:rPr>
            </w:pPr>
            <w:r w:rsidRPr="00E67E49">
              <w:rPr>
                <w:sz w:val="18"/>
                <w:szCs w:val="18"/>
              </w:rPr>
              <w:t>(c) in letters at least four tenths the height of the letters used for the signal words; and</w:t>
            </w:r>
          </w:p>
          <w:p w14:paraId="4C9C29CB" w14:textId="77777777" w:rsidR="009F47C6" w:rsidRPr="00E67E49" w:rsidRDefault="009F47C6" w:rsidP="00ED5C1F">
            <w:pPr>
              <w:autoSpaceDE w:val="0"/>
              <w:autoSpaceDN w:val="0"/>
              <w:adjustRightInd w:val="0"/>
              <w:spacing w:before="100" w:beforeAutospacing="1" w:after="100" w:afterAutospacing="1"/>
              <w:ind w:left="720"/>
              <w:contextualSpacing/>
              <w:rPr>
                <w:sz w:val="20"/>
                <w:szCs w:val="20"/>
              </w:rPr>
            </w:pPr>
            <w:r w:rsidRPr="00E67E49">
              <w:rPr>
                <w:sz w:val="18"/>
                <w:szCs w:val="18"/>
              </w:rPr>
              <w:t>(d) with no other statement written on the same line</w:t>
            </w:r>
          </w:p>
        </w:tc>
      </w:tr>
    </w:tbl>
    <w:p w14:paraId="7033B48E" w14:textId="77777777" w:rsidR="009F47C6" w:rsidRPr="004C22DE" w:rsidRDefault="009F47C6" w:rsidP="00B65AAE">
      <w:pPr>
        <w:keepNext/>
        <w:keepLines/>
        <w:numPr>
          <w:ilvl w:val="0"/>
          <w:numId w:val="8"/>
        </w:numPr>
        <w:spacing w:before="360" w:line="240" w:lineRule="atLeast"/>
        <w:outlineLvl w:val="3"/>
        <w:rPr>
          <w:rFonts w:eastAsia="Cambria" w:cs="Arial"/>
          <w:color w:val="002C47"/>
          <w:lang w:eastAsia="en-AU"/>
        </w:rPr>
      </w:pPr>
      <w:r w:rsidRPr="004C22DE">
        <w:rPr>
          <w:rFonts w:eastAsia="Cambria" w:cs="Arial"/>
          <w:color w:val="000000"/>
          <w:lang w:eastAsia="en-AU"/>
        </w:rPr>
        <w:t xml:space="preserve">As of </w:t>
      </w:r>
      <w:r>
        <w:rPr>
          <w:rFonts w:eastAsia="Cambria" w:cs="Arial"/>
          <w:color w:val="000000"/>
          <w:lang w:eastAsia="en-AU"/>
        </w:rPr>
        <w:t xml:space="preserve">August </w:t>
      </w:r>
      <w:r w:rsidRPr="004C22DE">
        <w:rPr>
          <w:rFonts w:eastAsia="Cambria" w:cs="Arial"/>
          <w:color w:val="000000"/>
          <w:lang w:eastAsia="en-AU"/>
        </w:rPr>
        <w:t>2024, there w</w:t>
      </w:r>
      <w:r>
        <w:rPr>
          <w:rFonts w:eastAsia="Cambria" w:cs="Arial"/>
          <w:color w:val="000000"/>
          <w:lang w:eastAsia="en-AU"/>
        </w:rPr>
        <w:t xml:space="preserve">ere 8 </w:t>
      </w:r>
      <w:r w:rsidRPr="004C22DE">
        <w:rPr>
          <w:rFonts w:eastAsia="Cambria" w:cs="Arial"/>
          <w:color w:val="000000"/>
          <w:lang w:eastAsia="en-AU"/>
        </w:rPr>
        <w:t>report</w:t>
      </w:r>
      <w:r>
        <w:rPr>
          <w:rFonts w:eastAsia="Cambria" w:cs="Arial"/>
          <w:color w:val="000000"/>
          <w:lang w:eastAsia="en-AU"/>
        </w:rPr>
        <w:t>s</w:t>
      </w:r>
      <w:r w:rsidRPr="004C22DE">
        <w:rPr>
          <w:rFonts w:eastAsia="Cambria" w:cs="Arial"/>
          <w:color w:val="000000"/>
          <w:lang w:eastAsia="en-AU"/>
        </w:rPr>
        <w:t xml:space="preserve"> of adverse events for products containing comfrey as an active ingredient on the </w:t>
      </w:r>
      <w:hyperlink r:id="rId91" w:history="1">
        <w:r w:rsidRPr="00F836F9">
          <w:rPr>
            <w:rStyle w:val="Hyperlink"/>
            <w:rFonts w:eastAsia="Cambria" w:cs="Arial"/>
            <w:lang w:eastAsia="en-AU"/>
          </w:rPr>
          <w:t>Database of Adverse Events Notifications (DAEN)</w:t>
        </w:r>
      </w:hyperlink>
      <w:r w:rsidRPr="004C22DE">
        <w:rPr>
          <w:rFonts w:eastAsia="Cambria" w:cs="Arial"/>
          <w:color w:val="000000"/>
          <w:lang w:eastAsia="en-AU"/>
        </w:rPr>
        <w:t xml:space="preserve"> with </w:t>
      </w:r>
      <w:r>
        <w:rPr>
          <w:rFonts w:eastAsia="Cambria" w:cs="Arial"/>
          <w:color w:val="000000"/>
          <w:lang w:eastAsia="en-AU"/>
        </w:rPr>
        <w:t xml:space="preserve">7 </w:t>
      </w:r>
      <w:r w:rsidRPr="004C22DE">
        <w:rPr>
          <w:rFonts w:eastAsia="Cambria" w:cs="Arial"/>
          <w:color w:val="000000"/>
          <w:lang w:eastAsia="en-AU"/>
        </w:rPr>
        <w:t>report</w:t>
      </w:r>
      <w:r>
        <w:rPr>
          <w:rFonts w:eastAsia="Cambria" w:cs="Arial"/>
          <w:color w:val="000000"/>
          <w:lang w:eastAsia="en-AU"/>
        </w:rPr>
        <w:t xml:space="preserve">s </w:t>
      </w:r>
      <w:r w:rsidRPr="004C22DE">
        <w:rPr>
          <w:rFonts w:eastAsia="Cambria" w:cs="Arial"/>
          <w:color w:val="000000"/>
          <w:lang w:eastAsia="en-AU"/>
        </w:rPr>
        <w:t xml:space="preserve">where comfrey was the single suspected medicine. There </w:t>
      </w:r>
      <w:r w:rsidRPr="004C22DE">
        <w:rPr>
          <w:rFonts w:eastAsia="Cambria" w:cs="Arial"/>
          <w:color w:val="002C47"/>
          <w:lang w:eastAsia="en-AU"/>
        </w:rPr>
        <w:t xml:space="preserve">was no report </w:t>
      </w:r>
      <w:r w:rsidRPr="004C22DE">
        <w:rPr>
          <w:rFonts w:eastAsia="Cambria" w:cs="Arial"/>
          <w:color w:val="000000"/>
          <w:lang w:eastAsia="en-AU"/>
        </w:rPr>
        <w:t xml:space="preserve">of </w:t>
      </w:r>
      <w:r w:rsidRPr="004C22DE">
        <w:rPr>
          <w:rFonts w:eastAsia="Cambria" w:cs="Arial"/>
          <w:lang w:eastAsia="en-AU"/>
        </w:rPr>
        <w:t xml:space="preserve">deaths associated with comfrey use. The reported events associated with use of comfrey were diverse in nature and affected various organ classes/primarily related to </w:t>
      </w:r>
      <w:r w:rsidRPr="004C22DE">
        <w:rPr>
          <w:rFonts w:eastAsia="Cambria" w:cs="Arial"/>
          <w:color w:val="000000"/>
          <w:lang w:eastAsia="en-AU"/>
        </w:rPr>
        <w:t>hepatobiliary</w:t>
      </w:r>
      <w:r w:rsidRPr="004C22DE">
        <w:rPr>
          <w:rFonts w:eastAsia="Cambria" w:cs="Arial"/>
          <w:lang w:eastAsia="en-AU"/>
        </w:rPr>
        <w:t xml:space="preserve"> disorders</w:t>
      </w:r>
      <w:r w:rsidRPr="004C22DE">
        <w:rPr>
          <w:rFonts w:eastAsia="Cambria" w:cs="Arial"/>
          <w:color w:val="000000"/>
          <w:lang w:eastAsia="en-AU"/>
        </w:rPr>
        <w:t xml:space="preserve">, </w:t>
      </w:r>
      <w:r>
        <w:rPr>
          <w:rFonts w:eastAsia="Cambria" w:cs="Arial"/>
          <w:color w:val="000000"/>
          <w:lang w:eastAsia="en-AU"/>
        </w:rPr>
        <w:t>r</w:t>
      </w:r>
      <w:r w:rsidRPr="004C22DE">
        <w:rPr>
          <w:rFonts w:eastAsia="Cambria" w:cs="Arial"/>
          <w:color w:val="000000"/>
          <w:lang w:eastAsia="en-AU"/>
        </w:rPr>
        <w:t>espiratory,</w:t>
      </w:r>
      <w:r>
        <w:rPr>
          <w:rFonts w:eastAsia="Cambria" w:cs="Arial"/>
          <w:color w:val="000000"/>
          <w:lang w:eastAsia="en-AU"/>
        </w:rPr>
        <w:t xml:space="preserve"> application site reaction,</w:t>
      </w:r>
      <w:r w:rsidRPr="004C22DE">
        <w:rPr>
          <w:rFonts w:eastAsia="Cambria" w:cs="Arial"/>
          <w:color w:val="000000"/>
          <w:lang w:eastAsia="en-AU"/>
        </w:rPr>
        <w:t xml:space="preserve"> thoracic and mediastinal disorders.</w:t>
      </w:r>
    </w:p>
    <w:p w14:paraId="0AA2A101" w14:textId="77777777" w:rsidR="009F47C6" w:rsidRDefault="009F47C6" w:rsidP="00B65AAE">
      <w:pPr>
        <w:keepNext/>
        <w:keepLines/>
        <w:numPr>
          <w:ilvl w:val="0"/>
          <w:numId w:val="8"/>
        </w:numPr>
        <w:spacing w:before="360" w:line="240" w:lineRule="atLeast"/>
        <w:outlineLvl w:val="3"/>
      </w:pPr>
      <w:r w:rsidRPr="00C63C8F">
        <w:rPr>
          <w:rFonts w:eastAsia="Cambria" w:cs="Arial"/>
          <w:color w:val="000000"/>
          <w:lang w:eastAsia="en-AU"/>
        </w:rPr>
        <w:t>As of August</w:t>
      </w:r>
      <w:r w:rsidRPr="00C63C8F">
        <w:rPr>
          <w:rFonts w:eastAsia="Cambria" w:cs="Arial"/>
          <w:lang w:eastAsia="en-AU"/>
        </w:rPr>
        <w:t xml:space="preserve"> 2024, </w:t>
      </w:r>
      <w:r w:rsidRPr="00C63C8F">
        <w:rPr>
          <w:rFonts w:eastAsia="Cambria" w:cs="Arial"/>
          <w:color w:val="000000"/>
          <w:lang w:eastAsia="en-AU"/>
        </w:rPr>
        <w:t xml:space="preserve">there was one product containing </w:t>
      </w:r>
      <w:r w:rsidRPr="00C63C8F">
        <w:rPr>
          <w:rFonts w:eastAsia="Cambria" w:cs="Arial"/>
          <w:i/>
          <w:iCs/>
          <w:color w:val="000000"/>
          <w:lang w:eastAsia="en-AU"/>
        </w:rPr>
        <w:t>Symphytum officinale</w:t>
      </w:r>
      <w:r w:rsidRPr="00C63C8F">
        <w:rPr>
          <w:rFonts w:eastAsia="Cambria" w:cs="Arial"/>
          <w:color w:val="000000"/>
          <w:lang w:eastAsia="en-AU"/>
        </w:rPr>
        <w:t xml:space="preserve">, as an active </w:t>
      </w:r>
      <w:r>
        <w:rPr>
          <w:rFonts w:eastAsia="Cambria" w:cs="Arial"/>
          <w:color w:val="000000"/>
          <w:lang w:eastAsia="en-AU"/>
        </w:rPr>
        <w:t xml:space="preserve">homeopathic </w:t>
      </w:r>
      <w:r w:rsidRPr="00C63C8F">
        <w:rPr>
          <w:rFonts w:eastAsia="Cambria" w:cs="Arial"/>
          <w:color w:val="000000"/>
          <w:lang w:eastAsia="en-AU"/>
        </w:rPr>
        <w:t xml:space="preserve">ingredient listed on the </w:t>
      </w:r>
      <w:hyperlink r:id="rId92" w:history="1">
        <w:r>
          <w:rPr>
            <w:rStyle w:val="Hyperlink"/>
          </w:rPr>
          <w:t>APVMA P</w:t>
        </w:r>
        <w:r w:rsidRPr="008B0E64">
          <w:rPr>
            <w:rStyle w:val="Hyperlink"/>
          </w:rPr>
          <w:t>ublic Chemical Registration Information System Search (PubCRIS)</w:t>
        </w:r>
      </w:hyperlink>
      <w:r>
        <w:t>.</w:t>
      </w:r>
    </w:p>
    <w:p w14:paraId="1B6853A2" w14:textId="77777777" w:rsidR="00ED5C1F" w:rsidRDefault="00ED5C1F">
      <w:pPr>
        <w:rPr>
          <w:rFonts w:eastAsia="Cambria" w:cs="Times New Roman"/>
          <w:bCs/>
          <w:color w:val="001871"/>
          <w:sz w:val="28"/>
          <w:szCs w:val="26"/>
          <w:lang w:eastAsia="en-AU"/>
        </w:rPr>
      </w:pPr>
      <w:bookmarkStart w:id="92" w:name="_Toc177657902"/>
      <w:r>
        <w:br w:type="page"/>
      </w:r>
    </w:p>
    <w:p w14:paraId="4467B33D" w14:textId="0EBA47FC" w:rsidR="009F47C6" w:rsidRDefault="009F47C6" w:rsidP="009F47C6">
      <w:pPr>
        <w:pStyle w:val="Heading4"/>
      </w:pPr>
      <w:r>
        <w:lastRenderedPageBreak/>
        <w:t>International regulations</w:t>
      </w:r>
      <w:bookmarkEnd w:id="92"/>
    </w:p>
    <w:p w14:paraId="5953FFAE" w14:textId="77777777" w:rsidR="009F47C6" w:rsidRPr="00333843" w:rsidRDefault="009F47C6" w:rsidP="00FB119D">
      <w:pPr>
        <w:pStyle w:val="ListBullet"/>
        <w:rPr>
          <w:color w:val="000000"/>
          <w:lang w:eastAsia="en-AU"/>
        </w:rPr>
      </w:pPr>
      <w:r w:rsidRPr="00333843">
        <w:rPr>
          <w:color w:val="000000"/>
          <w:lang w:eastAsia="en-AU"/>
        </w:rPr>
        <w:t xml:space="preserve">The </w:t>
      </w:r>
      <w:hyperlink r:id="rId93" w:history="1">
        <w:r w:rsidRPr="00333843">
          <w:rPr>
            <w:color w:val="0000FF"/>
            <w:u w:val="single"/>
          </w:rPr>
          <w:t>European Commission database for informatio</w:t>
        </w:r>
        <w:r>
          <w:rPr>
            <w:color w:val="0000FF"/>
            <w:u w:val="single"/>
          </w:rPr>
          <w:t>n</w:t>
        </w:r>
        <w:r w:rsidRPr="00333843">
          <w:rPr>
            <w:color w:val="0000FF"/>
            <w:u w:val="single"/>
          </w:rPr>
          <w:t xml:space="preserve">  on cosmetic substances and ingredients d</w:t>
        </w:r>
        <w:r w:rsidRPr="00333843">
          <w:rPr>
            <w:color w:val="0000FF"/>
            <w:u w:val="single"/>
            <w:lang w:eastAsia="en-AU"/>
          </w:rPr>
          <w:t>atabase</w:t>
        </w:r>
      </w:hyperlink>
      <w:r w:rsidRPr="00333843">
        <w:rPr>
          <w:color w:val="0000FF"/>
          <w:u w:val="single"/>
          <w:lang w:eastAsia="en-AU"/>
        </w:rPr>
        <w:t xml:space="preserve"> </w:t>
      </w:r>
      <w:r w:rsidRPr="00333843">
        <w:rPr>
          <w:lang w:eastAsia="en-AU"/>
        </w:rPr>
        <w:t>includes</w:t>
      </w:r>
      <w:r w:rsidRPr="00333843">
        <w:rPr>
          <w:color w:val="0000FF"/>
          <w:u w:val="single"/>
          <w:lang w:eastAsia="en-AU"/>
        </w:rPr>
        <w:t xml:space="preserve"> </w:t>
      </w:r>
      <w:r w:rsidRPr="00333843">
        <w:rPr>
          <w:lang w:eastAsia="en-AU"/>
        </w:rPr>
        <w:t xml:space="preserve">four marketed </w:t>
      </w:r>
      <w:r>
        <w:rPr>
          <w:lang w:eastAsia="en-AU"/>
        </w:rPr>
        <w:t xml:space="preserve">topical </w:t>
      </w:r>
      <w:r w:rsidRPr="00333843">
        <w:rPr>
          <w:lang w:eastAsia="en-AU"/>
        </w:rPr>
        <w:t>products containing leaf extract, root extract, root cell extract, and leaf powder. They are used as cosmetic ingredients for skin conditioning, anti-seborrheic treatment, soothing and as abrasives that do not require a prescription.</w:t>
      </w:r>
    </w:p>
    <w:p w14:paraId="06848BDC" w14:textId="77777777" w:rsidR="009F47C6" w:rsidRPr="00D543FA" w:rsidRDefault="009F47C6" w:rsidP="00FB119D">
      <w:pPr>
        <w:pStyle w:val="ListBullet"/>
      </w:pPr>
      <w:r w:rsidRPr="00D543FA">
        <w:rPr>
          <w:color w:val="002C47" w:themeColor="text1"/>
        </w:rPr>
        <w:t>The</w:t>
      </w:r>
      <w:r w:rsidRPr="00D543FA">
        <w:rPr>
          <w:color w:val="0000FF"/>
          <w:u w:val="single"/>
        </w:rPr>
        <w:t xml:space="preserve"> </w:t>
      </w:r>
      <w:hyperlink r:id="rId94" w:history="1">
        <w:r w:rsidRPr="00D543FA">
          <w:rPr>
            <w:color w:val="0000FF"/>
            <w:u w:val="single"/>
          </w:rPr>
          <w:t>Health Canada Drug Product Database</w:t>
        </w:r>
      </w:hyperlink>
      <w:r w:rsidRPr="00D543FA">
        <w:rPr>
          <w:color w:val="0000FF"/>
          <w:u w:val="single"/>
        </w:rPr>
        <w:t xml:space="preserve"> </w:t>
      </w:r>
      <w:r w:rsidRPr="00D543FA">
        <w:t>noted that</w:t>
      </w:r>
      <w:r>
        <w:t xml:space="preserve"> the botanic species,</w:t>
      </w:r>
      <w:r w:rsidRPr="00D543FA">
        <w:t xml:space="preserve"> with the exception of </w:t>
      </w:r>
      <w:r>
        <w:t xml:space="preserve">comfrey </w:t>
      </w:r>
      <w:r w:rsidRPr="00D543FA">
        <w:t>is listed as Ingredients that are prohibited for use in cosmetic products.</w:t>
      </w:r>
    </w:p>
    <w:p w14:paraId="25F61BA3" w14:textId="77777777" w:rsidR="009F47C6" w:rsidRDefault="009F47C6" w:rsidP="009F47C6">
      <w:pPr>
        <w:rPr>
          <w:rFonts w:eastAsia="Cambria" w:cs="Times New Roman"/>
        </w:rPr>
      </w:pPr>
      <w:r>
        <w:br w:type="page"/>
      </w:r>
    </w:p>
    <w:p w14:paraId="124B394A" w14:textId="0578A03A" w:rsidR="004E2F19" w:rsidRDefault="003F64BC" w:rsidP="0093582A">
      <w:pPr>
        <w:pStyle w:val="Heading2"/>
      </w:pPr>
      <w:bookmarkStart w:id="93" w:name="_Toc177657903"/>
      <w:r>
        <w:lastRenderedPageBreak/>
        <w:t>How to respond</w:t>
      </w:r>
      <w:bookmarkEnd w:id="93"/>
    </w:p>
    <w:p w14:paraId="595557DD" w14:textId="232CFB6E" w:rsidR="003F64BC" w:rsidRDefault="003F64BC" w:rsidP="0089410A">
      <w:r>
        <w:t xml:space="preserve">Submissions must be provided by the closing date </w:t>
      </w:r>
      <w:r w:rsidRPr="00C50BE0">
        <w:t xml:space="preserve">of </w:t>
      </w:r>
      <w:r w:rsidR="00C50BE0" w:rsidRPr="00C50BE0">
        <w:t>22</w:t>
      </w:r>
      <w:r w:rsidR="00F672BF" w:rsidRPr="00C50BE0">
        <w:t xml:space="preserve"> </w:t>
      </w:r>
      <w:r w:rsidR="00C50BE0" w:rsidRPr="00C50BE0">
        <w:t>October</w:t>
      </w:r>
      <w:r w:rsidR="00F672BF" w:rsidRPr="00C50BE0">
        <w:t xml:space="preserve"> 2024 </w:t>
      </w:r>
      <w:r w:rsidRPr="00C50BE0">
        <w:t>through</w:t>
      </w:r>
      <w:r>
        <w:t xml:space="preserve"> our </w:t>
      </w:r>
      <w:hyperlink r:id="rId95" w:history="1">
        <w:r w:rsidRPr="00E440FA">
          <w:rPr>
            <w:rStyle w:val="Hyperlink"/>
          </w:rPr>
          <w:t>consultation hub</w:t>
        </w:r>
      </w:hyperlink>
      <w:r>
        <w:t xml:space="preserve">. Any submission about any of the proposals to amend the Poisons Standard will be considered at the next meeting of the </w:t>
      </w:r>
      <w:hyperlink r:id="rId96" w:history="1">
        <w:r w:rsidRPr="00D8712A">
          <w:rPr>
            <w:rStyle w:val="Hyperlink"/>
          </w:rPr>
          <w:t>Advisory Committee on Medicines Scheduling (ACMS)</w:t>
        </w:r>
      </w:hyperlink>
      <w:r>
        <w:t xml:space="preserve">, meeting of the </w:t>
      </w:r>
      <w:hyperlink r:id="rId97" w:history="1">
        <w:r w:rsidRPr="001355C5">
          <w:rPr>
            <w:rStyle w:val="Hyperlink"/>
          </w:rPr>
          <w:t>Advisory Committee on Chemicals Scheduling (ACCS)</w:t>
        </w:r>
      </w:hyperlink>
      <w:r>
        <w:t>, or a joint meeting of these two committees.</w:t>
      </w:r>
    </w:p>
    <w:p w14:paraId="2F698B91" w14:textId="3475088F" w:rsidR="003F64BC" w:rsidRDefault="003F64BC" w:rsidP="0093582A">
      <w:pPr>
        <w:pStyle w:val="Heading2"/>
      </w:pPr>
      <w:bookmarkStart w:id="94" w:name="_Toc177657904"/>
      <w:r>
        <w:t>What will happen</w:t>
      </w:r>
      <w:bookmarkEnd w:id="94"/>
    </w:p>
    <w:p w14:paraId="1A6D3BA5" w14:textId="1DBB3878" w:rsidR="003F64BC" w:rsidRDefault="003F64BC" w:rsidP="0089410A">
      <w:r>
        <w:t xml:space="preserve">All public submissions will be published on the </w:t>
      </w:r>
      <w:hyperlink r:id="rId98" w:history="1">
        <w:r w:rsidRPr="00746629">
          <w:rPr>
            <w:rStyle w:val="Hyperlink"/>
          </w:rPr>
          <w:t>TGA website</w:t>
        </w:r>
      </w:hyperlink>
      <w:r>
        <w:t>, unless marked confidential</w:t>
      </w:r>
      <w:r w:rsidR="00765A3D">
        <w:t>.</w:t>
      </w:r>
    </w:p>
    <w:p w14:paraId="60B1C650" w14:textId="0C5930CC" w:rsidR="00765A3D" w:rsidRDefault="00765A3D" w:rsidP="0089410A">
      <w:r>
        <w:t xml:space="preserve">Following consideration of public submissions received before the closing date and advice from the expert advisory committee/s, decisions on the proposed amendments will be published as </w:t>
      </w:r>
      <w:hyperlink r:id="rId99" w:history="1">
        <w:r w:rsidRPr="00F936CD">
          <w:rPr>
            <w:rStyle w:val="Hyperlink"/>
          </w:rPr>
          <w:t>interi</w:t>
        </w:r>
        <w:r w:rsidR="00736E35" w:rsidRPr="00F936CD">
          <w:rPr>
            <w:rStyle w:val="Hyperlink"/>
          </w:rPr>
          <w:t>m decisions on the TGA website</w:t>
        </w:r>
      </w:hyperlink>
      <w:r w:rsidR="0093582A">
        <w:t>.</w:t>
      </w:r>
    </w:p>
    <w:p w14:paraId="4D650ACC" w14:textId="77777777" w:rsidR="0089410A" w:rsidRDefault="0089410A" w:rsidP="00DD3815">
      <w:pPr>
        <w:pStyle w:val="LegalSubheading"/>
        <w:rPr>
          <w:b/>
          <w:bCs/>
        </w:rPr>
      </w:pPr>
    </w:p>
    <w:p w14:paraId="385C13DE" w14:textId="77777777" w:rsidR="00B528AB" w:rsidRDefault="00B528AB" w:rsidP="00DD3815">
      <w:pPr>
        <w:pStyle w:val="LegalSubheading"/>
        <w:rPr>
          <w:b/>
          <w:bCs/>
        </w:rPr>
        <w:sectPr w:rsidR="00B528AB" w:rsidSect="007F251D">
          <w:headerReference w:type="default" r:id="rId100"/>
          <w:footerReference w:type="default" r:id="rId101"/>
          <w:headerReference w:type="first" r:id="rId102"/>
          <w:pgSz w:w="11906" w:h="16838"/>
          <w:pgMar w:top="1440" w:right="1440" w:bottom="1440" w:left="1440" w:header="708" w:footer="708" w:gutter="0"/>
          <w:cols w:space="708"/>
          <w:titlePg/>
          <w:docGrid w:linePitch="360"/>
        </w:sectPr>
      </w:pPr>
    </w:p>
    <w:p w14:paraId="3F730ABC" w14:textId="77777777" w:rsidR="00B528AB" w:rsidRPr="00DD3815" w:rsidRDefault="00B528AB" w:rsidP="00DD3815">
      <w:pPr>
        <w:pStyle w:val="LegalSubheading"/>
        <w:rPr>
          <w:b/>
          <w:bCs/>
        </w:rPr>
      </w:pPr>
    </w:p>
    <w:sectPr w:rsidR="00B528AB" w:rsidRPr="00DD3815" w:rsidSect="004E5606">
      <w:headerReference w:type="first" r:id="rId103"/>
      <w:footerReference w:type="first" r:id="rId10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3340" w14:textId="77777777" w:rsidR="006C1A1F" w:rsidRDefault="006C1A1F" w:rsidP="00537B47">
      <w:pPr>
        <w:spacing w:after="0" w:line="240" w:lineRule="auto"/>
      </w:pPr>
      <w:r>
        <w:separator/>
      </w:r>
    </w:p>
  </w:endnote>
  <w:endnote w:type="continuationSeparator" w:id="0">
    <w:p w14:paraId="1EB91582" w14:textId="77777777" w:rsidR="006C1A1F" w:rsidRDefault="006C1A1F"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6366A6" w:rsidRPr="00520CD5" w14:paraId="74740C60" w14:textId="77777777" w:rsidTr="00030D34">
      <w:trPr>
        <w:trHeight w:val="423"/>
      </w:trPr>
      <w:tc>
        <w:tcPr>
          <w:tcW w:w="7338" w:type="dxa"/>
          <w:tcBorders>
            <w:top w:val="single" w:sz="4" w:space="0" w:color="auto"/>
          </w:tcBorders>
        </w:tcPr>
        <w:p w14:paraId="76333DB0" w14:textId="2ABD93B4" w:rsidR="006366A6" w:rsidRPr="00520CD5" w:rsidRDefault="00E9781C" w:rsidP="00520CD5">
          <w:pPr>
            <w:rPr>
              <w:sz w:val="18"/>
              <w:szCs w:val="18"/>
            </w:rPr>
          </w:pPr>
          <w:r w:rsidRPr="00183C8E">
            <w:rPr>
              <w:rFonts w:asciiTheme="minorHAnsi" w:hAnsiTheme="minorHAnsi" w:cstheme="minorHAnsi"/>
              <w:sz w:val="16"/>
              <w:szCs w:val="16"/>
            </w:rPr>
            <w:t>Consultation: Proposed amendments to the Poisons Standard – ACMS #</w:t>
          </w:r>
          <w:r>
            <w:rPr>
              <w:rFonts w:asciiTheme="minorHAnsi" w:hAnsiTheme="minorHAnsi" w:cstheme="minorHAnsi"/>
              <w:sz w:val="16"/>
              <w:szCs w:val="16"/>
            </w:rPr>
            <w:t>46</w:t>
          </w:r>
          <w:r w:rsidRPr="00183C8E">
            <w:rPr>
              <w:rFonts w:asciiTheme="minorHAnsi" w:hAnsiTheme="minorHAnsi" w:cstheme="minorHAnsi"/>
              <w:sz w:val="16"/>
              <w:szCs w:val="16"/>
            </w:rPr>
            <w:t xml:space="preserve"> and Joint ACMS-ACCS #</w:t>
          </w:r>
          <w:r>
            <w:rPr>
              <w:rFonts w:asciiTheme="minorHAnsi" w:hAnsiTheme="minorHAnsi" w:cstheme="minorHAnsi"/>
              <w:sz w:val="16"/>
              <w:szCs w:val="16"/>
            </w:rPr>
            <w:t>38</w:t>
          </w:r>
          <w:r w:rsidRPr="00183C8E">
            <w:rPr>
              <w:rFonts w:asciiTheme="minorHAnsi" w:hAnsiTheme="minorHAnsi" w:cstheme="minorHAnsi"/>
              <w:sz w:val="16"/>
              <w:szCs w:val="16"/>
            </w:rPr>
            <w:t xml:space="preserve"> meetings, </w:t>
          </w:r>
          <w:r>
            <w:rPr>
              <w:rFonts w:asciiTheme="minorHAnsi" w:hAnsiTheme="minorHAnsi" w:cstheme="minorHAnsi"/>
              <w:sz w:val="16"/>
              <w:szCs w:val="16"/>
            </w:rPr>
            <w:t>November 2024</w:t>
          </w:r>
          <w:r w:rsidRPr="00183C8E">
            <w:rPr>
              <w:rFonts w:asciiTheme="minorHAnsi" w:hAnsiTheme="minorHAnsi" w:cstheme="minorHAnsi"/>
              <w:sz w:val="16"/>
              <w:szCs w:val="16"/>
            </w:rPr>
            <w:t xml:space="preserve"> </w:t>
          </w:r>
          <w:r w:rsidRPr="00183C8E">
            <w:rPr>
              <w:rFonts w:asciiTheme="minorHAnsi" w:hAnsiTheme="minorHAnsi" w:cstheme="minorHAnsi"/>
              <w:sz w:val="16"/>
              <w:szCs w:val="16"/>
            </w:rPr>
            <w:br/>
          </w:r>
        </w:p>
      </w:tc>
      <w:tc>
        <w:tcPr>
          <w:tcW w:w="1734" w:type="dxa"/>
          <w:tcBorders>
            <w:top w:val="single" w:sz="4" w:space="0" w:color="auto"/>
          </w:tcBorders>
        </w:tcPr>
        <w:sdt>
          <w:sdtPr>
            <w:rPr>
              <w:sz w:val="18"/>
              <w:szCs w:val="18"/>
            </w:rPr>
            <w:id w:val="666838119"/>
            <w:docPartObj>
              <w:docPartGallery w:val="Page Numbers (Top of Page)"/>
              <w:docPartUnique/>
            </w:docPartObj>
          </w:sdtPr>
          <w:sdtEndPr/>
          <w:sdtContent>
            <w:p w14:paraId="26D27F8D" w14:textId="77777777" w:rsidR="006366A6" w:rsidRPr="00520CD5" w:rsidRDefault="006366A6" w:rsidP="00520CD5">
              <w:pPr>
                <w:rPr>
                  <w:sz w:val="18"/>
                  <w:szCs w:val="18"/>
                </w:rPr>
              </w:pPr>
              <w:r w:rsidRPr="00520CD5">
                <w:rPr>
                  <w:sz w:val="18"/>
                  <w:szCs w:val="18"/>
                </w:rPr>
                <w:t xml:space="preserve">Page </w:t>
              </w:r>
              <w:r w:rsidRPr="00520CD5">
                <w:rPr>
                  <w:sz w:val="18"/>
                  <w:szCs w:val="18"/>
                </w:rPr>
                <w:fldChar w:fldCharType="begin"/>
              </w:r>
              <w:r w:rsidRPr="00520CD5">
                <w:rPr>
                  <w:sz w:val="18"/>
                  <w:szCs w:val="18"/>
                </w:rPr>
                <w:instrText xml:space="preserve"> PAGE </w:instrText>
              </w:r>
              <w:r w:rsidRPr="00520CD5">
                <w:rPr>
                  <w:sz w:val="18"/>
                  <w:szCs w:val="18"/>
                </w:rPr>
                <w:fldChar w:fldCharType="separate"/>
              </w:r>
              <w:r w:rsidRPr="00520CD5">
                <w:rPr>
                  <w:noProof/>
                  <w:sz w:val="18"/>
                  <w:szCs w:val="18"/>
                </w:rPr>
                <w:t>6</w:t>
              </w:r>
              <w:r w:rsidRPr="00520CD5">
                <w:rPr>
                  <w:noProof/>
                  <w:sz w:val="18"/>
                  <w:szCs w:val="18"/>
                </w:rPr>
                <w:fldChar w:fldCharType="end"/>
              </w:r>
              <w:r w:rsidRPr="00520CD5">
                <w:rPr>
                  <w:sz w:val="18"/>
                  <w:szCs w:val="18"/>
                </w:rPr>
                <w:t xml:space="preserve"> of </w:t>
              </w:r>
              <w:r w:rsidRPr="00520CD5">
                <w:rPr>
                  <w:sz w:val="18"/>
                  <w:szCs w:val="18"/>
                </w:rPr>
                <w:fldChar w:fldCharType="begin"/>
              </w:r>
              <w:r w:rsidRPr="00520CD5">
                <w:rPr>
                  <w:sz w:val="18"/>
                  <w:szCs w:val="18"/>
                </w:rPr>
                <w:instrText xml:space="preserve"> NUMPAGES  </w:instrText>
              </w:r>
              <w:r w:rsidRPr="00520CD5">
                <w:rPr>
                  <w:sz w:val="18"/>
                  <w:szCs w:val="18"/>
                </w:rPr>
                <w:fldChar w:fldCharType="separate"/>
              </w:r>
              <w:r w:rsidRPr="00520CD5">
                <w:rPr>
                  <w:noProof/>
                  <w:sz w:val="18"/>
                  <w:szCs w:val="18"/>
                </w:rPr>
                <w:t>7</w:t>
              </w:r>
              <w:r w:rsidRPr="00520CD5">
                <w:rPr>
                  <w:noProof/>
                  <w:sz w:val="18"/>
                  <w:szCs w:val="18"/>
                </w:rPr>
                <w:fldChar w:fldCharType="end"/>
              </w:r>
            </w:p>
          </w:sdtContent>
        </w:sdt>
      </w:tc>
    </w:tr>
  </w:tbl>
  <w:p w14:paraId="230BBC02" w14:textId="77777777" w:rsidR="006366A6" w:rsidRPr="00B90A0A" w:rsidRDefault="006366A6" w:rsidP="004A3084">
    <w:pPr>
      <w:pStyle w:val="Footer"/>
      <w:tabs>
        <w:tab w:val="left" w:pos="7620"/>
        <w:tab w:val="right" w:pos="8504"/>
      </w:tabs>
      <w:rPr>
        <w:rFonts w:asciiTheme="minorHAnsi" w:hAnsiTheme="minorHAnsi" w:cstheme="minorHAnsi"/>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38CC" w14:textId="40F00738" w:rsidR="00AE1AD5" w:rsidRPr="00F12210" w:rsidRDefault="00AE1AD5" w:rsidP="00AE1AD5">
    <w:pPr>
      <w:pStyle w:val="Footer"/>
      <w:rPr>
        <w:sz w:val="16"/>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E1AD5" w:rsidRPr="00183C8E" w14:paraId="1B40500A" w14:textId="77777777" w:rsidTr="00AD2623">
      <w:trPr>
        <w:trHeight w:val="423"/>
      </w:trPr>
      <w:tc>
        <w:tcPr>
          <w:tcW w:w="7338" w:type="dxa"/>
          <w:tcBorders>
            <w:top w:val="single" w:sz="4" w:space="0" w:color="auto"/>
          </w:tcBorders>
        </w:tcPr>
        <w:p w14:paraId="6090B75C" w14:textId="17FBAF69" w:rsidR="00AE1AD5" w:rsidRPr="00183C8E" w:rsidRDefault="00AE1AD5" w:rsidP="00AE1AD5">
          <w:pPr>
            <w:ind w:left="-105"/>
            <w:rPr>
              <w:rFonts w:asciiTheme="minorHAnsi" w:hAnsiTheme="minorHAnsi" w:cstheme="minorHAnsi"/>
              <w:sz w:val="16"/>
              <w:szCs w:val="16"/>
              <w:highlight w:val="yellow"/>
            </w:rPr>
          </w:pPr>
          <w:r w:rsidRPr="00183C8E">
            <w:rPr>
              <w:rFonts w:asciiTheme="minorHAnsi" w:hAnsiTheme="minorHAnsi" w:cstheme="minorHAnsi"/>
              <w:sz w:val="16"/>
              <w:szCs w:val="16"/>
            </w:rPr>
            <w:t>Consultation: Proposed amendments to the Poisons Standard – ACMS #</w:t>
          </w:r>
          <w:r w:rsidR="00320989">
            <w:rPr>
              <w:rFonts w:asciiTheme="minorHAnsi" w:hAnsiTheme="minorHAnsi" w:cstheme="minorHAnsi"/>
              <w:sz w:val="16"/>
              <w:szCs w:val="16"/>
            </w:rPr>
            <w:t>46</w:t>
          </w:r>
          <w:r w:rsidRPr="00183C8E">
            <w:rPr>
              <w:rFonts w:asciiTheme="minorHAnsi" w:hAnsiTheme="minorHAnsi" w:cstheme="minorHAnsi"/>
              <w:sz w:val="16"/>
              <w:szCs w:val="16"/>
            </w:rPr>
            <w:t>, ACCS #</w:t>
          </w:r>
          <w:r w:rsidR="00320989">
            <w:rPr>
              <w:rFonts w:asciiTheme="minorHAnsi" w:hAnsiTheme="minorHAnsi" w:cstheme="minorHAnsi"/>
              <w:sz w:val="16"/>
              <w:szCs w:val="16"/>
            </w:rPr>
            <w:t>40</w:t>
          </w:r>
          <w:r w:rsidRPr="00183C8E">
            <w:rPr>
              <w:rFonts w:asciiTheme="minorHAnsi" w:hAnsiTheme="minorHAnsi" w:cstheme="minorHAnsi"/>
              <w:sz w:val="16"/>
              <w:szCs w:val="16"/>
            </w:rPr>
            <w:t xml:space="preserve"> and Joint ACMS-ACCS #</w:t>
          </w:r>
          <w:r w:rsidR="00320989">
            <w:rPr>
              <w:rFonts w:asciiTheme="minorHAnsi" w:hAnsiTheme="minorHAnsi" w:cstheme="minorHAnsi"/>
              <w:sz w:val="16"/>
              <w:szCs w:val="16"/>
            </w:rPr>
            <w:t>38</w:t>
          </w:r>
          <w:r w:rsidRPr="00183C8E">
            <w:rPr>
              <w:rFonts w:asciiTheme="minorHAnsi" w:hAnsiTheme="minorHAnsi" w:cstheme="minorHAnsi"/>
              <w:sz w:val="16"/>
              <w:szCs w:val="16"/>
            </w:rPr>
            <w:t xml:space="preserve"> meetings, </w:t>
          </w:r>
          <w:r w:rsidR="00320989">
            <w:rPr>
              <w:rFonts w:asciiTheme="minorHAnsi" w:hAnsiTheme="minorHAnsi" w:cstheme="minorHAnsi"/>
              <w:sz w:val="16"/>
              <w:szCs w:val="16"/>
            </w:rPr>
            <w:t>November 2024</w:t>
          </w:r>
        </w:p>
      </w:tc>
      <w:tc>
        <w:tcPr>
          <w:tcW w:w="1734" w:type="dxa"/>
          <w:tcBorders>
            <w:top w:val="single" w:sz="4" w:space="0" w:color="auto"/>
          </w:tcBorders>
        </w:tcPr>
        <w:sdt>
          <w:sdtPr>
            <w:rPr>
              <w:rFonts w:asciiTheme="minorHAnsi" w:hAnsiTheme="minorHAnsi" w:cstheme="minorHAnsi"/>
              <w:sz w:val="16"/>
              <w:szCs w:val="16"/>
            </w:rPr>
            <w:id w:val="11571659"/>
            <w:docPartObj>
              <w:docPartGallery w:val="Page Numbers (Top of Page)"/>
              <w:docPartUnique/>
            </w:docPartObj>
          </w:sdtPr>
          <w:sdtEndPr/>
          <w:sdtContent>
            <w:p w14:paraId="2AD728AD" w14:textId="77777777" w:rsidR="00AE1AD5" w:rsidRPr="00183C8E" w:rsidRDefault="00AE1AD5" w:rsidP="00AE1AD5">
              <w:pPr>
                <w:ind w:left="498" w:right="-102"/>
                <w:jc w:val="right"/>
                <w:rPr>
                  <w:rFonts w:asciiTheme="minorHAnsi" w:hAnsiTheme="minorHAnsi" w:cstheme="minorHAnsi"/>
                  <w:sz w:val="16"/>
                  <w:szCs w:val="16"/>
                </w:rPr>
              </w:pPr>
              <w:r w:rsidRPr="00183C8E">
                <w:rPr>
                  <w:rFonts w:asciiTheme="minorHAnsi" w:hAnsiTheme="minorHAnsi" w:cstheme="minorHAnsi"/>
                  <w:sz w:val="16"/>
                  <w:szCs w:val="16"/>
                </w:rPr>
                <w:t xml:space="preserve">Page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PAGE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6</w:t>
              </w:r>
              <w:r w:rsidRPr="00183C8E">
                <w:rPr>
                  <w:rFonts w:asciiTheme="minorHAnsi" w:hAnsiTheme="minorHAnsi" w:cstheme="minorHAnsi"/>
                  <w:noProof/>
                  <w:sz w:val="16"/>
                  <w:szCs w:val="16"/>
                </w:rPr>
                <w:fldChar w:fldCharType="end"/>
              </w:r>
              <w:r w:rsidRPr="00183C8E">
                <w:rPr>
                  <w:rFonts w:asciiTheme="minorHAnsi" w:hAnsiTheme="minorHAnsi" w:cstheme="minorHAnsi"/>
                  <w:sz w:val="16"/>
                  <w:szCs w:val="16"/>
                </w:rPr>
                <w:t xml:space="preserve"> of </w:t>
              </w:r>
              <w:r w:rsidRPr="00183C8E">
                <w:rPr>
                  <w:rFonts w:asciiTheme="minorHAnsi" w:hAnsiTheme="minorHAnsi" w:cstheme="minorHAnsi"/>
                  <w:sz w:val="16"/>
                  <w:szCs w:val="16"/>
                </w:rPr>
                <w:fldChar w:fldCharType="begin"/>
              </w:r>
              <w:r w:rsidRPr="00183C8E">
                <w:rPr>
                  <w:rFonts w:asciiTheme="minorHAnsi" w:hAnsiTheme="minorHAnsi" w:cstheme="minorHAnsi"/>
                  <w:sz w:val="16"/>
                  <w:szCs w:val="16"/>
                </w:rPr>
                <w:instrText xml:space="preserve"> NUMPAGES  </w:instrText>
              </w:r>
              <w:r w:rsidRPr="00183C8E">
                <w:rPr>
                  <w:rFonts w:asciiTheme="minorHAnsi" w:hAnsiTheme="minorHAnsi" w:cstheme="minorHAnsi"/>
                  <w:sz w:val="16"/>
                  <w:szCs w:val="16"/>
                </w:rPr>
                <w:fldChar w:fldCharType="separate"/>
              </w:r>
              <w:r w:rsidRPr="00183C8E">
                <w:rPr>
                  <w:rFonts w:asciiTheme="minorHAnsi" w:hAnsiTheme="minorHAnsi" w:cstheme="minorHAnsi"/>
                  <w:noProof/>
                  <w:sz w:val="16"/>
                  <w:szCs w:val="16"/>
                </w:rPr>
                <w:t>7</w:t>
              </w:r>
              <w:r w:rsidRPr="00183C8E">
                <w:rPr>
                  <w:rFonts w:asciiTheme="minorHAnsi" w:hAnsiTheme="minorHAnsi" w:cstheme="minorHAnsi"/>
                  <w:noProof/>
                  <w:sz w:val="16"/>
                  <w:szCs w:val="16"/>
                </w:rPr>
                <w:fldChar w:fldCharType="end"/>
              </w:r>
            </w:p>
          </w:sdtContent>
        </w:sdt>
      </w:tc>
    </w:tr>
  </w:tbl>
  <w:p w14:paraId="7A3F3886" w14:textId="7AB2F886" w:rsidR="00AE1AD5" w:rsidRPr="00F12210" w:rsidRDefault="00AE1AD5" w:rsidP="00AE1AD5">
    <w:pPr>
      <w:pStyle w:val="Footer"/>
      <w:rPr>
        <w:sz w:val="16"/>
        <w:szCs w:val="18"/>
      </w:rPr>
    </w:pPr>
  </w:p>
  <w:p w14:paraId="1D5AE0E8" w14:textId="30E86FD3" w:rsidR="00DD3815" w:rsidRPr="00F12210" w:rsidRDefault="00DD3815" w:rsidP="00210AB6">
    <w:pPr>
      <w:pStyle w:val="Footer"/>
      <w:tabs>
        <w:tab w:val="clear" w:pos="9026"/>
        <w:tab w:val="right" w:pos="4513"/>
        <w:tab w:val="right" w:pos="9015"/>
      </w:tabs>
      <w:jc w:val="right"/>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1255650" w14:textId="77777777" w:rsidTr="00574690">
      <w:trPr>
        <w:trHeight w:hRule="exact" w:val="565"/>
        <w:jc w:val="center"/>
      </w:trPr>
      <w:tc>
        <w:tcPr>
          <w:tcW w:w="9145" w:type="dxa"/>
        </w:tcPr>
        <w:p w14:paraId="3CC588FE" w14:textId="77777777" w:rsidR="00B528AB" w:rsidRPr="00215D48" w:rsidRDefault="00B528AB" w:rsidP="00B528AB">
          <w:pPr>
            <w:pStyle w:val="TGASignoff"/>
          </w:pPr>
          <w:r w:rsidRPr="00215D48">
            <w:t>Therapeutic Goods Administration</w:t>
          </w:r>
        </w:p>
      </w:tc>
    </w:tr>
    <w:tr w:rsidR="00B528AB" w:rsidRPr="00215D48" w14:paraId="12DE5C27" w14:textId="77777777" w:rsidTr="00574690">
      <w:trPr>
        <w:trHeight w:val="963"/>
        <w:jc w:val="center"/>
      </w:trPr>
      <w:tc>
        <w:tcPr>
          <w:tcW w:w="9145" w:type="dxa"/>
          <w:tcMar>
            <w:top w:w="28" w:type="dxa"/>
          </w:tcMar>
        </w:tcPr>
        <w:p w14:paraId="106CECF8" w14:textId="77777777" w:rsidR="00B528AB" w:rsidRPr="00215D48" w:rsidRDefault="00B528AB" w:rsidP="00B528AB">
          <w:pPr>
            <w:pStyle w:val="Address"/>
            <w:jc w:val="center"/>
          </w:pPr>
          <w:r w:rsidRPr="00215D48">
            <w:t>PO Box 100 Woden ACT 2606 Australia</w:t>
          </w:r>
        </w:p>
        <w:p w14:paraId="3DCB9886"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46A71506"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4FE987E8" w14:textId="77777777" w:rsidTr="00574690">
      <w:trPr>
        <w:trHeight w:val="251"/>
        <w:jc w:val="center"/>
      </w:trPr>
      <w:tc>
        <w:tcPr>
          <w:tcW w:w="9145" w:type="dxa"/>
          <w:tcMar>
            <w:top w:w="28" w:type="dxa"/>
          </w:tcMar>
        </w:tcPr>
        <w:p w14:paraId="7781F6E4" w14:textId="00CB3FB8" w:rsidR="00B528AB" w:rsidRPr="00215D48" w:rsidRDefault="00B528AB" w:rsidP="00C812D9">
          <w:pPr>
            <w:pStyle w:val="Address"/>
          </w:pPr>
        </w:p>
      </w:tc>
    </w:tr>
  </w:tbl>
  <w:p w14:paraId="4D0FAB84"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4816" w14:textId="77777777" w:rsidR="006C1A1F" w:rsidRDefault="006C1A1F" w:rsidP="00537B47">
      <w:pPr>
        <w:spacing w:after="0" w:line="240" w:lineRule="auto"/>
      </w:pPr>
      <w:r>
        <w:separator/>
      </w:r>
    </w:p>
  </w:footnote>
  <w:footnote w:type="continuationSeparator" w:id="0">
    <w:p w14:paraId="421FEDFA" w14:textId="77777777" w:rsidR="006C1A1F" w:rsidRDefault="006C1A1F" w:rsidP="00537B47">
      <w:pPr>
        <w:spacing w:after="0" w:line="240" w:lineRule="auto"/>
      </w:pPr>
      <w:r>
        <w:continuationSeparator/>
      </w:r>
    </w:p>
  </w:footnote>
  <w:footnote w:id="1">
    <w:p w14:paraId="221ED50C" w14:textId="77777777" w:rsidR="006366A6" w:rsidRPr="00687F35" w:rsidRDefault="006366A6" w:rsidP="006366A6">
      <w:pPr>
        <w:rPr>
          <w:rFonts w:cstheme="minorHAnsi"/>
          <w:sz w:val="18"/>
          <w:szCs w:val="18"/>
        </w:rPr>
      </w:pPr>
      <w:r w:rsidRPr="00687F35">
        <w:rPr>
          <w:rStyle w:val="FootnoteReference"/>
          <w:rFonts w:cstheme="minorHAnsi"/>
          <w:sz w:val="18"/>
          <w:szCs w:val="18"/>
        </w:rPr>
        <w:footnoteRef/>
      </w:r>
      <w:r w:rsidRPr="00687F35">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2">
    <w:p w14:paraId="722AE463" w14:textId="77777777" w:rsidR="00A91F01" w:rsidRPr="00A91F01" w:rsidRDefault="00A91F01" w:rsidP="00A91F01">
      <w:pPr>
        <w:pStyle w:val="FootnoteText"/>
        <w:rPr>
          <w:rFonts w:asciiTheme="minorHAnsi" w:hAnsiTheme="minorHAnsi" w:cstheme="minorBidi"/>
          <w:color w:val="auto"/>
          <w:sz w:val="20"/>
        </w:rPr>
      </w:pPr>
      <w:r w:rsidRPr="00A91F01">
        <w:rPr>
          <w:rStyle w:val="FootnoteReference"/>
          <w:color w:val="auto"/>
        </w:rPr>
        <w:footnoteRef/>
      </w:r>
      <w:r w:rsidRPr="00A91F01">
        <w:rPr>
          <w:color w:val="auto"/>
        </w:rPr>
        <w:t xml:space="preserve"> For the purposes of s 52D of the </w:t>
      </w:r>
      <w:r w:rsidRPr="00A91F01">
        <w:rPr>
          <w:i/>
          <w:iCs/>
          <w:color w:val="auto"/>
        </w:rPr>
        <w:t>Therapeutic Goods Act 1989</w:t>
      </w:r>
      <w:r w:rsidRPr="00A91F01">
        <w:rPr>
          <w:color w:val="auto"/>
        </w:rPr>
        <w:t xml:space="preserve"> (Cth).</w:t>
      </w:r>
    </w:p>
  </w:footnote>
  <w:footnote w:id="3">
    <w:p w14:paraId="6313A8AD" w14:textId="77777777" w:rsidR="00000FA0" w:rsidRPr="00687F35" w:rsidRDefault="00000FA0" w:rsidP="00000FA0">
      <w:pPr>
        <w:rPr>
          <w:rFonts w:cstheme="minorHAnsi"/>
          <w:sz w:val="18"/>
          <w:szCs w:val="18"/>
        </w:rPr>
      </w:pPr>
      <w:r w:rsidRPr="00687F35">
        <w:rPr>
          <w:rStyle w:val="FootnoteReference"/>
          <w:rFonts w:cstheme="minorHAnsi"/>
          <w:sz w:val="18"/>
          <w:szCs w:val="18"/>
        </w:rPr>
        <w:footnoteRef/>
      </w:r>
      <w:r w:rsidRPr="00687F35">
        <w:rPr>
          <w:rFonts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4">
    <w:p w14:paraId="37259756" w14:textId="18D6C8CC" w:rsidR="00A91F01" w:rsidRPr="00A91F01" w:rsidRDefault="00A91F01">
      <w:pPr>
        <w:pStyle w:val="FootnoteText"/>
        <w:rPr>
          <w:color w:val="auto"/>
        </w:rPr>
      </w:pPr>
      <w:r w:rsidRPr="00A91F01">
        <w:rPr>
          <w:rStyle w:val="FootnoteReference"/>
          <w:color w:val="auto"/>
        </w:rPr>
        <w:footnoteRef/>
      </w:r>
      <w:r w:rsidRPr="00A91F01">
        <w:rPr>
          <w:color w:val="auto"/>
        </w:rPr>
        <w:t xml:space="preserve"> Anticholinergics are substances that block the action of the acetylcholine neurotransmitter at synapses in the central and peripheral nervous system.</w:t>
      </w:r>
    </w:p>
  </w:footnote>
  <w:footnote w:id="5">
    <w:p w14:paraId="70AFFBD8" w14:textId="176C0AA8" w:rsidR="00000FA0" w:rsidRPr="00042BE0" w:rsidRDefault="00000FA0">
      <w:pPr>
        <w:pStyle w:val="FootnoteText"/>
        <w:rPr>
          <w:szCs w:val="16"/>
        </w:rPr>
      </w:pPr>
      <w:r w:rsidRPr="00042BE0">
        <w:rPr>
          <w:rStyle w:val="FootnoteReference"/>
          <w:szCs w:val="16"/>
        </w:rPr>
        <w:footnoteRef/>
      </w:r>
      <w:r w:rsidRPr="00042BE0">
        <w:rPr>
          <w:szCs w:val="16"/>
        </w:rPr>
        <w:t xml:space="preserve"> A Webster Pack helps those taking medication to take the right dose at the right time and manage complex medication </w:t>
      </w:r>
      <w:r w:rsidRPr="00042BE0">
        <w:rPr>
          <w:szCs w:val="16"/>
        </w:rPr>
        <w:t>regimes</w:t>
      </w:r>
    </w:p>
  </w:footnote>
  <w:footnote w:id="6">
    <w:p w14:paraId="4FEA3685" w14:textId="44F1393A" w:rsidR="00524FD4" w:rsidRPr="00042BE0" w:rsidRDefault="00524FD4">
      <w:pPr>
        <w:pStyle w:val="FootnoteText"/>
        <w:rPr>
          <w:szCs w:val="16"/>
        </w:rPr>
      </w:pPr>
      <w:r w:rsidRPr="00042BE0">
        <w:rPr>
          <w:rStyle w:val="FootnoteReference"/>
          <w:szCs w:val="16"/>
        </w:rPr>
        <w:footnoteRef/>
      </w:r>
      <w:r w:rsidRPr="00042BE0">
        <w:rPr>
          <w:szCs w:val="16"/>
        </w:rPr>
        <w:t xml:space="preserve"> </w:t>
      </w:r>
      <w:hyperlink r:id="rId1" w:history="1">
        <w:r w:rsidRPr="00042BE0">
          <w:rPr>
            <w:rStyle w:val="Hyperlink"/>
            <w:rFonts w:cs="Arial"/>
            <w:szCs w:val="16"/>
            <w:shd w:val="clear" w:color="auto" w:fill="E1E3E6"/>
          </w:rPr>
          <w:t>Vitamin B6 | Eat </w:t>
        </w:r>
        <w:r w:rsidRPr="00042BE0">
          <w:rPr>
            <w:rStyle w:val="Hyperlink"/>
            <w:rFonts w:cs="Arial"/>
            <w:szCs w:val="16"/>
            <w:shd w:val="clear" w:color="auto" w:fill="E1E3E6"/>
          </w:rPr>
          <w:t>For Health</w:t>
        </w:r>
        <w:r w:rsidRPr="00042BE0">
          <w:rPr>
            <w:rStyle w:val="Hyperlink"/>
            <w:rFonts w:cs="Arial"/>
            <w:szCs w:val="16"/>
            <w:shd w:val="clear" w:color="auto" w:fill="FFFFFF"/>
          </w:rPr>
          <w:t> </w:t>
        </w:r>
      </w:hyperlink>
      <w:r w:rsidRPr="00042BE0">
        <w:rPr>
          <w:rStyle w:val="normaltextrun"/>
          <w:rFonts w:cs="Arial"/>
          <w:color w:val="auto"/>
          <w:szCs w:val="16"/>
          <w:shd w:val="clear" w:color="auto" w:fill="FFFFFF"/>
        </w:rPr>
        <w:t>(viewed 27 August 2024)</w:t>
      </w:r>
    </w:p>
  </w:footnote>
  <w:footnote w:id="7">
    <w:p w14:paraId="0DA0618A" w14:textId="638B4E43" w:rsidR="00524FD4" w:rsidRDefault="00524FD4">
      <w:pPr>
        <w:pStyle w:val="FootnoteText"/>
      </w:pPr>
      <w:r w:rsidRPr="00042BE0">
        <w:rPr>
          <w:rStyle w:val="FootnoteReference"/>
          <w:szCs w:val="16"/>
        </w:rPr>
        <w:footnoteRef/>
      </w:r>
      <w:r w:rsidRPr="00042BE0">
        <w:rPr>
          <w:szCs w:val="16"/>
        </w:rPr>
        <w:t xml:space="preserve"> </w:t>
      </w:r>
      <w:hyperlink r:id="rId2" w:history="1">
        <w:r w:rsidRPr="00042BE0">
          <w:rPr>
            <w:rStyle w:val="Hyperlink"/>
            <w:rFonts w:cs="Arial"/>
            <w:szCs w:val="16"/>
            <w:shd w:val="clear" w:color="auto" w:fill="E1E3E6"/>
          </w:rPr>
          <w:t>Vitamin B6 Toxicity - </w:t>
        </w:r>
        <w:r w:rsidRPr="00042BE0">
          <w:rPr>
            <w:rStyle w:val="Hyperlink"/>
            <w:rFonts w:cs="Arial"/>
            <w:szCs w:val="16"/>
            <w:shd w:val="clear" w:color="auto" w:fill="E1E3E6"/>
          </w:rPr>
          <w:t>StatPearls - NCBI Bookshelf (nih.gov)</w:t>
        </w:r>
        <w:r w:rsidRPr="00042BE0">
          <w:rPr>
            <w:rStyle w:val="Hyperlink"/>
            <w:rFonts w:cs="Arial"/>
            <w:szCs w:val="16"/>
            <w:shd w:val="clear" w:color="auto" w:fill="FFFFFF"/>
          </w:rPr>
          <w:t>, 2023 </w:t>
        </w:r>
      </w:hyperlink>
      <w:r w:rsidRPr="00042BE0">
        <w:rPr>
          <w:rStyle w:val="normaltextrun"/>
          <w:rFonts w:cs="Arial"/>
          <w:color w:val="auto"/>
          <w:szCs w:val="16"/>
          <w:shd w:val="clear" w:color="auto" w:fill="FFFFFF"/>
        </w:rPr>
        <w:t>(viewed 27 August 2024)</w:t>
      </w:r>
    </w:p>
  </w:footnote>
  <w:footnote w:id="8">
    <w:p w14:paraId="598740AC" w14:textId="77777777" w:rsidR="00ED6749" w:rsidRDefault="00ED6749" w:rsidP="00ED6749">
      <w:pPr>
        <w:pStyle w:val="FootnoteText"/>
      </w:pPr>
      <w:r w:rsidRPr="0028705E">
        <w:rPr>
          <w:rStyle w:val="FootnoteReference"/>
          <w:color w:val="auto"/>
        </w:rPr>
        <w:footnoteRef/>
      </w:r>
      <w:r w:rsidRPr="0028705E">
        <w:rPr>
          <w:color w:val="auto"/>
        </w:rPr>
        <w:t xml:space="preserve"> Proposed additions are shown in green underlined font, proposed deletions are shown in red strikethrough font, and text without this formatting represents the current text in the Poisons Standard.</w:t>
      </w:r>
    </w:p>
  </w:footnote>
  <w:footnote w:id="9">
    <w:p w14:paraId="0BC055EC" w14:textId="5ADC8066" w:rsidR="00915B95" w:rsidRDefault="00915B95">
      <w:pPr>
        <w:pStyle w:val="FootnoteText"/>
      </w:pPr>
      <w:r>
        <w:rPr>
          <w:rStyle w:val="FootnoteReference"/>
        </w:rPr>
        <w:footnoteRef/>
      </w:r>
      <w:r>
        <w:t xml:space="preserve"> </w:t>
      </w:r>
      <w:hyperlink r:id="rId3" w:history="1">
        <w:r>
          <w:rPr>
            <w:rStyle w:val="Hyperlink"/>
          </w:rPr>
          <w:t>Epichlorohydrin | C3H5ClO | CID 7835 - PubChem (nih.gov)</w:t>
        </w:r>
      </w:hyperlink>
      <w:r>
        <w:t xml:space="preserve"> (viewed 13/9/2024)</w:t>
      </w:r>
    </w:p>
  </w:footnote>
  <w:footnote w:id="10">
    <w:p w14:paraId="0C1D3253" w14:textId="5F3CA117" w:rsidR="00F9113E" w:rsidRDefault="00F9113E">
      <w:pPr>
        <w:pStyle w:val="FootnoteText"/>
      </w:pPr>
      <w:r>
        <w:rPr>
          <w:rStyle w:val="FootnoteReference"/>
        </w:rPr>
        <w:footnoteRef/>
      </w:r>
      <w:r>
        <w:t xml:space="preserve"> </w:t>
      </w:r>
      <w:hyperlink r:id="rId4" w:history="1">
        <w:r w:rsidRPr="00C07C9B">
          <w:rPr>
            <w:rStyle w:val="Hyperlink"/>
          </w:rPr>
          <w:t>https://www.regulations.gov/document/EPA-HQ-OPP-2013-0244-0017</w:t>
        </w:r>
      </w:hyperlink>
      <w:r>
        <w:t xml:space="preserve"> (viewed 12 September 2024)</w:t>
      </w:r>
    </w:p>
  </w:footnote>
  <w:footnote w:id="11">
    <w:p w14:paraId="4B82E29E" w14:textId="33FCDA0E" w:rsidR="00A77CE9" w:rsidRDefault="00A77CE9">
      <w:pPr>
        <w:pStyle w:val="FootnoteText"/>
      </w:pPr>
      <w:r>
        <w:rPr>
          <w:rStyle w:val="FootnoteReference"/>
        </w:rPr>
        <w:footnoteRef/>
      </w:r>
      <w:hyperlink r:id="rId5" w:anchor=":~:text=Epichlorohydrin%20(ECH)%20is%20toxic%20to,regulation%20of%20municipal%20water%20systems" w:history="1">
        <w:r w:rsidR="00F435BA" w:rsidRPr="00C07C9B">
          <w:rPr>
            <w:rStyle w:val="Hyperlink"/>
          </w:rPr>
          <w:t>https://www.ncbi.nlm.nih.gov/pmc/articles/PMC9553001/#:~:text=Epichlorohydrin%20(ECH)%20is%20toxic%20to,regulation%20of%20municipal%20water%20systems</w:t>
        </w:r>
      </w:hyperlink>
      <w:r w:rsidRPr="00A77CE9">
        <w:t>.</w:t>
      </w:r>
    </w:p>
  </w:footnote>
  <w:footnote w:id="12">
    <w:p w14:paraId="157407A6" w14:textId="77777777" w:rsidR="009F47C6" w:rsidRDefault="009F47C6" w:rsidP="009F47C6">
      <w:pPr>
        <w:pStyle w:val="FootnoteText"/>
      </w:pPr>
      <w:r>
        <w:rPr>
          <w:rStyle w:val="FootnoteReference"/>
        </w:rPr>
        <w:footnoteRef/>
      </w:r>
      <w:r>
        <w:t xml:space="preserve"> </w:t>
      </w:r>
      <w:hyperlink r:id="rId6" w:history="1">
        <w:r>
          <w:rPr>
            <w:rStyle w:val="Hyperlink"/>
          </w:rPr>
          <w:t>Skin microbiota metabolism of natural products from comfrey root (Symphytum officinale L.) - PubMed (nih.gov)</w:t>
        </w:r>
      </w:hyperlink>
      <w:r>
        <w:t xml:space="preserve"> (viewed 28/8/2024)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0F54" w14:textId="77777777" w:rsidR="006366A6" w:rsidRPr="00D37F62" w:rsidRDefault="006366A6" w:rsidP="00C3408D">
    <w:pPr>
      <w:pStyle w:val="Header"/>
      <w:rPr>
        <w:rFonts w:cs="Arial"/>
        <w:sz w:val="18"/>
        <w:szCs w:val="22"/>
      </w:rPr>
    </w:pPr>
    <w:bookmarkStart w:id="24" w:name="_Hlk139891503"/>
    <w:bookmarkStart w:id="25" w:name="_Hlk139891504"/>
    <w:bookmarkStart w:id="26" w:name="_Hlk139891507"/>
    <w:bookmarkStart w:id="27" w:name="_Hlk139891508"/>
    <w:bookmarkStart w:id="28" w:name="_Hlk139891512"/>
    <w:bookmarkStart w:id="29" w:name="_Hlk139891513"/>
    <w:bookmarkStart w:id="30" w:name="_Hlk139891537"/>
    <w:bookmarkStart w:id="31" w:name="_Hlk139891538"/>
    <w:r w:rsidRPr="00D37F62">
      <w:rPr>
        <w:rFonts w:cs="Arial"/>
        <w:sz w:val="18"/>
        <w:szCs w:val="22"/>
      </w:rPr>
      <w:t>Therapeutic Goods Administration</w:t>
    </w:r>
    <w:bookmarkEnd w:id="24"/>
    <w:bookmarkEnd w:id="25"/>
    <w:bookmarkEnd w:id="26"/>
    <w:bookmarkEnd w:id="27"/>
    <w:bookmarkEnd w:id="28"/>
    <w:bookmarkEnd w:id="29"/>
    <w:bookmarkEnd w:id="30"/>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C2F6" w14:textId="4480836F" w:rsidR="00803C44" w:rsidRDefault="00803C44" w:rsidP="001454FC">
    <w:pPr>
      <w:pStyle w:val="Header"/>
      <w:pBdr>
        <w:bottom w:val="none" w:sz="0" w:space="0" w:color="auto"/>
      </w:pBdr>
    </w:pPr>
    <w:r w:rsidRPr="002B29B2">
      <w:rPr>
        <w:noProof/>
        <w:lang w:eastAsia="en-AU"/>
      </w:rPr>
      <w:drawing>
        <wp:anchor distT="0" distB="0" distL="114300" distR="114300" simplePos="0" relativeHeight="251662336" behindDoc="0" locked="0" layoutInCell="0" allowOverlap="1" wp14:anchorId="113F01EF" wp14:editId="297DB946">
          <wp:simplePos x="0" y="0"/>
          <wp:positionH relativeFrom="page">
            <wp:align>left</wp:align>
          </wp:positionH>
          <wp:positionV relativeFrom="page">
            <wp:posOffset>3240405</wp:posOffset>
          </wp:positionV>
          <wp:extent cx="7664400" cy="432360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4400" cy="432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0" locked="0" layoutInCell="1" allowOverlap="1" wp14:anchorId="7D13BF92" wp14:editId="12C64601">
          <wp:simplePos x="0" y="0"/>
          <wp:positionH relativeFrom="column">
            <wp:posOffset>-399415</wp:posOffset>
          </wp:positionH>
          <wp:positionV relativeFrom="paragraph">
            <wp:posOffset>-114935</wp:posOffset>
          </wp:positionV>
          <wp:extent cx="2678400" cy="622800"/>
          <wp:effectExtent l="0" t="0" r="0" b="635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8400" cy="622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581D" w14:textId="77777777" w:rsidR="005F6958" w:rsidRDefault="00DD3815" w:rsidP="00DD3815">
    <w:pPr>
      <w:pStyle w:val="Header"/>
      <w:tabs>
        <w:tab w:val="left" w:pos="8115"/>
      </w:tabs>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F5E5" w14:textId="0ACEF311" w:rsidR="00537B47" w:rsidRDefault="005F6958" w:rsidP="005F6958">
    <w:r>
      <w:rPr>
        <w:noProof/>
      </w:rPr>
      <w:drawing>
        <wp:anchor distT="0" distB="0" distL="114300" distR="114300" simplePos="0" relativeHeight="251658240" behindDoc="1" locked="0" layoutInCell="1" allowOverlap="1" wp14:anchorId="73CC630F" wp14:editId="404F9BB5">
          <wp:simplePos x="0" y="0"/>
          <wp:positionH relativeFrom="page">
            <wp:align>right</wp:align>
          </wp:positionH>
          <wp:positionV relativeFrom="paragraph">
            <wp:posOffset>3122930</wp:posOffset>
          </wp:positionV>
          <wp:extent cx="7553325" cy="4260356"/>
          <wp:effectExtent l="0" t="0" r="0" b="6985"/>
          <wp:wrapNone/>
          <wp:docPr id="37" name="Picture 37"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6AA1"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8D9897C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E924211"/>
    <w:multiLevelType w:val="hybridMultilevel"/>
    <w:tmpl w:val="E7E85486"/>
    <w:lvl w:ilvl="0" w:tplc="971C9902">
      <w:start w:val="1"/>
      <w:numFmt w:val="lowerLetter"/>
      <w:pStyle w:val="ListBulleta"/>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33661A39"/>
    <w:multiLevelType w:val="hybridMultilevel"/>
    <w:tmpl w:val="6E5E63DC"/>
    <w:lvl w:ilvl="0" w:tplc="BB7296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D37132"/>
    <w:multiLevelType w:val="hybridMultilevel"/>
    <w:tmpl w:val="C87859BA"/>
    <w:lvl w:ilvl="0" w:tplc="0C09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60281DB4"/>
    <w:multiLevelType w:val="hybridMultilevel"/>
    <w:tmpl w:val="55C4C972"/>
    <w:lvl w:ilvl="0" w:tplc="97EA7F4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44874731">
    <w:abstractNumId w:val="3"/>
  </w:num>
  <w:num w:numId="2" w16cid:durableId="1834369178">
    <w:abstractNumId w:val="1"/>
  </w:num>
  <w:num w:numId="3" w16cid:durableId="729621980">
    <w:abstractNumId w:val="0"/>
  </w:num>
  <w:num w:numId="4" w16cid:durableId="1693191331">
    <w:abstractNumId w:val="2"/>
  </w:num>
  <w:num w:numId="5" w16cid:durableId="1110271873">
    <w:abstractNumId w:val="3"/>
  </w:num>
  <w:num w:numId="6" w16cid:durableId="1860776656">
    <w:abstractNumId w:val="6"/>
  </w:num>
  <w:num w:numId="7" w16cid:durableId="52388051">
    <w:abstractNumId w:val="1"/>
  </w:num>
  <w:num w:numId="8" w16cid:durableId="189298508">
    <w:abstractNumId w:val="8"/>
  </w:num>
  <w:num w:numId="9" w16cid:durableId="1930499220">
    <w:abstractNumId w:val="4"/>
  </w:num>
  <w:num w:numId="10" w16cid:durableId="95831356">
    <w:abstractNumId w:val="5"/>
  </w:num>
  <w:num w:numId="11" w16cid:durableId="1058819903">
    <w:abstractNumId w:val="3"/>
    <w:lvlOverride w:ilvl="0">
      <w:lvl w:ilvl="0">
        <w:start w:val="1"/>
        <w:numFmt w:val="decimal"/>
        <w:pStyle w:val="ListBullet"/>
        <w:lvlText w:val=""/>
        <w:lvlJc w:val="left"/>
        <w:pPr>
          <w:ind w:left="360" w:hanging="360"/>
        </w:pPr>
        <w:rPr>
          <w:rFonts w:ascii="Symbol" w:hAnsi="Symbol" w:hint="default"/>
          <w:color w:val="auto"/>
        </w:rPr>
      </w:lvl>
    </w:lvlOverride>
    <w:lvlOverride w:ilvl="1">
      <w:lvl w:ilvl="1">
        <w:start w:val="1"/>
        <w:numFmt w:val="decimal"/>
        <w:pStyle w:val="ListBullet2"/>
        <w:lvlText w:val="–"/>
        <w:lvlJc w:val="left"/>
        <w:pPr>
          <w:ind w:left="720" w:hanging="360"/>
        </w:pPr>
        <w:rPr>
          <w:rFonts w:ascii="Arial" w:hAnsi="Arial" w:cs="Times New Roman" w:hint="default"/>
        </w:rPr>
      </w:lvl>
    </w:lvlOverride>
    <w:lvlOverride w:ilvl="2">
      <w:lvl w:ilvl="2">
        <w:start w:val="1"/>
        <w:numFmt w:val="decimal"/>
        <w:lvlText w:val=""/>
        <w:lvlJc w:val="left"/>
        <w:pPr>
          <w:ind w:left="1080" w:hanging="360"/>
        </w:pPr>
        <w:rPr>
          <w:rFonts w:ascii="Wingdings" w:hAnsi="Wingdings" w:hint="default"/>
        </w:rPr>
      </w:lvl>
    </w:lvlOverride>
    <w:lvlOverride w:ilvl="3">
      <w:lvl w:ilvl="3">
        <w:start w:val="1"/>
        <w:numFmt w:val="decimal"/>
        <w:lvlText w:val=""/>
        <w:lvlJc w:val="left"/>
        <w:pPr>
          <w:ind w:left="1440" w:hanging="360"/>
        </w:pPr>
      </w:lvl>
    </w:lvlOverride>
    <w:lvlOverride w:ilvl="4">
      <w:lvl w:ilvl="4">
        <w:start w:val="1"/>
        <w:numFmt w:val="decimal"/>
        <w:lvlText w:val=""/>
        <w:lvlJc w:val="left"/>
        <w:pPr>
          <w:ind w:left="1800" w:hanging="360"/>
        </w:pPr>
      </w:lvl>
    </w:lvlOverride>
    <w:lvlOverride w:ilvl="5">
      <w:lvl w:ilvl="5">
        <w:start w:val="1"/>
        <w:numFmt w:val="decimal"/>
        <w:lvlText w:val=""/>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2" w16cid:durableId="123616078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3"/>
    <w:rsid w:val="00000FA0"/>
    <w:rsid w:val="00001603"/>
    <w:rsid w:val="00010B40"/>
    <w:rsid w:val="000120D4"/>
    <w:rsid w:val="0001240A"/>
    <w:rsid w:val="00042BE0"/>
    <w:rsid w:val="00054EB7"/>
    <w:rsid w:val="000626A6"/>
    <w:rsid w:val="000703A6"/>
    <w:rsid w:val="00077E87"/>
    <w:rsid w:val="00083D2B"/>
    <w:rsid w:val="00086F75"/>
    <w:rsid w:val="0009020D"/>
    <w:rsid w:val="00092429"/>
    <w:rsid w:val="000929FD"/>
    <w:rsid w:val="00092FED"/>
    <w:rsid w:val="00096A22"/>
    <w:rsid w:val="000C6DFE"/>
    <w:rsid w:val="000D1929"/>
    <w:rsid w:val="000E7F91"/>
    <w:rsid w:val="000F1A08"/>
    <w:rsid w:val="000F6BB5"/>
    <w:rsid w:val="0011097C"/>
    <w:rsid w:val="00116338"/>
    <w:rsid w:val="001243C7"/>
    <w:rsid w:val="001355C5"/>
    <w:rsid w:val="001454FC"/>
    <w:rsid w:val="00165614"/>
    <w:rsid w:val="0016606E"/>
    <w:rsid w:val="00167781"/>
    <w:rsid w:val="001832EA"/>
    <w:rsid w:val="00183C8E"/>
    <w:rsid w:val="00184B40"/>
    <w:rsid w:val="0018625C"/>
    <w:rsid w:val="00190A7F"/>
    <w:rsid w:val="00195D3D"/>
    <w:rsid w:val="001A6E57"/>
    <w:rsid w:val="001B474B"/>
    <w:rsid w:val="001C144E"/>
    <w:rsid w:val="001C3A40"/>
    <w:rsid w:val="001C50BD"/>
    <w:rsid w:val="001F05E0"/>
    <w:rsid w:val="0020324F"/>
    <w:rsid w:val="00206E84"/>
    <w:rsid w:val="00210006"/>
    <w:rsid w:val="00210AB6"/>
    <w:rsid w:val="00214309"/>
    <w:rsid w:val="00214AF2"/>
    <w:rsid w:val="002178D7"/>
    <w:rsid w:val="00225012"/>
    <w:rsid w:val="002342F9"/>
    <w:rsid w:val="00254486"/>
    <w:rsid w:val="002632BF"/>
    <w:rsid w:val="00271195"/>
    <w:rsid w:val="00274B1E"/>
    <w:rsid w:val="00275AF7"/>
    <w:rsid w:val="00283F99"/>
    <w:rsid w:val="0028705E"/>
    <w:rsid w:val="0029758F"/>
    <w:rsid w:val="002A0D54"/>
    <w:rsid w:val="002A2CC4"/>
    <w:rsid w:val="002C1879"/>
    <w:rsid w:val="002C4E03"/>
    <w:rsid w:val="002D4CCA"/>
    <w:rsid w:val="002D7557"/>
    <w:rsid w:val="002E2411"/>
    <w:rsid w:val="002F58B9"/>
    <w:rsid w:val="00302ED4"/>
    <w:rsid w:val="0031389D"/>
    <w:rsid w:val="00320989"/>
    <w:rsid w:val="00326C66"/>
    <w:rsid w:val="0033474D"/>
    <w:rsid w:val="003355A0"/>
    <w:rsid w:val="0035336B"/>
    <w:rsid w:val="00360C86"/>
    <w:rsid w:val="00370DA4"/>
    <w:rsid w:val="00372284"/>
    <w:rsid w:val="00382738"/>
    <w:rsid w:val="003A0A9A"/>
    <w:rsid w:val="003B4807"/>
    <w:rsid w:val="003C1EE6"/>
    <w:rsid w:val="003D235B"/>
    <w:rsid w:val="003D3242"/>
    <w:rsid w:val="003E3A69"/>
    <w:rsid w:val="003E4CF9"/>
    <w:rsid w:val="003E5CF7"/>
    <w:rsid w:val="003E7F5B"/>
    <w:rsid w:val="003F012C"/>
    <w:rsid w:val="003F6463"/>
    <w:rsid w:val="003F64BC"/>
    <w:rsid w:val="00400E57"/>
    <w:rsid w:val="00416CF3"/>
    <w:rsid w:val="0042019C"/>
    <w:rsid w:val="0042105B"/>
    <w:rsid w:val="004252E6"/>
    <w:rsid w:val="0042734D"/>
    <w:rsid w:val="00431027"/>
    <w:rsid w:val="00435479"/>
    <w:rsid w:val="00435A20"/>
    <w:rsid w:val="00435F97"/>
    <w:rsid w:val="00436D6A"/>
    <w:rsid w:val="00437580"/>
    <w:rsid w:val="00440A97"/>
    <w:rsid w:val="0044124E"/>
    <w:rsid w:val="00444E0E"/>
    <w:rsid w:val="00452061"/>
    <w:rsid w:val="00454E1D"/>
    <w:rsid w:val="00460468"/>
    <w:rsid w:val="00473BEE"/>
    <w:rsid w:val="00474575"/>
    <w:rsid w:val="00476289"/>
    <w:rsid w:val="00482048"/>
    <w:rsid w:val="004A1E7C"/>
    <w:rsid w:val="004A5661"/>
    <w:rsid w:val="004A713B"/>
    <w:rsid w:val="004A7FA7"/>
    <w:rsid w:val="004B3ADE"/>
    <w:rsid w:val="004C1E18"/>
    <w:rsid w:val="004C6FC7"/>
    <w:rsid w:val="004E1952"/>
    <w:rsid w:val="004E2F19"/>
    <w:rsid w:val="004E5606"/>
    <w:rsid w:val="004E6E44"/>
    <w:rsid w:val="0050013C"/>
    <w:rsid w:val="00522026"/>
    <w:rsid w:val="00524FD4"/>
    <w:rsid w:val="005360BA"/>
    <w:rsid w:val="0053767E"/>
    <w:rsid w:val="00537B47"/>
    <w:rsid w:val="00542AB4"/>
    <w:rsid w:val="0055170B"/>
    <w:rsid w:val="0057106C"/>
    <w:rsid w:val="00571728"/>
    <w:rsid w:val="00574AB1"/>
    <w:rsid w:val="0058575E"/>
    <w:rsid w:val="00593BF8"/>
    <w:rsid w:val="005947C0"/>
    <w:rsid w:val="005A1F5E"/>
    <w:rsid w:val="005B13DB"/>
    <w:rsid w:val="005B4C28"/>
    <w:rsid w:val="005C3DBE"/>
    <w:rsid w:val="005C4B4C"/>
    <w:rsid w:val="005C61EB"/>
    <w:rsid w:val="005C68D7"/>
    <w:rsid w:val="005E22F4"/>
    <w:rsid w:val="005E5234"/>
    <w:rsid w:val="005F1E91"/>
    <w:rsid w:val="005F6958"/>
    <w:rsid w:val="00604C4A"/>
    <w:rsid w:val="0062019B"/>
    <w:rsid w:val="00622F85"/>
    <w:rsid w:val="006236A8"/>
    <w:rsid w:val="00627009"/>
    <w:rsid w:val="006350C3"/>
    <w:rsid w:val="006356F0"/>
    <w:rsid w:val="006366A6"/>
    <w:rsid w:val="0064243F"/>
    <w:rsid w:val="00650645"/>
    <w:rsid w:val="0065615D"/>
    <w:rsid w:val="00657653"/>
    <w:rsid w:val="0066036D"/>
    <w:rsid w:val="00681C3D"/>
    <w:rsid w:val="006832C5"/>
    <w:rsid w:val="0069007F"/>
    <w:rsid w:val="00696B84"/>
    <w:rsid w:val="006B19D8"/>
    <w:rsid w:val="006B1A24"/>
    <w:rsid w:val="006C1A1F"/>
    <w:rsid w:val="006D5175"/>
    <w:rsid w:val="006D6B92"/>
    <w:rsid w:val="006F7CF6"/>
    <w:rsid w:val="00701709"/>
    <w:rsid w:val="00701C7B"/>
    <w:rsid w:val="007108F8"/>
    <w:rsid w:val="00710D61"/>
    <w:rsid w:val="007176A9"/>
    <w:rsid w:val="00721BB6"/>
    <w:rsid w:val="0072632C"/>
    <w:rsid w:val="00736E35"/>
    <w:rsid w:val="00740F29"/>
    <w:rsid w:val="007448F9"/>
    <w:rsid w:val="00746629"/>
    <w:rsid w:val="00763200"/>
    <w:rsid w:val="007633FE"/>
    <w:rsid w:val="00764815"/>
    <w:rsid w:val="00765846"/>
    <w:rsid w:val="00765A3D"/>
    <w:rsid w:val="007741F6"/>
    <w:rsid w:val="007926DF"/>
    <w:rsid w:val="007A2244"/>
    <w:rsid w:val="007B0D5D"/>
    <w:rsid w:val="007B1B50"/>
    <w:rsid w:val="007B3FCB"/>
    <w:rsid w:val="007C1DFC"/>
    <w:rsid w:val="007D693D"/>
    <w:rsid w:val="007E4A3A"/>
    <w:rsid w:val="007F0A4F"/>
    <w:rsid w:val="007F0A77"/>
    <w:rsid w:val="007F251D"/>
    <w:rsid w:val="007F5F27"/>
    <w:rsid w:val="007F647B"/>
    <w:rsid w:val="00803C44"/>
    <w:rsid w:val="00805D2F"/>
    <w:rsid w:val="008126BE"/>
    <w:rsid w:val="00820CF4"/>
    <w:rsid w:val="0082624E"/>
    <w:rsid w:val="00826C1A"/>
    <w:rsid w:val="00830C91"/>
    <w:rsid w:val="008315E0"/>
    <w:rsid w:val="00845244"/>
    <w:rsid w:val="008513EC"/>
    <w:rsid w:val="0085532B"/>
    <w:rsid w:val="00867F31"/>
    <w:rsid w:val="00880C47"/>
    <w:rsid w:val="008864EB"/>
    <w:rsid w:val="0089410A"/>
    <w:rsid w:val="008B0E64"/>
    <w:rsid w:val="008C7764"/>
    <w:rsid w:val="008E6696"/>
    <w:rsid w:val="008E728F"/>
    <w:rsid w:val="008F38C3"/>
    <w:rsid w:val="008F646E"/>
    <w:rsid w:val="00902308"/>
    <w:rsid w:val="00906799"/>
    <w:rsid w:val="00910CF2"/>
    <w:rsid w:val="0091562F"/>
    <w:rsid w:val="00915B95"/>
    <w:rsid w:val="0093582A"/>
    <w:rsid w:val="0093660D"/>
    <w:rsid w:val="00945A16"/>
    <w:rsid w:val="009526B3"/>
    <w:rsid w:val="0095540A"/>
    <w:rsid w:val="00964112"/>
    <w:rsid w:val="00965019"/>
    <w:rsid w:val="0097207B"/>
    <w:rsid w:val="00974A21"/>
    <w:rsid w:val="00977F26"/>
    <w:rsid w:val="009A4C15"/>
    <w:rsid w:val="009A67C0"/>
    <w:rsid w:val="009A7D3B"/>
    <w:rsid w:val="009B243B"/>
    <w:rsid w:val="009C7B91"/>
    <w:rsid w:val="009D7819"/>
    <w:rsid w:val="009E7F2F"/>
    <w:rsid w:val="009F0F77"/>
    <w:rsid w:val="009F3376"/>
    <w:rsid w:val="009F47C6"/>
    <w:rsid w:val="00A04F95"/>
    <w:rsid w:val="00A12F19"/>
    <w:rsid w:val="00A168B8"/>
    <w:rsid w:val="00A16916"/>
    <w:rsid w:val="00A2688E"/>
    <w:rsid w:val="00A42B46"/>
    <w:rsid w:val="00A60D53"/>
    <w:rsid w:val="00A65F8F"/>
    <w:rsid w:val="00A77A09"/>
    <w:rsid w:val="00A77CE9"/>
    <w:rsid w:val="00A840C0"/>
    <w:rsid w:val="00A91F01"/>
    <w:rsid w:val="00AA222C"/>
    <w:rsid w:val="00AA5B15"/>
    <w:rsid w:val="00AB7A11"/>
    <w:rsid w:val="00AC4518"/>
    <w:rsid w:val="00AD365F"/>
    <w:rsid w:val="00AE1AD5"/>
    <w:rsid w:val="00AE5E66"/>
    <w:rsid w:val="00B1257F"/>
    <w:rsid w:val="00B17B42"/>
    <w:rsid w:val="00B25465"/>
    <w:rsid w:val="00B44B5E"/>
    <w:rsid w:val="00B523EC"/>
    <w:rsid w:val="00B528AB"/>
    <w:rsid w:val="00B55641"/>
    <w:rsid w:val="00B64F7D"/>
    <w:rsid w:val="00B65AAE"/>
    <w:rsid w:val="00B74609"/>
    <w:rsid w:val="00B769E5"/>
    <w:rsid w:val="00B9088C"/>
    <w:rsid w:val="00BA0796"/>
    <w:rsid w:val="00BA389C"/>
    <w:rsid w:val="00BB0798"/>
    <w:rsid w:val="00BB585F"/>
    <w:rsid w:val="00BB602E"/>
    <w:rsid w:val="00BC2533"/>
    <w:rsid w:val="00BC4008"/>
    <w:rsid w:val="00BF4422"/>
    <w:rsid w:val="00C03228"/>
    <w:rsid w:val="00C12A2D"/>
    <w:rsid w:val="00C12EF8"/>
    <w:rsid w:val="00C154B3"/>
    <w:rsid w:val="00C22CAE"/>
    <w:rsid w:val="00C40295"/>
    <w:rsid w:val="00C45015"/>
    <w:rsid w:val="00C45645"/>
    <w:rsid w:val="00C5053A"/>
    <w:rsid w:val="00C50BE0"/>
    <w:rsid w:val="00C56F18"/>
    <w:rsid w:val="00C63C8F"/>
    <w:rsid w:val="00C6420C"/>
    <w:rsid w:val="00C7009C"/>
    <w:rsid w:val="00C71EA4"/>
    <w:rsid w:val="00C812D9"/>
    <w:rsid w:val="00C81728"/>
    <w:rsid w:val="00C86FD0"/>
    <w:rsid w:val="00C9401E"/>
    <w:rsid w:val="00CB641C"/>
    <w:rsid w:val="00CC3276"/>
    <w:rsid w:val="00CC4BFF"/>
    <w:rsid w:val="00D05C68"/>
    <w:rsid w:val="00D102F3"/>
    <w:rsid w:val="00D1274E"/>
    <w:rsid w:val="00D13F8A"/>
    <w:rsid w:val="00D31E15"/>
    <w:rsid w:val="00D3522F"/>
    <w:rsid w:val="00D40CAB"/>
    <w:rsid w:val="00D4398B"/>
    <w:rsid w:val="00D51FF5"/>
    <w:rsid w:val="00D570FE"/>
    <w:rsid w:val="00D76B90"/>
    <w:rsid w:val="00D808E7"/>
    <w:rsid w:val="00D82083"/>
    <w:rsid w:val="00D83059"/>
    <w:rsid w:val="00D8712A"/>
    <w:rsid w:val="00D918D5"/>
    <w:rsid w:val="00D95BB0"/>
    <w:rsid w:val="00DA1EAA"/>
    <w:rsid w:val="00DA50B4"/>
    <w:rsid w:val="00DA65DC"/>
    <w:rsid w:val="00DA6C7B"/>
    <w:rsid w:val="00DB3416"/>
    <w:rsid w:val="00DB631E"/>
    <w:rsid w:val="00DD3815"/>
    <w:rsid w:val="00DF2833"/>
    <w:rsid w:val="00E0298C"/>
    <w:rsid w:val="00E1082F"/>
    <w:rsid w:val="00E15769"/>
    <w:rsid w:val="00E17F93"/>
    <w:rsid w:val="00E31772"/>
    <w:rsid w:val="00E3346E"/>
    <w:rsid w:val="00E440FA"/>
    <w:rsid w:val="00E5050A"/>
    <w:rsid w:val="00E63747"/>
    <w:rsid w:val="00E662A1"/>
    <w:rsid w:val="00E67E49"/>
    <w:rsid w:val="00E7246A"/>
    <w:rsid w:val="00E75A3B"/>
    <w:rsid w:val="00E86D3B"/>
    <w:rsid w:val="00E905BC"/>
    <w:rsid w:val="00E9781C"/>
    <w:rsid w:val="00EA4104"/>
    <w:rsid w:val="00EA60E6"/>
    <w:rsid w:val="00EB1567"/>
    <w:rsid w:val="00EB54A8"/>
    <w:rsid w:val="00EC36DF"/>
    <w:rsid w:val="00EC6D3B"/>
    <w:rsid w:val="00ED06D1"/>
    <w:rsid w:val="00ED1E1D"/>
    <w:rsid w:val="00ED1E7A"/>
    <w:rsid w:val="00ED5C1F"/>
    <w:rsid w:val="00ED6749"/>
    <w:rsid w:val="00EE5E9B"/>
    <w:rsid w:val="00EF3B12"/>
    <w:rsid w:val="00F10B0E"/>
    <w:rsid w:val="00F12210"/>
    <w:rsid w:val="00F20573"/>
    <w:rsid w:val="00F34E6E"/>
    <w:rsid w:val="00F35094"/>
    <w:rsid w:val="00F357E2"/>
    <w:rsid w:val="00F42468"/>
    <w:rsid w:val="00F435BA"/>
    <w:rsid w:val="00F518F7"/>
    <w:rsid w:val="00F56009"/>
    <w:rsid w:val="00F63532"/>
    <w:rsid w:val="00F672BF"/>
    <w:rsid w:val="00F759EC"/>
    <w:rsid w:val="00F9113E"/>
    <w:rsid w:val="00F936CD"/>
    <w:rsid w:val="00F94FF4"/>
    <w:rsid w:val="00FA6891"/>
    <w:rsid w:val="00FA7CE3"/>
    <w:rsid w:val="00FB052D"/>
    <w:rsid w:val="00FB119D"/>
    <w:rsid w:val="00FD43B8"/>
    <w:rsid w:val="00FF22A8"/>
    <w:rsid w:val="00FF396D"/>
    <w:rsid w:val="00FF5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F6C8"/>
  <w15:chartTrackingRefBased/>
  <w15:docId w15:val="{1C85FDA5-E54C-4588-B353-E83E819D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7B3FCB"/>
    <w:pPr>
      <w:keepNext/>
      <w:keepLines/>
      <w:spacing w:before="360" w:line="240" w:lineRule="atLeast"/>
      <w:outlineLvl w:val="3"/>
    </w:pPr>
    <w:rPr>
      <w:rFonts w:eastAsia="Cambria" w:cs="Times New Roman"/>
      <w:bCs/>
      <w:color w:val="001871"/>
      <w:sz w:val="28"/>
      <w:szCs w:val="26"/>
      <w:lang w:eastAsia="en-AU"/>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7B3FCB"/>
    <w:rPr>
      <w:rFonts w:eastAsia="Cambria" w:cs="Times New Roman"/>
      <w:bCs/>
      <w:color w:val="001871"/>
      <w:sz w:val="28"/>
      <w:szCs w:val="26"/>
      <w:lang w:eastAsia="en-AU"/>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aliases w:val="OECD 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FB119D"/>
    <w:pPr>
      <w:numPr>
        <w:numId w:val="5"/>
      </w:numPr>
      <w:spacing w:before="120" w:after="180" w:line="240" w:lineRule="atLeast"/>
    </w:pPr>
    <w:rPr>
      <w:rFonts w:asciiTheme="minorHAnsi" w:eastAsia="Cambria" w:hAnsiTheme="minorHAnsi" w:cstheme="minorHAnsi"/>
    </w:rPr>
  </w:style>
  <w:style w:type="paragraph" w:customStyle="1" w:styleId="Numberbullet0">
    <w:name w:val="Number bullet"/>
    <w:basedOn w:val="ListBullet"/>
    <w:uiPriority w:val="3"/>
    <w:qFormat/>
    <w:rsid w:val="005F6958"/>
    <w:pPr>
      <w:numPr>
        <w:numId w:val="7"/>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rsid w:val="000929FD"/>
  </w:style>
  <w:style w:type="paragraph" w:customStyle="1" w:styleId="ListBullet-donotcross">
    <w:name w:val="List Bullet - do not (cross)"/>
    <w:basedOn w:val="ListBullet"/>
    <w:autoRedefine/>
    <w:uiPriority w:val="1"/>
    <w:rsid w:val="000929FD"/>
  </w:style>
  <w:style w:type="paragraph" w:styleId="ListBullet2">
    <w:name w:val="List Bullet 2"/>
    <w:basedOn w:val="Normal"/>
    <w:uiPriority w:val="2"/>
    <w:qFormat/>
    <w:rsid w:val="0085532B"/>
    <w:pPr>
      <w:numPr>
        <w:ilvl w:val="1"/>
        <w:numId w:val="5"/>
      </w:numPr>
      <w:spacing w:before="120" w:after="180" w:line="240" w:lineRule="atLeast"/>
    </w:pPr>
    <w:rPr>
      <w:rFonts w:eastAsia="Cambria" w:cs="Times New Roman"/>
    </w:rPr>
  </w:style>
  <w:style w:type="paragraph" w:styleId="ListBullet3">
    <w:name w:val="List Bullet 3"/>
    <w:basedOn w:val="Normal"/>
    <w:uiPriority w:val="2"/>
    <w:qFormat/>
    <w:rsid w:val="005F6958"/>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7"/>
      </w:numPr>
    </w:pPr>
  </w:style>
  <w:style w:type="paragraph" w:customStyle="1" w:styleId="Numberbullet3">
    <w:name w:val="Number bullet 3"/>
    <w:basedOn w:val="Normal"/>
    <w:uiPriority w:val="3"/>
    <w:qFormat/>
    <w:rsid w:val="005F6958"/>
    <w:pPr>
      <w:numPr>
        <w:numId w:val="6"/>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3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1"/>
    <w:qFormat/>
    <w:rsid w:val="009A7D3B"/>
    <w:pPr>
      <w:contextualSpacing/>
    </w:pPr>
  </w:style>
  <w:style w:type="character" w:styleId="CommentReference">
    <w:name w:val="annotation reference"/>
    <w:basedOn w:val="DefaultParagraphFont"/>
    <w:uiPriority w:val="99"/>
    <w:semiHidden/>
    <w:unhideWhenUsed/>
    <w:rsid w:val="006350C3"/>
    <w:rPr>
      <w:sz w:val="16"/>
      <w:szCs w:val="16"/>
    </w:rPr>
  </w:style>
  <w:style w:type="paragraph" w:styleId="CommentText">
    <w:name w:val="annotation text"/>
    <w:basedOn w:val="Normal"/>
    <w:link w:val="CommentTextChar"/>
    <w:uiPriority w:val="99"/>
    <w:unhideWhenUsed/>
    <w:rsid w:val="006350C3"/>
    <w:pPr>
      <w:spacing w:before="120" w:after="180" w:line="240" w:lineRule="auto"/>
    </w:pPr>
    <w:rPr>
      <w:rFonts w:ascii="Cambria" w:eastAsia="Cambria" w:hAnsi="Cambria" w:cs="Times New Roman"/>
      <w:color w:val="002C47" w:themeColor="text1"/>
      <w:sz w:val="22"/>
    </w:rPr>
  </w:style>
  <w:style w:type="character" w:customStyle="1" w:styleId="CommentTextChar">
    <w:name w:val="Comment Text Char"/>
    <w:basedOn w:val="DefaultParagraphFont"/>
    <w:link w:val="CommentText"/>
    <w:uiPriority w:val="99"/>
    <w:rsid w:val="006350C3"/>
    <w:rPr>
      <w:rFonts w:ascii="Cambria" w:eastAsia="Cambria" w:hAnsi="Cambria" w:cs="Times New Roman"/>
      <w:color w:val="002C47" w:themeColor="text1"/>
      <w:sz w:val="22"/>
    </w:rPr>
  </w:style>
  <w:style w:type="paragraph" w:styleId="CommentSubject">
    <w:name w:val="annotation subject"/>
    <w:basedOn w:val="CommentText"/>
    <w:next w:val="CommentText"/>
    <w:link w:val="CommentSubjectChar"/>
    <w:uiPriority w:val="99"/>
    <w:semiHidden/>
    <w:unhideWhenUsed/>
    <w:rsid w:val="0028705E"/>
    <w:pPr>
      <w:spacing w:before="0" w:after="120"/>
    </w:pPr>
    <w:rPr>
      <w:rFonts w:ascii="Arial" w:eastAsiaTheme="minorHAnsi" w:hAnsi="Arial" w:cstheme="minorBidi"/>
      <w:b/>
      <w:bCs/>
      <w:color w:val="auto"/>
      <w:sz w:val="20"/>
    </w:rPr>
  </w:style>
  <w:style w:type="character" w:customStyle="1" w:styleId="CommentSubjectChar">
    <w:name w:val="Comment Subject Char"/>
    <w:basedOn w:val="CommentTextChar"/>
    <w:link w:val="CommentSubject"/>
    <w:uiPriority w:val="99"/>
    <w:semiHidden/>
    <w:rsid w:val="0028705E"/>
    <w:rPr>
      <w:rFonts w:ascii="Cambria" w:eastAsia="Cambria" w:hAnsi="Cambria" w:cs="Times New Roman"/>
      <w:b/>
      <w:bCs/>
      <w:color w:val="002C47" w:themeColor="text1"/>
      <w:sz w:val="22"/>
    </w:rPr>
  </w:style>
  <w:style w:type="character" w:styleId="UnresolvedMention">
    <w:name w:val="Unresolved Mention"/>
    <w:basedOn w:val="DefaultParagraphFont"/>
    <w:uiPriority w:val="99"/>
    <w:semiHidden/>
    <w:unhideWhenUsed/>
    <w:rsid w:val="00092FED"/>
    <w:rPr>
      <w:color w:val="605E5C"/>
      <w:shd w:val="clear" w:color="auto" w:fill="E1DFDD"/>
    </w:rPr>
  </w:style>
  <w:style w:type="character" w:styleId="FollowedHyperlink">
    <w:name w:val="FollowedHyperlink"/>
    <w:basedOn w:val="DefaultParagraphFont"/>
    <w:uiPriority w:val="99"/>
    <w:semiHidden/>
    <w:unhideWhenUsed/>
    <w:rsid w:val="00092FED"/>
    <w:rPr>
      <w:color w:val="6E2B62" w:themeColor="followedHyperlink"/>
      <w:u w:val="single"/>
    </w:rPr>
  </w:style>
  <w:style w:type="paragraph" w:styleId="Revision">
    <w:name w:val="Revision"/>
    <w:hidden/>
    <w:uiPriority w:val="99"/>
    <w:semiHidden/>
    <w:rsid w:val="00880C47"/>
    <w:pPr>
      <w:spacing w:after="0" w:line="240" w:lineRule="auto"/>
    </w:pPr>
  </w:style>
  <w:style w:type="paragraph" w:customStyle="1" w:styleId="pf0">
    <w:name w:val="pf0"/>
    <w:basedOn w:val="Normal"/>
    <w:rsid w:val="00D8305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TGAblue">
    <w:name w:val="Table TGA blue"/>
    <w:basedOn w:val="TableNormal"/>
    <w:uiPriority w:val="99"/>
    <w:qFormat/>
    <w:rsid w:val="006366A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link w:val="ListBulletaChar"/>
    <w:autoRedefine/>
    <w:uiPriority w:val="1"/>
    <w:qFormat/>
    <w:rsid w:val="006366A6"/>
    <w:pPr>
      <w:numPr>
        <w:numId w:val="9"/>
      </w:numPr>
    </w:pPr>
    <w:rPr>
      <w:rFonts w:cs="Arial"/>
      <w:color w:val="002C47" w:themeColor="text1"/>
      <w:sz w:val="22"/>
    </w:rPr>
  </w:style>
  <w:style w:type="character" w:customStyle="1" w:styleId="ListBulletaChar">
    <w:name w:val="List Bullet a) Char"/>
    <w:basedOn w:val="DefaultParagraphFont"/>
    <w:link w:val="ListBulleta"/>
    <w:uiPriority w:val="1"/>
    <w:rsid w:val="006366A6"/>
    <w:rPr>
      <w:rFonts w:asciiTheme="minorHAnsi" w:eastAsia="Cambria" w:hAnsiTheme="minorHAnsi" w:cs="Arial"/>
      <w:color w:val="002C47" w:themeColor="text1"/>
      <w:sz w:val="22"/>
    </w:rPr>
  </w:style>
  <w:style w:type="paragraph" w:customStyle="1" w:styleId="msonormal0">
    <w:name w:val="msonormal"/>
    <w:basedOn w:val="Normal"/>
    <w:rsid w:val="00C71EA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C71E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C71EA4"/>
  </w:style>
  <w:style w:type="character" w:customStyle="1" w:styleId="normaltextrun">
    <w:name w:val="normaltextrun"/>
    <w:basedOn w:val="DefaultParagraphFont"/>
    <w:rsid w:val="00C71EA4"/>
  </w:style>
  <w:style w:type="character" w:customStyle="1" w:styleId="eop">
    <w:name w:val="eop"/>
    <w:basedOn w:val="DefaultParagraphFont"/>
    <w:rsid w:val="00C71EA4"/>
  </w:style>
  <w:style w:type="paragraph" w:customStyle="1" w:styleId="outlineelement">
    <w:name w:val="outlineelement"/>
    <w:basedOn w:val="Normal"/>
    <w:rsid w:val="00C71E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perscript">
    <w:name w:val="superscript"/>
    <w:basedOn w:val="DefaultParagraphFont"/>
    <w:rsid w:val="00C71EA4"/>
  </w:style>
  <w:style w:type="character" w:customStyle="1" w:styleId="trackchangetextinsertion">
    <w:name w:val="trackchangetextinsertion"/>
    <w:basedOn w:val="DefaultParagraphFont"/>
    <w:rsid w:val="00C71EA4"/>
  </w:style>
  <w:style w:type="character" w:customStyle="1" w:styleId="tabrun">
    <w:name w:val="tabrun"/>
    <w:basedOn w:val="DefaultParagraphFont"/>
    <w:rsid w:val="00C71EA4"/>
  </w:style>
  <w:style w:type="character" w:customStyle="1" w:styleId="tabchar">
    <w:name w:val="tabchar"/>
    <w:basedOn w:val="DefaultParagraphFont"/>
    <w:rsid w:val="00C71EA4"/>
  </w:style>
  <w:style w:type="character" w:customStyle="1" w:styleId="tableaderchars">
    <w:name w:val="tableaderchars"/>
    <w:basedOn w:val="DefaultParagraphFont"/>
    <w:rsid w:val="00C71EA4"/>
  </w:style>
  <w:style w:type="character" w:customStyle="1" w:styleId="trackchangetextdeletionmarker">
    <w:name w:val="trackchangetextdeletionmarker"/>
    <w:basedOn w:val="DefaultParagraphFont"/>
    <w:rsid w:val="00C71EA4"/>
  </w:style>
  <w:style w:type="character" w:customStyle="1" w:styleId="trackedchange">
    <w:name w:val="trackedchange"/>
    <w:basedOn w:val="DefaultParagraphFont"/>
    <w:rsid w:val="00C71EA4"/>
  </w:style>
  <w:style w:type="character" w:customStyle="1" w:styleId="trackchangeblobmodified">
    <w:name w:val="trackchangeblobmodified"/>
    <w:basedOn w:val="DefaultParagraphFont"/>
    <w:rsid w:val="00C71EA4"/>
  </w:style>
  <w:style w:type="character" w:customStyle="1" w:styleId="trackchangeblobdeletion">
    <w:name w:val="trackchangeblobdeletion"/>
    <w:basedOn w:val="DefaultParagraphFont"/>
    <w:rsid w:val="00C71EA4"/>
  </w:style>
  <w:style w:type="paragraph" w:styleId="NormalWeb">
    <w:name w:val="Normal (Web)"/>
    <w:basedOn w:val="Normal"/>
    <w:uiPriority w:val="99"/>
    <w:semiHidden/>
    <w:unhideWhenUsed/>
    <w:rsid w:val="009D78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A60E6"/>
    <w:rPr>
      <w:b/>
      <w:bCs/>
    </w:rPr>
  </w:style>
  <w:style w:type="paragraph" w:customStyle="1" w:styleId="xmsonormal">
    <w:name w:val="x_msonormal"/>
    <w:basedOn w:val="Normal"/>
    <w:rsid w:val="004E5606"/>
    <w:pPr>
      <w:spacing w:after="0" w:line="240" w:lineRule="auto"/>
    </w:pPr>
    <w:rPr>
      <w:rFonts w:ascii="Aptos" w:hAnsi="Aptos" w:cs="Calibri"/>
      <w:sz w:val="24"/>
      <w:szCs w:val="24"/>
      <w:lang w:eastAsia="en-AU"/>
    </w:rPr>
  </w:style>
  <w:style w:type="paragraph" w:customStyle="1" w:styleId="Default">
    <w:name w:val="Default"/>
    <w:rsid w:val="00BB0798"/>
    <w:pPr>
      <w:autoSpaceDE w:val="0"/>
      <w:autoSpaceDN w:val="0"/>
      <w:adjustRightInd w:val="0"/>
      <w:spacing w:after="0" w:line="240" w:lineRule="auto"/>
    </w:pPr>
    <w:rPr>
      <w:rFonts w:cs="Arial"/>
      <w:color w:val="000000"/>
      <w:sz w:val="24"/>
      <w:szCs w:val="24"/>
    </w:rPr>
  </w:style>
  <w:style w:type="character" w:styleId="Emphasis">
    <w:name w:val="Emphasis"/>
    <w:basedOn w:val="DefaultParagraphFont"/>
    <w:uiPriority w:val="20"/>
    <w:qFormat/>
    <w:rsid w:val="00A77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664">
      <w:bodyDiv w:val="1"/>
      <w:marLeft w:val="0"/>
      <w:marRight w:val="0"/>
      <w:marTop w:val="0"/>
      <w:marBottom w:val="0"/>
      <w:divBdr>
        <w:top w:val="none" w:sz="0" w:space="0" w:color="auto"/>
        <w:left w:val="none" w:sz="0" w:space="0" w:color="auto"/>
        <w:bottom w:val="none" w:sz="0" w:space="0" w:color="auto"/>
        <w:right w:val="none" w:sz="0" w:space="0" w:color="auto"/>
      </w:divBdr>
    </w:div>
    <w:div w:id="46144909">
      <w:bodyDiv w:val="1"/>
      <w:marLeft w:val="0"/>
      <w:marRight w:val="0"/>
      <w:marTop w:val="0"/>
      <w:marBottom w:val="0"/>
      <w:divBdr>
        <w:top w:val="none" w:sz="0" w:space="0" w:color="auto"/>
        <w:left w:val="none" w:sz="0" w:space="0" w:color="auto"/>
        <w:bottom w:val="none" w:sz="0" w:space="0" w:color="auto"/>
        <w:right w:val="none" w:sz="0" w:space="0" w:color="auto"/>
      </w:divBdr>
    </w:div>
    <w:div w:id="66656577">
      <w:bodyDiv w:val="1"/>
      <w:marLeft w:val="0"/>
      <w:marRight w:val="0"/>
      <w:marTop w:val="0"/>
      <w:marBottom w:val="0"/>
      <w:divBdr>
        <w:top w:val="none" w:sz="0" w:space="0" w:color="auto"/>
        <w:left w:val="none" w:sz="0" w:space="0" w:color="auto"/>
        <w:bottom w:val="none" w:sz="0" w:space="0" w:color="auto"/>
        <w:right w:val="none" w:sz="0" w:space="0" w:color="auto"/>
      </w:divBdr>
    </w:div>
    <w:div w:id="73863758">
      <w:bodyDiv w:val="1"/>
      <w:marLeft w:val="0"/>
      <w:marRight w:val="0"/>
      <w:marTop w:val="0"/>
      <w:marBottom w:val="0"/>
      <w:divBdr>
        <w:top w:val="none" w:sz="0" w:space="0" w:color="auto"/>
        <w:left w:val="none" w:sz="0" w:space="0" w:color="auto"/>
        <w:bottom w:val="none" w:sz="0" w:space="0" w:color="auto"/>
        <w:right w:val="none" w:sz="0" w:space="0" w:color="auto"/>
      </w:divBdr>
    </w:div>
    <w:div w:id="239413114">
      <w:bodyDiv w:val="1"/>
      <w:marLeft w:val="0"/>
      <w:marRight w:val="0"/>
      <w:marTop w:val="0"/>
      <w:marBottom w:val="0"/>
      <w:divBdr>
        <w:top w:val="none" w:sz="0" w:space="0" w:color="auto"/>
        <w:left w:val="none" w:sz="0" w:space="0" w:color="auto"/>
        <w:bottom w:val="none" w:sz="0" w:space="0" w:color="auto"/>
        <w:right w:val="none" w:sz="0" w:space="0" w:color="auto"/>
      </w:divBdr>
    </w:div>
    <w:div w:id="262033575">
      <w:bodyDiv w:val="1"/>
      <w:marLeft w:val="0"/>
      <w:marRight w:val="0"/>
      <w:marTop w:val="0"/>
      <w:marBottom w:val="0"/>
      <w:divBdr>
        <w:top w:val="none" w:sz="0" w:space="0" w:color="auto"/>
        <w:left w:val="none" w:sz="0" w:space="0" w:color="auto"/>
        <w:bottom w:val="none" w:sz="0" w:space="0" w:color="auto"/>
        <w:right w:val="none" w:sz="0" w:space="0" w:color="auto"/>
      </w:divBdr>
      <w:divsChild>
        <w:div w:id="2023438180">
          <w:marLeft w:val="0"/>
          <w:marRight w:val="0"/>
          <w:marTop w:val="0"/>
          <w:marBottom w:val="0"/>
          <w:divBdr>
            <w:top w:val="none" w:sz="0" w:space="0" w:color="auto"/>
            <w:left w:val="none" w:sz="0" w:space="0" w:color="auto"/>
            <w:bottom w:val="none" w:sz="0" w:space="0" w:color="auto"/>
            <w:right w:val="none" w:sz="0" w:space="0" w:color="auto"/>
          </w:divBdr>
        </w:div>
        <w:div w:id="528494940">
          <w:marLeft w:val="0"/>
          <w:marRight w:val="0"/>
          <w:marTop w:val="0"/>
          <w:marBottom w:val="0"/>
          <w:divBdr>
            <w:top w:val="none" w:sz="0" w:space="0" w:color="auto"/>
            <w:left w:val="none" w:sz="0" w:space="0" w:color="auto"/>
            <w:bottom w:val="none" w:sz="0" w:space="0" w:color="auto"/>
            <w:right w:val="none" w:sz="0" w:space="0" w:color="auto"/>
          </w:divBdr>
        </w:div>
        <w:div w:id="726074054">
          <w:marLeft w:val="0"/>
          <w:marRight w:val="0"/>
          <w:marTop w:val="0"/>
          <w:marBottom w:val="0"/>
          <w:divBdr>
            <w:top w:val="none" w:sz="0" w:space="0" w:color="auto"/>
            <w:left w:val="none" w:sz="0" w:space="0" w:color="auto"/>
            <w:bottom w:val="none" w:sz="0" w:space="0" w:color="auto"/>
            <w:right w:val="none" w:sz="0" w:space="0" w:color="auto"/>
          </w:divBdr>
        </w:div>
        <w:div w:id="1925724624">
          <w:marLeft w:val="0"/>
          <w:marRight w:val="0"/>
          <w:marTop w:val="0"/>
          <w:marBottom w:val="0"/>
          <w:divBdr>
            <w:top w:val="none" w:sz="0" w:space="0" w:color="auto"/>
            <w:left w:val="none" w:sz="0" w:space="0" w:color="auto"/>
            <w:bottom w:val="none" w:sz="0" w:space="0" w:color="auto"/>
            <w:right w:val="none" w:sz="0" w:space="0" w:color="auto"/>
          </w:divBdr>
        </w:div>
        <w:div w:id="2010523001">
          <w:marLeft w:val="0"/>
          <w:marRight w:val="0"/>
          <w:marTop w:val="0"/>
          <w:marBottom w:val="0"/>
          <w:divBdr>
            <w:top w:val="none" w:sz="0" w:space="0" w:color="auto"/>
            <w:left w:val="none" w:sz="0" w:space="0" w:color="auto"/>
            <w:bottom w:val="none" w:sz="0" w:space="0" w:color="auto"/>
            <w:right w:val="none" w:sz="0" w:space="0" w:color="auto"/>
          </w:divBdr>
        </w:div>
        <w:div w:id="852496261">
          <w:marLeft w:val="0"/>
          <w:marRight w:val="0"/>
          <w:marTop w:val="0"/>
          <w:marBottom w:val="0"/>
          <w:divBdr>
            <w:top w:val="none" w:sz="0" w:space="0" w:color="auto"/>
            <w:left w:val="none" w:sz="0" w:space="0" w:color="auto"/>
            <w:bottom w:val="none" w:sz="0" w:space="0" w:color="auto"/>
            <w:right w:val="none" w:sz="0" w:space="0" w:color="auto"/>
          </w:divBdr>
        </w:div>
        <w:div w:id="1602644673">
          <w:marLeft w:val="0"/>
          <w:marRight w:val="0"/>
          <w:marTop w:val="0"/>
          <w:marBottom w:val="0"/>
          <w:divBdr>
            <w:top w:val="none" w:sz="0" w:space="0" w:color="auto"/>
            <w:left w:val="none" w:sz="0" w:space="0" w:color="auto"/>
            <w:bottom w:val="none" w:sz="0" w:space="0" w:color="auto"/>
            <w:right w:val="none" w:sz="0" w:space="0" w:color="auto"/>
          </w:divBdr>
        </w:div>
        <w:div w:id="534540910">
          <w:marLeft w:val="0"/>
          <w:marRight w:val="0"/>
          <w:marTop w:val="0"/>
          <w:marBottom w:val="0"/>
          <w:divBdr>
            <w:top w:val="none" w:sz="0" w:space="0" w:color="auto"/>
            <w:left w:val="none" w:sz="0" w:space="0" w:color="auto"/>
            <w:bottom w:val="none" w:sz="0" w:space="0" w:color="auto"/>
            <w:right w:val="none" w:sz="0" w:space="0" w:color="auto"/>
          </w:divBdr>
        </w:div>
        <w:div w:id="531648633">
          <w:marLeft w:val="0"/>
          <w:marRight w:val="0"/>
          <w:marTop w:val="0"/>
          <w:marBottom w:val="0"/>
          <w:divBdr>
            <w:top w:val="none" w:sz="0" w:space="0" w:color="auto"/>
            <w:left w:val="none" w:sz="0" w:space="0" w:color="auto"/>
            <w:bottom w:val="none" w:sz="0" w:space="0" w:color="auto"/>
            <w:right w:val="none" w:sz="0" w:space="0" w:color="auto"/>
          </w:divBdr>
        </w:div>
        <w:div w:id="1156996828">
          <w:marLeft w:val="0"/>
          <w:marRight w:val="0"/>
          <w:marTop w:val="0"/>
          <w:marBottom w:val="0"/>
          <w:divBdr>
            <w:top w:val="none" w:sz="0" w:space="0" w:color="auto"/>
            <w:left w:val="none" w:sz="0" w:space="0" w:color="auto"/>
            <w:bottom w:val="none" w:sz="0" w:space="0" w:color="auto"/>
            <w:right w:val="none" w:sz="0" w:space="0" w:color="auto"/>
          </w:divBdr>
        </w:div>
        <w:div w:id="1128816035">
          <w:marLeft w:val="0"/>
          <w:marRight w:val="0"/>
          <w:marTop w:val="0"/>
          <w:marBottom w:val="0"/>
          <w:divBdr>
            <w:top w:val="none" w:sz="0" w:space="0" w:color="auto"/>
            <w:left w:val="none" w:sz="0" w:space="0" w:color="auto"/>
            <w:bottom w:val="none" w:sz="0" w:space="0" w:color="auto"/>
            <w:right w:val="none" w:sz="0" w:space="0" w:color="auto"/>
          </w:divBdr>
        </w:div>
        <w:div w:id="1577129544">
          <w:marLeft w:val="0"/>
          <w:marRight w:val="0"/>
          <w:marTop w:val="0"/>
          <w:marBottom w:val="0"/>
          <w:divBdr>
            <w:top w:val="none" w:sz="0" w:space="0" w:color="auto"/>
            <w:left w:val="none" w:sz="0" w:space="0" w:color="auto"/>
            <w:bottom w:val="none" w:sz="0" w:space="0" w:color="auto"/>
            <w:right w:val="none" w:sz="0" w:space="0" w:color="auto"/>
          </w:divBdr>
        </w:div>
        <w:div w:id="1605532614">
          <w:marLeft w:val="0"/>
          <w:marRight w:val="0"/>
          <w:marTop w:val="0"/>
          <w:marBottom w:val="0"/>
          <w:divBdr>
            <w:top w:val="none" w:sz="0" w:space="0" w:color="auto"/>
            <w:left w:val="none" w:sz="0" w:space="0" w:color="auto"/>
            <w:bottom w:val="none" w:sz="0" w:space="0" w:color="auto"/>
            <w:right w:val="none" w:sz="0" w:space="0" w:color="auto"/>
          </w:divBdr>
        </w:div>
        <w:div w:id="1088499704">
          <w:marLeft w:val="0"/>
          <w:marRight w:val="0"/>
          <w:marTop w:val="0"/>
          <w:marBottom w:val="0"/>
          <w:divBdr>
            <w:top w:val="none" w:sz="0" w:space="0" w:color="auto"/>
            <w:left w:val="none" w:sz="0" w:space="0" w:color="auto"/>
            <w:bottom w:val="none" w:sz="0" w:space="0" w:color="auto"/>
            <w:right w:val="none" w:sz="0" w:space="0" w:color="auto"/>
          </w:divBdr>
        </w:div>
        <w:div w:id="870535302">
          <w:marLeft w:val="0"/>
          <w:marRight w:val="0"/>
          <w:marTop w:val="0"/>
          <w:marBottom w:val="0"/>
          <w:divBdr>
            <w:top w:val="none" w:sz="0" w:space="0" w:color="auto"/>
            <w:left w:val="none" w:sz="0" w:space="0" w:color="auto"/>
            <w:bottom w:val="none" w:sz="0" w:space="0" w:color="auto"/>
            <w:right w:val="none" w:sz="0" w:space="0" w:color="auto"/>
          </w:divBdr>
        </w:div>
        <w:div w:id="1406488120">
          <w:marLeft w:val="0"/>
          <w:marRight w:val="0"/>
          <w:marTop w:val="0"/>
          <w:marBottom w:val="0"/>
          <w:divBdr>
            <w:top w:val="none" w:sz="0" w:space="0" w:color="auto"/>
            <w:left w:val="none" w:sz="0" w:space="0" w:color="auto"/>
            <w:bottom w:val="none" w:sz="0" w:space="0" w:color="auto"/>
            <w:right w:val="none" w:sz="0" w:space="0" w:color="auto"/>
          </w:divBdr>
        </w:div>
        <w:div w:id="1619723158">
          <w:marLeft w:val="0"/>
          <w:marRight w:val="0"/>
          <w:marTop w:val="0"/>
          <w:marBottom w:val="0"/>
          <w:divBdr>
            <w:top w:val="none" w:sz="0" w:space="0" w:color="auto"/>
            <w:left w:val="none" w:sz="0" w:space="0" w:color="auto"/>
            <w:bottom w:val="none" w:sz="0" w:space="0" w:color="auto"/>
            <w:right w:val="none" w:sz="0" w:space="0" w:color="auto"/>
          </w:divBdr>
        </w:div>
        <w:div w:id="204174969">
          <w:marLeft w:val="0"/>
          <w:marRight w:val="0"/>
          <w:marTop w:val="0"/>
          <w:marBottom w:val="0"/>
          <w:divBdr>
            <w:top w:val="none" w:sz="0" w:space="0" w:color="auto"/>
            <w:left w:val="none" w:sz="0" w:space="0" w:color="auto"/>
            <w:bottom w:val="none" w:sz="0" w:space="0" w:color="auto"/>
            <w:right w:val="none" w:sz="0" w:space="0" w:color="auto"/>
          </w:divBdr>
        </w:div>
        <w:div w:id="881751917">
          <w:marLeft w:val="0"/>
          <w:marRight w:val="0"/>
          <w:marTop w:val="0"/>
          <w:marBottom w:val="0"/>
          <w:divBdr>
            <w:top w:val="none" w:sz="0" w:space="0" w:color="auto"/>
            <w:left w:val="none" w:sz="0" w:space="0" w:color="auto"/>
            <w:bottom w:val="none" w:sz="0" w:space="0" w:color="auto"/>
            <w:right w:val="none" w:sz="0" w:space="0" w:color="auto"/>
          </w:divBdr>
        </w:div>
        <w:div w:id="1236432415">
          <w:marLeft w:val="0"/>
          <w:marRight w:val="0"/>
          <w:marTop w:val="0"/>
          <w:marBottom w:val="0"/>
          <w:divBdr>
            <w:top w:val="none" w:sz="0" w:space="0" w:color="auto"/>
            <w:left w:val="none" w:sz="0" w:space="0" w:color="auto"/>
            <w:bottom w:val="none" w:sz="0" w:space="0" w:color="auto"/>
            <w:right w:val="none" w:sz="0" w:space="0" w:color="auto"/>
          </w:divBdr>
        </w:div>
        <w:div w:id="842864112">
          <w:marLeft w:val="0"/>
          <w:marRight w:val="0"/>
          <w:marTop w:val="0"/>
          <w:marBottom w:val="0"/>
          <w:divBdr>
            <w:top w:val="none" w:sz="0" w:space="0" w:color="auto"/>
            <w:left w:val="none" w:sz="0" w:space="0" w:color="auto"/>
            <w:bottom w:val="none" w:sz="0" w:space="0" w:color="auto"/>
            <w:right w:val="none" w:sz="0" w:space="0" w:color="auto"/>
          </w:divBdr>
        </w:div>
        <w:div w:id="1939634209">
          <w:marLeft w:val="0"/>
          <w:marRight w:val="0"/>
          <w:marTop w:val="0"/>
          <w:marBottom w:val="0"/>
          <w:divBdr>
            <w:top w:val="none" w:sz="0" w:space="0" w:color="auto"/>
            <w:left w:val="none" w:sz="0" w:space="0" w:color="auto"/>
            <w:bottom w:val="none" w:sz="0" w:space="0" w:color="auto"/>
            <w:right w:val="none" w:sz="0" w:space="0" w:color="auto"/>
          </w:divBdr>
        </w:div>
        <w:div w:id="634140841">
          <w:marLeft w:val="0"/>
          <w:marRight w:val="0"/>
          <w:marTop w:val="0"/>
          <w:marBottom w:val="0"/>
          <w:divBdr>
            <w:top w:val="none" w:sz="0" w:space="0" w:color="auto"/>
            <w:left w:val="none" w:sz="0" w:space="0" w:color="auto"/>
            <w:bottom w:val="none" w:sz="0" w:space="0" w:color="auto"/>
            <w:right w:val="none" w:sz="0" w:space="0" w:color="auto"/>
          </w:divBdr>
        </w:div>
        <w:div w:id="1392772974">
          <w:marLeft w:val="0"/>
          <w:marRight w:val="0"/>
          <w:marTop w:val="0"/>
          <w:marBottom w:val="0"/>
          <w:divBdr>
            <w:top w:val="none" w:sz="0" w:space="0" w:color="auto"/>
            <w:left w:val="none" w:sz="0" w:space="0" w:color="auto"/>
            <w:bottom w:val="none" w:sz="0" w:space="0" w:color="auto"/>
            <w:right w:val="none" w:sz="0" w:space="0" w:color="auto"/>
          </w:divBdr>
        </w:div>
        <w:div w:id="93592752">
          <w:marLeft w:val="0"/>
          <w:marRight w:val="0"/>
          <w:marTop w:val="0"/>
          <w:marBottom w:val="0"/>
          <w:divBdr>
            <w:top w:val="none" w:sz="0" w:space="0" w:color="auto"/>
            <w:left w:val="none" w:sz="0" w:space="0" w:color="auto"/>
            <w:bottom w:val="none" w:sz="0" w:space="0" w:color="auto"/>
            <w:right w:val="none" w:sz="0" w:space="0" w:color="auto"/>
          </w:divBdr>
        </w:div>
        <w:div w:id="415128400">
          <w:marLeft w:val="0"/>
          <w:marRight w:val="0"/>
          <w:marTop w:val="0"/>
          <w:marBottom w:val="0"/>
          <w:divBdr>
            <w:top w:val="none" w:sz="0" w:space="0" w:color="auto"/>
            <w:left w:val="none" w:sz="0" w:space="0" w:color="auto"/>
            <w:bottom w:val="none" w:sz="0" w:space="0" w:color="auto"/>
            <w:right w:val="none" w:sz="0" w:space="0" w:color="auto"/>
          </w:divBdr>
        </w:div>
        <w:div w:id="660816409">
          <w:marLeft w:val="0"/>
          <w:marRight w:val="0"/>
          <w:marTop w:val="0"/>
          <w:marBottom w:val="0"/>
          <w:divBdr>
            <w:top w:val="none" w:sz="0" w:space="0" w:color="auto"/>
            <w:left w:val="none" w:sz="0" w:space="0" w:color="auto"/>
            <w:bottom w:val="none" w:sz="0" w:space="0" w:color="auto"/>
            <w:right w:val="none" w:sz="0" w:space="0" w:color="auto"/>
          </w:divBdr>
        </w:div>
        <w:div w:id="1543320044">
          <w:marLeft w:val="0"/>
          <w:marRight w:val="0"/>
          <w:marTop w:val="0"/>
          <w:marBottom w:val="0"/>
          <w:divBdr>
            <w:top w:val="none" w:sz="0" w:space="0" w:color="auto"/>
            <w:left w:val="none" w:sz="0" w:space="0" w:color="auto"/>
            <w:bottom w:val="none" w:sz="0" w:space="0" w:color="auto"/>
            <w:right w:val="none" w:sz="0" w:space="0" w:color="auto"/>
          </w:divBdr>
        </w:div>
        <w:div w:id="1275865021">
          <w:marLeft w:val="0"/>
          <w:marRight w:val="0"/>
          <w:marTop w:val="0"/>
          <w:marBottom w:val="0"/>
          <w:divBdr>
            <w:top w:val="none" w:sz="0" w:space="0" w:color="auto"/>
            <w:left w:val="none" w:sz="0" w:space="0" w:color="auto"/>
            <w:bottom w:val="none" w:sz="0" w:space="0" w:color="auto"/>
            <w:right w:val="none" w:sz="0" w:space="0" w:color="auto"/>
          </w:divBdr>
        </w:div>
        <w:div w:id="307056985">
          <w:marLeft w:val="0"/>
          <w:marRight w:val="0"/>
          <w:marTop w:val="0"/>
          <w:marBottom w:val="0"/>
          <w:divBdr>
            <w:top w:val="none" w:sz="0" w:space="0" w:color="auto"/>
            <w:left w:val="none" w:sz="0" w:space="0" w:color="auto"/>
            <w:bottom w:val="none" w:sz="0" w:space="0" w:color="auto"/>
            <w:right w:val="none" w:sz="0" w:space="0" w:color="auto"/>
          </w:divBdr>
        </w:div>
        <w:div w:id="1455979828">
          <w:marLeft w:val="0"/>
          <w:marRight w:val="0"/>
          <w:marTop w:val="0"/>
          <w:marBottom w:val="0"/>
          <w:divBdr>
            <w:top w:val="none" w:sz="0" w:space="0" w:color="auto"/>
            <w:left w:val="none" w:sz="0" w:space="0" w:color="auto"/>
            <w:bottom w:val="none" w:sz="0" w:space="0" w:color="auto"/>
            <w:right w:val="none" w:sz="0" w:space="0" w:color="auto"/>
          </w:divBdr>
        </w:div>
        <w:div w:id="694162215">
          <w:marLeft w:val="0"/>
          <w:marRight w:val="0"/>
          <w:marTop w:val="0"/>
          <w:marBottom w:val="0"/>
          <w:divBdr>
            <w:top w:val="none" w:sz="0" w:space="0" w:color="auto"/>
            <w:left w:val="none" w:sz="0" w:space="0" w:color="auto"/>
            <w:bottom w:val="none" w:sz="0" w:space="0" w:color="auto"/>
            <w:right w:val="none" w:sz="0" w:space="0" w:color="auto"/>
          </w:divBdr>
        </w:div>
        <w:div w:id="404691484">
          <w:marLeft w:val="0"/>
          <w:marRight w:val="0"/>
          <w:marTop w:val="0"/>
          <w:marBottom w:val="0"/>
          <w:divBdr>
            <w:top w:val="none" w:sz="0" w:space="0" w:color="auto"/>
            <w:left w:val="none" w:sz="0" w:space="0" w:color="auto"/>
            <w:bottom w:val="none" w:sz="0" w:space="0" w:color="auto"/>
            <w:right w:val="none" w:sz="0" w:space="0" w:color="auto"/>
          </w:divBdr>
        </w:div>
        <w:div w:id="619185652">
          <w:marLeft w:val="0"/>
          <w:marRight w:val="0"/>
          <w:marTop w:val="0"/>
          <w:marBottom w:val="0"/>
          <w:divBdr>
            <w:top w:val="none" w:sz="0" w:space="0" w:color="auto"/>
            <w:left w:val="none" w:sz="0" w:space="0" w:color="auto"/>
            <w:bottom w:val="none" w:sz="0" w:space="0" w:color="auto"/>
            <w:right w:val="none" w:sz="0" w:space="0" w:color="auto"/>
          </w:divBdr>
        </w:div>
        <w:div w:id="1725448719">
          <w:marLeft w:val="0"/>
          <w:marRight w:val="0"/>
          <w:marTop w:val="0"/>
          <w:marBottom w:val="0"/>
          <w:divBdr>
            <w:top w:val="none" w:sz="0" w:space="0" w:color="auto"/>
            <w:left w:val="none" w:sz="0" w:space="0" w:color="auto"/>
            <w:bottom w:val="none" w:sz="0" w:space="0" w:color="auto"/>
            <w:right w:val="none" w:sz="0" w:space="0" w:color="auto"/>
          </w:divBdr>
        </w:div>
        <w:div w:id="1318463851">
          <w:marLeft w:val="0"/>
          <w:marRight w:val="0"/>
          <w:marTop w:val="0"/>
          <w:marBottom w:val="0"/>
          <w:divBdr>
            <w:top w:val="none" w:sz="0" w:space="0" w:color="auto"/>
            <w:left w:val="none" w:sz="0" w:space="0" w:color="auto"/>
            <w:bottom w:val="none" w:sz="0" w:space="0" w:color="auto"/>
            <w:right w:val="none" w:sz="0" w:space="0" w:color="auto"/>
          </w:divBdr>
        </w:div>
        <w:div w:id="221066531">
          <w:marLeft w:val="0"/>
          <w:marRight w:val="0"/>
          <w:marTop w:val="0"/>
          <w:marBottom w:val="0"/>
          <w:divBdr>
            <w:top w:val="none" w:sz="0" w:space="0" w:color="auto"/>
            <w:left w:val="none" w:sz="0" w:space="0" w:color="auto"/>
            <w:bottom w:val="none" w:sz="0" w:space="0" w:color="auto"/>
            <w:right w:val="none" w:sz="0" w:space="0" w:color="auto"/>
          </w:divBdr>
        </w:div>
        <w:div w:id="652413918">
          <w:marLeft w:val="0"/>
          <w:marRight w:val="0"/>
          <w:marTop w:val="0"/>
          <w:marBottom w:val="0"/>
          <w:divBdr>
            <w:top w:val="none" w:sz="0" w:space="0" w:color="auto"/>
            <w:left w:val="none" w:sz="0" w:space="0" w:color="auto"/>
            <w:bottom w:val="none" w:sz="0" w:space="0" w:color="auto"/>
            <w:right w:val="none" w:sz="0" w:space="0" w:color="auto"/>
          </w:divBdr>
        </w:div>
        <w:div w:id="1015304751">
          <w:marLeft w:val="0"/>
          <w:marRight w:val="0"/>
          <w:marTop w:val="0"/>
          <w:marBottom w:val="0"/>
          <w:divBdr>
            <w:top w:val="none" w:sz="0" w:space="0" w:color="auto"/>
            <w:left w:val="none" w:sz="0" w:space="0" w:color="auto"/>
            <w:bottom w:val="none" w:sz="0" w:space="0" w:color="auto"/>
            <w:right w:val="none" w:sz="0" w:space="0" w:color="auto"/>
          </w:divBdr>
        </w:div>
        <w:div w:id="46075279">
          <w:marLeft w:val="0"/>
          <w:marRight w:val="0"/>
          <w:marTop w:val="0"/>
          <w:marBottom w:val="0"/>
          <w:divBdr>
            <w:top w:val="none" w:sz="0" w:space="0" w:color="auto"/>
            <w:left w:val="none" w:sz="0" w:space="0" w:color="auto"/>
            <w:bottom w:val="none" w:sz="0" w:space="0" w:color="auto"/>
            <w:right w:val="none" w:sz="0" w:space="0" w:color="auto"/>
          </w:divBdr>
        </w:div>
        <w:div w:id="1253127641">
          <w:marLeft w:val="-75"/>
          <w:marRight w:val="0"/>
          <w:marTop w:val="30"/>
          <w:marBottom w:val="30"/>
          <w:divBdr>
            <w:top w:val="none" w:sz="0" w:space="0" w:color="auto"/>
            <w:left w:val="none" w:sz="0" w:space="0" w:color="auto"/>
            <w:bottom w:val="none" w:sz="0" w:space="0" w:color="auto"/>
            <w:right w:val="none" w:sz="0" w:space="0" w:color="auto"/>
          </w:divBdr>
          <w:divsChild>
            <w:div w:id="1756901718">
              <w:marLeft w:val="0"/>
              <w:marRight w:val="0"/>
              <w:marTop w:val="0"/>
              <w:marBottom w:val="0"/>
              <w:divBdr>
                <w:top w:val="none" w:sz="0" w:space="0" w:color="auto"/>
                <w:left w:val="none" w:sz="0" w:space="0" w:color="auto"/>
                <w:bottom w:val="none" w:sz="0" w:space="0" w:color="auto"/>
                <w:right w:val="none" w:sz="0" w:space="0" w:color="auto"/>
              </w:divBdr>
              <w:divsChild>
                <w:div w:id="669411878">
                  <w:marLeft w:val="0"/>
                  <w:marRight w:val="0"/>
                  <w:marTop w:val="0"/>
                  <w:marBottom w:val="0"/>
                  <w:divBdr>
                    <w:top w:val="none" w:sz="0" w:space="0" w:color="auto"/>
                    <w:left w:val="none" w:sz="0" w:space="0" w:color="auto"/>
                    <w:bottom w:val="none" w:sz="0" w:space="0" w:color="auto"/>
                    <w:right w:val="none" w:sz="0" w:space="0" w:color="auto"/>
                  </w:divBdr>
                </w:div>
              </w:divsChild>
            </w:div>
            <w:div w:id="1242762262">
              <w:marLeft w:val="0"/>
              <w:marRight w:val="0"/>
              <w:marTop w:val="0"/>
              <w:marBottom w:val="0"/>
              <w:divBdr>
                <w:top w:val="none" w:sz="0" w:space="0" w:color="auto"/>
                <w:left w:val="none" w:sz="0" w:space="0" w:color="auto"/>
                <w:bottom w:val="none" w:sz="0" w:space="0" w:color="auto"/>
                <w:right w:val="none" w:sz="0" w:space="0" w:color="auto"/>
              </w:divBdr>
              <w:divsChild>
                <w:div w:id="1181815888">
                  <w:marLeft w:val="0"/>
                  <w:marRight w:val="0"/>
                  <w:marTop w:val="0"/>
                  <w:marBottom w:val="0"/>
                  <w:divBdr>
                    <w:top w:val="none" w:sz="0" w:space="0" w:color="auto"/>
                    <w:left w:val="none" w:sz="0" w:space="0" w:color="auto"/>
                    <w:bottom w:val="none" w:sz="0" w:space="0" w:color="auto"/>
                    <w:right w:val="none" w:sz="0" w:space="0" w:color="auto"/>
                  </w:divBdr>
                </w:div>
              </w:divsChild>
            </w:div>
            <w:div w:id="1910191463">
              <w:marLeft w:val="0"/>
              <w:marRight w:val="0"/>
              <w:marTop w:val="0"/>
              <w:marBottom w:val="0"/>
              <w:divBdr>
                <w:top w:val="none" w:sz="0" w:space="0" w:color="auto"/>
                <w:left w:val="none" w:sz="0" w:space="0" w:color="auto"/>
                <w:bottom w:val="none" w:sz="0" w:space="0" w:color="auto"/>
                <w:right w:val="none" w:sz="0" w:space="0" w:color="auto"/>
              </w:divBdr>
              <w:divsChild>
                <w:div w:id="1172187882">
                  <w:marLeft w:val="0"/>
                  <w:marRight w:val="0"/>
                  <w:marTop w:val="0"/>
                  <w:marBottom w:val="0"/>
                  <w:divBdr>
                    <w:top w:val="none" w:sz="0" w:space="0" w:color="auto"/>
                    <w:left w:val="none" w:sz="0" w:space="0" w:color="auto"/>
                    <w:bottom w:val="none" w:sz="0" w:space="0" w:color="auto"/>
                    <w:right w:val="none" w:sz="0" w:space="0" w:color="auto"/>
                  </w:divBdr>
                </w:div>
              </w:divsChild>
            </w:div>
            <w:div w:id="576940665">
              <w:marLeft w:val="0"/>
              <w:marRight w:val="0"/>
              <w:marTop w:val="0"/>
              <w:marBottom w:val="0"/>
              <w:divBdr>
                <w:top w:val="none" w:sz="0" w:space="0" w:color="auto"/>
                <w:left w:val="none" w:sz="0" w:space="0" w:color="auto"/>
                <w:bottom w:val="none" w:sz="0" w:space="0" w:color="auto"/>
                <w:right w:val="none" w:sz="0" w:space="0" w:color="auto"/>
              </w:divBdr>
              <w:divsChild>
                <w:div w:id="1269507839">
                  <w:marLeft w:val="0"/>
                  <w:marRight w:val="0"/>
                  <w:marTop w:val="0"/>
                  <w:marBottom w:val="0"/>
                  <w:divBdr>
                    <w:top w:val="none" w:sz="0" w:space="0" w:color="auto"/>
                    <w:left w:val="none" w:sz="0" w:space="0" w:color="auto"/>
                    <w:bottom w:val="none" w:sz="0" w:space="0" w:color="auto"/>
                    <w:right w:val="none" w:sz="0" w:space="0" w:color="auto"/>
                  </w:divBdr>
                </w:div>
              </w:divsChild>
            </w:div>
            <w:div w:id="1229652097">
              <w:marLeft w:val="0"/>
              <w:marRight w:val="0"/>
              <w:marTop w:val="0"/>
              <w:marBottom w:val="0"/>
              <w:divBdr>
                <w:top w:val="none" w:sz="0" w:space="0" w:color="auto"/>
                <w:left w:val="none" w:sz="0" w:space="0" w:color="auto"/>
                <w:bottom w:val="none" w:sz="0" w:space="0" w:color="auto"/>
                <w:right w:val="none" w:sz="0" w:space="0" w:color="auto"/>
              </w:divBdr>
              <w:divsChild>
                <w:div w:id="1562063057">
                  <w:marLeft w:val="0"/>
                  <w:marRight w:val="0"/>
                  <w:marTop w:val="0"/>
                  <w:marBottom w:val="0"/>
                  <w:divBdr>
                    <w:top w:val="none" w:sz="0" w:space="0" w:color="auto"/>
                    <w:left w:val="none" w:sz="0" w:space="0" w:color="auto"/>
                    <w:bottom w:val="none" w:sz="0" w:space="0" w:color="auto"/>
                    <w:right w:val="none" w:sz="0" w:space="0" w:color="auto"/>
                  </w:divBdr>
                </w:div>
                <w:div w:id="1493251751">
                  <w:marLeft w:val="0"/>
                  <w:marRight w:val="0"/>
                  <w:marTop w:val="0"/>
                  <w:marBottom w:val="0"/>
                  <w:divBdr>
                    <w:top w:val="none" w:sz="0" w:space="0" w:color="auto"/>
                    <w:left w:val="none" w:sz="0" w:space="0" w:color="auto"/>
                    <w:bottom w:val="none" w:sz="0" w:space="0" w:color="auto"/>
                    <w:right w:val="none" w:sz="0" w:space="0" w:color="auto"/>
                  </w:divBdr>
                </w:div>
              </w:divsChild>
            </w:div>
            <w:div w:id="40903400">
              <w:marLeft w:val="0"/>
              <w:marRight w:val="0"/>
              <w:marTop w:val="0"/>
              <w:marBottom w:val="0"/>
              <w:divBdr>
                <w:top w:val="none" w:sz="0" w:space="0" w:color="auto"/>
                <w:left w:val="none" w:sz="0" w:space="0" w:color="auto"/>
                <w:bottom w:val="none" w:sz="0" w:space="0" w:color="auto"/>
                <w:right w:val="none" w:sz="0" w:space="0" w:color="auto"/>
              </w:divBdr>
              <w:divsChild>
                <w:div w:id="1307661054">
                  <w:marLeft w:val="0"/>
                  <w:marRight w:val="0"/>
                  <w:marTop w:val="0"/>
                  <w:marBottom w:val="0"/>
                  <w:divBdr>
                    <w:top w:val="none" w:sz="0" w:space="0" w:color="auto"/>
                    <w:left w:val="none" w:sz="0" w:space="0" w:color="auto"/>
                    <w:bottom w:val="none" w:sz="0" w:space="0" w:color="auto"/>
                    <w:right w:val="none" w:sz="0" w:space="0" w:color="auto"/>
                  </w:divBdr>
                </w:div>
              </w:divsChild>
            </w:div>
            <w:div w:id="976642846">
              <w:marLeft w:val="0"/>
              <w:marRight w:val="0"/>
              <w:marTop w:val="0"/>
              <w:marBottom w:val="0"/>
              <w:divBdr>
                <w:top w:val="none" w:sz="0" w:space="0" w:color="auto"/>
                <w:left w:val="none" w:sz="0" w:space="0" w:color="auto"/>
                <w:bottom w:val="none" w:sz="0" w:space="0" w:color="auto"/>
                <w:right w:val="none" w:sz="0" w:space="0" w:color="auto"/>
              </w:divBdr>
              <w:divsChild>
                <w:div w:id="1019161484">
                  <w:marLeft w:val="0"/>
                  <w:marRight w:val="0"/>
                  <w:marTop w:val="0"/>
                  <w:marBottom w:val="0"/>
                  <w:divBdr>
                    <w:top w:val="none" w:sz="0" w:space="0" w:color="auto"/>
                    <w:left w:val="none" w:sz="0" w:space="0" w:color="auto"/>
                    <w:bottom w:val="none" w:sz="0" w:space="0" w:color="auto"/>
                    <w:right w:val="none" w:sz="0" w:space="0" w:color="auto"/>
                  </w:divBdr>
                </w:div>
              </w:divsChild>
            </w:div>
            <w:div w:id="1287740034">
              <w:marLeft w:val="0"/>
              <w:marRight w:val="0"/>
              <w:marTop w:val="0"/>
              <w:marBottom w:val="0"/>
              <w:divBdr>
                <w:top w:val="none" w:sz="0" w:space="0" w:color="auto"/>
                <w:left w:val="none" w:sz="0" w:space="0" w:color="auto"/>
                <w:bottom w:val="none" w:sz="0" w:space="0" w:color="auto"/>
                <w:right w:val="none" w:sz="0" w:space="0" w:color="auto"/>
              </w:divBdr>
              <w:divsChild>
                <w:div w:id="649404620">
                  <w:marLeft w:val="0"/>
                  <w:marRight w:val="0"/>
                  <w:marTop w:val="0"/>
                  <w:marBottom w:val="0"/>
                  <w:divBdr>
                    <w:top w:val="none" w:sz="0" w:space="0" w:color="auto"/>
                    <w:left w:val="none" w:sz="0" w:space="0" w:color="auto"/>
                    <w:bottom w:val="none" w:sz="0" w:space="0" w:color="auto"/>
                    <w:right w:val="none" w:sz="0" w:space="0" w:color="auto"/>
                  </w:divBdr>
                </w:div>
              </w:divsChild>
            </w:div>
            <w:div w:id="1570648973">
              <w:marLeft w:val="0"/>
              <w:marRight w:val="0"/>
              <w:marTop w:val="0"/>
              <w:marBottom w:val="0"/>
              <w:divBdr>
                <w:top w:val="none" w:sz="0" w:space="0" w:color="auto"/>
                <w:left w:val="none" w:sz="0" w:space="0" w:color="auto"/>
                <w:bottom w:val="none" w:sz="0" w:space="0" w:color="auto"/>
                <w:right w:val="none" w:sz="0" w:space="0" w:color="auto"/>
              </w:divBdr>
              <w:divsChild>
                <w:div w:id="1615672621">
                  <w:marLeft w:val="0"/>
                  <w:marRight w:val="0"/>
                  <w:marTop w:val="0"/>
                  <w:marBottom w:val="0"/>
                  <w:divBdr>
                    <w:top w:val="none" w:sz="0" w:space="0" w:color="auto"/>
                    <w:left w:val="none" w:sz="0" w:space="0" w:color="auto"/>
                    <w:bottom w:val="none" w:sz="0" w:space="0" w:color="auto"/>
                    <w:right w:val="none" w:sz="0" w:space="0" w:color="auto"/>
                  </w:divBdr>
                </w:div>
                <w:div w:id="652180885">
                  <w:marLeft w:val="0"/>
                  <w:marRight w:val="0"/>
                  <w:marTop w:val="0"/>
                  <w:marBottom w:val="0"/>
                  <w:divBdr>
                    <w:top w:val="none" w:sz="0" w:space="0" w:color="auto"/>
                    <w:left w:val="none" w:sz="0" w:space="0" w:color="auto"/>
                    <w:bottom w:val="none" w:sz="0" w:space="0" w:color="auto"/>
                    <w:right w:val="none" w:sz="0" w:space="0" w:color="auto"/>
                  </w:divBdr>
                </w:div>
              </w:divsChild>
            </w:div>
            <w:div w:id="1907252602">
              <w:marLeft w:val="0"/>
              <w:marRight w:val="0"/>
              <w:marTop w:val="0"/>
              <w:marBottom w:val="0"/>
              <w:divBdr>
                <w:top w:val="none" w:sz="0" w:space="0" w:color="auto"/>
                <w:left w:val="none" w:sz="0" w:space="0" w:color="auto"/>
                <w:bottom w:val="none" w:sz="0" w:space="0" w:color="auto"/>
                <w:right w:val="none" w:sz="0" w:space="0" w:color="auto"/>
              </w:divBdr>
              <w:divsChild>
                <w:div w:id="963538241">
                  <w:marLeft w:val="0"/>
                  <w:marRight w:val="0"/>
                  <w:marTop w:val="0"/>
                  <w:marBottom w:val="0"/>
                  <w:divBdr>
                    <w:top w:val="none" w:sz="0" w:space="0" w:color="auto"/>
                    <w:left w:val="none" w:sz="0" w:space="0" w:color="auto"/>
                    <w:bottom w:val="none" w:sz="0" w:space="0" w:color="auto"/>
                    <w:right w:val="none" w:sz="0" w:space="0" w:color="auto"/>
                  </w:divBdr>
                </w:div>
              </w:divsChild>
            </w:div>
            <w:div w:id="1960600356">
              <w:marLeft w:val="0"/>
              <w:marRight w:val="0"/>
              <w:marTop w:val="0"/>
              <w:marBottom w:val="0"/>
              <w:divBdr>
                <w:top w:val="none" w:sz="0" w:space="0" w:color="auto"/>
                <w:left w:val="none" w:sz="0" w:space="0" w:color="auto"/>
                <w:bottom w:val="none" w:sz="0" w:space="0" w:color="auto"/>
                <w:right w:val="none" w:sz="0" w:space="0" w:color="auto"/>
              </w:divBdr>
              <w:divsChild>
                <w:div w:id="934289563">
                  <w:marLeft w:val="0"/>
                  <w:marRight w:val="0"/>
                  <w:marTop w:val="0"/>
                  <w:marBottom w:val="0"/>
                  <w:divBdr>
                    <w:top w:val="none" w:sz="0" w:space="0" w:color="auto"/>
                    <w:left w:val="none" w:sz="0" w:space="0" w:color="auto"/>
                    <w:bottom w:val="none" w:sz="0" w:space="0" w:color="auto"/>
                    <w:right w:val="none" w:sz="0" w:space="0" w:color="auto"/>
                  </w:divBdr>
                </w:div>
              </w:divsChild>
            </w:div>
            <w:div w:id="562370603">
              <w:marLeft w:val="0"/>
              <w:marRight w:val="0"/>
              <w:marTop w:val="0"/>
              <w:marBottom w:val="0"/>
              <w:divBdr>
                <w:top w:val="none" w:sz="0" w:space="0" w:color="auto"/>
                <w:left w:val="none" w:sz="0" w:space="0" w:color="auto"/>
                <w:bottom w:val="none" w:sz="0" w:space="0" w:color="auto"/>
                <w:right w:val="none" w:sz="0" w:space="0" w:color="auto"/>
              </w:divBdr>
              <w:divsChild>
                <w:div w:id="1871911875">
                  <w:marLeft w:val="0"/>
                  <w:marRight w:val="0"/>
                  <w:marTop w:val="0"/>
                  <w:marBottom w:val="0"/>
                  <w:divBdr>
                    <w:top w:val="none" w:sz="0" w:space="0" w:color="auto"/>
                    <w:left w:val="none" w:sz="0" w:space="0" w:color="auto"/>
                    <w:bottom w:val="none" w:sz="0" w:space="0" w:color="auto"/>
                    <w:right w:val="none" w:sz="0" w:space="0" w:color="auto"/>
                  </w:divBdr>
                </w:div>
              </w:divsChild>
            </w:div>
            <w:div w:id="1103382774">
              <w:marLeft w:val="0"/>
              <w:marRight w:val="0"/>
              <w:marTop w:val="0"/>
              <w:marBottom w:val="0"/>
              <w:divBdr>
                <w:top w:val="none" w:sz="0" w:space="0" w:color="auto"/>
                <w:left w:val="none" w:sz="0" w:space="0" w:color="auto"/>
                <w:bottom w:val="none" w:sz="0" w:space="0" w:color="auto"/>
                <w:right w:val="none" w:sz="0" w:space="0" w:color="auto"/>
              </w:divBdr>
              <w:divsChild>
                <w:div w:id="1239827305">
                  <w:marLeft w:val="0"/>
                  <w:marRight w:val="0"/>
                  <w:marTop w:val="0"/>
                  <w:marBottom w:val="0"/>
                  <w:divBdr>
                    <w:top w:val="none" w:sz="0" w:space="0" w:color="auto"/>
                    <w:left w:val="none" w:sz="0" w:space="0" w:color="auto"/>
                    <w:bottom w:val="none" w:sz="0" w:space="0" w:color="auto"/>
                    <w:right w:val="none" w:sz="0" w:space="0" w:color="auto"/>
                  </w:divBdr>
                </w:div>
              </w:divsChild>
            </w:div>
            <w:div w:id="1390884117">
              <w:marLeft w:val="0"/>
              <w:marRight w:val="0"/>
              <w:marTop w:val="0"/>
              <w:marBottom w:val="0"/>
              <w:divBdr>
                <w:top w:val="none" w:sz="0" w:space="0" w:color="auto"/>
                <w:left w:val="none" w:sz="0" w:space="0" w:color="auto"/>
                <w:bottom w:val="none" w:sz="0" w:space="0" w:color="auto"/>
                <w:right w:val="none" w:sz="0" w:space="0" w:color="auto"/>
              </w:divBdr>
              <w:divsChild>
                <w:div w:id="633947687">
                  <w:marLeft w:val="0"/>
                  <w:marRight w:val="0"/>
                  <w:marTop w:val="0"/>
                  <w:marBottom w:val="0"/>
                  <w:divBdr>
                    <w:top w:val="none" w:sz="0" w:space="0" w:color="auto"/>
                    <w:left w:val="none" w:sz="0" w:space="0" w:color="auto"/>
                    <w:bottom w:val="none" w:sz="0" w:space="0" w:color="auto"/>
                    <w:right w:val="none" w:sz="0" w:space="0" w:color="auto"/>
                  </w:divBdr>
                </w:div>
              </w:divsChild>
            </w:div>
            <w:div w:id="1034111224">
              <w:marLeft w:val="0"/>
              <w:marRight w:val="0"/>
              <w:marTop w:val="0"/>
              <w:marBottom w:val="0"/>
              <w:divBdr>
                <w:top w:val="none" w:sz="0" w:space="0" w:color="auto"/>
                <w:left w:val="none" w:sz="0" w:space="0" w:color="auto"/>
                <w:bottom w:val="none" w:sz="0" w:space="0" w:color="auto"/>
                <w:right w:val="none" w:sz="0" w:space="0" w:color="auto"/>
              </w:divBdr>
              <w:divsChild>
                <w:div w:id="1938174814">
                  <w:marLeft w:val="0"/>
                  <w:marRight w:val="0"/>
                  <w:marTop w:val="0"/>
                  <w:marBottom w:val="0"/>
                  <w:divBdr>
                    <w:top w:val="none" w:sz="0" w:space="0" w:color="auto"/>
                    <w:left w:val="none" w:sz="0" w:space="0" w:color="auto"/>
                    <w:bottom w:val="none" w:sz="0" w:space="0" w:color="auto"/>
                    <w:right w:val="none" w:sz="0" w:space="0" w:color="auto"/>
                  </w:divBdr>
                </w:div>
              </w:divsChild>
            </w:div>
            <w:div w:id="1537934741">
              <w:marLeft w:val="0"/>
              <w:marRight w:val="0"/>
              <w:marTop w:val="0"/>
              <w:marBottom w:val="0"/>
              <w:divBdr>
                <w:top w:val="none" w:sz="0" w:space="0" w:color="auto"/>
                <w:left w:val="none" w:sz="0" w:space="0" w:color="auto"/>
                <w:bottom w:val="none" w:sz="0" w:space="0" w:color="auto"/>
                <w:right w:val="none" w:sz="0" w:space="0" w:color="auto"/>
              </w:divBdr>
              <w:divsChild>
                <w:div w:id="1805998345">
                  <w:marLeft w:val="0"/>
                  <w:marRight w:val="0"/>
                  <w:marTop w:val="0"/>
                  <w:marBottom w:val="0"/>
                  <w:divBdr>
                    <w:top w:val="none" w:sz="0" w:space="0" w:color="auto"/>
                    <w:left w:val="none" w:sz="0" w:space="0" w:color="auto"/>
                    <w:bottom w:val="none" w:sz="0" w:space="0" w:color="auto"/>
                    <w:right w:val="none" w:sz="0" w:space="0" w:color="auto"/>
                  </w:divBdr>
                </w:div>
              </w:divsChild>
            </w:div>
            <w:div w:id="161168453">
              <w:marLeft w:val="0"/>
              <w:marRight w:val="0"/>
              <w:marTop w:val="0"/>
              <w:marBottom w:val="0"/>
              <w:divBdr>
                <w:top w:val="none" w:sz="0" w:space="0" w:color="auto"/>
                <w:left w:val="none" w:sz="0" w:space="0" w:color="auto"/>
                <w:bottom w:val="none" w:sz="0" w:space="0" w:color="auto"/>
                <w:right w:val="none" w:sz="0" w:space="0" w:color="auto"/>
              </w:divBdr>
              <w:divsChild>
                <w:div w:id="716321196">
                  <w:marLeft w:val="0"/>
                  <w:marRight w:val="0"/>
                  <w:marTop w:val="0"/>
                  <w:marBottom w:val="0"/>
                  <w:divBdr>
                    <w:top w:val="none" w:sz="0" w:space="0" w:color="auto"/>
                    <w:left w:val="none" w:sz="0" w:space="0" w:color="auto"/>
                    <w:bottom w:val="none" w:sz="0" w:space="0" w:color="auto"/>
                    <w:right w:val="none" w:sz="0" w:space="0" w:color="auto"/>
                  </w:divBdr>
                </w:div>
                <w:div w:id="806051740">
                  <w:marLeft w:val="0"/>
                  <w:marRight w:val="0"/>
                  <w:marTop w:val="0"/>
                  <w:marBottom w:val="0"/>
                  <w:divBdr>
                    <w:top w:val="none" w:sz="0" w:space="0" w:color="auto"/>
                    <w:left w:val="none" w:sz="0" w:space="0" w:color="auto"/>
                    <w:bottom w:val="none" w:sz="0" w:space="0" w:color="auto"/>
                    <w:right w:val="none" w:sz="0" w:space="0" w:color="auto"/>
                  </w:divBdr>
                </w:div>
              </w:divsChild>
            </w:div>
            <w:div w:id="858735209">
              <w:marLeft w:val="0"/>
              <w:marRight w:val="0"/>
              <w:marTop w:val="0"/>
              <w:marBottom w:val="0"/>
              <w:divBdr>
                <w:top w:val="none" w:sz="0" w:space="0" w:color="auto"/>
                <w:left w:val="none" w:sz="0" w:space="0" w:color="auto"/>
                <w:bottom w:val="none" w:sz="0" w:space="0" w:color="auto"/>
                <w:right w:val="none" w:sz="0" w:space="0" w:color="auto"/>
              </w:divBdr>
              <w:divsChild>
                <w:div w:id="1180005885">
                  <w:marLeft w:val="0"/>
                  <w:marRight w:val="0"/>
                  <w:marTop w:val="0"/>
                  <w:marBottom w:val="0"/>
                  <w:divBdr>
                    <w:top w:val="none" w:sz="0" w:space="0" w:color="auto"/>
                    <w:left w:val="none" w:sz="0" w:space="0" w:color="auto"/>
                    <w:bottom w:val="none" w:sz="0" w:space="0" w:color="auto"/>
                    <w:right w:val="none" w:sz="0" w:space="0" w:color="auto"/>
                  </w:divBdr>
                </w:div>
                <w:div w:id="217474994">
                  <w:marLeft w:val="0"/>
                  <w:marRight w:val="0"/>
                  <w:marTop w:val="0"/>
                  <w:marBottom w:val="0"/>
                  <w:divBdr>
                    <w:top w:val="none" w:sz="0" w:space="0" w:color="auto"/>
                    <w:left w:val="none" w:sz="0" w:space="0" w:color="auto"/>
                    <w:bottom w:val="none" w:sz="0" w:space="0" w:color="auto"/>
                    <w:right w:val="none" w:sz="0" w:space="0" w:color="auto"/>
                  </w:divBdr>
                </w:div>
              </w:divsChild>
            </w:div>
            <w:div w:id="352347955">
              <w:marLeft w:val="0"/>
              <w:marRight w:val="0"/>
              <w:marTop w:val="0"/>
              <w:marBottom w:val="0"/>
              <w:divBdr>
                <w:top w:val="none" w:sz="0" w:space="0" w:color="auto"/>
                <w:left w:val="none" w:sz="0" w:space="0" w:color="auto"/>
                <w:bottom w:val="none" w:sz="0" w:space="0" w:color="auto"/>
                <w:right w:val="none" w:sz="0" w:space="0" w:color="auto"/>
              </w:divBdr>
              <w:divsChild>
                <w:div w:id="1304775729">
                  <w:marLeft w:val="0"/>
                  <w:marRight w:val="0"/>
                  <w:marTop w:val="0"/>
                  <w:marBottom w:val="0"/>
                  <w:divBdr>
                    <w:top w:val="none" w:sz="0" w:space="0" w:color="auto"/>
                    <w:left w:val="none" w:sz="0" w:space="0" w:color="auto"/>
                    <w:bottom w:val="none" w:sz="0" w:space="0" w:color="auto"/>
                    <w:right w:val="none" w:sz="0" w:space="0" w:color="auto"/>
                  </w:divBdr>
                </w:div>
              </w:divsChild>
            </w:div>
            <w:div w:id="718087597">
              <w:marLeft w:val="0"/>
              <w:marRight w:val="0"/>
              <w:marTop w:val="0"/>
              <w:marBottom w:val="0"/>
              <w:divBdr>
                <w:top w:val="none" w:sz="0" w:space="0" w:color="auto"/>
                <w:left w:val="none" w:sz="0" w:space="0" w:color="auto"/>
                <w:bottom w:val="none" w:sz="0" w:space="0" w:color="auto"/>
                <w:right w:val="none" w:sz="0" w:space="0" w:color="auto"/>
              </w:divBdr>
              <w:divsChild>
                <w:div w:id="604921266">
                  <w:marLeft w:val="0"/>
                  <w:marRight w:val="0"/>
                  <w:marTop w:val="0"/>
                  <w:marBottom w:val="0"/>
                  <w:divBdr>
                    <w:top w:val="none" w:sz="0" w:space="0" w:color="auto"/>
                    <w:left w:val="none" w:sz="0" w:space="0" w:color="auto"/>
                    <w:bottom w:val="none" w:sz="0" w:space="0" w:color="auto"/>
                    <w:right w:val="none" w:sz="0" w:space="0" w:color="auto"/>
                  </w:divBdr>
                </w:div>
              </w:divsChild>
            </w:div>
            <w:div w:id="2091924215">
              <w:marLeft w:val="0"/>
              <w:marRight w:val="0"/>
              <w:marTop w:val="0"/>
              <w:marBottom w:val="0"/>
              <w:divBdr>
                <w:top w:val="none" w:sz="0" w:space="0" w:color="auto"/>
                <w:left w:val="none" w:sz="0" w:space="0" w:color="auto"/>
                <w:bottom w:val="none" w:sz="0" w:space="0" w:color="auto"/>
                <w:right w:val="none" w:sz="0" w:space="0" w:color="auto"/>
              </w:divBdr>
              <w:divsChild>
                <w:div w:id="2069759741">
                  <w:marLeft w:val="0"/>
                  <w:marRight w:val="0"/>
                  <w:marTop w:val="0"/>
                  <w:marBottom w:val="0"/>
                  <w:divBdr>
                    <w:top w:val="none" w:sz="0" w:space="0" w:color="auto"/>
                    <w:left w:val="none" w:sz="0" w:space="0" w:color="auto"/>
                    <w:bottom w:val="none" w:sz="0" w:space="0" w:color="auto"/>
                    <w:right w:val="none" w:sz="0" w:space="0" w:color="auto"/>
                  </w:divBdr>
                </w:div>
                <w:div w:id="316803529">
                  <w:marLeft w:val="0"/>
                  <w:marRight w:val="0"/>
                  <w:marTop w:val="0"/>
                  <w:marBottom w:val="0"/>
                  <w:divBdr>
                    <w:top w:val="none" w:sz="0" w:space="0" w:color="auto"/>
                    <w:left w:val="none" w:sz="0" w:space="0" w:color="auto"/>
                    <w:bottom w:val="none" w:sz="0" w:space="0" w:color="auto"/>
                    <w:right w:val="none" w:sz="0" w:space="0" w:color="auto"/>
                  </w:divBdr>
                </w:div>
              </w:divsChild>
            </w:div>
            <w:div w:id="451242652">
              <w:marLeft w:val="0"/>
              <w:marRight w:val="0"/>
              <w:marTop w:val="0"/>
              <w:marBottom w:val="0"/>
              <w:divBdr>
                <w:top w:val="none" w:sz="0" w:space="0" w:color="auto"/>
                <w:left w:val="none" w:sz="0" w:space="0" w:color="auto"/>
                <w:bottom w:val="none" w:sz="0" w:space="0" w:color="auto"/>
                <w:right w:val="none" w:sz="0" w:space="0" w:color="auto"/>
              </w:divBdr>
              <w:divsChild>
                <w:div w:id="581328927">
                  <w:marLeft w:val="0"/>
                  <w:marRight w:val="0"/>
                  <w:marTop w:val="0"/>
                  <w:marBottom w:val="0"/>
                  <w:divBdr>
                    <w:top w:val="none" w:sz="0" w:space="0" w:color="auto"/>
                    <w:left w:val="none" w:sz="0" w:space="0" w:color="auto"/>
                    <w:bottom w:val="none" w:sz="0" w:space="0" w:color="auto"/>
                    <w:right w:val="none" w:sz="0" w:space="0" w:color="auto"/>
                  </w:divBdr>
                </w:div>
                <w:div w:id="400254297">
                  <w:marLeft w:val="0"/>
                  <w:marRight w:val="0"/>
                  <w:marTop w:val="0"/>
                  <w:marBottom w:val="0"/>
                  <w:divBdr>
                    <w:top w:val="none" w:sz="0" w:space="0" w:color="auto"/>
                    <w:left w:val="none" w:sz="0" w:space="0" w:color="auto"/>
                    <w:bottom w:val="none" w:sz="0" w:space="0" w:color="auto"/>
                    <w:right w:val="none" w:sz="0" w:space="0" w:color="auto"/>
                  </w:divBdr>
                </w:div>
              </w:divsChild>
            </w:div>
            <w:div w:id="1832020630">
              <w:marLeft w:val="0"/>
              <w:marRight w:val="0"/>
              <w:marTop w:val="0"/>
              <w:marBottom w:val="0"/>
              <w:divBdr>
                <w:top w:val="none" w:sz="0" w:space="0" w:color="auto"/>
                <w:left w:val="none" w:sz="0" w:space="0" w:color="auto"/>
                <w:bottom w:val="none" w:sz="0" w:space="0" w:color="auto"/>
                <w:right w:val="none" w:sz="0" w:space="0" w:color="auto"/>
              </w:divBdr>
              <w:divsChild>
                <w:div w:id="148061691">
                  <w:marLeft w:val="0"/>
                  <w:marRight w:val="0"/>
                  <w:marTop w:val="0"/>
                  <w:marBottom w:val="0"/>
                  <w:divBdr>
                    <w:top w:val="none" w:sz="0" w:space="0" w:color="auto"/>
                    <w:left w:val="none" w:sz="0" w:space="0" w:color="auto"/>
                    <w:bottom w:val="none" w:sz="0" w:space="0" w:color="auto"/>
                    <w:right w:val="none" w:sz="0" w:space="0" w:color="auto"/>
                  </w:divBdr>
                </w:div>
              </w:divsChild>
            </w:div>
            <w:div w:id="1185746580">
              <w:marLeft w:val="0"/>
              <w:marRight w:val="0"/>
              <w:marTop w:val="0"/>
              <w:marBottom w:val="0"/>
              <w:divBdr>
                <w:top w:val="none" w:sz="0" w:space="0" w:color="auto"/>
                <w:left w:val="none" w:sz="0" w:space="0" w:color="auto"/>
                <w:bottom w:val="none" w:sz="0" w:space="0" w:color="auto"/>
                <w:right w:val="none" w:sz="0" w:space="0" w:color="auto"/>
              </w:divBdr>
              <w:divsChild>
                <w:div w:id="4458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1383">
          <w:marLeft w:val="0"/>
          <w:marRight w:val="0"/>
          <w:marTop w:val="0"/>
          <w:marBottom w:val="0"/>
          <w:divBdr>
            <w:top w:val="none" w:sz="0" w:space="0" w:color="auto"/>
            <w:left w:val="none" w:sz="0" w:space="0" w:color="auto"/>
            <w:bottom w:val="none" w:sz="0" w:space="0" w:color="auto"/>
            <w:right w:val="none" w:sz="0" w:space="0" w:color="auto"/>
          </w:divBdr>
        </w:div>
        <w:div w:id="2010592824">
          <w:marLeft w:val="0"/>
          <w:marRight w:val="0"/>
          <w:marTop w:val="0"/>
          <w:marBottom w:val="0"/>
          <w:divBdr>
            <w:top w:val="none" w:sz="0" w:space="0" w:color="auto"/>
            <w:left w:val="none" w:sz="0" w:space="0" w:color="auto"/>
            <w:bottom w:val="none" w:sz="0" w:space="0" w:color="auto"/>
            <w:right w:val="none" w:sz="0" w:space="0" w:color="auto"/>
          </w:divBdr>
        </w:div>
        <w:div w:id="1660226893">
          <w:marLeft w:val="0"/>
          <w:marRight w:val="0"/>
          <w:marTop w:val="0"/>
          <w:marBottom w:val="0"/>
          <w:divBdr>
            <w:top w:val="none" w:sz="0" w:space="0" w:color="auto"/>
            <w:left w:val="none" w:sz="0" w:space="0" w:color="auto"/>
            <w:bottom w:val="none" w:sz="0" w:space="0" w:color="auto"/>
            <w:right w:val="none" w:sz="0" w:space="0" w:color="auto"/>
          </w:divBdr>
        </w:div>
        <w:div w:id="769201226">
          <w:marLeft w:val="0"/>
          <w:marRight w:val="0"/>
          <w:marTop w:val="0"/>
          <w:marBottom w:val="0"/>
          <w:divBdr>
            <w:top w:val="none" w:sz="0" w:space="0" w:color="auto"/>
            <w:left w:val="none" w:sz="0" w:space="0" w:color="auto"/>
            <w:bottom w:val="none" w:sz="0" w:space="0" w:color="auto"/>
            <w:right w:val="none" w:sz="0" w:space="0" w:color="auto"/>
          </w:divBdr>
        </w:div>
        <w:div w:id="2136946250">
          <w:marLeft w:val="0"/>
          <w:marRight w:val="0"/>
          <w:marTop w:val="0"/>
          <w:marBottom w:val="0"/>
          <w:divBdr>
            <w:top w:val="none" w:sz="0" w:space="0" w:color="auto"/>
            <w:left w:val="none" w:sz="0" w:space="0" w:color="auto"/>
            <w:bottom w:val="none" w:sz="0" w:space="0" w:color="auto"/>
            <w:right w:val="none" w:sz="0" w:space="0" w:color="auto"/>
          </w:divBdr>
        </w:div>
        <w:div w:id="1426071560">
          <w:marLeft w:val="0"/>
          <w:marRight w:val="0"/>
          <w:marTop w:val="0"/>
          <w:marBottom w:val="0"/>
          <w:divBdr>
            <w:top w:val="none" w:sz="0" w:space="0" w:color="auto"/>
            <w:left w:val="none" w:sz="0" w:space="0" w:color="auto"/>
            <w:bottom w:val="none" w:sz="0" w:space="0" w:color="auto"/>
            <w:right w:val="none" w:sz="0" w:space="0" w:color="auto"/>
          </w:divBdr>
        </w:div>
        <w:div w:id="1368993539">
          <w:marLeft w:val="0"/>
          <w:marRight w:val="0"/>
          <w:marTop w:val="0"/>
          <w:marBottom w:val="0"/>
          <w:divBdr>
            <w:top w:val="none" w:sz="0" w:space="0" w:color="auto"/>
            <w:left w:val="none" w:sz="0" w:space="0" w:color="auto"/>
            <w:bottom w:val="none" w:sz="0" w:space="0" w:color="auto"/>
            <w:right w:val="none" w:sz="0" w:space="0" w:color="auto"/>
          </w:divBdr>
        </w:div>
        <w:div w:id="63257655">
          <w:marLeft w:val="0"/>
          <w:marRight w:val="0"/>
          <w:marTop w:val="0"/>
          <w:marBottom w:val="0"/>
          <w:divBdr>
            <w:top w:val="none" w:sz="0" w:space="0" w:color="auto"/>
            <w:left w:val="none" w:sz="0" w:space="0" w:color="auto"/>
            <w:bottom w:val="none" w:sz="0" w:space="0" w:color="auto"/>
            <w:right w:val="none" w:sz="0" w:space="0" w:color="auto"/>
          </w:divBdr>
        </w:div>
        <w:div w:id="131737">
          <w:marLeft w:val="0"/>
          <w:marRight w:val="0"/>
          <w:marTop w:val="0"/>
          <w:marBottom w:val="0"/>
          <w:divBdr>
            <w:top w:val="none" w:sz="0" w:space="0" w:color="auto"/>
            <w:left w:val="none" w:sz="0" w:space="0" w:color="auto"/>
            <w:bottom w:val="none" w:sz="0" w:space="0" w:color="auto"/>
            <w:right w:val="none" w:sz="0" w:space="0" w:color="auto"/>
          </w:divBdr>
        </w:div>
        <w:div w:id="654187703">
          <w:marLeft w:val="0"/>
          <w:marRight w:val="0"/>
          <w:marTop w:val="0"/>
          <w:marBottom w:val="0"/>
          <w:divBdr>
            <w:top w:val="none" w:sz="0" w:space="0" w:color="auto"/>
            <w:left w:val="none" w:sz="0" w:space="0" w:color="auto"/>
            <w:bottom w:val="none" w:sz="0" w:space="0" w:color="auto"/>
            <w:right w:val="none" w:sz="0" w:space="0" w:color="auto"/>
          </w:divBdr>
        </w:div>
        <w:div w:id="602306322">
          <w:marLeft w:val="0"/>
          <w:marRight w:val="0"/>
          <w:marTop w:val="0"/>
          <w:marBottom w:val="0"/>
          <w:divBdr>
            <w:top w:val="none" w:sz="0" w:space="0" w:color="auto"/>
            <w:left w:val="none" w:sz="0" w:space="0" w:color="auto"/>
            <w:bottom w:val="none" w:sz="0" w:space="0" w:color="auto"/>
            <w:right w:val="none" w:sz="0" w:space="0" w:color="auto"/>
          </w:divBdr>
        </w:div>
        <w:div w:id="466245210">
          <w:marLeft w:val="0"/>
          <w:marRight w:val="0"/>
          <w:marTop w:val="0"/>
          <w:marBottom w:val="0"/>
          <w:divBdr>
            <w:top w:val="none" w:sz="0" w:space="0" w:color="auto"/>
            <w:left w:val="none" w:sz="0" w:space="0" w:color="auto"/>
            <w:bottom w:val="none" w:sz="0" w:space="0" w:color="auto"/>
            <w:right w:val="none" w:sz="0" w:space="0" w:color="auto"/>
          </w:divBdr>
        </w:div>
        <w:div w:id="1338927081">
          <w:marLeft w:val="0"/>
          <w:marRight w:val="0"/>
          <w:marTop w:val="0"/>
          <w:marBottom w:val="0"/>
          <w:divBdr>
            <w:top w:val="none" w:sz="0" w:space="0" w:color="auto"/>
            <w:left w:val="none" w:sz="0" w:space="0" w:color="auto"/>
            <w:bottom w:val="none" w:sz="0" w:space="0" w:color="auto"/>
            <w:right w:val="none" w:sz="0" w:space="0" w:color="auto"/>
          </w:divBdr>
        </w:div>
        <w:div w:id="110825554">
          <w:marLeft w:val="0"/>
          <w:marRight w:val="0"/>
          <w:marTop w:val="0"/>
          <w:marBottom w:val="0"/>
          <w:divBdr>
            <w:top w:val="none" w:sz="0" w:space="0" w:color="auto"/>
            <w:left w:val="none" w:sz="0" w:space="0" w:color="auto"/>
            <w:bottom w:val="none" w:sz="0" w:space="0" w:color="auto"/>
            <w:right w:val="none" w:sz="0" w:space="0" w:color="auto"/>
          </w:divBdr>
        </w:div>
        <w:div w:id="102768797">
          <w:marLeft w:val="0"/>
          <w:marRight w:val="0"/>
          <w:marTop w:val="0"/>
          <w:marBottom w:val="0"/>
          <w:divBdr>
            <w:top w:val="none" w:sz="0" w:space="0" w:color="auto"/>
            <w:left w:val="none" w:sz="0" w:space="0" w:color="auto"/>
            <w:bottom w:val="none" w:sz="0" w:space="0" w:color="auto"/>
            <w:right w:val="none" w:sz="0" w:space="0" w:color="auto"/>
          </w:divBdr>
        </w:div>
        <w:div w:id="1132214354">
          <w:marLeft w:val="0"/>
          <w:marRight w:val="0"/>
          <w:marTop w:val="0"/>
          <w:marBottom w:val="0"/>
          <w:divBdr>
            <w:top w:val="none" w:sz="0" w:space="0" w:color="auto"/>
            <w:left w:val="none" w:sz="0" w:space="0" w:color="auto"/>
            <w:bottom w:val="none" w:sz="0" w:space="0" w:color="auto"/>
            <w:right w:val="none" w:sz="0" w:space="0" w:color="auto"/>
          </w:divBdr>
        </w:div>
        <w:div w:id="1372339858">
          <w:marLeft w:val="0"/>
          <w:marRight w:val="0"/>
          <w:marTop w:val="0"/>
          <w:marBottom w:val="0"/>
          <w:divBdr>
            <w:top w:val="none" w:sz="0" w:space="0" w:color="auto"/>
            <w:left w:val="none" w:sz="0" w:space="0" w:color="auto"/>
            <w:bottom w:val="none" w:sz="0" w:space="0" w:color="auto"/>
            <w:right w:val="none" w:sz="0" w:space="0" w:color="auto"/>
          </w:divBdr>
        </w:div>
        <w:div w:id="705644537">
          <w:marLeft w:val="0"/>
          <w:marRight w:val="0"/>
          <w:marTop w:val="0"/>
          <w:marBottom w:val="0"/>
          <w:divBdr>
            <w:top w:val="none" w:sz="0" w:space="0" w:color="auto"/>
            <w:left w:val="none" w:sz="0" w:space="0" w:color="auto"/>
            <w:bottom w:val="none" w:sz="0" w:space="0" w:color="auto"/>
            <w:right w:val="none" w:sz="0" w:space="0" w:color="auto"/>
          </w:divBdr>
        </w:div>
        <w:div w:id="1497959710">
          <w:marLeft w:val="-75"/>
          <w:marRight w:val="0"/>
          <w:marTop w:val="30"/>
          <w:marBottom w:val="30"/>
          <w:divBdr>
            <w:top w:val="none" w:sz="0" w:space="0" w:color="auto"/>
            <w:left w:val="none" w:sz="0" w:space="0" w:color="auto"/>
            <w:bottom w:val="none" w:sz="0" w:space="0" w:color="auto"/>
            <w:right w:val="none" w:sz="0" w:space="0" w:color="auto"/>
          </w:divBdr>
          <w:divsChild>
            <w:div w:id="656032597">
              <w:marLeft w:val="0"/>
              <w:marRight w:val="0"/>
              <w:marTop w:val="0"/>
              <w:marBottom w:val="0"/>
              <w:divBdr>
                <w:top w:val="none" w:sz="0" w:space="0" w:color="auto"/>
                <w:left w:val="none" w:sz="0" w:space="0" w:color="auto"/>
                <w:bottom w:val="none" w:sz="0" w:space="0" w:color="auto"/>
                <w:right w:val="none" w:sz="0" w:space="0" w:color="auto"/>
              </w:divBdr>
              <w:divsChild>
                <w:div w:id="1375042233">
                  <w:marLeft w:val="0"/>
                  <w:marRight w:val="0"/>
                  <w:marTop w:val="0"/>
                  <w:marBottom w:val="0"/>
                  <w:divBdr>
                    <w:top w:val="none" w:sz="0" w:space="0" w:color="auto"/>
                    <w:left w:val="none" w:sz="0" w:space="0" w:color="auto"/>
                    <w:bottom w:val="none" w:sz="0" w:space="0" w:color="auto"/>
                    <w:right w:val="none" w:sz="0" w:space="0" w:color="auto"/>
                  </w:divBdr>
                </w:div>
              </w:divsChild>
            </w:div>
            <w:div w:id="176161070">
              <w:marLeft w:val="0"/>
              <w:marRight w:val="0"/>
              <w:marTop w:val="0"/>
              <w:marBottom w:val="0"/>
              <w:divBdr>
                <w:top w:val="none" w:sz="0" w:space="0" w:color="auto"/>
                <w:left w:val="none" w:sz="0" w:space="0" w:color="auto"/>
                <w:bottom w:val="none" w:sz="0" w:space="0" w:color="auto"/>
                <w:right w:val="none" w:sz="0" w:space="0" w:color="auto"/>
              </w:divBdr>
              <w:divsChild>
                <w:div w:id="1637250760">
                  <w:marLeft w:val="0"/>
                  <w:marRight w:val="0"/>
                  <w:marTop w:val="0"/>
                  <w:marBottom w:val="0"/>
                  <w:divBdr>
                    <w:top w:val="none" w:sz="0" w:space="0" w:color="auto"/>
                    <w:left w:val="none" w:sz="0" w:space="0" w:color="auto"/>
                    <w:bottom w:val="none" w:sz="0" w:space="0" w:color="auto"/>
                    <w:right w:val="none" w:sz="0" w:space="0" w:color="auto"/>
                  </w:divBdr>
                </w:div>
              </w:divsChild>
            </w:div>
            <w:div w:id="925455431">
              <w:marLeft w:val="0"/>
              <w:marRight w:val="0"/>
              <w:marTop w:val="0"/>
              <w:marBottom w:val="0"/>
              <w:divBdr>
                <w:top w:val="none" w:sz="0" w:space="0" w:color="auto"/>
                <w:left w:val="none" w:sz="0" w:space="0" w:color="auto"/>
                <w:bottom w:val="none" w:sz="0" w:space="0" w:color="auto"/>
                <w:right w:val="none" w:sz="0" w:space="0" w:color="auto"/>
              </w:divBdr>
              <w:divsChild>
                <w:div w:id="691802475">
                  <w:marLeft w:val="0"/>
                  <w:marRight w:val="0"/>
                  <w:marTop w:val="0"/>
                  <w:marBottom w:val="0"/>
                  <w:divBdr>
                    <w:top w:val="none" w:sz="0" w:space="0" w:color="auto"/>
                    <w:left w:val="none" w:sz="0" w:space="0" w:color="auto"/>
                    <w:bottom w:val="none" w:sz="0" w:space="0" w:color="auto"/>
                    <w:right w:val="none" w:sz="0" w:space="0" w:color="auto"/>
                  </w:divBdr>
                </w:div>
              </w:divsChild>
            </w:div>
            <w:div w:id="1587880838">
              <w:marLeft w:val="0"/>
              <w:marRight w:val="0"/>
              <w:marTop w:val="0"/>
              <w:marBottom w:val="0"/>
              <w:divBdr>
                <w:top w:val="none" w:sz="0" w:space="0" w:color="auto"/>
                <w:left w:val="none" w:sz="0" w:space="0" w:color="auto"/>
                <w:bottom w:val="none" w:sz="0" w:space="0" w:color="auto"/>
                <w:right w:val="none" w:sz="0" w:space="0" w:color="auto"/>
              </w:divBdr>
              <w:divsChild>
                <w:div w:id="904070793">
                  <w:marLeft w:val="0"/>
                  <w:marRight w:val="0"/>
                  <w:marTop w:val="0"/>
                  <w:marBottom w:val="0"/>
                  <w:divBdr>
                    <w:top w:val="none" w:sz="0" w:space="0" w:color="auto"/>
                    <w:left w:val="none" w:sz="0" w:space="0" w:color="auto"/>
                    <w:bottom w:val="none" w:sz="0" w:space="0" w:color="auto"/>
                    <w:right w:val="none" w:sz="0" w:space="0" w:color="auto"/>
                  </w:divBdr>
                </w:div>
                <w:div w:id="1009218134">
                  <w:marLeft w:val="0"/>
                  <w:marRight w:val="0"/>
                  <w:marTop w:val="0"/>
                  <w:marBottom w:val="0"/>
                  <w:divBdr>
                    <w:top w:val="none" w:sz="0" w:space="0" w:color="auto"/>
                    <w:left w:val="none" w:sz="0" w:space="0" w:color="auto"/>
                    <w:bottom w:val="none" w:sz="0" w:space="0" w:color="auto"/>
                    <w:right w:val="none" w:sz="0" w:space="0" w:color="auto"/>
                  </w:divBdr>
                </w:div>
                <w:div w:id="1993367798">
                  <w:marLeft w:val="0"/>
                  <w:marRight w:val="0"/>
                  <w:marTop w:val="0"/>
                  <w:marBottom w:val="0"/>
                  <w:divBdr>
                    <w:top w:val="none" w:sz="0" w:space="0" w:color="auto"/>
                    <w:left w:val="none" w:sz="0" w:space="0" w:color="auto"/>
                    <w:bottom w:val="none" w:sz="0" w:space="0" w:color="auto"/>
                    <w:right w:val="none" w:sz="0" w:space="0" w:color="auto"/>
                  </w:divBdr>
                </w:div>
              </w:divsChild>
            </w:div>
            <w:div w:id="1155028898">
              <w:marLeft w:val="0"/>
              <w:marRight w:val="0"/>
              <w:marTop w:val="0"/>
              <w:marBottom w:val="0"/>
              <w:divBdr>
                <w:top w:val="none" w:sz="0" w:space="0" w:color="auto"/>
                <w:left w:val="none" w:sz="0" w:space="0" w:color="auto"/>
                <w:bottom w:val="none" w:sz="0" w:space="0" w:color="auto"/>
                <w:right w:val="none" w:sz="0" w:space="0" w:color="auto"/>
              </w:divBdr>
              <w:divsChild>
                <w:div w:id="1757440706">
                  <w:marLeft w:val="0"/>
                  <w:marRight w:val="0"/>
                  <w:marTop w:val="0"/>
                  <w:marBottom w:val="0"/>
                  <w:divBdr>
                    <w:top w:val="none" w:sz="0" w:space="0" w:color="auto"/>
                    <w:left w:val="none" w:sz="0" w:space="0" w:color="auto"/>
                    <w:bottom w:val="none" w:sz="0" w:space="0" w:color="auto"/>
                    <w:right w:val="none" w:sz="0" w:space="0" w:color="auto"/>
                  </w:divBdr>
                </w:div>
              </w:divsChild>
            </w:div>
            <w:div w:id="2129615773">
              <w:marLeft w:val="0"/>
              <w:marRight w:val="0"/>
              <w:marTop w:val="0"/>
              <w:marBottom w:val="0"/>
              <w:divBdr>
                <w:top w:val="none" w:sz="0" w:space="0" w:color="auto"/>
                <w:left w:val="none" w:sz="0" w:space="0" w:color="auto"/>
                <w:bottom w:val="none" w:sz="0" w:space="0" w:color="auto"/>
                <w:right w:val="none" w:sz="0" w:space="0" w:color="auto"/>
              </w:divBdr>
              <w:divsChild>
                <w:div w:id="2070837693">
                  <w:marLeft w:val="0"/>
                  <w:marRight w:val="0"/>
                  <w:marTop w:val="0"/>
                  <w:marBottom w:val="0"/>
                  <w:divBdr>
                    <w:top w:val="none" w:sz="0" w:space="0" w:color="auto"/>
                    <w:left w:val="none" w:sz="0" w:space="0" w:color="auto"/>
                    <w:bottom w:val="none" w:sz="0" w:space="0" w:color="auto"/>
                    <w:right w:val="none" w:sz="0" w:space="0" w:color="auto"/>
                  </w:divBdr>
                </w:div>
              </w:divsChild>
            </w:div>
            <w:div w:id="137502287">
              <w:marLeft w:val="0"/>
              <w:marRight w:val="0"/>
              <w:marTop w:val="0"/>
              <w:marBottom w:val="0"/>
              <w:divBdr>
                <w:top w:val="none" w:sz="0" w:space="0" w:color="auto"/>
                <w:left w:val="none" w:sz="0" w:space="0" w:color="auto"/>
                <w:bottom w:val="none" w:sz="0" w:space="0" w:color="auto"/>
                <w:right w:val="none" w:sz="0" w:space="0" w:color="auto"/>
              </w:divBdr>
              <w:divsChild>
                <w:div w:id="771508864">
                  <w:marLeft w:val="0"/>
                  <w:marRight w:val="0"/>
                  <w:marTop w:val="0"/>
                  <w:marBottom w:val="0"/>
                  <w:divBdr>
                    <w:top w:val="none" w:sz="0" w:space="0" w:color="auto"/>
                    <w:left w:val="none" w:sz="0" w:space="0" w:color="auto"/>
                    <w:bottom w:val="none" w:sz="0" w:space="0" w:color="auto"/>
                    <w:right w:val="none" w:sz="0" w:space="0" w:color="auto"/>
                  </w:divBdr>
                </w:div>
                <w:div w:id="215359758">
                  <w:marLeft w:val="0"/>
                  <w:marRight w:val="0"/>
                  <w:marTop w:val="0"/>
                  <w:marBottom w:val="0"/>
                  <w:divBdr>
                    <w:top w:val="none" w:sz="0" w:space="0" w:color="auto"/>
                    <w:left w:val="none" w:sz="0" w:space="0" w:color="auto"/>
                    <w:bottom w:val="none" w:sz="0" w:space="0" w:color="auto"/>
                    <w:right w:val="none" w:sz="0" w:space="0" w:color="auto"/>
                  </w:divBdr>
                </w:div>
                <w:div w:id="243270470">
                  <w:marLeft w:val="0"/>
                  <w:marRight w:val="0"/>
                  <w:marTop w:val="0"/>
                  <w:marBottom w:val="0"/>
                  <w:divBdr>
                    <w:top w:val="none" w:sz="0" w:space="0" w:color="auto"/>
                    <w:left w:val="none" w:sz="0" w:space="0" w:color="auto"/>
                    <w:bottom w:val="none" w:sz="0" w:space="0" w:color="auto"/>
                    <w:right w:val="none" w:sz="0" w:space="0" w:color="auto"/>
                  </w:divBdr>
                </w:div>
                <w:div w:id="314188666">
                  <w:marLeft w:val="0"/>
                  <w:marRight w:val="0"/>
                  <w:marTop w:val="0"/>
                  <w:marBottom w:val="0"/>
                  <w:divBdr>
                    <w:top w:val="none" w:sz="0" w:space="0" w:color="auto"/>
                    <w:left w:val="none" w:sz="0" w:space="0" w:color="auto"/>
                    <w:bottom w:val="none" w:sz="0" w:space="0" w:color="auto"/>
                    <w:right w:val="none" w:sz="0" w:space="0" w:color="auto"/>
                  </w:divBdr>
                </w:div>
              </w:divsChild>
            </w:div>
            <w:div w:id="1838114323">
              <w:marLeft w:val="0"/>
              <w:marRight w:val="0"/>
              <w:marTop w:val="0"/>
              <w:marBottom w:val="0"/>
              <w:divBdr>
                <w:top w:val="none" w:sz="0" w:space="0" w:color="auto"/>
                <w:left w:val="none" w:sz="0" w:space="0" w:color="auto"/>
                <w:bottom w:val="none" w:sz="0" w:space="0" w:color="auto"/>
                <w:right w:val="none" w:sz="0" w:space="0" w:color="auto"/>
              </w:divBdr>
              <w:divsChild>
                <w:div w:id="1462575486">
                  <w:marLeft w:val="0"/>
                  <w:marRight w:val="0"/>
                  <w:marTop w:val="0"/>
                  <w:marBottom w:val="0"/>
                  <w:divBdr>
                    <w:top w:val="none" w:sz="0" w:space="0" w:color="auto"/>
                    <w:left w:val="none" w:sz="0" w:space="0" w:color="auto"/>
                    <w:bottom w:val="none" w:sz="0" w:space="0" w:color="auto"/>
                    <w:right w:val="none" w:sz="0" w:space="0" w:color="auto"/>
                  </w:divBdr>
                </w:div>
              </w:divsChild>
            </w:div>
            <w:div w:id="1966547313">
              <w:marLeft w:val="0"/>
              <w:marRight w:val="0"/>
              <w:marTop w:val="0"/>
              <w:marBottom w:val="0"/>
              <w:divBdr>
                <w:top w:val="none" w:sz="0" w:space="0" w:color="auto"/>
                <w:left w:val="none" w:sz="0" w:space="0" w:color="auto"/>
                <w:bottom w:val="none" w:sz="0" w:space="0" w:color="auto"/>
                <w:right w:val="none" w:sz="0" w:space="0" w:color="auto"/>
              </w:divBdr>
              <w:divsChild>
                <w:div w:id="2261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40">
          <w:marLeft w:val="0"/>
          <w:marRight w:val="0"/>
          <w:marTop w:val="0"/>
          <w:marBottom w:val="0"/>
          <w:divBdr>
            <w:top w:val="none" w:sz="0" w:space="0" w:color="auto"/>
            <w:left w:val="none" w:sz="0" w:space="0" w:color="auto"/>
            <w:bottom w:val="none" w:sz="0" w:space="0" w:color="auto"/>
            <w:right w:val="none" w:sz="0" w:space="0" w:color="auto"/>
          </w:divBdr>
        </w:div>
        <w:div w:id="1523203675">
          <w:marLeft w:val="0"/>
          <w:marRight w:val="0"/>
          <w:marTop w:val="0"/>
          <w:marBottom w:val="0"/>
          <w:divBdr>
            <w:top w:val="none" w:sz="0" w:space="0" w:color="auto"/>
            <w:left w:val="none" w:sz="0" w:space="0" w:color="auto"/>
            <w:bottom w:val="none" w:sz="0" w:space="0" w:color="auto"/>
            <w:right w:val="none" w:sz="0" w:space="0" w:color="auto"/>
          </w:divBdr>
        </w:div>
        <w:div w:id="873542153">
          <w:marLeft w:val="0"/>
          <w:marRight w:val="0"/>
          <w:marTop w:val="0"/>
          <w:marBottom w:val="0"/>
          <w:divBdr>
            <w:top w:val="none" w:sz="0" w:space="0" w:color="auto"/>
            <w:left w:val="none" w:sz="0" w:space="0" w:color="auto"/>
            <w:bottom w:val="none" w:sz="0" w:space="0" w:color="auto"/>
            <w:right w:val="none" w:sz="0" w:space="0" w:color="auto"/>
          </w:divBdr>
        </w:div>
        <w:div w:id="1787845882">
          <w:marLeft w:val="0"/>
          <w:marRight w:val="0"/>
          <w:marTop w:val="0"/>
          <w:marBottom w:val="0"/>
          <w:divBdr>
            <w:top w:val="none" w:sz="0" w:space="0" w:color="auto"/>
            <w:left w:val="none" w:sz="0" w:space="0" w:color="auto"/>
            <w:bottom w:val="none" w:sz="0" w:space="0" w:color="auto"/>
            <w:right w:val="none" w:sz="0" w:space="0" w:color="auto"/>
          </w:divBdr>
        </w:div>
        <w:div w:id="1592425178">
          <w:marLeft w:val="0"/>
          <w:marRight w:val="0"/>
          <w:marTop w:val="0"/>
          <w:marBottom w:val="0"/>
          <w:divBdr>
            <w:top w:val="none" w:sz="0" w:space="0" w:color="auto"/>
            <w:left w:val="none" w:sz="0" w:space="0" w:color="auto"/>
            <w:bottom w:val="none" w:sz="0" w:space="0" w:color="auto"/>
            <w:right w:val="none" w:sz="0" w:space="0" w:color="auto"/>
          </w:divBdr>
        </w:div>
        <w:div w:id="904141089">
          <w:marLeft w:val="0"/>
          <w:marRight w:val="0"/>
          <w:marTop w:val="0"/>
          <w:marBottom w:val="0"/>
          <w:divBdr>
            <w:top w:val="none" w:sz="0" w:space="0" w:color="auto"/>
            <w:left w:val="none" w:sz="0" w:space="0" w:color="auto"/>
            <w:bottom w:val="none" w:sz="0" w:space="0" w:color="auto"/>
            <w:right w:val="none" w:sz="0" w:space="0" w:color="auto"/>
          </w:divBdr>
        </w:div>
        <w:div w:id="995769361">
          <w:marLeft w:val="0"/>
          <w:marRight w:val="0"/>
          <w:marTop w:val="0"/>
          <w:marBottom w:val="0"/>
          <w:divBdr>
            <w:top w:val="none" w:sz="0" w:space="0" w:color="auto"/>
            <w:left w:val="none" w:sz="0" w:space="0" w:color="auto"/>
            <w:bottom w:val="none" w:sz="0" w:space="0" w:color="auto"/>
            <w:right w:val="none" w:sz="0" w:space="0" w:color="auto"/>
          </w:divBdr>
        </w:div>
        <w:div w:id="616181114">
          <w:marLeft w:val="0"/>
          <w:marRight w:val="0"/>
          <w:marTop w:val="0"/>
          <w:marBottom w:val="0"/>
          <w:divBdr>
            <w:top w:val="none" w:sz="0" w:space="0" w:color="auto"/>
            <w:left w:val="none" w:sz="0" w:space="0" w:color="auto"/>
            <w:bottom w:val="none" w:sz="0" w:space="0" w:color="auto"/>
            <w:right w:val="none" w:sz="0" w:space="0" w:color="auto"/>
          </w:divBdr>
        </w:div>
        <w:div w:id="704909430">
          <w:marLeft w:val="0"/>
          <w:marRight w:val="0"/>
          <w:marTop w:val="0"/>
          <w:marBottom w:val="0"/>
          <w:divBdr>
            <w:top w:val="none" w:sz="0" w:space="0" w:color="auto"/>
            <w:left w:val="none" w:sz="0" w:space="0" w:color="auto"/>
            <w:bottom w:val="none" w:sz="0" w:space="0" w:color="auto"/>
            <w:right w:val="none" w:sz="0" w:space="0" w:color="auto"/>
          </w:divBdr>
        </w:div>
        <w:div w:id="1998146297">
          <w:marLeft w:val="0"/>
          <w:marRight w:val="0"/>
          <w:marTop w:val="0"/>
          <w:marBottom w:val="0"/>
          <w:divBdr>
            <w:top w:val="none" w:sz="0" w:space="0" w:color="auto"/>
            <w:left w:val="none" w:sz="0" w:space="0" w:color="auto"/>
            <w:bottom w:val="none" w:sz="0" w:space="0" w:color="auto"/>
            <w:right w:val="none" w:sz="0" w:space="0" w:color="auto"/>
          </w:divBdr>
        </w:div>
        <w:div w:id="1441341253">
          <w:marLeft w:val="0"/>
          <w:marRight w:val="0"/>
          <w:marTop w:val="0"/>
          <w:marBottom w:val="0"/>
          <w:divBdr>
            <w:top w:val="none" w:sz="0" w:space="0" w:color="auto"/>
            <w:left w:val="none" w:sz="0" w:space="0" w:color="auto"/>
            <w:bottom w:val="none" w:sz="0" w:space="0" w:color="auto"/>
            <w:right w:val="none" w:sz="0" w:space="0" w:color="auto"/>
          </w:divBdr>
        </w:div>
        <w:div w:id="473957758">
          <w:marLeft w:val="0"/>
          <w:marRight w:val="0"/>
          <w:marTop w:val="0"/>
          <w:marBottom w:val="0"/>
          <w:divBdr>
            <w:top w:val="none" w:sz="0" w:space="0" w:color="auto"/>
            <w:left w:val="none" w:sz="0" w:space="0" w:color="auto"/>
            <w:bottom w:val="none" w:sz="0" w:space="0" w:color="auto"/>
            <w:right w:val="none" w:sz="0" w:space="0" w:color="auto"/>
          </w:divBdr>
        </w:div>
        <w:div w:id="1169520414">
          <w:marLeft w:val="-75"/>
          <w:marRight w:val="0"/>
          <w:marTop w:val="30"/>
          <w:marBottom w:val="30"/>
          <w:divBdr>
            <w:top w:val="none" w:sz="0" w:space="0" w:color="auto"/>
            <w:left w:val="none" w:sz="0" w:space="0" w:color="auto"/>
            <w:bottom w:val="none" w:sz="0" w:space="0" w:color="auto"/>
            <w:right w:val="none" w:sz="0" w:space="0" w:color="auto"/>
          </w:divBdr>
          <w:divsChild>
            <w:div w:id="1660842870">
              <w:marLeft w:val="0"/>
              <w:marRight w:val="0"/>
              <w:marTop w:val="0"/>
              <w:marBottom w:val="0"/>
              <w:divBdr>
                <w:top w:val="none" w:sz="0" w:space="0" w:color="auto"/>
                <w:left w:val="none" w:sz="0" w:space="0" w:color="auto"/>
                <w:bottom w:val="none" w:sz="0" w:space="0" w:color="auto"/>
                <w:right w:val="none" w:sz="0" w:space="0" w:color="auto"/>
              </w:divBdr>
              <w:divsChild>
                <w:div w:id="837617193">
                  <w:marLeft w:val="0"/>
                  <w:marRight w:val="0"/>
                  <w:marTop w:val="0"/>
                  <w:marBottom w:val="0"/>
                  <w:divBdr>
                    <w:top w:val="none" w:sz="0" w:space="0" w:color="auto"/>
                    <w:left w:val="none" w:sz="0" w:space="0" w:color="auto"/>
                    <w:bottom w:val="none" w:sz="0" w:space="0" w:color="auto"/>
                    <w:right w:val="none" w:sz="0" w:space="0" w:color="auto"/>
                  </w:divBdr>
                </w:div>
              </w:divsChild>
            </w:div>
            <w:div w:id="445851491">
              <w:marLeft w:val="0"/>
              <w:marRight w:val="0"/>
              <w:marTop w:val="0"/>
              <w:marBottom w:val="0"/>
              <w:divBdr>
                <w:top w:val="none" w:sz="0" w:space="0" w:color="auto"/>
                <w:left w:val="none" w:sz="0" w:space="0" w:color="auto"/>
                <w:bottom w:val="none" w:sz="0" w:space="0" w:color="auto"/>
                <w:right w:val="none" w:sz="0" w:space="0" w:color="auto"/>
              </w:divBdr>
              <w:divsChild>
                <w:div w:id="838350365">
                  <w:marLeft w:val="0"/>
                  <w:marRight w:val="0"/>
                  <w:marTop w:val="0"/>
                  <w:marBottom w:val="0"/>
                  <w:divBdr>
                    <w:top w:val="none" w:sz="0" w:space="0" w:color="auto"/>
                    <w:left w:val="none" w:sz="0" w:space="0" w:color="auto"/>
                    <w:bottom w:val="none" w:sz="0" w:space="0" w:color="auto"/>
                    <w:right w:val="none" w:sz="0" w:space="0" w:color="auto"/>
                  </w:divBdr>
                </w:div>
              </w:divsChild>
            </w:div>
            <w:div w:id="1603297059">
              <w:marLeft w:val="0"/>
              <w:marRight w:val="0"/>
              <w:marTop w:val="0"/>
              <w:marBottom w:val="0"/>
              <w:divBdr>
                <w:top w:val="none" w:sz="0" w:space="0" w:color="auto"/>
                <w:left w:val="none" w:sz="0" w:space="0" w:color="auto"/>
                <w:bottom w:val="none" w:sz="0" w:space="0" w:color="auto"/>
                <w:right w:val="none" w:sz="0" w:space="0" w:color="auto"/>
              </w:divBdr>
              <w:divsChild>
                <w:div w:id="1112826289">
                  <w:marLeft w:val="0"/>
                  <w:marRight w:val="0"/>
                  <w:marTop w:val="0"/>
                  <w:marBottom w:val="0"/>
                  <w:divBdr>
                    <w:top w:val="none" w:sz="0" w:space="0" w:color="auto"/>
                    <w:left w:val="none" w:sz="0" w:space="0" w:color="auto"/>
                    <w:bottom w:val="none" w:sz="0" w:space="0" w:color="auto"/>
                    <w:right w:val="none" w:sz="0" w:space="0" w:color="auto"/>
                  </w:divBdr>
                </w:div>
              </w:divsChild>
            </w:div>
            <w:div w:id="488442638">
              <w:marLeft w:val="0"/>
              <w:marRight w:val="0"/>
              <w:marTop w:val="0"/>
              <w:marBottom w:val="0"/>
              <w:divBdr>
                <w:top w:val="none" w:sz="0" w:space="0" w:color="auto"/>
                <w:left w:val="none" w:sz="0" w:space="0" w:color="auto"/>
                <w:bottom w:val="none" w:sz="0" w:space="0" w:color="auto"/>
                <w:right w:val="none" w:sz="0" w:space="0" w:color="auto"/>
              </w:divBdr>
              <w:divsChild>
                <w:div w:id="426079945">
                  <w:marLeft w:val="0"/>
                  <w:marRight w:val="0"/>
                  <w:marTop w:val="0"/>
                  <w:marBottom w:val="0"/>
                  <w:divBdr>
                    <w:top w:val="none" w:sz="0" w:space="0" w:color="auto"/>
                    <w:left w:val="none" w:sz="0" w:space="0" w:color="auto"/>
                    <w:bottom w:val="none" w:sz="0" w:space="0" w:color="auto"/>
                    <w:right w:val="none" w:sz="0" w:space="0" w:color="auto"/>
                  </w:divBdr>
                </w:div>
              </w:divsChild>
            </w:div>
            <w:div w:id="2136676812">
              <w:marLeft w:val="0"/>
              <w:marRight w:val="0"/>
              <w:marTop w:val="0"/>
              <w:marBottom w:val="0"/>
              <w:divBdr>
                <w:top w:val="none" w:sz="0" w:space="0" w:color="auto"/>
                <w:left w:val="none" w:sz="0" w:space="0" w:color="auto"/>
                <w:bottom w:val="none" w:sz="0" w:space="0" w:color="auto"/>
                <w:right w:val="none" w:sz="0" w:space="0" w:color="auto"/>
              </w:divBdr>
              <w:divsChild>
                <w:div w:id="960307402">
                  <w:marLeft w:val="0"/>
                  <w:marRight w:val="0"/>
                  <w:marTop w:val="0"/>
                  <w:marBottom w:val="0"/>
                  <w:divBdr>
                    <w:top w:val="none" w:sz="0" w:space="0" w:color="auto"/>
                    <w:left w:val="none" w:sz="0" w:space="0" w:color="auto"/>
                    <w:bottom w:val="none" w:sz="0" w:space="0" w:color="auto"/>
                    <w:right w:val="none" w:sz="0" w:space="0" w:color="auto"/>
                  </w:divBdr>
                </w:div>
              </w:divsChild>
            </w:div>
            <w:div w:id="1387215383">
              <w:marLeft w:val="0"/>
              <w:marRight w:val="0"/>
              <w:marTop w:val="0"/>
              <w:marBottom w:val="0"/>
              <w:divBdr>
                <w:top w:val="none" w:sz="0" w:space="0" w:color="auto"/>
                <w:left w:val="none" w:sz="0" w:space="0" w:color="auto"/>
                <w:bottom w:val="none" w:sz="0" w:space="0" w:color="auto"/>
                <w:right w:val="none" w:sz="0" w:space="0" w:color="auto"/>
              </w:divBdr>
              <w:divsChild>
                <w:div w:id="682785396">
                  <w:marLeft w:val="0"/>
                  <w:marRight w:val="0"/>
                  <w:marTop w:val="0"/>
                  <w:marBottom w:val="0"/>
                  <w:divBdr>
                    <w:top w:val="none" w:sz="0" w:space="0" w:color="auto"/>
                    <w:left w:val="none" w:sz="0" w:space="0" w:color="auto"/>
                    <w:bottom w:val="none" w:sz="0" w:space="0" w:color="auto"/>
                    <w:right w:val="none" w:sz="0" w:space="0" w:color="auto"/>
                  </w:divBdr>
                </w:div>
              </w:divsChild>
            </w:div>
            <w:div w:id="166140107">
              <w:marLeft w:val="0"/>
              <w:marRight w:val="0"/>
              <w:marTop w:val="0"/>
              <w:marBottom w:val="0"/>
              <w:divBdr>
                <w:top w:val="none" w:sz="0" w:space="0" w:color="auto"/>
                <w:left w:val="none" w:sz="0" w:space="0" w:color="auto"/>
                <w:bottom w:val="none" w:sz="0" w:space="0" w:color="auto"/>
                <w:right w:val="none" w:sz="0" w:space="0" w:color="auto"/>
              </w:divBdr>
              <w:divsChild>
                <w:div w:id="1134559519">
                  <w:marLeft w:val="0"/>
                  <w:marRight w:val="0"/>
                  <w:marTop w:val="0"/>
                  <w:marBottom w:val="0"/>
                  <w:divBdr>
                    <w:top w:val="none" w:sz="0" w:space="0" w:color="auto"/>
                    <w:left w:val="none" w:sz="0" w:space="0" w:color="auto"/>
                    <w:bottom w:val="none" w:sz="0" w:space="0" w:color="auto"/>
                    <w:right w:val="none" w:sz="0" w:space="0" w:color="auto"/>
                  </w:divBdr>
                </w:div>
              </w:divsChild>
            </w:div>
            <w:div w:id="1397704647">
              <w:marLeft w:val="0"/>
              <w:marRight w:val="0"/>
              <w:marTop w:val="0"/>
              <w:marBottom w:val="0"/>
              <w:divBdr>
                <w:top w:val="none" w:sz="0" w:space="0" w:color="auto"/>
                <w:left w:val="none" w:sz="0" w:space="0" w:color="auto"/>
                <w:bottom w:val="none" w:sz="0" w:space="0" w:color="auto"/>
                <w:right w:val="none" w:sz="0" w:space="0" w:color="auto"/>
              </w:divBdr>
              <w:divsChild>
                <w:div w:id="1271662588">
                  <w:marLeft w:val="0"/>
                  <w:marRight w:val="0"/>
                  <w:marTop w:val="0"/>
                  <w:marBottom w:val="0"/>
                  <w:divBdr>
                    <w:top w:val="none" w:sz="0" w:space="0" w:color="auto"/>
                    <w:left w:val="none" w:sz="0" w:space="0" w:color="auto"/>
                    <w:bottom w:val="none" w:sz="0" w:space="0" w:color="auto"/>
                    <w:right w:val="none" w:sz="0" w:space="0" w:color="auto"/>
                  </w:divBdr>
                </w:div>
              </w:divsChild>
            </w:div>
            <w:div w:id="2077049526">
              <w:marLeft w:val="0"/>
              <w:marRight w:val="0"/>
              <w:marTop w:val="0"/>
              <w:marBottom w:val="0"/>
              <w:divBdr>
                <w:top w:val="none" w:sz="0" w:space="0" w:color="auto"/>
                <w:left w:val="none" w:sz="0" w:space="0" w:color="auto"/>
                <w:bottom w:val="none" w:sz="0" w:space="0" w:color="auto"/>
                <w:right w:val="none" w:sz="0" w:space="0" w:color="auto"/>
              </w:divBdr>
              <w:divsChild>
                <w:div w:id="2340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4032">
          <w:marLeft w:val="0"/>
          <w:marRight w:val="0"/>
          <w:marTop w:val="0"/>
          <w:marBottom w:val="0"/>
          <w:divBdr>
            <w:top w:val="none" w:sz="0" w:space="0" w:color="auto"/>
            <w:left w:val="none" w:sz="0" w:space="0" w:color="auto"/>
            <w:bottom w:val="none" w:sz="0" w:space="0" w:color="auto"/>
            <w:right w:val="none" w:sz="0" w:space="0" w:color="auto"/>
          </w:divBdr>
        </w:div>
        <w:div w:id="917522420">
          <w:marLeft w:val="0"/>
          <w:marRight w:val="0"/>
          <w:marTop w:val="0"/>
          <w:marBottom w:val="0"/>
          <w:divBdr>
            <w:top w:val="none" w:sz="0" w:space="0" w:color="auto"/>
            <w:left w:val="none" w:sz="0" w:space="0" w:color="auto"/>
            <w:bottom w:val="none" w:sz="0" w:space="0" w:color="auto"/>
            <w:right w:val="none" w:sz="0" w:space="0" w:color="auto"/>
          </w:divBdr>
        </w:div>
        <w:div w:id="908807019">
          <w:marLeft w:val="0"/>
          <w:marRight w:val="0"/>
          <w:marTop w:val="0"/>
          <w:marBottom w:val="0"/>
          <w:divBdr>
            <w:top w:val="none" w:sz="0" w:space="0" w:color="auto"/>
            <w:left w:val="none" w:sz="0" w:space="0" w:color="auto"/>
            <w:bottom w:val="none" w:sz="0" w:space="0" w:color="auto"/>
            <w:right w:val="none" w:sz="0" w:space="0" w:color="auto"/>
          </w:divBdr>
        </w:div>
        <w:div w:id="669869292">
          <w:marLeft w:val="0"/>
          <w:marRight w:val="0"/>
          <w:marTop w:val="0"/>
          <w:marBottom w:val="0"/>
          <w:divBdr>
            <w:top w:val="none" w:sz="0" w:space="0" w:color="auto"/>
            <w:left w:val="none" w:sz="0" w:space="0" w:color="auto"/>
            <w:bottom w:val="none" w:sz="0" w:space="0" w:color="auto"/>
            <w:right w:val="none" w:sz="0" w:space="0" w:color="auto"/>
          </w:divBdr>
        </w:div>
        <w:div w:id="1447768440">
          <w:marLeft w:val="0"/>
          <w:marRight w:val="0"/>
          <w:marTop w:val="0"/>
          <w:marBottom w:val="0"/>
          <w:divBdr>
            <w:top w:val="none" w:sz="0" w:space="0" w:color="auto"/>
            <w:left w:val="none" w:sz="0" w:space="0" w:color="auto"/>
            <w:bottom w:val="none" w:sz="0" w:space="0" w:color="auto"/>
            <w:right w:val="none" w:sz="0" w:space="0" w:color="auto"/>
          </w:divBdr>
        </w:div>
        <w:div w:id="822622614">
          <w:marLeft w:val="0"/>
          <w:marRight w:val="0"/>
          <w:marTop w:val="0"/>
          <w:marBottom w:val="0"/>
          <w:divBdr>
            <w:top w:val="none" w:sz="0" w:space="0" w:color="auto"/>
            <w:left w:val="none" w:sz="0" w:space="0" w:color="auto"/>
            <w:bottom w:val="none" w:sz="0" w:space="0" w:color="auto"/>
            <w:right w:val="none" w:sz="0" w:space="0" w:color="auto"/>
          </w:divBdr>
        </w:div>
        <w:div w:id="458883415">
          <w:marLeft w:val="0"/>
          <w:marRight w:val="0"/>
          <w:marTop w:val="0"/>
          <w:marBottom w:val="0"/>
          <w:divBdr>
            <w:top w:val="none" w:sz="0" w:space="0" w:color="auto"/>
            <w:left w:val="none" w:sz="0" w:space="0" w:color="auto"/>
            <w:bottom w:val="none" w:sz="0" w:space="0" w:color="auto"/>
            <w:right w:val="none" w:sz="0" w:space="0" w:color="auto"/>
          </w:divBdr>
        </w:div>
        <w:div w:id="412704114">
          <w:marLeft w:val="0"/>
          <w:marRight w:val="0"/>
          <w:marTop w:val="0"/>
          <w:marBottom w:val="0"/>
          <w:divBdr>
            <w:top w:val="none" w:sz="0" w:space="0" w:color="auto"/>
            <w:left w:val="none" w:sz="0" w:space="0" w:color="auto"/>
            <w:bottom w:val="none" w:sz="0" w:space="0" w:color="auto"/>
            <w:right w:val="none" w:sz="0" w:space="0" w:color="auto"/>
          </w:divBdr>
        </w:div>
        <w:div w:id="1259679524">
          <w:marLeft w:val="0"/>
          <w:marRight w:val="0"/>
          <w:marTop w:val="0"/>
          <w:marBottom w:val="0"/>
          <w:divBdr>
            <w:top w:val="none" w:sz="0" w:space="0" w:color="auto"/>
            <w:left w:val="none" w:sz="0" w:space="0" w:color="auto"/>
            <w:bottom w:val="none" w:sz="0" w:space="0" w:color="auto"/>
            <w:right w:val="none" w:sz="0" w:space="0" w:color="auto"/>
          </w:divBdr>
        </w:div>
      </w:divsChild>
    </w:div>
    <w:div w:id="293565455">
      <w:bodyDiv w:val="1"/>
      <w:marLeft w:val="0"/>
      <w:marRight w:val="0"/>
      <w:marTop w:val="0"/>
      <w:marBottom w:val="0"/>
      <w:divBdr>
        <w:top w:val="none" w:sz="0" w:space="0" w:color="auto"/>
        <w:left w:val="none" w:sz="0" w:space="0" w:color="auto"/>
        <w:bottom w:val="none" w:sz="0" w:space="0" w:color="auto"/>
        <w:right w:val="none" w:sz="0" w:space="0" w:color="auto"/>
      </w:divBdr>
    </w:div>
    <w:div w:id="333413646">
      <w:bodyDiv w:val="1"/>
      <w:marLeft w:val="0"/>
      <w:marRight w:val="0"/>
      <w:marTop w:val="0"/>
      <w:marBottom w:val="0"/>
      <w:divBdr>
        <w:top w:val="none" w:sz="0" w:space="0" w:color="auto"/>
        <w:left w:val="none" w:sz="0" w:space="0" w:color="auto"/>
        <w:bottom w:val="none" w:sz="0" w:space="0" w:color="auto"/>
        <w:right w:val="none" w:sz="0" w:space="0" w:color="auto"/>
      </w:divBdr>
    </w:div>
    <w:div w:id="355884629">
      <w:bodyDiv w:val="1"/>
      <w:marLeft w:val="0"/>
      <w:marRight w:val="0"/>
      <w:marTop w:val="0"/>
      <w:marBottom w:val="0"/>
      <w:divBdr>
        <w:top w:val="none" w:sz="0" w:space="0" w:color="auto"/>
        <w:left w:val="none" w:sz="0" w:space="0" w:color="auto"/>
        <w:bottom w:val="none" w:sz="0" w:space="0" w:color="auto"/>
        <w:right w:val="none" w:sz="0" w:space="0" w:color="auto"/>
      </w:divBdr>
    </w:div>
    <w:div w:id="369647107">
      <w:bodyDiv w:val="1"/>
      <w:marLeft w:val="0"/>
      <w:marRight w:val="0"/>
      <w:marTop w:val="0"/>
      <w:marBottom w:val="0"/>
      <w:divBdr>
        <w:top w:val="none" w:sz="0" w:space="0" w:color="auto"/>
        <w:left w:val="none" w:sz="0" w:space="0" w:color="auto"/>
        <w:bottom w:val="none" w:sz="0" w:space="0" w:color="auto"/>
        <w:right w:val="none" w:sz="0" w:space="0" w:color="auto"/>
      </w:divBdr>
    </w:div>
    <w:div w:id="415445507">
      <w:bodyDiv w:val="1"/>
      <w:marLeft w:val="0"/>
      <w:marRight w:val="0"/>
      <w:marTop w:val="0"/>
      <w:marBottom w:val="0"/>
      <w:divBdr>
        <w:top w:val="none" w:sz="0" w:space="0" w:color="auto"/>
        <w:left w:val="none" w:sz="0" w:space="0" w:color="auto"/>
        <w:bottom w:val="none" w:sz="0" w:space="0" w:color="auto"/>
        <w:right w:val="none" w:sz="0" w:space="0" w:color="auto"/>
      </w:divBdr>
    </w:div>
    <w:div w:id="437221834">
      <w:bodyDiv w:val="1"/>
      <w:marLeft w:val="0"/>
      <w:marRight w:val="0"/>
      <w:marTop w:val="0"/>
      <w:marBottom w:val="0"/>
      <w:divBdr>
        <w:top w:val="none" w:sz="0" w:space="0" w:color="auto"/>
        <w:left w:val="none" w:sz="0" w:space="0" w:color="auto"/>
        <w:bottom w:val="none" w:sz="0" w:space="0" w:color="auto"/>
        <w:right w:val="none" w:sz="0" w:space="0" w:color="auto"/>
      </w:divBdr>
    </w:div>
    <w:div w:id="508526533">
      <w:bodyDiv w:val="1"/>
      <w:marLeft w:val="0"/>
      <w:marRight w:val="0"/>
      <w:marTop w:val="0"/>
      <w:marBottom w:val="0"/>
      <w:divBdr>
        <w:top w:val="none" w:sz="0" w:space="0" w:color="auto"/>
        <w:left w:val="none" w:sz="0" w:space="0" w:color="auto"/>
        <w:bottom w:val="none" w:sz="0" w:space="0" w:color="auto"/>
        <w:right w:val="none" w:sz="0" w:space="0" w:color="auto"/>
      </w:divBdr>
    </w:div>
    <w:div w:id="512107656">
      <w:bodyDiv w:val="1"/>
      <w:marLeft w:val="0"/>
      <w:marRight w:val="0"/>
      <w:marTop w:val="0"/>
      <w:marBottom w:val="0"/>
      <w:divBdr>
        <w:top w:val="none" w:sz="0" w:space="0" w:color="auto"/>
        <w:left w:val="none" w:sz="0" w:space="0" w:color="auto"/>
        <w:bottom w:val="none" w:sz="0" w:space="0" w:color="auto"/>
        <w:right w:val="none" w:sz="0" w:space="0" w:color="auto"/>
      </w:divBdr>
    </w:div>
    <w:div w:id="618685097">
      <w:bodyDiv w:val="1"/>
      <w:marLeft w:val="0"/>
      <w:marRight w:val="0"/>
      <w:marTop w:val="0"/>
      <w:marBottom w:val="0"/>
      <w:divBdr>
        <w:top w:val="none" w:sz="0" w:space="0" w:color="auto"/>
        <w:left w:val="none" w:sz="0" w:space="0" w:color="auto"/>
        <w:bottom w:val="none" w:sz="0" w:space="0" w:color="auto"/>
        <w:right w:val="none" w:sz="0" w:space="0" w:color="auto"/>
      </w:divBdr>
    </w:div>
    <w:div w:id="895168513">
      <w:bodyDiv w:val="1"/>
      <w:marLeft w:val="0"/>
      <w:marRight w:val="0"/>
      <w:marTop w:val="0"/>
      <w:marBottom w:val="0"/>
      <w:divBdr>
        <w:top w:val="none" w:sz="0" w:space="0" w:color="auto"/>
        <w:left w:val="none" w:sz="0" w:space="0" w:color="auto"/>
        <w:bottom w:val="none" w:sz="0" w:space="0" w:color="auto"/>
        <w:right w:val="none" w:sz="0" w:space="0" w:color="auto"/>
      </w:divBdr>
    </w:div>
    <w:div w:id="1020661483">
      <w:bodyDiv w:val="1"/>
      <w:marLeft w:val="0"/>
      <w:marRight w:val="0"/>
      <w:marTop w:val="0"/>
      <w:marBottom w:val="0"/>
      <w:divBdr>
        <w:top w:val="none" w:sz="0" w:space="0" w:color="auto"/>
        <w:left w:val="none" w:sz="0" w:space="0" w:color="auto"/>
        <w:bottom w:val="none" w:sz="0" w:space="0" w:color="auto"/>
        <w:right w:val="none" w:sz="0" w:space="0" w:color="auto"/>
      </w:divBdr>
    </w:div>
    <w:div w:id="1043096212">
      <w:bodyDiv w:val="1"/>
      <w:marLeft w:val="0"/>
      <w:marRight w:val="0"/>
      <w:marTop w:val="0"/>
      <w:marBottom w:val="0"/>
      <w:divBdr>
        <w:top w:val="none" w:sz="0" w:space="0" w:color="auto"/>
        <w:left w:val="none" w:sz="0" w:space="0" w:color="auto"/>
        <w:bottom w:val="none" w:sz="0" w:space="0" w:color="auto"/>
        <w:right w:val="none" w:sz="0" w:space="0" w:color="auto"/>
      </w:divBdr>
    </w:div>
    <w:div w:id="1155948949">
      <w:bodyDiv w:val="1"/>
      <w:marLeft w:val="0"/>
      <w:marRight w:val="0"/>
      <w:marTop w:val="0"/>
      <w:marBottom w:val="0"/>
      <w:divBdr>
        <w:top w:val="none" w:sz="0" w:space="0" w:color="auto"/>
        <w:left w:val="none" w:sz="0" w:space="0" w:color="auto"/>
        <w:bottom w:val="none" w:sz="0" w:space="0" w:color="auto"/>
        <w:right w:val="none" w:sz="0" w:space="0" w:color="auto"/>
      </w:divBdr>
    </w:div>
    <w:div w:id="1160268191">
      <w:bodyDiv w:val="1"/>
      <w:marLeft w:val="0"/>
      <w:marRight w:val="0"/>
      <w:marTop w:val="0"/>
      <w:marBottom w:val="0"/>
      <w:divBdr>
        <w:top w:val="none" w:sz="0" w:space="0" w:color="auto"/>
        <w:left w:val="none" w:sz="0" w:space="0" w:color="auto"/>
        <w:bottom w:val="none" w:sz="0" w:space="0" w:color="auto"/>
        <w:right w:val="none" w:sz="0" w:space="0" w:color="auto"/>
      </w:divBdr>
    </w:div>
    <w:div w:id="1194149859">
      <w:bodyDiv w:val="1"/>
      <w:marLeft w:val="0"/>
      <w:marRight w:val="0"/>
      <w:marTop w:val="0"/>
      <w:marBottom w:val="0"/>
      <w:divBdr>
        <w:top w:val="none" w:sz="0" w:space="0" w:color="auto"/>
        <w:left w:val="none" w:sz="0" w:space="0" w:color="auto"/>
        <w:bottom w:val="none" w:sz="0" w:space="0" w:color="auto"/>
        <w:right w:val="none" w:sz="0" w:space="0" w:color="auto"/>
      </w:divBdr>
    </w:div>
    <w:div w:id="1205020587">
      <w:bodyDiv w:val="1"/>
      <w:marLeft w:val="0"/>
      <w:marRight w:val="0"/>
      <w:marTop w:val="0"/>
      <w:marBottom w:val="0"/>
      <w:divBdr>
        <w:top w:val="none" w:sz="0" w:space="0" w:color="auto"/>
        <w:left w:val="none" w:sz="0" w:space="0" w:color="auto"/>
        <w:bottom w:val="none" w:sz="0" w:space="0" w:color="auto"/>
        <w:right w:val="none" w:sz="0" w:space="0" w:color="auto"/>
      </w:divBdr>
    </w:div>
    <w:div w:id="1253080271">
      <w:bodyDiv w:val="1"/>
      <w:marLeft w:val="0"/>
      <w:marRight w:val="0"/>
      <w:marTop w:val="0"/>
      <w:marBottom w:val="0"/>
      <w:divBdr>
        <w:top w:val="none" w:sz="0" w:space="0" w:color="auto"/>
        <w:left w:val="none" w:sz="0" w:space="0" w:color="auto"/>
        <w:bottom w:val="none" w:sz="0" w:space="0" w:color="auto"/>
        <w:right w:val="none" w:sz="0" w:space="0" w:color="auto"/>
      </w:divBdr>
    </w:div>
    <w:div w:id="1255356117">
      <w:bodyDiv w:val="1"/>
      <w:marLeft w:val="0"/>
      <w:marRight w:val="0"/>
      <w:marTop w:val="0"/>
      <w:marBottom w:val="0"/>
      <w:divBdr>
        <w:top w:val="none" w:sz="0" w:space="0" w:color="auto"/>
        <w:left w:val="none" w:sz="0" w:space="0" w:color="auto"/>
        <w:bottom w:val="none" w:sz="0" w:space="0" w:color="auto"/>
        <w:right w:val="none" w:sz="0" w:space="0" w:color="auto"/>
      </w:divBdr>
    </w:div>
    <w:div w:id="1426220703">
      <w:bodyDiv w:val="1"/>
      <w:marLeft w:val="0"/>
      <w:marRight w:val="0"/>
      <w:marTop w:val="0"/>
      <w:marBottom w:val="0"/>
      <w:divBdr>
        <w:top w:val="none" w:sz="0" w:space="0" w:color="auto"/>
        <w:left w:val="none" w:sz="0" w:space="0" w:color="auto"/>
        <w:bottom w:val="none" w:sz="0" w:space="0" w:color="auto"/>
        <w:right w:val="none" w:sz="0" w:space="0" w:color="auto"/>
      </w:divBdr>
    </w:div>
    <w:div w:id="1449272479">
      <w:bodyDiv w:val="1"/>
      <w:marLeft w:val="0"/>
      <w:marRight w:val="0"/>
      <w:marTop w:val="0"/>
      <w:marBottom w:val="0"/>
      <w:divBdr>
        <w:top w:val="none" w:sz="0" w:space="0" w:color="auto"/>
        <w:left w:val="none" w:sz="0" w:space="0" w:color="auto"/>
        <w:bottom w:val="none" w:sz="0" w:space="0" w:color="auto"/>
        <w:right w:val="none" w:sz="0" w:space="0" w:color="auto"/>
      </w:divBdr>
    </w:div>
    <w:div w:id="1475677531">
      <w:bodyDiv w:val="1"/>
      <w:marLeft w:val="0"/>
      <w:marRight w:val="0"/>
      <w:marTop w:val="0"/>
      <w:marBottom w:val="0"/>
      <w:divBdr>
        <w:top w:val="none" w:sz="0" w:space="0" w:color="auto"/>
        <w:left w:val="none" w:sz="0" w:space="0" w:color="auto"/>
        <w:bottom w:val="none" w:sz="0" w:space="0" w:color="auto"/>
        <w:right w:val="none" w:sz="0" w:space="0" w:color="auto"/>
      </w:divBdr>
    </w:div>
    <w:div w:id="1523518382">
      <w:bodyDiv w:val="1"/>
      <w:marLeft w:val="0"/>
      <w:marRight w:val="0"/>
      <w:marTop w:val="0"/>
      <w:marBottom w:val="0"/>
      <w:divBdr>
        <w:top w:val="none" w:sz="0" w:space="0" w:color="auto"/>
        <w:left w:val="none" w:sz="0" w:space="0" w:color="auto"/>
        <w:bottom w:val="none" w:sz="0" w:space="0" w:color="auto"/>
        <w:right w:val="none" w:sz="0" w:space="0" w:color="auto"/>
      </w:divBdr>
    </w:div>
    <w:div w:id="1637948453">
      <w:bodyDiv w:val="1"/>
      <w:marLeft w:val="0"/>
      <w:marRight w:val="0"/>
      <w:marTop w:val="0"/>
      <w:marBottom w:val="0"/>
      <w:divBdr>
        <w:top w:val="none" w:sz="0" w:space="0" w:color="auto"/>
        <w:left w:val="none" w:sz="0" w:space="0" w:color="auto"/>
        <w:bottom w:val="none" w:sz="0" w:space="0" w:color="auto"/>
        <w:right w:val="none" w:sz="0" w:space="0" w:color="auto"/>
      </w:divBdr>
    </w:div>
    <w:div w:id="1702391925">
      <w:bodyDiv w:val="1"/>
      <w:marLeft w:val="0"/>
      <w:marRight w:val="0"/>
      <w:marTop w:val="0"/>
      <w:marBottom w:val="0"/>
      <w:divBdr>
        <w:top w:val="none" w:sz="0" w:space="0" w:color="auto"/>
        <w:left w:val="none" w:sz="0" w:space="0" w:color="auto"/>
        <w:bottom w:val="none" w:sz="0" w:space="0" w:color="auto"/>
        <w:right w:val="none" w:sz="0" w:space="0" w:color="auto"/>
      </w:divBdr>
    </w:div>
    <w:div w:id="1713071793">
      <w:bodyDiv w:val="1"/>
      <w:marLeft w:val="0"/>
      <w:marRight w:val="0"/>
      <w:marTop w:val="0"/>
      <w:marBottom w:val="0"/>
      <w:divBdr>
        <w:top w:val="none" w:sz="0" w:space="0" w:color="auto"/>
        <w:left w:val="none" w:sz="0" w:space="0" w:color="auto"/>
        <w:bottom w:val="none" w:sz="0" w:space="0" w:color="auto"/>
        <w:right w:val="none" w:sz="0" w:space="0" w:color="auto"/>
      </w:divBdr>
    </w:div>
    <w:div w:id="1817068398">
      <w:bodyDiv w:val="1"/>
      <w:marLeft w:val="0"/>
      <w:marRight w:val="0"/>
      <w:marTop w:val="0"/>
      <w:marBottom w:val="0"/>
      <w:divBdr>
        <w:top w:val="none" w:sz="0" w:space="0" w:color="auto"/>
        <w:left w:val="none" w:sz="0" w:space="0" w:color="auto"/>
        <w:bottom w:val="none" w:sz="0" w:space="0" w:color="auto"/>
        <w:right w:val="none" w:sz="0" w:space="0" w:color="auto"/>
      </w:divBdr>
    </w:div>
    <w:div w:id="2057705270">
      <w:bodyDiv w:val="1"/>
      <w:marLeft w:val="0"/>
      <w:marRight w:val="0"/>
      <w:marTop w:val="0"/>
      <w:marBottom w:val="0"/>
      <w:divBdr>
        <w:top w:val="none" w:sz="0" w:space="0" w:color="auto"/>
        <w:left w:val="none" w:sz="0" w:space="0" w:color="auto"/>
        <w:bottom w:val="none" w:sz="0" w:space="0" w:color="auto"/>
        <w:right w:val="none" w:sz="0" w:space="0" w:color="auto"/>
      </w:divBdr>
    </w:div>
    <w:div w:id="2068868506">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arch/Therapeutic%20Goods%20$LB$Permissible%20Ingredients$RB$%20Determination" TargetMode="External"/><Relationship Id="rId21" Type="http://schemas.openxmlformats.org/officeDocument/2006/relationships/header" Target="header1.xml"/><Relationship Id="rId42" Type="http://schemas.openxmlformats.org/officeDocument/2006/relationships/hyperlink" Target="https://www.legislation.gov.au/Series/F2021L01888" TargetMode="External"/><Relationship Id="rId47" Type="http://schemas.openxmlformats.org/officeDocument/2006/relationships/hyperlink" Target="https://www.fda.gov/drugs/information-drug-class/fda-warns-consumers-about-homeopathic-teething-products" TargetMode="External"/><Relationship Id="rId63" Type="http://schemas.openxmlformats.org/officeDocument/2006/relationships/hyperlink" Target="https://health-products.canada.ca/dpd-bdpp/" TargetMode="External"/><Relationship Id="rId68" Type="http://schemas.openxmlformats.org/officeDocument/2006/relationships/hyperlink" Target="http://www.ebs.tga.gov.au" TargetMode="External"/><Relationship Id="rId84" Type="http://schemas.openxmlformats.org/officeDocument/2006/relationships/hyperlink" Target="https://www.escop.com/symphyti-radix-comfrey-root/" TargetMode="External"/><Relationship Id="rId89" Type="http://schemas.openxmlformats.org/officeDocument/2006/relationships/hyperlink" Target="https://www.tga.gov.au/products/medicines/find-information-about-medicine/prescribing-medicines-pregnancy-database" TargetMode="External"/><Relationship Id="rId7" Type="http://schemas.openxmlformats.org/officeDocument/2006/relationships/endnotes" Target="endnotes.xml"/><Relationship Id="rId71" Type="http://schemas.openxmlformats.org/officeDocument/2006/relationships/hyperlink" Target="https://compliance.health.gov.au/artg/" TargetMode="External"/><Relationship Id="rId92" Type="http://schemas.openxmlformats.org/officeDocument/2006/relationships/hyperlink" Target="https://portal.apvma.gov.au/pubcris" TargetMode="External"/><Relationship Id="rId2" Type="http://schemas.openxmlformats.org/officeDocument/2006/relationships/numbering" Target="numbering.xml"/><Relationship Id="rId29" Type="http://schemas.openxmlformats.org/officeDocument/2006/relationships/hyperlink" Target="https://apps.tga.gov.au/Prod/daen/daen-entry.aspx" TargetMode="External"/><Relationship Id="rId107" Type="http://schemas.openxmlformats.org/officeDocument/2006/relationships/theme" Target="theme/theme1.xml"/><Relationship Id="rId11" Type="http://schemas.openxmlformats.org/officeDocument/2006/relationships/hyperlink" Target="https://www.tga.gov.au/committee/advisory-committee-chemicals-scheduling-accs" TargetMode="External"/><Relationship Id="rId24" Type="http://schemas.openxmlformats.org/officeDocument/2006/relationships/hyperlink" Target="https://www.ebs.tga.gov.au/" TargetMode="External"/><Relationship Id="rId32" Type="http://schemas.openxmlformats.org/officeDocument/2006/relationships/hyperlink" Target="https://www.accessdata.fda.gov/scripts/cder/daf/" TargetMode="External"/><Relationship Id="rId37" Type="http://schemas.openxmlformats.org/officeDocument/2006/relationships/hyperlink" Target="https://www.tga.gov.au/news/safety-alerts/compounded-colic-preparations-containing-atropa-belladonna" TargetMode="External"/><Relationship Id="rId40" Type="http://schemas.openxmlformats.org/officeDocument/2006/relationships/hyperlink" Target="https://www.legislation.gov.au/Series/F2023L01369" TargetMode="External"/><Relationship Id="rId45" Type="http://schemas.openxmlformats.org/officeDocument/2006/relationships/hyperlink" Target="https://apvma.gov.au/node/10946" TargetMode="External"/><Relationship Id="rId53" Type="http://schemas.openxmlformats.org/officeDocument/2006/relationships/hyperlink" Target="file:///C:\Users\VARIHE\AppData\Roaming\Micro%20Focus\Offline%20Records\Offline%20Records%20(A7)\SCPS%20~%20GOODS%20REGULATION%20-%20Procedures\hpra.ie" TargetMode="External"/><Relationship Id="rId58" Type="http://schemas.openxmlformats.org/officeDocument/2006/relationships/hyperlink" Target="https://apps.tga.gov.au/Prod/daen/daen-entry.aspx" TargetMode="External"/><Relationship Id="rId66" Type="http://schemas.openxmlformats.org/officeDocument/2006/relationships/hyperlink" Target="https://www.hpra.ie/" TargetMode="External"/><Relationship Id="rId74" Type="http://schemas.openxmlformats.org/officeDocument/2006/relationships/hyperlink" Target="https://www.tga.gov.au/products/medicines/find-information-about-medicine/prescribing-medicines-pregnancy-database" TargetMode="External"/><Relationship Id="rId79" Type="http://schemas.openxmlformats.org/officeDocument/2006/relationships/hyperlink" Target="https://portal.apvma.gov.au/pubcris" TargetMode="External"/><Relationship Id="rId87" Type="http://schemas.openxmlformats.org/officeDocument/2006/relationships/hyperlink" Target="https://compliance.health.gov.au/artg/" TargetMode="External"/><Relationship Id="rId102"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www.nhmrc.gov.au/about-us/publications/nutrient-reference-values-australia-and-new-zealand-including-recommended-dietary-intakes" TargetMode="External"/><Relationship Id="rId82" Type="http://schemas.openxmlformats.org/officeDocument/2006/relationships/hyperlink" Target="https://iaspub.epa.gov/apex/pesticides/f?p=CHEMICALSEARCH:1:" TargetMode="External"/><Relationship Id="rId90" Type="http://schemas.openxmlformats.org/officeDocument/2006/relationships/hyperlink" Target="https://www.legislation.gov.au/Series/F2021L01888" TargetMode="External"/><Relationship Id="rId95" Type="http://schemas.openxmlformats.org/officeDocument/2006/relationships/hyperlink" Target="https://consultations.tga.gov.au/" TargetMode="External"/><Relationship Id="rId19" Type="http://schemas.openxmlformats.org/officeDocument/2006/relationships/hyperlink" Target="https://www.tga.gov.au/committee/advisory-committee-chemicals-scheduling-accs" TargetMode="External"/><Relationship Id="rId22" Type="http://schemas.openxmlformats.org/officeDocument/2006/relationships/footer" Target="footer1.xml"/><Relationship Id="rId27" Type="http://schemas.openxmlformats.org/officeDocument/2006/relationships/hyperlink" Target="https://www.tga.gov.au/prescribing-medicines-pregnancy-database" TargetMode="External"/><Relationship Id="rId30" Type="http://schemas.openxmlformats.org/officeDocument/2006/relationships/hyperlink" Target="https://portal.apvma.gov.au/pubcris" TargetMode="External"/><Relationship Id="rId35" Type="http://schemas.openxmlformats.org/officeDocument/2006/relationships/hyperlink" Target="https://echa.europa.eu/search-for-chemicals" TargetMode="External"/><Relationship Id="rId43" Type="http://schemas.openxmlformats.org/officeDocument/2006/relationships/hyperlink" Target="https://www.tga.gov.au/safety/safety/safety-monitoring-daen-database-adverse-event-notifications/database-adverse-event-notifications-daen" TargetMode="External"/><Relationship Id="rId48" Type="http://schemas.openxmlformats.org/officeDocument/2006/relationships/hyperlink" Target="https://www.fda.gov/drugs/information-drug-class/laboratory-analysis-homeopathic-teething-tablets" TargetMode="External"/><Relationship Id="rId56" Type="http://schemas.openxmlformats.org/officeDocument/2006/relationships/hyperlink" Target="https://www.tga.gov.au/products/medicines/find-information-about-medicine/prescribing-medicines-pregnancy-database" TargetMode="External"/><Relationship Id="rId64" Type="http://schemas.openxmlformats.org/officeDocument/2006/relationships/hyperlink" Target="https://www.medsafe.govt.nz/profs/class/classintro.asp" TargetMode="External"/><Relationship Id="rId69" Type="http://schemas.openxmlformats.org/officeDocument/2006/relationships/hyperlink" Target="http://www.ebs.tga.gov.au" TargetMode="External"/><Relationship Id="rId77" Type="http://schemas.openxmlformats.org/officeDocument/2006/relationships/hyperlink" Target="https://portal.apvma.gov.au/pubcris" TargetMode="External"/><Relationship Id="rId100" Type="http://schemas.openxmlformats.org/officeDocument/2006/relationships/header" Target="header3.xml"/><Relationship Id="rId105" Type="http://schemas.openxmlformats.org/officeDocument/2006/relationships/fontTable" Target="fontTable.xml"/><Relationship Id="rId8" Type="http://schemas.openxmlformats.org/officeDocument/2006/relationships/hyperlink" Target="mailto:tga.copyright@tga.gov.au" TargetMode="External"/><Relationship Id="rId51" Type="http://schemas.openxmlformats.org/officeDocument/2006/relationships/hyperlink" Target="https://www.medsafe.govt.nz/profs/class/classintro.asp" TargetMode="External"/><Relationship Id="rId72" Type="http://schemas.openxmlformats.org/officeDocument/2006/relationships/hyperlink" Target="https://www.legislation.gov.au/F2024L00649/latest/text" TargetMode="External"/><Relationship Id="rId80" Type="http://schemas.openxmlformats.org/officeDocument/2006/relationships/hyperlink" Target="https://www.apvma.gov.au/regulation/adverse-experience-reporting-program" TargetMode="External"/><Relationship Id="rId85" Type="http://schemas.openxmlformats.org/officeDocument/2006/relationships/hyperlink" Target="https://www.tga.gov.au/resources/artg" TargetMode="External"/><Relationship Id="rId93" Type="http://schemas.openxmlformats.org/officeDocument/2006/relationships/hyperlink" Target="https://ec.europa.eu/growth/tools-databases/cosing/" TargetMode="External"/><Relationship Id="rId98" Type="http://schemas.openxmlformats.org/officeDocument/2006/relationships/hyperlink" Target="https://www.tga.gov.au/resources/publication/scheduling-submissions" TargetMode="External"/><Relationship Id="rId3" Type="http://schemas.openxmlformats.org/officeDocument/2006/relationships/styles" Target="styles.xml"/><Relationship Id="rId12" Type="http://schemas.openxmlformats.org/officeDocument/2006/relationships/hyperlink" Target="mailto:medicines.scheduling@health.gov.au" TargetMode="External"/><Relationship Id="rId17" Type="http://schemas.openxmlformats.org/officeDocument/2006/relationships/hyperlink" Target="https://consultations.tga.gov.au/tga/november_2021_interim" TargetMode="External"/><Relationship Id="rId25" Type="http://schemas.openxmlformats.org/officeDocument/2006/relationships/hyperlink" Target="https://www.tga.gov.au/artg" TargetMode="External"/><Relationship Id="rId33" Type="http://schemas.openxmlformats.org/officeDocument/2006/relationships/hyperlink" Target="https://www.epa.govt.nz/database-search/new-zealand-inventory-of-chemicals-nzioc/DatabaseSearchForm/?SiteDatabaseSearchFilters=36&amp;Keyword=acequinocyl&amp;DatabaseType=NZIOC" TargetMode="External"/><Relationship Id="rId38" Type="http://schemas.openxmlformats.org/officeDocument/2006/relationships/hyperlink" Target="https://www.ebs.tga.gov.au/" TargetMode="External"/><Relationship Id="rId46" Type="http://schemas.openxmlformats.org/officeDocument/2006/relationships/hyperlink" Target="https://www.fda.gov/news-events/press-announcements/fda-warns-against-use-homeopathic-teething-tablets-and-gels" TargetMode="External"/><Relationship Id="rId59" Type="http://schemas.openxmlformats.org/officeDocument/2006/relationships/hyperlink" Target="https://portal.apvma.gov.au/pubcris" TargetMode="External"/><Relationship Id="rId67" Type="http://schemas.openxmlformats.org/officeDocument/2006/relationships/hyperlink" Target="https://www.medicines.org.uk/emc" TargetMode="External"/><Relationship Id="rId103" Type="http://schemas.openxmlformats.org/officeDocument/2006/relationships/header" Target="header5.xml"/><Relationship Id="rId20" Type="http://schemas.openxmlformats.org/officeDocument/2006/relationships/hyperlink" Target="mailto:medicines.scheduling@health.gov.au" TargetMode="External"/><Relationship Id="rId41" Type="http://schemas.openxmlformats.org/officeDocument/2006/relationships/hyperlink" Target="https://www.tga.gov.au/products/medicines/find-information-about-medicine/prescribing-medicines-pregnancy-database" TargetMode="External"/><Relationship Id="rId54" Type="http://schemas.openxmlformats.org/officeDocument/2006/relationships/hyperlink" Target="https://www.ebs.tga.gov.au/" TargetMode="External"/><Relationship Id="rId62" Type="http://schemas.openxmlformats.org/officeDocument/2006/relationships/hyperlink" Target="https://www.canada.ca/en/health-canada/services/drugs-health-products/natural-non-prescription/applications-submissions/product-licensing/licensed-natural-health-products-database.html" TargetMode="External"/><Relationship Id="rId70" Type="http://schemas.openxmlformats.org/officeDocument/2006/relationships/hyperlink" Target="http://www.ebs.tga.gov.au" TargetMode="External"/><Relationship Id="rId75" Type="http://schemas.openxmlformats.org/officeDocument/2006/relationships/hyperlink" Target="https://www.legislation.gov.au/Series/F2021L01888" TargetMode="External"/><Relationship Id="rId83" Type="http://schemas.openxmlformats.org/officeDocument/2006/relationships/hyperlink" Target="https://www.ema.europa.eu/en/documents/scientific-guideline/note-guidance-limitations-use-ethylene-oxide-manufacture-medicinal-products_en.pdf" TargetMode="External"/><Relationship Id="rId88" Type="http://schemas.openxmlformats.org/officeDocument/2006/relationships/hyperlink" Target="https://www.legislation.gov.au/Series/F2023L01369" TargetMode="External"/><Relationship Id="rId91" Type="http://schemas.openxmlformats.org/officeDocument/2006/relationships/hyperlink" Target="https://daen.tga.gov.au/medicines-search/" TargetMode="External"/><Relationship Id="rId96" Type="http://schemas.openxmlformats.org/officeDocument/2006/relationships/hyperlink" Target="https://www.tga.gov.au/about-tga/advisory-bodies-and-committees/advisory-committee-medicines-scheduling-acm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hyperlink" Target="https://www.legislation.gov.au/F2021L01888/latest/text" TargetMode="External"/><Relationship Id="rId36" Type="http://schemas.openxmlformats.org/officeDocument/2006/relationships/hyperlink" Target="https://www.hpra.ie/homepage/medicines/medicines-information/find-a-medicine/results?query=astodrimer+sodium&amp;field=" TargetMode="External"/><Relationship Id="rId49" Type="http://schemas.openxmlformats.org/officeDocument/2006/relationships/hyperlink" Target="https://www.fda.gov/drugs/information-drug-class/laboratory-analysis-homeopathic-teething-tablets" TargetMode="External"/><Relationship Id="rId57" Type="http://schemas.openxmlformats.org/officeDocument/2006/relationships/hyperlink" Target="https://www.legislation.gov.au/Details/F2021L01888" TargetMode="External"/><Relationship Id="rId106" Type="http://schemas.openxmlformats.org/officeDocument/2006/relationships/glossaryDocument" Target="glossary/document.xml"/><Relationship Id="rId10" Type="http://schemas.openxmlformats.org/officeDocument/2006/relationships/hyperlink" Target="https://www.tga.gov.au/committee/advisory-committee-medicines-scheduling-acms" TargetMode="External"/><Relationship Id="rId31" Type="http://schemas.openxmlformats.org/officeDocument/2006/relationships/hyperlink" Target="https://health-products.canada.ca/dpd-bdpp/" TargetMode="External"/><Relationship Id="rId44" Type="http://schemas.openxmlformats.org/officeDocument/2006/relationships/hyperlink" Target="https://portal.apvma.gov.au/pubcris" TargetMode="External"/><Relationship Id="rId52" Type="http://schemas.openxmlformats.org/officeDocument/2006/relationships/hyperlink" Target="https://health-products.canada.ca/dpd-bdpp/index-eng.jsp" TargetMode="External"/><Relationship Id="rId60" Type="http://schemas.openxmlformats.org/officeDocument/2006/relationships/hyperlink" Target="https://apvma.gov.au/node/10946" TargetMode="External"/><Relationship Id="rId65" Type="http://schemas.openxmlformats.org/officeDocument/2006/relationships/hyperlink" Target="https://www.accessdata.fda.gov/scripts/cder/ob/index.cfm" TargetMode="External"/><Relationship Id="rId73" Type="http://schemas.openxmlformats.org/officeDocument/2006/relationships/hyperlink" Target="https://www.legislation.gov.au/F2024L00649/latest/text/3" TargetMode="External"/><Relationship Id="rId78" Type="http://schemas.openxmlformats.org/officeDocument/2006/relationships/hyperlink" Target="https://portal.apvma.gov.au/pubcris" TargetMode="External"/><Relationship Id="rId81" Type="http://schemas.openxmlformats.org/officeDocument/2006/relationships/hyperlink" Target="https://www.industrialchemicals.gov.au/" TargetMode="External"/><Relationship Id="rId86" Type="http://schemas.openxmlformats.org/officeDocument/2006/relationships/hyperlink" Target="http://www.ebs.tga.gov.au" TargetMode="External"/><Relationship Id="rId94" Type="http://schemas.openxmlformats.org/officeDocument/2006/relationships/hyperlink" Target="https://health-products.canada.ca/dpd-bdpp/index-eng.jsp" TargetMode="External"/><Relationship Id="rId99" Type="http://schemas.openxmlformats.org/officeDocument/2006/relationships/hyperlink" Target="https://www.tga.gov.au/resources/publication/scheduling-decisions-interim"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nsultations.tga.gov.au/tga/november_2021_interim" TargetMode="External"/><Relationship Id="rId18" Type="http://schemas.openxmlformats.org/officeDocument/2006/relationships/hyperlink" Target="https://www.tga.gov.au/committee/advisory-committee-medicines-scheduling-acms" TargetMode="External"/><Relationship Id="rId39" Type="http://schemas.openxmlformats.org/officeDocument/2006/relationships/hyperlink" Target="https://www.tga.gov.au/artg" TargetMode="External"/><Relationship Id="rId34" Type="http://schemas.openxmlformats.org/officeDocument/2006/relationships/hyperlink" Target="https://www.medsafe.govt.nz/profs/class/classintro.asp" TargetMode="External"/><Relationship Id="rId50" Type="http://schemas.openxmlformats.org/officeDocument/2006/relationships/hyperlink" Target="https://www.fda.gov/news-events/press-announcements/fda-confirms-elevated-levels-belladonna-certain-homeopathic-teething-products" TargetMode="External"/><Relationship Id="rId55" Type="http://schemas.openxmlformats.org/officeDocument/2006/relationships/hyperlink" Target="https://www.legislation.gov.au/F2024L00649/asmade/text" TargetMode="External"/><Relationship Id="rId76" Type="http://schemas.openxmlformats.org/officeDocument/2006/relationships/hyperlink" Target="https://daen.tga.gov.au/medicines-search/" TargetMode="External"/><Relationship Id="rId97" Type="http://schemas.openxmlformats.org/officeDocument/2006/relationships/hyperlink" Target="https://www.tga.gov.au/about-tga/advisory-bodies-and-committees/advisory-committee-chemicals-scheduling-accs" TargetMode="External"/><Relationship Id="rId10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ubchem.ncbi.nlm.nih.gov/compound/epichlorohydrin" TargetMode="External"/><Relationship Id="rId2" Type="http://schemas.openxmlformats.org/officeDocument/2006/relationships/hyperlink" Target="https://www.ncbi.nlm.nih.gov/books/NBK554500/" TargetMode="External"/><Relationship Id="rId1" Type="http://schemas.openxmlformats.org/officeDocument/2006/relationships/hyperlink" Target="https://www.eatforhealth.gov.au/nutrient-reference-values/nutrients/vitamin-b6" TargetMode="External"/><Relationship Id="rId6" Type="http://schemas.openxmlformats.org/officeDocument/2006/relationships/hyperlink" Target="https://pubmed.ncbi.nlm.nih.gov/37506778/" TargetMode="External"/><Relationship Id="rId5" Type="http://schemas.openxmlformats.org/officeDocument/2006/relationships/hyperlink" Target="https://www.ncbi.nlm.nih.gov/pmc/articles/PMC9553001/" TargetMode="External"/><Relationship Id="rId4" Type="http://schemas.openxmlformats.org/officeDocument/2006/relationships/hyperlink" Target="https://www.regulations.gov/document/EPA-HQ-OPP-2013-0244-001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52D75E0AB47E19AF1600F67F059B6"/>
        <w:category>
          <w:name w:val="General"/>
          <w:gallery w:val="placeholder"/>
        </w:category>
        <w:types>
          <w:type w:val="bbPlcHdr"/>
        </w:types>
        <w:behaviors>
          <w:behavior w:val="content"/>
        </w:behaviors>
        <w:guid w:val="{742A673B-4E9E-46D4-93B1-9A1C8D11F721}"/>
      </w:docPartPr>
      <w:docPartBody>
        <w:p w:rsidR="00672221" w:rsidRDefault="005078D6" w:rsidP="005078D6">
          <w:pPr>
            <w:pStyle w:val="3DC52D75E0AB47E19AF1600F67F059B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D6"/>
    <w:rsid w:val="000966D1"/>
    <w:rsid w:val="00100E73"/>
    <w:rsid w:val="00121B27"/>
    <w:rsid w:val="00173816"/>
    <w:rsid w:val="00186CA9"/>
    <w:rsid w:val="001C6AF8"/>
    <w:rsid w:val="002563AE"/>
    <w:rsid w:val="002577F0"/>
    <w:rsid w:val="00361AD3"/>
    <w:rsid w:val="003E27FC"/>
    <w:rsid w:val="00491E5A"/>
    <w:rsid w:val="004B1934"/>
    <w:rsid w:val="005078D6"/>
    <w:rsid w:val="005D2999"/>
    <w:rsid w:val="00605E2A"/>
    <w:rsid w:val="00667E47"/>
    <w:rsid w:val="00672221"/>
    <w:rsid w:val="00686C59"/>
    <w:rsid w:val="00706EEC"/>
    <w:rsid w:val="0071105A"/>
    <w:rsid w:val="009A03A5"/>
    <w:rsid w:val="00A6795F"/>
    <w:rsid w:val="00AE1513"/>
    <w:rsid w:val="00B410A4"/>
    <w:rsid w:val="00B9683A"/>
    <w:rsid w:val="00C44516"/>
    <w:rsid w:val="00CA5E3F"/>
    <w:rsid w:val="00D3108F"/>
    <w:rsid w:val="00D328A4"/>
    <w:rsid w:val="00E75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8D6"/>
  </w:style>
  <w:style w:type="paragraph" w:customStyle="1" w:styleId="3DC52D75E0AB47E19AF1600F67F059B6">
    <w:name w:val="3DC52D75E0AB47E19AF1600F67F059B6"/>
    <w:rsid w:val="00507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C35B-B5AA-45F0-B63D-4405AF65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0</TotalTime>
  <Pages>31</Pages>
  <Words>9884</Words>
  <Characters>56935</Characters>
  <Application>Microsoft Office Word</Application>
  <DocSecurity>4</DocSecurity>
  <Lines>1355</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MARKS, Benjamin</cp:lastModifiedBy>
  <cp:revision>2</cp:revision>
  <dcterms:created xsi:type="dcterms:W3CDTF">2024-09-23T01:55:00Z</dcterms:created>
  <dcterms:modified xsi:type="dcterms:W3CDTF">2024-09-23T01:55:00Z</dcterms:modified>
</cp:coreProperties>
</file>