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54E7" w14:textId="77777777" w:rsidR="00F02AEC" w:rsidRDefault="00F02AEC" w:rsidP="00C417B6">
      <w:bookmarkStart w:id="0" w:name="_Hlk165881389"/>
    </w:p>
    <w:p w14:paraId="3CBACA14" w14:textId="77777777" w:rsidR="00F57320" w:rsidRPr="00F57320" w:rsidRDefault="00F57320" w:rsidP="00F57320"/>
    <w:p w14:paraId="64E748E4" w14:textId="0BDA7471" w:rsidR="003D51C5" w:rsidRDefault="00F57320" w:rsidP="003D51C5">
      <w:pPr>
        <w:pStyle w:val="Title"/>
      </w:pPr>
      <w:r w:rsidRPr="00C417B6">
        <w:t xml:space="preserve">Consultation: Proposed amendments to the </w:t>
      </w:r>
      <w:r w:rsidRPr="005C43AF">
        <w:t>Poisons Standard – ACMS #</w:t>
      </w:r>
      <w:r w:rsidR="005C43AF" w:rsidRPr="005C43AF">
        <w:t>48</w:t>
      </w:r>
      <w:r w:rsidRPr="005C43AF">
        <w:t>, ACCS #</w:t>
      </w:r>
      <w:r w:rsidR="005C43AF" w:rsidRPr="005C43AF">
        <w:t>41</w:t>
      </w:r>
      <w:r w:rsidRPr="005C43AF">
        <w:t xml:space="preserve"> and Joint ACMS-ACCS #</w:t>
      </w:r>
      <w:r w:rsidR="005C43AF" w:rsidRPr="005C43AF">
        <w:t>42</w:t>
      </w:r>
      <w:r w:rsidRPr="005C43AF">
        <w:t xml:space="preserve"> meetings, </w:t>
      </w:r>
      <w:r w:rsidR="005C43AF" w:rsidRPr="005C43AF">
        <w:t>November</w:t>
      </w:r>
      <w:r w:rsidRPr="005C43AF">
        <w:t xml:space="preserve"> 20</w:t>
      </w:r>
      <w:r w:rsidR="005C43AF" w:rsidRPr="005C43AF">
        <w:t>25</w:t>
      </w:r>
    </w:p>
    <w:p w14:paraId="17E434B0" w14:textId="0BBF973A" w:rsidR="003D51C5" w:rsidRPr="00F57320" w:rsidRDefault="007D59C0" w:rsidP="00097246">
      <w:pPr>
        <w:pStyle w:val="Subtitle"/>
        <w:ind w:left="0"/>
        <w:sectPr w:rsidR="003D51C5" w:rsidRPr="00F57320" w:rsidSect="000D6BB2">
          <w:headerReference w:type="even" r:id="rId8"/>
          <w:headerReference w:type="default" r:id="rId9"/>
          <w:footerReference w:type="even" r:id="rId10"/>
          <w:footerReference w:type="default" r:id="rId11"/>
          <w:headerReference w:type="first" r:id="rId12"/>
          <w:footerReference w:type="first" r:id="rId13"/>
          <w:pgSz w:w="11906" w:h="16838"/>
          <w:pgMar w:top="1006" w:right="1440" w:bottom="1440" w:left="1440" w:header="708" w:footer="708" w:gutter="0"/>
          <w:cols w:space="708"/>
          <w:titlePg/>
          <w:docGrid w:linePitch="360"/>
        </w:sectPr>
      </w:pPr>
      <w:r w:rsidRPr="00071991">
        <w:t>18</w:t>
      </w:r>
      <w:r w:rsidRPr="007D59C0">
        <w:t xml:space="preserve"> September 2025</w:t>
      </w:r>
      <w:r w:rsidR="00F41EC8" w:rsidRPr="007D59C0">
        <w:t xml:space="preserve"> </w:t>
      </w:r>
    </w:p>
    <w:p w14:paraId="28C5FFF5" w14:textId="77777777" w:rsidR="00F02AEC" w:rsidRPr="00BF2FE0" w:rsidRDefault="00F02AEC" w:rsidP="00BF2FE0">
      <w:pPr>
        <w:pStyle w:val="LegalSubheading"/>
        <w:rPr>
          <w:b/>
          <w:bCs/>
        </w:rPr>
      </w:pPr>
      <w:bookmarkStart w:id="1" w:name="_Hlk139891783"/>
      <w:r w:rsidRPr="00BF2FE0">
        <w:rPr>
          <w:b/>
          <w:bCs/>
        </w:rPr>
        <w:lastRenderedPageBreak/>
        <w:t>Copyright</w:t>
      </w:r>
    </w:p>
    <w:p w14:paraId="4EF92070" w14:textId="48B57014" w:rsidR="00930D58" w:rsidRPr="00C417B6" w:rsidRDefault="00F02AEC" w:rsidP="00BF2FE0">
      <w:pPr>
        <w:pStyle w:val="LegalSubheading"/>
      </w:pPr>
      <w:r w:rsidRPr="00C417B6">
        <w:t>© Commonwealth of Australia 202</w:t>
      </w:r>
      <w:r w:rsidR="005C43AF">
        <w:t>5</w:t>
      </w:r>
      <w:r w:rsidRPr="00C417B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4" w:history="1">
        <w:r w:rsidRPr="00C417B6">
          <w:rPr>
            <w:rStyle w:val="Hyperlink"/>
          </w:rPr>
          <w:t>tga.copyright@tga.gov.au</w:t>
        </w:r>
      </w:hyperlink>
      <w:r w:rsidRPr="00C417B6">
        <w:t>.</w:t>
      </w:r>
    </w:p>
    <w:p w14:paraId="465E38A3" w14:textId="77777777" w:rsidR="00175CD8" w:rsidRPr="00C417B6" w:rsidRDefault="00175CD8" w:rsidP="00C417B6"/>
    <w:p w14:paraId="27AF97CA" w14:textId="77777777" w:rsidR="0088292E" w:rsidRPr="00BF2FE0" w:rsidRDefault="0088292E" w:rsidP="00BF2FE0">
      <w:pPr>
        <w:pStyle w:val="LegalSubheading"/>
        <w:rPr>
          <w:b/>
          <w:bCs/>
        </w:rPr>
      </w:pPr>
      <w:bookmarkStart w:id="2" w:name="_Hlk139901247"/>
      <w:r w:rsidRPr="00BF2FE0">
        <w:rPr>
          <w:b/>
          <w:bCs/>
        </w:rPr>
        <w:t>Confidentiality</w:t>
      </w:r>
    </w:p>
    <w:p w14:paraId="165EDA4E" w14:textId="77777777" w:rsidR="00BF2FE0" w:rsidRDefault="0088292E" w:rsidP="00F41EC8">
      <w:pPr>
        <w:pStyle w:val="LegalSubheading"/>
      </w:pPr>
      <w:r w:rsidRPr="00C417B6">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End w:id="2"/>
    </w:p>
    <w:p w14:paraId="4FE9A579" w14:textId="77777777" w:rsidR="0088292E" w:rsidRPr="00C417B6" w:rsidRDefault="0088292E" w:rsidP="00C417B6"/>
    <w:bookmarkEnd w:id="1" w:displacedByCustomXml="next"/>
    <w:bookmarkStart w:id="3" w:name="_Hlk139892237" w:displacedByCustomXml="next"/>
    <w:sdt>
      <w:sdtPr>
        <w:rPr>
          <w:rFonts w:eastAsiaTheme="minorHAnsi" w:cstheme="minorBidi"/>
          <w:b w:val="0"/>
          <w:color w:val="auto"/>
          <w:sz w:val="20"/>
        </w:rPr>
        <w:id w:val="21514769"/>
        <w:docPartObj>
          <w:docPartGallery w:val="Table of Contents"/>
          <w:docPartUnique/>
        </w:docPartObj>
      </w:sdtPr>
      <w:sdtContent>
        <w:p w14:paraId="517DE334" w14:textId="77777777" w:rsidR="00F02AEC" w:rsidRPr="00C417B6" w:rsidRDefault="00F02AEC" w:rsidP="00F41EC8">
          <w:pPr>
            <w:pStyle w:val="NonTOCheading2"/>
          </w:pPr>
          <w:r w:rsidRPr="00C417B6">
            <w:t>Contents</w:t>
          </w:r>
        </w:p>
        <w:p w14:paraId="748F078C" w14:textId="35B8A065" w:rsidR="000F3171"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C417B6">
            <w:fldChar w:fldCharType="begin"/>
          </w:r>
          <w:r w:rsidRPr="00C417B6">
            <w:instrText xml:space="preserve"> TOC \h \z \u \t "Heading 2,1,Heading 3,2,Heading 4,3" </w:instrText>
          </w:r>
          <w:r w:rsidRPr="00C417B6">
            <w:fldChar w:fldCharType="separate"/>
          </w:r>
          <w:hyperlink w:anchor="_Toc209035924" w:history="1">
            <w:r w:rsidR="000F3171" w:rsidRPr="0068310F">
              <w:rPr>
                <w:rStyle w:val="Hyperlink"/>
                <w:noProof/>
              </w:rPr>
              <w:t>About this consultation</w:t>
            </w:r>
            <w:r w:rsidR="000F3171">
              <w:rPr>
                <w:noProof/>
                <w:webHidden/>
              </w:rPr>
              <w:tab/>
            </w:r>
            <w:r w:rsidR="000F3171">
              <w:rPr>
                <w:noProof/>
                <w:webHidden/>
              </w:rPr>
              <w:fldChar w:fldCharType="begin"/>
            </w:r>
            <w:r w:rsidR="000F3171">
              <w:rPr>
                <w:noProof/>
                <w:webHidden/>
              </w:rPr>
              <w:instrText xml:space="preserve"> PAGEREF _Toc209035924 \h </w:instrText>
            </w:r>
            <w:r w:rsidR="000F3171">
              <w:rPr>
                <w:noProof/>
                <w:webHidden/>
              </w:rPr>
            </w:r>
            <w:r w:rsidR="000F3171">
              <w:rPr>
                <w:noProof/>
                <w:webHidden/>
              </w:rPr>
              <w:fldChar w:fldCharType="separate"/>
            </w:r>
            <w:r w:rsidR="000F3171">
              <w:rPr>
                <w:noProof/>
                <w:webHidden/>
              </w:rPr>
              <w:t>5</w:t>
            </w:r>
            <w:r w:rsidR="000F3171">
              <w:rPr>
                <w:noProof/>
                <w:webHidden/>
              </w:rPr>
              <w:fldChar w:fldCharType="end"/>
            </w:r>
          </w:hyperlink>
        </w:p>
        <w:p w14:paraId="2E218577" w14:textId="747F24F8" w:rsidR="000F3171" w:rsidRDefault="000F3171">
          <w:pPr>
            <w:pStyle w:val="TOC1"/>
            <w:tabs>
              <w:tab w:val="left" w:pos="425"/>
            </w:tabs>
            <w:rPr>
              <w:rFonts w:asciiTheme="minorHAnsi" w:eastAsiaTheme="minorEastAsia" w:hAnsiTheme="minorHAnsi" w:cstheme="minorBidi"/>
              <w:b w:val="0"/>
              <w:noProof/>
              <w:color w:val="auto"/>
              <w:kern w:val="2"/>
              <w:sz w:val="24"/>
              <w:szCs w:val="24"/>
              <w:lang w:eastAsia="en-AU"/>
              <w14:ligatures w14:val="standardContextual"/>
            </w:rPr>
          </w:pPr>
          <w:hyperlink w:anchor="_Toc209035925" w:history="1">
            <w:r w:rsidRPr="0068310F">
              <w:rPr>
                <w:rStyle w:val="Hyperlink"/>
                <w:noProof/>
              </w:rPr>
              <w:t>1</w:t>
            </w:r>
            <w:r>
              <w:rPr>
                <w:rFonts w:asciiTheme="minorHAnsi" w:eastAsiaTheme="minorEastAsia" w:hAnsiTheme="minorHAnsi" w:cstheme="minorBidi"/>
                <w:b w:val="0"/>
                <w:noProof/>
                <w:color w:val="auto"/>
                <w:kern w:val="2"/>
                <w:sz w:val="24"/>
                <w:szCs w:val="24"/>
                <w:lang w:eastAsia="en-AU"/>
                <w14:ligatures w14:val="standardContextual"/>
              </w:rPr>
              <w:tab/>
            </w:r>
            <w:r w:rsidRPr="0068310F">
              <w:rPr>
                <w:rStyle w:val="Hyperlink"/>
                <w:noProof/>
              </w:rPr>
              <w:t>Proposed amendment referred for scheduling advice to ACMS meeting #48</w:t>
            </w:r>
            <w:r>
              <w:rPr>
                <w:noProof/>
                <w:webHidden/>
              </w:rPr>
              <w:tab/>
            </w:r>
            <w:r>
              <w:rPr>
                <w:noProof/>
                <w:webHidden/>
              </w:rPr>
              <w:fldChar w:fldCharType="begin"/>
            </w:r>
            <w:r>
              <w:rPr>
                <w:noProof/>
                <w:webHidden/>
              </w:rPr>
              <w:instrText xml:space="preserve"> PAGEREF _Toc209035925 \h </w:instrText>
            </w:r>
            <w:r>
              <w:rPr>
                <w:noProof/>
                <w:webHidden/>
              </w:rPr>
            </w:r>
            <w:r>
              <w:rPr>
                <w:noProof/>
                <w:webHidden/>
              </w:rPr>
              <w:fldChar w:fldCharType="separate"/>
            </w:r>
            <w:r>
              <w:rPr>
                <w:noProof/>
                <w:webHidden/>
              </w:rPr>
              <w:t>6</w:t>
            </w:r>
            <w:r>
              <w:rPr>
                <w:noProof/>
                <w:webHidden/>
              </w:rPr>
              <w:fldChar w:fldCharType="end"/>
            </w:r>
          </w:hyperlink>
        </w:p>
        <w:p w14:paraId="5709E698" w14:textId="5249A7AE" w:rsidR="000F3171" w:rsidRDefault="000F3171">
          <w:pPr>
            <w:pStyle w:val="TOC2"/>
            <w:tabs>
              <w:tab w:val="left" w:pos="1276"/>
            </w:tabs>
            <w:rPr>
              <w:rFonts w:asciiTheme="minorHAnsi" w:eastAsiaTheme="minorEastAsia" w:hAnsiTheme="minorHAnsi" w:cstheme="minorBidi"/>
              <w:noProof/>
              <w:color w:val="auto"/>
              <w:kern w:val="2"/>
              <w:szCs w:val="24"/>
              <w:lang w:eastAsia="en-AU"/>
              <w14:ligatures w14:val="standardContextual"/>
            </w:rPr>
          </w:pPr>
          <w:hyperlink w:anchor="_Toc209035926" w:history="1">
            <w:r w:rsidRPr="0068310F">
              <w:rPr>
                <w:rStyle w:val="Hyperlink"/>
                <w:noProof/>
              </w:rPr>
              <w:t>1.1</w:t>
            </w:r>
            <w:r>
              <w:rPr>
                <w:rFonts w:asciiTheme="minorHAnsi" w:eastAsiaTheme="minorEastAsia" w:hAnsiTheme="minorHAnsi" w:cstheme="minorBidi"/>
                <w:noProof/>
                <w:color w:val="auto"/>
                <w:kern w:val="2"/>
                <w:szCs w:val="24"/>
                <w:lang w:eastAsia="en-AU"/>
                <w14:ligatures w14:val="standardContextual"/>
              </w:rPr>
              <w:t xml:space="preserve"> </w:t>
            </w:r>
            <w:r w:rsidRPr="0068310F">
              <w:rPr>
                <w:rStyle w:val="Hyperlink"/>
                <w:noProof/>
              </w:rPr>
              <w:t>Vitamin D</w:t>
            </w:r>
            <w:r>
              <w:rPr>
                <w:noProof/>
                <w:webHidden/>
              </w:rPr>
              <w:tab/>
            </w:r>
            <w:r>
              <w:rPr>
                <w:noProof/>
                <w:webHidden/>
              </w:rPr>
              <w:fldChar w:fldCharType="begin"/>
            </w:r>
            <w:r>
              <w:rPr>
                <w:noProof/>
                <w:webHidden/>
              </w:rPr>
              <w:instrText xml:space="preserve"> PAGEREF _Toc209035926 \h </w:instrText>
            </w:r>
            <w:r>
              <w:rPr>
                <w:noProof/>
                <w:webHidden/>
              </w:rPr>
            </w:r>
            <w:r>
              <w:rPr>
                <w:noProof/>
                <w:webHidden/>
              </w:rPr>
              <w:fldChar w:fldCharType="separate"/>
            </w:r>
            <w:r>
              <w:rPr>
                <w:noProof/>
                <w:webHidden/>
              </w:rPr>
              <w:t>6</w:t>
            </w:r>
            <w:r>
              <w:rPr>
                <w:noProof/>
                <w:webHidden/>
              </w:rPr>
              <w:fldChar w:fldCharType="end"/>
            </w:r>
          </w:hyperlink>
        </w:p>
        <w:p w14:paraId="31E0302F" w14:textId="3425AB53"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27" w:history="1">
            <w:r w:rsidRPr="0068310F">
              <w:rPr>
                <w:rStyle w:val="Hyperlink"/>
                <w:noProof/>
              </w:rPr>
              <w:t>Proposal</w:t>
            </w:r>
            <w:r>
              <w:rPr>
                <w:noProof/>
                <w:webHidden/>
              </w:rPr>
              <w:tab/>
            </w:r>
            <w:r>
              <w:rPr>
                <w:noProof/>
                <w:webHidden/>
              </w:rPr>
              <w:fldChar w:fldCharType="begin"/>
            </w:r>
            <w:r>
              <w:rPr>
                <w:noProof/>
                <w:webHidden/>
              </w:rPr>
              <w:instrText xml:space="preserve"> PAGEREF _Toc209035927 \h </w:instrText>
            </w:r>
            <w:r>
              <w:rPr>
                <w:noProof/>
                <w:webHidden/>
              </w:rPr>
            </w:r>
            <w:r>
              <w:rPr>
                <w:noProof/>
                <w:webHidden/>
              </w:rPr>
              <w:fldChar w:fldCharType="separate"/>
            </w:r>
            <w:r>
              <w:rPr>
                <w:noProof/>
                <w:webHidden/>
              </w:rPr>
              <w:t>6</w:t>
            </w:r>
            <w:r>
              <w:rPr>
                <w:noProof/>
                <w:webHidden/>
              </w:rPr>
              <w:fldChar w:fldCharType="end"/>
            </w:r>
          </w:hyperlink>
        </w:p>
        <w:p w14:paraId="00A5422F" w14:textId="09559219"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28" w:history="1">
            <w:r w:rsidRPr="0068310F">
              <w:rPr>
                <w:rStyle w:val="Hyperlink"/>
                <w:noProof/>
              </w:rPr>
              <w:t>CAS number</w:t>
            </w:r>
            <w:r>
              <w:rPr>
                <w:noProof/>
                <w:webHidden/>
              </w:rPr>
              <w:tab/>
            </w:r>
            <w:r>
              <w:rPr>
                <w:noProof/>
                <w:webHidden/>
              </w:rPr>
              <w:fldChar w:fldCharType="begin"/>
            </w:r>
            <w:r>
              <w:rPr>
                <w:noProof/>
                <w:webHidden/>
              </w:rPr>
              <w:instrText xml:space="preserve"> PAGEREF _Toc209035928 \h </w:instrText>
            </w:r>
            <w:r>
              <w:rPr>
                <w:noProof/>
                <w:webHidden/>
              </w:rPr>
            </w:r>
            <w:r>
              <w:rPr>
                <w:noProof/>
                <w:webHidden/>
              </w:rPr>
              <w:fldChar w:fldCharType="separate"/>
            </w:r>
            <w:r>
              <w:rPr>
                <w:noProof/>
                <w:webHidden/>
              </w:rPr>
              <w:t>6</w:t>
            </w:r>
            <w:r>
              <w:rPr>
                <w:noProof/>
                <w:webHidden/>
              </w:rPr>
              <w:fldChar w:fldCharType="end"/>
            </w:r>
          </w:hyperlink>
        </w:p>
        <w:p w14:paraId="5EE8C702" w14:textId="4E99FBC9"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29" w:history="1">
            <w:r w:rsidRPr="0068310F">
              <w:rPr>
                <w:rStyle w:val="Hyperlink"/>
                <w:noProof/>
              </w:rPr>
              <w:t>Alternative names</w:t>
            </w:r>
            <w:r>
              <w:rPr>
                <w:noProof/>
                <w:webHidden/>
              </w:rPr>
              <w:tab/>
            </w:r>
            <w:r>
              <w:rPr>
                <w:noProof/>
                <w:webHidden/>
              </w:rPr>
              <w:fldChar w:fldCharType="begin"/>
            </w:r>
            <w:r>
              <w:rPr>
                <w:noProof/>
                <w:webHidden/>
              </w:rPr>
              <w:instrText xml:space="preserve"> PAGEREF _Toc209035929 \h </w:instrText>
            </w:r>
            <w:r>
              <w:rPr>
                <w:noProof/>
                <w:webHidden/>
              </w:rPr>
            </w:r>
            <w:r>
              <w:rPr>
                <w:noProof/>
                <w:webHidden/>
              </w:rPr>
              <w:fldChar w:fldCharType="separate"/>
            </w:r>
            <w:r>
              <w:rPr>
                <w:noProof/>
                <w:webHidden/>
              </w:rPr>
              <w:t>6</w:t>
            </w:r>
            <w:r>
              <w:rPr>
                <w:noProof/>
                <w:webHidden/>
              </w:rPr>
              <w:fldChar w:fldCharType="end"/>
            </w:r>
          </w:hyperlink>
        </w:p>
        <w:p w14:paraId="232791F0" w14:textId="0733390D"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0" w:history="1">
            <w:r w:rsidRPr="0068310F">
              <w:rPr>
                <w:rStyle w:val="Hyperlink"/>
                <w:noProof/>
              </w:rPr>
              <w:t>Applicant</w:t>
            </w:r>
            <w:r>
              <w:rPr>
                <w:noProof/>
                <w:webHidden/>
              </w:rPr>
              <w:tab/>
            </w:r>
            <w:r>
              <w:rPr>
                <w:noProof/>
                <w:webHidden/>
              </w:rPr>
              <w:fldChar w:fldCharType="begin"/>
            </w:r>
            <w:r>
              <w:rPr>
                <w:noProof/>
                <w:webHidden/>
              </w:rPr>
              <w:instrText xml:space="preserve"> PAGEREF _Toc209035930 \h </w:instrText>
            </w:r>
            <w:r>
              <w:rPr>
                <w:noProof/>
                <w:webHidden/>
              </w:rPr>
            </w:r>
            <w:r>
              <w:rPr>
                <w:noProof/>
                <w:webHidden/>
              </w:rPr>
              <w:fldChar w:fldCharType="separate"/>
            </w:r>
            <w:r>
              <w:rPr>
                <w:noProof/>
                <w:webHidden/>
              </w:rPr>
              <w:t>6</w:t>
            </w:r>
            <w:r>
              <w:rPr>
                <w:noProof/>
                <w:webHidden/>
              </w:rPr>
              <w:fldChar w:fldCharType="end"/>
            </w:r>
          </w:hyperlink>
        </w:p>
        <w:p w14:paraId="40166CF1" w14:textId="1BF59E17"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1" w:history="1">
            <w:r w:rsidRPr="0068310F">
              <w:rPr>
                <w:rStyle w:val="Hyperlink"/>
                <w:noProof/>
              </w:rPr>
              <w:t>Proposed Scheduling</w:t>
            </w:r>
            <w:r>
              <w:rPr>
                <w:noProof/>
                <w:webHidden/>
              </w:rPr>
              <w:tab/>
            </w:r>
            <w:r>
              <w:rPr>
                <w:noProof/>
                <w:webHidden/>
              </w:rPr>
              <w:fldChar w:fldCharType="begin"/>
            </w:r>
            <w:r>
              <w:rPr>
                <w:noProof/>
                <w:webHidden/>
              </w:rPr>
              <w:instrText xml:space="preserve"> PAGEREF _Toc209035931 \h </w:instrText>
            </w:r>
            <w:r>
              <w:rPr>
                <w:noProof/>
                <w:webHidden/>
              </w:rPr>
            </w:r>
            <w:r>
              <w:rPr>
                <w:noProof/>
                <w:webHidden/>
              </w:rPr>
              <w:fldChar w:fldCharType="separate"/>
            </w:r>
            <w:r>
              <w:rPr>
                <w:noProof/>
                <w:webHidden/>
              </w:rPr>
              <w:t>6</w:t>
            </w:r>
            <w:r>
              <w:rPr>
                <w:noProof/>
                <w:webHidden/>
              </w:rPr>
              <w:fldChar w:fldCharType="end"/>
            </w:r>
          </w:hyperlink>
        </w:p>
        <w:p w14:paraId="375E41B4" w14:textId="017D16C1"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2" w:history="1">
            <w:r w:rsidRPr="0068310F">
              <w:rPr>
                <w:rStyle w:val="Hyperlink"/>
                <w:noProof/>
              </w:rPr>
              <w:t>Background</w:t>
            </w:r>
            <w:r>
              <w:rPr>
                <w:noProof/>
                <w:webHidden/>
              </w:rPr>
              <w:tab/>
            </w:r>
            <w:r>
              <w:rPr>
                <w:noProof/>
                <w:webHidden/>
              </w:rPr>
              <w:fldChar w:fldCharType="begin"/>
            </w:r>
            <w:r>
              <w:rPr>
                <w:noProof/>
                <w:webHidden/>
              </w:rPr>
              <w:instrText xml:space="preserve"> PAGEREF _Toc209035932 \h </w:instrText>
            </w:r>
            <w:r>
              <w:rPr>
                <w:noProof/>
                <w:webHidden/>
              </w:rPr>
            </w:r>
            <w:r>
              <w:rPr>
                <w:noProof/>
                <w:webHidden/>
              </w:rPr>
              <w:fldChar w:fldCharType="separate"/>
            </w:r>
            <w:r>
              <w:rPr>
                <w:noProof/>
                <w:webHidden/>
              </w:rPr>
              <w:t>7</w:t>
            </w:r>
            <w:r>
              <w:rPr>
                <w:noProof/>
                <w:webHidden/>
              </w:rPr>
              <w:fldChar w:fldCharType="end"/>
            </w:r>
          </w:hyperlink>
        </w:p>
        <w:p w14:paraId="360B5C4D" w14:textId="12EC3714"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3" w:history="1">
            <w:r w:rsidRPr="0068310F">
              <w:rPr>
                <w:rStyle w:val="Hyperlink"/>
                <w:noProof/>
              </w:rPr>
              <w:t>Summary of applicant’s reasons for the proposal</w:t>
            </w:r>
            <w:r>
              <w:rPr>
                <w:noProof/>
                <w:webHidden/>
              </w:rPr>
              <w:tab/>
            </w:r>
            <w:r>
              <w:rPr>
                <w:noProof/>
                <w:webHidden/>
              </w:rPr>
              <w:fldChar w:fldCharType="begin"/>
            </w:r>
            <w:r>
              <w:rPr>
                <w:noProof/>
                <w:webHidden/>
              </w:rPr>
              <w:instrText xml:space="preserve"> PAGEREF _Toc209035933 \h </w:instrText>
            </w:r>
            <w:r>
              <w:rPr>
                <w:noProof/>
                <w:webHidden/>
              </w:rPr>
            </w:r>
            <w:r>
              <w:rPr>
                <w:noProof/>
                <w:webHidden/>
              </w:rPr>
              <w:fldChar w:fldCharType="separate"/>
            </w:r>
            <w:r>
              <w:rPr>
                <w:noProof/>
                <w:webHidden/>
              </w:rPr>
              <w:t>8</w:t>
            </w:r>
            <w:r>
              <w:rPr>
                <w:noProof/>
                <w:webHidden/>
              </w:rPr>
              <w:fldChar w:fldCharType="end"/>
            </w:r>
          </w:hyperlink>
        </w:p>
        <w:p w14:paraId="6CE0BB81" w14:textId="0E525894"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4" w:history="1">
            <w:r w:rsidRPr="0068310F">
              <w:rPr>
                <w:rStyle w:val="Hyperlink"/>
                <w:noProof/>
              </w:rPr>
              <w:t>Key uses/expected use</w:t>
            </w:r>
            <w:r>
              <w:rPr>
                <w:noProof/>
                <w:webHidden/>
              </w:rPr>
              <w:tab/>
            </w:r>
            <w:r>
              <w:rPr>
                <w:noProof/>
                <w:webHidden/>
              </w:rPr>
              <w:fldChar w:fldCharType="begin"/>
            </w:r>
            <w:r>
              <w:rPr>
                <w:noProof/>
                <w:webHidden/>
              </w:rPr>
              <w:instrText xml:space="preserve"> PAGEREF _Toc209035934 \h </w:instrText>
            </w:r>
            <w:r>
              <w:rPr>
                <w:noProof/>
                <w:webHidden/>
              </w:rPr>
            </w:r>
            <w:r>
              <w:rPr>
                <w:noProof/>
                <w:webHidden/>
              </w:rPr>
              <w:fldChar w:fldCharType="separate"/>
            </w:r>
            <w:r>
              <w:rPr>
                <w:noProof/>
                <w:webHidden/>
              </w:rPr>
              <w:t>8</w:t>
            </w:r>
            <w:r>
              <w:rPr>
                <w:noProof/>
                <w:webHidden/>
              </w:rPr>
              <w:fldChar w:fldCharType="end"/>
            </w:r>
          </w:hyperlink>
        </w:p>
        <w:p w14:paraId="04863349" w14:textId="545701C0"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5" w:history="1">
            <w:r w:rsidRPr="0068310F">
              <w:rPr>
                <w:rStyle w:val="Hyperlink"/>
                <w:noProof/>
              </w:rPr>
              <w:t>Australian regulations</w:t>
            </w:r>
            <w:r>
              <w:rPr>
                <w:noProof/>
                <w:webHidden/>
              </w:rPr>
              <w:tab/>
            </w:r>
            <w:r>
              <w:rPr>
                <w:noProof/>
                <w:webHidden/>
              </w:rPr>
              <w:fldChar w:fldCharType="begin"/>
            </w:r>
            <w:r>
              <w:rPr>
                <w:noProof/>
                <w:webHidden/>
              </w:rPr>
              <w:instrText xml:space="preserve"> PAGEREF _Toc209035935 \h </w:instrText>
            </w:r>
            <w:r>
              <w:rPr>
                <w:noProof/>
                <w:webHidden/>
              </w:rPr>
            </w:r>
            <w:r>
              <w:rPr>
                <w:noProof/>
                <w:webHidden/>
              </w:rPr>
              <w:fldChar w:fldCharType="separate"/>
            </w:r>
            <w:r>
              <w:rPr>
                <w:noProof/>
                <w:webHidden/>
              </w:rPr>
              <w:t>8</w:t>
            </w:r>
            <w:r>
              <w:rPr>
                <w:noProof/>
                <w:webHidden/>
              </w:rPr>
              <w:fldChar w:fldCharType="end"/>
            </w:r>
          </w:hyperlink>
        </w:p>
        <w:p w14:paraId="2B6A2EE5" w14:textId="5867CFDB"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6" w:history="1">
            <w:r w:rsidRPr="0068310F">
              <w:rPr>
                <w:rStyle w:val="Hyperlink"/>
                <w:noProof/>
              </w:rPr>
              <w:t>International regulations</w:t>
            </w:r>
            <w:r>
              <w:rPr>
                <w:noProof/>
                <w:webHidden/>
              </w:rPr>
              <w:tab/>
            </w:r>
            <w:r>
              <w:rPr>
                <w:noProof/>
                <w:webHidden/>
              </w:rPr>
              <w:fldChar w:fldCharType="begin"/>
            </w:r>
            <w:r>
              <w:rPr>
                <w:noProof/>
                <w:webHidden/>
              </w:rPr>
              <w:instrText xml:space="preserve"> PAGEREF _Toc209035936 \h </w:instrText>
            </w:r>
            <w:r>
              <w:rPr>
                <w:noProof/>
                <w:webHidden/>
              </w:rPr>
            </w:r>
            <w:r>
              <w:rPr>
                <w:noProof/>
                <w:webHidden/>
              </w:rPr>
              <w:fldChar w:fldCharType="separate"/>
            </w:r>
            <w:r>
              <w:rPr>
                <w:noProof/>
                <w:webHidden/>
              </w:rPr>
              <w:t>9</w:t>
            </w:r>
            <w:r>
              <w:rPr>
                <w:noProof/>
                <w:webHidden/>
              </w:rPr>
              <w:fldChar w:fldCharType="end"/>
            </w:r>
          </w:hyperlink>
        </w:p>
        <w:p w14:paraId="2395C396" w14:textId="429D2761" w:rsidR="000F3171" w:rsidRDefault="000F3171">
          <w:pPr>
            <w:pStyle w:val="TOC2"/>
            <w:rPr>
              <w:rFonts w:asciiTheme="minorHAnsi" w:eastAsiaTheme="minorEastAsia" w:hAnsiTheme="minorHAnsi" w:cstheme="minorBidi"/>
              <w:noProof/>
              <w:color w:val="auto"/>
              <w:kern w:val="2"/>
              <w:szCs w:val="24"/>
              <w:lang w:eastAsia="en-AU"/>
              <w14:ligatures w14:val="standardContextual"/>
            </w:rPr>
          </w:pPr>
          <w:hyperlink w:anchor="_Toc209035937" w:history="1">
            <w:r w:rsidRPr="0068310F">
              <w:rPr>
                <w:rStyle w:val="Hyperlink"/>
                <w:noProof/>
              </w:rPr>
              <w:t>1.2 Isotretinoin</w:t>
            </w:r>
            <w:r>
              <w:rPr>
                <w:noProof/>
                <w:webHidden/>
              </w:rPr>
              <w:tab/>
            </w:r>
            <w:r>
              <w:rPr>
                <w:noProof/>
                <w:webHidden/>
              </w:rPr>
              <w:fldChar w:fldCharType="begin"/>
            </w:r>
            <w:r>
              <w:rPr>
                <w:noProof/>
                <w:webHidden/>
              </w:rPr>
              <w:instrText xml:space="preserve"> PAGEREF _Toc209035937 \h </w:instrText>
            </w:r>
            <w:r>
              <w:rPr>
                <w:noProof/>
                <w:webHidden/>
              </w:rPr>
            </w:r>
            <w:r>
              <w:rPr>
                <w:noProof/>
                <w:webHidden/>
              </w:rPr>
              <w:fldChar w:fldCharType="separate"/>
            </w:r>
            <w:r>
              <w:rPr>
                <w:noProof/>
                <w:webHidden/>
              </w:rPr>
              <w:t>10</w:t>
            </w:r>
            <w:r>
              <w:rPr>
                <w:noProof/>
                <w:webHidden/>
              </w:rPr>
              <w:fldChar w:fldCharType="end"/>
            </w:r>
          </w:hyperlink>
        </w:p>
        <w:p w14:paraId="437D1467" w14:textId="7081AB55"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8" w:history="1">
            <w:r w:rsidRPr="0068310F">
              <w:rPr>
                <w:rStyle w:val="Hyperlink"/>
                <w:noProof/>
              </w:rPr>
              <w:t>Proposal</w:t>
            </w:r>
            <w:r>
              <w:rPr>
                <w:noProof/>
                <w:webHidden/>
              </w:rPr>
              <w:tab/>
            </w:r>
            <w:r>
              <w:rPr>
                <w:noProof/>
                <w:webHidden/>
              </w:rPr>
              <w:fldChar w:fldCharType="begin"/>
            </w:r>
            <w:r>
              <w:rPr>
                <w:noProof/>
                <w:webHidden/>
              </w:rPr>
              <w:instrText xml:space="preserve"> PAGEREF _Toc209035938 \h </w:instrText>
            </w:r>
            <w:r>
              <w:rPr>
                <w:noProof/>
                <w:webHidden/>
              </w:rPr>
            </w:r>
            <w:r>
              <w:rPr>
                <w:noProof/>
                <w:webHidden/>
              </w:rPr>
              <w:fldChar w:fldCharType="separate"/>
            </w:r>
            <w:r>
              <w:rPr>
                <w:noProof/>
                <w:webHidden/>
              </w:rPr>
              <w:t>10</w:t>
            </w:r>
            <w:r>
              <w:rPr>
                <w:noProof/>
                <w:webHidden/>
              </w:rPr>
              <w:fldChar w:fldCharType="end"/>
            </w:r>
          </w:hyperlink>
        </w:p>
        <w:p w14:paraId="30849520" w14:textId="6974FB2B"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39" w:history="1">
            <w:r w:rsidRPr="0068310F">
              <w:rPr>
                <w:rStyle w:val="Hyperlink"/>
                <w:noProof/>
              </w:rPr>
              <w:t>CAS number</w:t>
            </w:r>
            <w:r>
              <w:rPr>
                <w:noProof/>
                <w:webHidden/>
              </w:rPr>
              <w:tab/>
            </w:r>
            <w:r>
              <w:rPr>
                <w:noProof/>
                <w:webHidden/>
              </w:rPr>
              <w:fldChar w:fldCharType="begin"/>
            </w:r>
            <w:r>
              <w:rPr>
                <w:noProof/>
                <w:webHidden/>
              </w:rPr>
              <w:instrText xml:space="preserve"> PAGEREF _Toc209035939 \h </w:instrText>
            </w:r>
            <w:r>
              <w:rPr>
                <w:noProof/>
                <w:webHidden/>
              </w:rPr>
            </w:r>
            <w:r>
              <w:rPr>
                <w:noProof/>
                <w:webHidden/>
              </w:rPr>
              <w:fldChar w:fldCharType="separate"/>
            </w:r>
            <w:r>
              <w:rPr>
                <w:noProof/>
                <w:webHidden/>
              </w:rPr>
              <w:t>10</w:t>
            </w:r>
            <w:r>
              <w:rPr>
                <w:noProof/>
                <w:webHidden/>
              </w:rPr>
              <w:fldChar w:fldCharType="end"/>
            </w:r>
          </w:hyperlink>
        </w:p>
        <w:p w14:paraId="6959C111" w14:textId="42CBB498"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0" w:history="1">
            <w:r w:rsidRPr="0068310F">
              <w:rPr>
                <w:rStyle w:val="Hyperlink"/>
                <w:noProof/>
              </w:rPr>
              <w:t>Alternative names</w:t>
            </w:r>
            <w:r>
              <w:rPr>
                <w:noProof/>
                <w:webHidden/>
              </w:rPr>
              <w:tab/>
            </w:r>
            <w:r>
              <w:rPr>
                <w:noProof/>
                <w:webHidden/>
              </w:rPr>
              <w:fldChar w:fldCharType="begin"/>
            </w:r>
            <w:r>
              <w:rPr>
                <w:noProof/>
                <w:webHidden/>
              </w:rPr>
              <w:instrText xml:space="preserve"> PAGEREF _Toc209035940 \h </w:instrText>
            </w:r>
            <w:r>
              <w:rPr>
                <w:noProof/>
                <w:webHidden/>
              </w:rPr>
            </w:r>
            <w:r>
              <w:rPr>
                <w:noProof/>
                <w:webHidden/>
              </w:rPr>
              <w:fldChar w:fldCharType="separate"/>
            </w:r>
            <w:r>
              <w:rPr>
                <w:noProof/>
                <w:webHidden/>
              </w:rPr>
              <w:t>10</w:t>
            </w:r>
            <w:r>
              <w:rPr>
                <w:noProof/>
                <w:webHidden/>
              </w:rPr>
              <w:fldChar w:fldCharType="end"/>
            </w:r>
          </w:hyperlink>
        </w:p>
        <w:p w14:paraId="33509E37" w14:textId="600BE107"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1" w:history="1">
            <w:r w:rsidRPr="0068310F">
              <w:rPr>
                <w:rStyle w:val="Hyperlink"/>
                <w:noProof/>
              </w:rPr>
              <w:t>Applicant</w:t>
            </w:r>
            <w:r>
              <w:rPr>
                <w:noProof/>
                <w:webHidden/>
              </w:rPr>
              <w:tab/>
            </w:r>
            <w:r>
              <w:rPr>
                <w:noProof/>
                <w:webHidden/>
              </w:rPr>
              <w:fldChar w:fldCharType="begin"/>
            </w:r>
            <w:r>
              <w:rPr>
                <w:noProof/>
                <w:webHidden/>
              </w:rPr>
              <w:instrText xml:space="preserve"> PAGEREF _Toc209035941 \h </w:instrText>
            </w:r>
            <w:r>
              <w:rPr>
                <w:noProof/>
                <w:webHidden/>
              </w:rPr>
            </w:r>
            <w:r>
              <w:rPr>
                <w:noProof/>
                <w:webHidden/>
              </w:rPr>
              <w:fldChar w:fldCharType="separate"/>
            </w:r>
            <w:r>
              <w:rPr>
                <w:noProof/>
                <w:webHidden/>
              </w:rPr>
              <w:t>10</w:t>
            </w:r>
            <w:r>
              <w:rPr>
                <w:noProof/>
                <w:webHidden/>
              </w:rPr>
              <w:fldChar w:fldCharType="end"/>
            </w:r>
          </w:hyperlink>
        </w:p>
        <w:p w14:paraId="36D2732E" w14:textId="108B2C6F"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2" w:history="1">
            <w:r w:rsidRPr="0068310F">
              <w:rPr>
                <w:rStyle w:val="Hyperlink"/>
                <w:noProof/>
              </w:rPr>
              <w:t>Current Scheduling</w:t>
            </w:r>
            <w:r>
              <w:rPr>
                <w:noProof/>
                <w:webHidden/>
              </w:rPr>
              <w:tab/>
            </w:r>
            <w:r>
              <w:rPr>
                <w:noProof/>
                <w:webHidden/>
              </w:rPr>
              <w:fldChar w:fldCharType="begin"/>
            </w:r>
            <w:r>
              <w:rPr>
                <w:noProof/>
                <w:webHidden/>
              </w:rPr>
              <w:instrText xml:space="preserve"> PAGEREF _Toc209035942 \h </w:instrText>
            </w:r>
            <w:r>
              <w:rPr>
                <w:noProof/>
                <w:webHidden/>
              </w:rPr>
            </w:r>
            <w:r>
              <w:rPr>
                <w:noProof/>
                <w:webHidden/>
              </w:rPr>
              <w:fldChar w:fldCharType="separate"/>
            </w:r>
            <w:r>
              <w:rPr>
                <w:noProof/>
                <w:webHidden/>
              </w:rPr>
              <w:t>10</w:t>
            </w:r>
            <w:r>
              <w:rPr>
                <w:noProof/>
                <w:webHidden/>
              </w:rPr>
              <w:fldChar w:fldCharType="end"/>
            </w:r>
          </w:hyperlink>
        </w:p>
        <w:p w14:paraId="42998553" w14:textId="637D3140"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3" w:history="1">
            <w:r w:rsidRPr="0068310F">
              <w:rPr>
                <w:rStyle w:val="Hyperlink"/>
                <w:noProof/>
              </w:rPr>
              <w:t>Proposed Scheduling</w:t>
            </w:r>
            <w:r>
              <w:rPr>
                <w:noProof/>
                <w:webHidden/>
              </w:rPr>
              <w:tab/>
            </w:r>
            <w:r>
              <w:rPr>
                <w:noProof/>
                <w:webHidden/>
              </w:rPr>
              <w:fldChar w:fldCharType="begin"/>
            </w:r>
            <w:r>
              <w:rPr>
                <w:noProof/>
                <w:webHidden/>
              </w:rPr>
              <w:instrText xml:space="preserve"> PAGEREF _Toc209035943 \h </w:instrText>
            </w:r>
            <w:r>
              <w:rPr>
                <w:noProof/>
                <w:webHidden/>
              </w:rPr>
            </w:r>
            <w:r>
              <w:rPr>
                <w:noProof/>
                <w:webHidden/>
              </w:rPr>
              <w:fldChar w:fldCharType="separate"/>
            </w:r>
            <w:r>
              <w:rPr>
                <w:noProof/>
                <w:webHidden/>
              </w:rPr>
              <w:t>11</w:t>
            </w:r>
            <w:r>
              <w:rPr>
                <w:noProof/>
                <w:webHidden/>
              </w:rPr>
              <w:fldChar w:fldCharType="end"/>
            </w:r>
          </w:hyperlink>
        </w:p>
        <w:p w14:paraId="169CA449" w14:textId="6369C803"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4" w:history="1">
            <w:r w:rsidRPr="0068310F">
              <w:rPr>
                <w:rStyle w:val="Hyperlink"/>
                <w:noProof/>
              </w:rPr>
              <w:t>Background</w:t>
            </w:r>
            <w:r>
              <w:rPr>
                <w:noProof/>
                <w:webHidden/>
              </w:rPr>
              <w:tab/>
            </w:r>
            <w:r>
              <w:rPr>
                <w:noProof/>
                <w:webHidden/>
              </w:rPr>
              <w:fldChar w:fldCharType="begin"/>
            </w:r>
            <w:r>
              <w:rPr>
                <w:noProof/>
                <w:webHidden/>
              </w:rPr>
              <w:instrText xml:space="preserve"> PAGEREF _Toc209035944 \h </w:instrText>
            </w:r>
            <w:r>
              <w:rPr>
                <w:noProof/>
                <w:webHidden/>
              </w:rPr>
            </w:r>
            <w:r>
              <w:rPr>
                <w:noProof/>
                <w:webHidden/>
              </w:rPr>
              <w:fldChar w:fldCharType="separate"/>
            </w:r>
            <w:r>
              <w:rPr>
                <w:noProof/>
                <w:webHidden/>
              </w:rPr>
              <w:t>11</w:t>
            </w:r>
            <w:r>
              <w:rPr>
                <w:noProof/>
                <w:webHidden/>
              </w:rPr>
              <w:fldChar w:fldCharType="end"/>
            </w:r>
          </w:hyperlink>
        </w:p>
        <w:p w14:paraId="125743E9" w14:textId="4B3ECF60"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5" w:history="1">
            <w:r w:rsidRPr="0068310F">
              <w:rPr>
                <w:rStyle w:val="Hyperlink"/>
                <w:noProof/>
              </w:rPr>
              <w:t>Summary of applicant’s reasons for the proposal</w:t>
            </w:r>
            <w:r>
              <w:rPr>
                <w:noProof/>
                <w:webHidden/>
              </w:rPr>
              <w:tab/>
            </w:r>
            <w:r>
              <w:rPr>
                <w:noProof/>
                <w:webHidden/>
              </w:rPr>
              <w:fldChar w:fldCharType="begin"/>
            </w:r>
            <w:r>
              <w:rPr>
                <w:noProof/>
                <w:webHidden/>
              </w:rPr>
              <w:instrText xml:space="preserve"> PAGEREF _Toc209035945 \h </w:instrText>
            </w:r>
            <w:r>
              <w:rPr>
                <w:noProof/>
                <w:webHidden/>
              </w:rPr>
            </w:r>
            <w:r>
              <w:rPr>
                <w:noProof/>
                <w:webHidden/>
              </w:rPr>
              <w:fldChar w:fldCharType="separate"/>
            </w:r>
            <w:r>
              <w:rPr>
                <w:noProof/>
                <w:webHidden/>
              </w:rPr>
              <w:t>11</w:t>
            </w:r>
            <w:r>
              <w:rPr>
                <w:noProof/>
                <w:webHidden/>
              </w:rPr>
              <w:fldChar w:fldCharType="end"/>
            </w:r>
          </w:hyperlink>
        </w:p>
        <w:p w14:paraId="38D50EBF" w14:textId="65ECF08F"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6" w:history="1">
            <w:r w:rsidRPr="0068310F">
              <w:rPr>
                <w:rStyle w:val="Hyperlink"/>
                <w:noProof/>
              </w:rPr>
              <w:t>Key uses</w:t>
            </w:r>
            <w:r>
              <w:rPr>
                <w:noProof/>
                <w:webHidden/>
              </w:rPr>
              <w:tab/>
            </w:r>
            <w:r>
              <w:rPr>
                <w:noProof/>
                <w:webHidden/>
              </w:rPr>
              <w:fldChar w:fldCharType="begin"/>
            </w:r>
            <w:r>
              <w:rPr>
                <w:noProof/>
                <w:webHidden/>
              </w:rPr>
              <w:instrText xml:space="preserve"> PAGEREF _Toc209035946 \h </w:instrText>
            </w:r>
            <w:r>
              <w:rPr>
                <w:noProof/>
                <w:webHidden/>
              </w:rPr>
            </w:r>
            <w:r>
              <w:rPr>
                <w:noProof/>
                <w:webHidden/>
              </w:rPr>
              <w:fldChar w:fldCharType="separate"/>
            </w:r>
            <w:r>
              <w:rPr>
                <w:noProof/>
                <w:webHidden/>
              </w:rPr>
              <w:t>12</w:t>
            </w:r>
            <w:r>
              <w:rPr>
                <w:noProof/>
                <w:webHidden/>
              </w:rPr>
              <w:fldChar w:fldCharType="end"/>
            </w:r>
          </w:hyperlink>
        </w:p>
        <w:p w14:paraId="60A38BB4" w14:textId="16A85546"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7" w:history="1">
            <w:r w:rsidRPr="0068310F">
              <w:rPr>
                <w:rStyle w:val="Hyperlink"/>
                <w:noProof/>
              </w:rPr>
              <w:t>Australian regulations</w:t>
            </w:r>
            <w:r>
              <w:rPr>
                <w:noProof/>
                <w:webHidden/>
              </w:rPr>
              <w:tab/>
            </w:r>
            <w:r>
              <w:rPr>
                <w:noProof/>
                <w:webHidden/>
              </w:rPr>
              <w:fldChar w:fldCharType="begin"/>
            </w:r>
            <w:r>
              <w:rPr>
                <w:noProof/>
                <w:webHidden/>
              </w:rPr>
              <w:instrText xml:space="preserve"> PAGEREF _Toc209035947 \h </w:instrText>
            </w:r>
            <w:r>
              <w:rPr>
                <w:noProof/>
                <w:webHidden/>
              </w:rPr>
            </w:r>
            <w:r>
              <w:rPr>
                <w:noProof/>
                <w:webHidden/>
              </w:rPr>
              <w:fldChar w:fldCharType="separate"/>
            </w:r>
            <w:r>
              <w:rPr>
                <w:noProof/>
                <w:webHidden/>
              </w:rPr>
              <w:t>12</w:t>
            </w:r>
            <w:r>
              <w:rPr>
                <w:noProof/>
                <w:webHidden/>
              </w:rPr>
              <w:fldChar w:fldCharType="end"/>
            </w:r>
          </w:hyperlink>
        </w:p>
        <w:p w14:paraId="7D335BD1" w14:textId="6287A1D8"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48" w:history="1">
            <w:r w:rsidRPr="0068310F">
              <w:rPr>
                <w:rStyle w:val="Hyperlink"/>
                <w:noProof/>
              </w:rPr>
              <w:t>International regulations</w:t>
            </w:r>
            <w:r>
              <w:rPr>
                <w:noProof/>
                <w:webHidden/>
              </w:rPr>
              <w:tab/>
            </w:r>
            <w:r>
              <w:rPr>
                <w:noProof/>
                <w:webHidden/>
              </w:rPr>
              <w:fldChar w:fldCharType="begin"/>
            </w:r>
            <w:r>
              <w:rPr>
                <w:noProof/>
                <w:webHidden/>
              </w:rPr>
              <w:instrText xml:space="preserve"> PAGEREF _Toc209035948 \h </w:instrText>
            </w:r>
            <w:r>
              <w:rPr>
                <w:noProof/>
                <w:webHidden/>
              </w:rPr>
            </w:r>
            <w:r>
              <w:rPr>
                <w:noProof/>
                <w:webHidden/>
              </w:rPr>
              <w:fldChar w:fldCharType="separate"/>
            </w:r>
            <w:r>
              <w:rPr>
                <w:noProof/>
                <w:webHidden/>
              </w:rPr>
              <w:t>12</w:t>
            </w:r>
            <w:r>
              <w:rPr>
                <w:noProof/>
                <w:webHidden/>
              </w:rPr>
              <w:fldChar w:fldCharType="end"/>
            </w:r>
          </w:hyperlink>
        </w:p>
        <w:p w14:paraId="3656628D" w14:textId="50FF090A" w:rsidR="000F3171" w:rsidRDefault="000F3171">
          <w:pPr>
            <w:pStyle w:val="TOC2"/>
            <w:rPr>
              <w:rFonts w:asciiTheme="minorHAnsi" w:eastAsiaTheme="minorEastAsia" w:hAnsiTheme="minorHAnsi" w:cstheme="minorBidi"/>
              <w:noProof/>
              <w:color w:val="auto"/>
              <w:kern w:val="2"/>
              <w:szCs w:val="24"/>
              <w:lang w:eastAsia="en-AU"/>
              <w14:ligatures w14:val="standardContextual"/>
            </w:rPr>
          </w:pPr>
          <w:hyperlink w:anchor="_Toc209035949" w:history="1">
            <w:r w:rsidRPr="0068310F">
              <w:rPr>
                <w:rStyle w:val="Hyperlink"/>
                <w:noProof/>
              </w:rPr>
              <w:t>1.3 Mannitol</w:t>
            </w:r>
            <w:r>
              <w:rPr>
                <w:noProof/>
                <w:webHidden/>
              </w:rPr>
              <w:tab/>
            </w:r>
            <w:r>
              <w:rPr>
                <w:noProof/>
                <w:webHidden/>
              </w:rPr>
              <w:fldChar w:fldCharType="begin"/>
            </w:r>
            <w:r>
              <w:rPr>
                <w:noProof/>
                <w:webHidden/>
              </w:rPr>
              <w:instrText xml:space="preserve"> PAGEREF _Toc209035949 \h </w:instrText>
            </w:r>
            <w:r>
              <w:rPr>
                <w:noProof/>
                <w:webHidden/>
              </w:rPr>
            </w:r>
            <w:r>
              <w:rPr>
                <w:noProof/>
                <w:webHidden/>
              </w:rPr>
              <w:fldChar w:fldCharType="separate"/>
            </w:r>
            <w:r>
              <w:rPr>
                <w:noProof/>
                <w:webHidden/>
              </w:rPr>
              <w:t>14</w:t>
            </w:r>
            <w:r>
              <w:rPr>
                <w:noProof/>
                <w:webHidden/>
              </w:rPr>
              <w:fldChar w:fldCharType="end"/>
            </w:r>
          </w:hyperlink>
        </w:p>
        <w:p w14:paraId="2B0F9E5B" w14:textId="2A31D0D6"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0" w:history="1">
            <w:r w:rsidRPr="0068310F">
              <w:rPr>
                <w:rStyle w:val="Hyperlink"/>
                <w:noProof/>
              </w:rPr>
              <w:t>Proposal</w:t>
            </w:r>
            <w:r>
              <w:rPr>
                <w:noProof/>
                <w:webHidden/>
              </w:rPr>
              <w:tab/>
            </w:r>
            <w:r>
              <w:rPr>
                <w:noProof/>
                <w:webHidden/>
              </w:rPr>
              <w:fldChar w:fldCharType="begin"/>
            </w:r>
            <w:r>
              <w:rPr>
                <w:noProof/>
                <w:webHidden/>
              </w:rPr>
              <w:instrText xml:space="preserve"> PAGEREF _Toc209035950 \h </w:instrText>
            </w:r>
            <w:r>
              <w:rPr>
                <w:noProof/>
                <w:webHidden/>
              </w:rPr>
            </w:r>
            <w:r>
              <w:rPr>
                <w:noProof/>
                <w:webHidden/>
              </w:rPr>
              <w:fldChar w:fldCharType="separate"/>
            </w:r>
            <w:r>
              <w:rPr>
                <w:noProof/>
                <w:webHidden/>
              </w:rPr>
              <w:t>14</w:t>
            </w:r>
            <w:r>
              <w:rPr>
                <w:noProof/>
                <w:webHidden/>
              </w:rPr>
              <w:fldChar w:fldCharType="end"/>
            </w:r>
          </w:hyperlink>
        </w:p>
        <w:p w14:paraId="113AC873" w14:textId="3B3129C1"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1" w:history="1">
            <w:r w:rsidRPr="0068310F">
              <w:rPr>
                <w:rStyle w:val="Hyperlink"/>
                <w:noProof/>
              </w:rPr>
              <w:t>CAS number</w:t>
            </w:r>
            <w:r>
              <w:rPr>
                <w:noProof/>
                <w:webHidden/>
              </w:rPr>
              <w:tab/>
            </w:r>
            <w:r>
              <w:rPr>
                <w:noProof/>
                <w:webHidden/>
              </w:rPr>
              <w:fldChar w:fldCharType="begin"/>
            </w:r>
            <w:r>
              <w:rPr>
                <w:noProof/>
                <w:webHidden/>
              </w:rPr>
              <w:instrText xml:space="preserve"> PAGEREF _Toc209035951 \h </w:instrText>
            </w:r>
            <w:r>
              <w:rPr>
                <w:noProof/>
                <w:webHidden/>
              </w:rPr>
            </w:r>
            <w:r>
              <w:rPr>
                <w:noProof/>
                <w:webHidden/>
              </w:rPr>
              <w:fldChar w:fldCharType="separate"/>
            </w:r>
            <w:r>
              <w:rPr>
                <w:noProof/>
                <w:webHidden/>
              </w:rPr>
              <w:t>14</w:t>
            </w:r>
            <w:r>
              <w:rPr>
                <w:noProof/>
                <w:webHidden/>
              </w:rPr>
              <w:fldChar w:fldCharType="end"/>
            </w:r>
          </w:hyperlink>
        </w:p>
        <w:p w14:paraId="1728B0E2" w14:textId="04F94CAB"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2" w:history="1">
            <w:r w:rsidRPr="0068310F">
              <w:rPr>
                <w:rStyle w:val="Hyperlink"/>
                <w:noProof/>
              </w:rPr>
              <w:t>Alternative names</w:t>
            </w:r>
            <w:r>
              <w:rPr>
                <w:noProof/>
                <w:webHidden/>
              </w:rPr>
              <w:tab/>
            </w:r>
            <w:r>
              <w:rPr>
                <w:noProof/>
                <w:webHidden/>
              </w:rPr>
              <w:fldChar w:fldCharType="begin"/>
            </w:r>
            <w:r>
              <w:rPr>
                <w:noProof/>
                <w:webHidden/>
              </w:rPr>
              <w:instrText xml:space="preserve"> PAGEREF _Toc209035952 \h </w:instrText>
            </w:r>
            <w:r>
              <w:rPr>
                <w:noProof/>
                <w:webHidden/>
              </w:rPr>
            </w:r>
            <w:r>
              <w:rPr>
                <w:noProof/>
                <w:webHidden/>
              </w:rPr>
              <w:fldChar w:fldCharType="separate"/>
            </w:r>
            <w:r>
              <w:rPr>
                <w:noProof/>
                <w:webHidden/>
              </w:rPr>
              <w:t>14</w:t>
            </w:r>
            <w:r>
              <w:rPr>
                <w:noProof/>
                <w:webHidden/>
              </w:rPr>
              <w:fldChar w:fldCharType="end"/>
            </w:r>
          </w:hyperlink>
        </w:p>
        <w:p w14:paraId="0F167E0F" w14:textId="4E60731A"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3" w:history="1">
            <w:r w:rsidRPr="0068310F">
              <w:rPr>
                <w:rStyle w:val="Hyperlink"/>
                <w:noProof/>
              </w:rPr>
              <w:t>Proposed Scheduling</w:t>
            </w:r>
            <w:r>
              <w:rPr>
                <w:noProof/>
                <w:webHidden/>
              </w:rPr>
              <w:tab/>
            </w:r>
            <w:r>
              <w:rPr>
                <w:noProof/>
                <w:webHidden/>
              </w:rPr>
              <w:fldChar w:fldCharType="begin"/>
            </w:r>
            <w:r>
              <w:rPr>
                <w:noProof/>
                <w:webHidden/>
              </w:rPr>
              <w:instrText xml:space="preserve"> PAGEREF _Toc209035953 \h </w:instrText>
            </w:r>
            <w:r>
              <w:rPr>
                <w:noProof/>
                <w:webHidden/>
              </w:rPr>
            </w:r>
            <w:r>
              <w:rPr>
                <w:noProof/>
                <w:webHidden/>
              </w:rPr>
              <w:fldChar w:fldCharType="separate"/>
            </w:r>
            <w:r>
              <w:rPr>
                <w:noProof/>
                <w:webHidden/>
              </w:rPr>
              <w:t>14</w:t>
            </w:r>
            <w:r>
              <w:rPr>
                <w:noProof/>
                <w:webHidden/>
              </w:rPr>
              <w:fldChar w:fldCharType="end"/>
            </w:r>
          </w:hyperlink>
        </w:p>
        <w:p w14:paraId="6CEEC283" w14:textId="79BADE15"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4" w:history="1">
            <w:r w:rsidRPr="0068310F">
              <w:rPr>
                <w:rStyle w:val="Hyperlink"/>
                <w:noProof/>
              </w:rPr>
              <w:t>Background</w:t>
            </w:r>
            <w:r>
              <w:rPr>
                <w:noProof/>
                <w:webHidden/>
              </w:rPr>
              <w:tab/>
            </w:r>
            <w:r>
              <w:rPr>
                <w:noProof/>
                <w:webHidden/>
              </w:rPr>
              <w:fldChar w:fldCharType="begin"/>
            </w:r>
            <w:r>
              <w:rPr>
                <w:noProof/>
                <w:webHidden/>
              </w:rPr>
              <w:instrText xml:space="preserve"> PAGEREF _Toc209035954 \h </w:instrText>
            </w:r>
            <w:r>
              <w:rPr>
                <w:noProof/>
                <w:webHidden/>
              </w:rPr>
            </w:r>
            <w:r>
              <w:rPr>
                <w:noProof/>
                <w:webHidden/>
              </w:rPr>
              <w:fldChar w:fldCharType="separate"/>
            </w:r>
            <w:r>
              <w:rPr>
                <w:noProof/>
                <w:webHidden/>
              </w:rPr>
              <w:t>14</w:t>
            </w:r>
            <w:r>
              <w:rPr>
                <w:noProof/>
                <w:webHidden/>
              </w:rPr>
              <w:fldChar w:fldCharType="end"/>
            </w:r>
          </w:hyperlink>
        </w:p>
        <w:p w14:paraId="1EA91D38" w14:textId="00DBBF7E"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5" w:history="1">
            <w:r w:rsidRPr="0068310F">
              <w:rPr>
                <w:rStyle w:val="Hyperlink"/>
                <w:noProof/>
              </w:rPr>
              <w:t>Summary of reasons for the proposal</w:t>
            </w:r>
            <w:r>
              <w:rPr>
                <w:noProof/>
                <w:webHidden/>
              </w:rPr>
              <w:tab/>
            </w:r>
            <w:r>
              <w:rPr>
                <w:noProof/>
                <w:webHidden/>
              </w:rPr>
              <w:fldChar w:fldCharType="begin"/>
            </w:r>
            <w:r>
              <w:rPr>
                <w:noProof/>
                <w:webHidden/>
              </w:rPr>
              <w:instrText xml:space="preserve"> PAGEREF _Toc209035955 \h </w:instrText>
            </w:r>
            <w:r>
              <w:rPr>
                <w:noProof/>
                <w:webHidden/>
              </w:rPr>
            </w:r>
            <w:r>
              <w:rPr>
                <w:noProof/>
                <w:webHidden/>
              </w:rPr>
              <w:fldChar w:fldCharType="separate"/>
            </w:r>
            <w:r>
              <w:rPr>
                <w:noProof/>
                <w:webHidden/>
              </w:rPr>
              <w:t>15</w:t>
            </w:r>
            <w:r>
              <w:rPr>
                <w:noProof/>
                <w:webHidden/>
              </w:rPr>
              <w:fldChar w:fldCharType="end"/>
            </w:r>
          </w:hyperlink>
        </w:p>
        <w:p w14:paraId="58D2AA1C" w14:textId="0F02E362"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6" w:history="1">
            <w:r w:rsidRPr="0068310F">
              <w:rPr>
                <w:rStyle w:val="Hyperlink"/>
                <w:noProof/>
              </w:rPr>
              <w:t>Key uses/expected use</w:t>
            </w:r>
            <w:r>
              <w:rPr>
                <w:noProof/>
                <w:webHidden/>
              </w:rPr>
              <w:tab/>
            </w:r>
            <w:r>
              <w:rPr>
                <w:noProof/>
                <w:webHidden/>
              </w:rPr>
              <w:fldChar w:fldCharType="begin"/>
            </w:r>
            <w:r>
              <w:rPr>
                <w:noProof/>
                <w:webHidden/>
              </w:rPr>
              <w:instrText xml:space="preserve"> PAGEREF _Toc209035956 \h </w:instrText>
            </w:r>
            <w:r>
              <w:rPr>
                <w:noProof/>
                <w:webHidden/>
              </w:rPr>
            </w:r>
            <w:r>
              <w:rPr>
                <w:noProof/>
                <w:webHidden/>
              </w:rPr>
              <w:fldChar w:fldCharType="separate"/>
            </w:r>
            <w:r>
              <w:rPr>
                <w:noProof/>
                <w:webHidden/>
              </w:rPr>
              <w:t>15</w:t>
            </w:r>
            <w:r>
              <w:rPr>
                <w:noProof/>
                <w:webHidden/>
              </w:rPr>
              <w:fldChar w:fldCharType="end"/>
            </w:r>
          </w:hyperlink>
        </w:p>
        <w:p w14:paraId="24D4D9ED" w14:textId="4E745D25"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7" w:history="1">
            <w:r w:rsidRPr="0068310F">
              <w:rPr>
                <w:rStyle w:val="Hyperlink"/>
                <w:noProof/>
              </w:rPr>
              <w:t>Australian regulations</w:t>
            </w:r>
            <w:r>
              <w:rPr>
                <w:noProof/>
                <w:webHidden/>
              </w:rPr>
              <w:tab/>
            </w:r>
            <w:r>
              <w:rPr>
                <w:noProof/>
                <w:webHidden/>
              </w:rPr>
              <w:fldChar w:fldCharType="begin"/>
            </w:r>
            <w:r>
              <w:rPr>
                <w:noProof/>
                <w:webHidden/>
              </w:rPr>
              <w:instrText xml:space="preserve"> PAGEREF _Toc209035957 \h </w:instrText>
            </w:r>
            <w:r>
              <w:rPr>
                <w:noProof/>
                <w:webHidden/>
              </w:rPr>
            </w:r>
            <w:r>
              <w:rPr>
                <w:noProof/>
                <w:webHidden/>
              </w:rPr>
              <w:fldChar w:fldCharType="separate"/>
            </w:r>
            <w:r>
              <w:rPr>
                <w:noProof/>
                <w:webHidden/>
              </w:rPr>
              <w:t>15</w:t>
            </w:r>
            <w:r>
              <w:rPr>
                <w:noProof/>
                <w:webHidden/>
              </w:rPr>
              <w:fldChar w:fldCharType="end"/>
            </w:r>
          </w:hyperlink>
        </w:p>
        <w:p w14:paraId="14B92634" w14:textId="130937F7"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58" w:history="1">
            <w:r w:rsidRPr="0068310F">
              <w:rPr>
                <w:rStyle w:val="Hyperlink"/>
                <w:noProof/>
              </w:rPr>
              <w:t>International regulations</w:t>
            </w:r>
            <w:r>
              <w:rPr>
                <w:noProof/>
                <w:webHidden/>
              </w:rPr>
              <w:tab/>
            </w:r>
            <w:r>
              <w:rPr>
                <w:noProof/>
                <w:webHidden/>
              </w:rPr>
              <w:fldChar w:fldCharType="begin"/>
            </w:r>
            <w:r>
              <w:rPr>
                <w:noProof/>
                <w:webHidden/>
              </w:rPr>
              <w:instrText xml:space="preserve"> PAGEREF _Toc209035958 \h </w:instrText>
            </w:r>
            <w:r>
              <w:rPr>
                <w:noProof/>
                <w:webHidden/>
              </w:rPr>
            </w:r>
            <w:r>
              <w:rPr>
                <w:noProof/>
                <w:webHidden/>
              </w:rPr>
              <w:fldChar w:fldCharType="separate"/>
            </w:r>
            <w:r>
              <w:rPr>
                <w:noProof/>
                <w:webHidden/>
              </w:rPr>
              <w:t>16</w:t>
            </w:r>
            <w:r>
              <w:rPr>
                <w:noProof/>
                <w:webHidden/>
              </w:rPr>
              <w:fldChar w:fldCharType="end"/>
            </w:r>
          </w:hyperlink>
        </w:p>
        <w:p w14:paraId="1DFB48D9" w14:textId="290B0B90" w:rsidR="000F3171" w:rsidRDefault="000F3171">
          <w:pPr>
            <w:pStyle w:val="TOC2"/>
            <w:rPr>
              <w:rFonts w:asciiTheme="minorHAnsi" w:eastAsiaTheme="minorEastAsia" w:hAnsiTheme="minorHAnsi" w:cstheme="minorBidi"/>
              <w:noProof/>
              <w:color w:val="auto"/>
              <w:kern w:val="2"/>
              <w:szCs w:val="24"/>
              <w:lang w:eastAsia="en-AU"/>
              <w14:ligatures w14:val="standardContextual"/>
            </w:rPr>
          </w:pPr>
          <w:hyperlink w:anchor="_Toc209035959" w:history="1">
            <w:r w:rsidRPr="0068310F">
              <w:rPr>
                <w:rStyle w:val="Hyperlink"/>
                <w:noProof/>
              </w:rPr>
              <w:t>1.4 Efepoetin</w:t>
            </w:r>
            <w:r>
              <w:rPr>
                <w:noProof/>
                <w:webHidden/>
              </w:rPr>
              <w:tab/>
            </w:r>
            <w:r>
              <w:rPr>
                <w:noProof/>
                <w:webHidden/>
              </w:rPr>
              <w:fldChar w:fldCharType="begin"/>
            </w:r>
            <w:r>
              <w:rPr>
                <w:noProof/>
                <w:webHidden/>
              </w:rPr>
              <w:instrText xml:space="preserve"> PAGEREF _Toc209035959 \h </w:instrText>
            </w:r>
            <w:r>
              <w:rPr>
                <w:noProof/>
                <w:webHidden/>
              </w:rPr>
            </w:r>
            <w:r>
              <w:rPr>
                <w:noProof/>
                <w:webHidden/>
              </w:rPr>
              <w:fldChar w:fldCharType="separate"/>
            </w:r>
            <w:r>
              <w:rPr>
                <w:noProof/>
                <w:webHidden/>
              </w:rPr>
              <w:t>16</w:t>
            </w:r>
            <w:r>
              <w:rPr>
                <w:noProof/>
                <w:webHidden/>
              </w:rPr>
              <w:fldChar w:fldCharType="end"/>
            </w:r>
          </w:hyperlink>
        </w:p>
        <w:p w14:paraId="4C2669E6" w14:textId="2485F2F3"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60" w:history="1">
            <w:r w:rsidRPr="0068310F">
              <w:rPr>
                <w:rStyle w:val="Hyperlink"/>
                <w:noProof/>
              </w:rPr>
              <w:t>Proposal</w:t>
            </w:r>
            <w:r>
              <w:rPr>
                <w:noProof/>
                <w:webHidden/>
              </w:rPr>
              <w:tab/>
            </w:r>
            <w:r>
              <w:rPr>
                <w:noProof/>
                <w:webHidden/>
              </w:rPr>
              <w:fldChar w:fldCharType="begin"/>
            </w:r>
            <w:r>
              <w:rPr>
                <w:noProof/>
                <w:webHidden/>
              </w:rPr>
              <w:instrText xml:space="preserve"> PAGEREF _Toc209035960 \h </w:instrText>
            </w:r>
            <w:r>
              <w:rPr>
                <w:noProof/>
                <w:webHidden/>
              </w:rPr>
            </w:r>
            <w:r>
              <w:rPr>
                <w:noProof/>
                <w:webHidden/>
              </w:rPr>
              <w:fldChar w:fldCharType="separate"/>
            </w:r>
            <w:r>
              <w:rPr>
                <w:noProof/>
                <w:webHidden/>
              </w:rPr>
              <w:t>16</w:t>
            </w:r>
            <w:r>
              <w:rPr>
                <w:noProof/>
                <w:webHidden/>
              </w:rPr>
              <w:fldChar w:fldCharType="end"/>
            </w:r>
          </w:hyperlink>
        </w:p>
        <w:p w14:paraId="78B977D0" w14:textId="6A9949EE"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61" w:history="1">
            <w:r w:rsidRPr="0068310F">
              <w:rPr>
                <w:rStyle w:val="Hyperlink"/>
                <w:noProof/>
              </w:rPr>
              <w:t>CAS number</w:t>
            </w:r>
            <w:r>
              <w:rPr>
                <w:noProof/>
                <w:webHidden/>
              </w:rPr>
              <w:tab/>
            </w:r>
            <w:r>
              <w:rPr>
                <w:noProof/>
                <w:webHidden/>
              </w:rPr>
              <w:fldChar w:fldCharType="begin"/>
            </w:r>
            <w:r>
              <w:rPr>
                <w:noProof/>
                <w:webHidden/>
              </w:rPr>
              <w:instrText xml:space="preserve"> PAGEREF _Toc209035961 \h </w:instrText>
            </w:r>
            <w:r>
              <w:rPr>
                <w:noProof/>
                <w:webHidden/>
              </w:rPr>
            </w:r>
            <w:r>
              <w:rPr>
                <w:noProof/>
                <w:webHidden/>
              </w:rPr>
              <w:fldChar w:fldCharType="separate"/>
            </w:r>
            <w:r>
              <w:rPr>
                <w:noProof/>
                <w:webHidden/>
              </w:rPr>
              <w:t>16</w:t>
            </w:r>
            <w:r>
              <w:rPr>
                <w:noProof/>
                <w:webHidden/>
              </w:rPr>
              <w:fldChar w:fldCharType="end"/>
            </w:r>
          </w:hyperlink>
        </w:p>
        <w:p w14:paraId="7E366FE7" w14:textId="080D6CEB"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62" w:history="1">
            <w:r w:rsidRPr="0068310F">
              <w:rPr>
                <w:rStyle w:val="Hyperlink"/>
                <w:noProof/>
              </w:rPr>
              <w:t>Proposed Scheduling</w:t>
            </w:r>
            <w:r>
              <w:rPr>
                <w:noProof/>
                <w:webHidden/>
              </w:rPr>
              <w:tab/>
            </w:r>
            <w:r>
              <w:rPr>
                <w:noProof/>
                <w:webHidden/>
              </w:rPr>
              <w:fldChar w:fldCharType="begin"/>
            </w:r>
            <w:r>
              <w:rPr>
                <w:noProof/>
                <w:webHidden/>
              </w:rPr>
              <w:instrText xml:space="preserve"> PAGEREF _Toc209035962 \h </w:instrText>
            </w:r>
            <w:r>
              <w:rPr>
                <w:noProof/>
                <w:webHidden/>
              </w:rPr>
            </w:r>
            <w:r>
              <w:rPr>
                <w:noProof/>
                <w:webHidden/>
              </w:rPr>
              <w:fldChar w:fldCharType="separate"/>
            </w:r>
            <w:r>
              <w:rPr>
                <w:noProof/>
                <w:webHidden/>
              </w:rPr>
              <w:t>17</w:t>
            </w:r>
            <w:r>
              <w:rPr>
                <w:noProof/>
                <w:webHidden/>
              </w:rPr>
              <w:fldChar w:fldCharType="end"/>
            </w:r>
          </w:hyperlink>
        </w:p>
        <w:p w14:paraId="096FEF2D" w14:textId="67B3E335"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63" w:history="1">
            <w:r w:rsidRPr="0068310F">
              <w:rPr>
                <w:rStyle w:val="Hyperlink"/>
                <w:noProof/>
              </w:rPr>
              <w:t>Background</w:t>
            </w:r>
            <w:r>
              <w:rPr>
                <w:noProof/>
                <w:webHidden/>
              </w:rPr>
              <w:tab/>
            </w:r>
            <w:r>
              <w:rPr>
                <w:noProof/>
                <w:webHidden/>
              </w:rPr>
              <w:fldChar w:fldCharType="begin"/>
            </w:r>
            <w:r>
              <w:rPr>
                <w:noProof/>
                <w:webHidden/>
              </w:rPr>
              <w:instrText xml:space="preserve"> PAGEREF _Toc209035963 \h </w:instrText>
            </w:r>
            <w:r>
              <w:rPr>
                <w:noProof/>
                <w:webHidden/>
              </w:rPr>
            </w:r>
            <w:r>
              <w:rPr>
                <w:noProof/>
                <w:webHidden/>
              </w:rPr>
              <w:fldChar w:fldCharType="separate"/>
            </w:r>
            <w:r>
              <w:rPr>
                <w:noProof/>
                <w:webHidden/>
              </w:rPr>
              <w:t>17</w:t>
            </w:r>
            <w:r>
              <w:rPr>
                <w:noProof/>
                <w:webHidden/>
              </w:rPr>
              <w:fldChar w:fldCharType="end"/>
            </w:r>
          </w:hyperlink>
        </w:p>
        <w:p w14:paraId="2637475F" w14:textId="24D5A7DE"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64" w:history="1">
            <w:r w:rsidRPr="0068310F">
              <w:rPr>
                <w:rStyle w:val="Hyperlink"/>
                <w:noProof/>
              </w:rPr>
              <w:t>Summary of reasons for the proposal</w:t>
            </w:r>
            <w:r>
              <w:rPr>
                <w:noProof/>
                <w:webHidden/>
              </w:rPr>
              <w:tab/>
            </w:r>
            <w:r>
              <w:rPr>
                <w:noProof/>
                <w:webHidden/>
              </w:rPr>
              <w:fldChar w:fldCharType="begin"/>
            </w:r>
            <w:r>
              <w:rPr>
                <w:noProof/>
                <w:webHidden/>
              </w:rPr>
              <w:instrText xml:space="preserve"> PAGEREF _Toc209035964 \h </w:instrText>
            </w:r>
            <w:r>
              <w:rPr>
                <w:noProof/>
                <w:webHidden/>
              </w:rPr>
            </w:r>
            <w:r>
              <w:rPr>
                <w:noProof/>
                <w:webHidden/>
              </w:rPr>
              <w:fldChar w:fldCharType="separate"/>
            </w:r>
            <w:r>
              <w:rPr>
                <w:noProof/>
                <w:webHidden/>
              </w:rPr>
              <w:t>17</w:t>
            </w:r>
            <w:r>
              <w:rPr>
                <w:noProof/>
                <w:webHidden/>
              </w:rPr>
              <w:fldChar w:fldCharType="end"/>
            </w:r>
          </w:hyperlink>
        </w:p>
        <w:p w14:paraId="31B9DFEE" w14:textId="12C1A4B5"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65" w:history="1">
            <w:r w:rsidRPr="0068310F">
              <w:rPr>
                <w:rStyle w:val="Hyperlink"/>
                <w:noProof/>
              </w:rPr>
              <w:t>Key uses/expected use</w:t>
            </w:r>
            <w:r>
              <w:rPr>
                <w:noProof/>
                <w:webHidden/>
              </w:rPr>
              <w:tab/>
            </w:r>
            <w:r>
              <w:rPr>
                <w:noProof/>
                <w:webHidden/>
              </w:rPr>
              <w:fldChar w:fldCharType="begin"/>
            </w:r>
            <w:r>
              <w:rPr>
                <w:noProof/>
                <w:webHidden/>
              </w:rPr>
              <w:instrText xml:space="preserve"> PAGEREF _Toc209035965 \h </w:instrText>
            </w:r>
            <w:r>
              <w:rPr>
                <w:noProof/>
                <w:webHidden/>
              </w:rPr>
            </w:r>
            <w:r>
              <w:rPr>
                <w:noProof/>
                <w:webHidden/>
              </w:rPr>
              <w:fldChar w:fldCharType="separate"/>
            </w:r>
            <w:r>
              <w:rPr>
                <w:noProof/>
                <w:webHidden/>
              </w:rPr>
              <w:t>17</w:t>
            </w:r>
            <w:r>
              <w:rPr>
                <w:noProof/>
                <w:webHidden/>
              </w:rPr>
              <w:fldChar w:fldCharType="end"/>
            </w:r>
          </w:hyperlink>
        </w:p>
        <w:p w14:paraId="42D06DD3" w14:textId="709DB5D7"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66" w:history="1">
            <w:r w:rsidRPr="0068310F">
              <w:rPr>
                <w:rStyle w:val="Hyperlink"/>
                <w:noProof/>
              </w:rPr>
              <w:t>Australian regulations</w:t>
            </w:r>
            <w:r>
              <w:rPr>
                <w:noProof/>
                <w:webHidden/>
              </w:rPr>
              <w:tab/>
            </w:r>
            <w:r>
              <w:rPr>
                <w:noProof/>
                <w:webHidden/>
              </w:rPr>
              <w:fldChar w:fldCharType="begin"/>
            </w:r>
            <w:r>
              <w:rPr>
                <w:noProof/>
                <w:webHidden/>
              </w:rPr>
              <w:instrText xml:space="preserve"> PAGEREF _Toc209035966 \h </w:instrText>
            </w:r>
            <w:r>
              <w:rPr>
                <w:noProof/>
                <w:webHidden/>
              </w:rPr>
            </w:r>
            <w:r>
              <w:rPr>
                <w:noProof/>
                <w:webHidden/>
              </w:rPr>
              <w:fldChar w:fldCharType="separate"/>
            </w:r>
            <w:r>
              <w:rPr>
                <w:noProof/>
                <w:webHidden/>
              </w:rPr>
              <w:t>17</w:t>
            </w:r>
            <w:r>
              <w:rPr>
                <w:noProof/>
                <w:webHidden/>
              </w:rPr>
              <w:fldChar w:fldCharType="end"/>
            </w:r>
          </w:hyperlink>
        </w:p>
        <w:p w14:paraId="5112129D" w14:textId="156FA747"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67" w:history="1">
            <w:r w:rsidRPr="0068310F">
              <w:rPr>
                <w:rStyle w:val="Hyperlink"/>
                <w:noProof/>
              </w:rPr>
              <w:t>International regulations</w:t>
            </w:r>
            <w:r>
              <w:rPr>
                <w:noProof/>
                <w:webHidden/>
              </w:rPr>
              <w:tab/>
            </w:r>
            <w:r>
              <w:rPr>
                <w:noProof/>
                <w:webHidden/>
              </w:rPr>
              <w:fldChar w:fldCharType="begin"/>
            </w:r>
            <w:r>
              <w:rPr>
                <w:noProof/>
                <w:webHidden/>
              </w:rPr>
              <w:instrText xml:space="preserve"> PAGEREF _Toc209035967 \h </w:instrText>
            </w:r>
            <w:r>
              <w:rPr>
                <w:noProof/>
                <w:webHidden/>
              </w:rPr>
            </w:r>
            <w:r>
              <w:rPr>
                <w:noProof/>
                <w:webHidden/>
              </w:rPr>
              <w:fldChar w:fldCharType="separate"/>
            </w:r>
            <w:r>
              <w:rPr>
                <w:noProof/>
                <w:webHidden/>
              </w:rPr>
              <w:t>18</w:t>
            </w:r>
            <w:r>
              <w:rPr>
                <w:noProof/>
                <w:webHidden/>
              </w:rPr>
              <w:fldChar w:fldCharType="end"/>
            </w:r>
          </w:hyperlink>
        </w:p>
        <w:p w14:paraId="3D60FE82" w14:textId="475F4C7E" w:rsidR="000F3171" w:rsidRDefault="000F3171">
          <w:pPr>
            <w:pStyle w:val="TOC1"/>
            <w:tabs>
              <w:tab w:val="left" w:pos="425"/>
            </w:tabs>
            <w:rPr>
              <w:rFonts w:asciiTheme="minorHAnsi" w:eastAsiaTheme="minorEastAsia" w:hAnsiTheme="minorHAnsi" w:cstheme="minorBidi"/>
              <w:b w:val="0"/>
              <w:noProof/>
              <w:color w:val="auto"/>
              <w:kern w:val="2"/>
              <w:sz w:val="24"/>
              <w:szCs w:val="24"/>
              <w:lang w:eastAsia="en-AU"/>
              <w14:ligatures w14:val="standardContextual"/>
            </w:rPr>
          </w:pPr>
          <w:hyperlink w:anchor="_Toc209035968" w:history="1">
            <w:r w:rsidRPr="0068310F">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68310F">
              <w:rPr>
                <w:rStyle w:val="Hyperlink"/>
                <w:noProof/>
              </w:rPr>
              <w:t>Proposed amendments referred for scheduling advice to ACCS meeting #41</w:t>
            </w:r>
            <w:r>
              <w:rPr>
                <w:noProof/>
                <w:webHidden/>
              </w:rPr>
              <w:tab/>
            </w:r>
            <w:r>
              <w:rPr>
                <w:noProof/>
                <w:webHidden/>
              </w:rPr>
              <w:fldChar w:fldCharType="begin"/>
            </w:r>
            <w:r>
              <w:rPr>
                <w:noProof/>
                <w:webHidden/>
              </w:rPr>
              <w:instrText xml:space="preserve"> PAGEREF _Toc209035968 \h </w:instrText>
            </w:r>
            <w:r>
              <w:rPr>
                <w:noProof/>
                <w:webHidden/>
              </w:rPr>
            </w:r>
            <w:r>
              <w:rPr>
                <w:noProof/>
                <w:webHidden/>
              </w:rPr>
              <w:fldChar w:fldCharType="separate"/>
            </w:r>
            <w:r>
              <w:rPr>
                <w:noProof/>
                <w:webHidden/>
              </w:rPr>
              <w:t>19</w:t>
            </w:r>
            <w:r>
              <w:rPr>
                <w:noProof/>
                <w:webHidden/>
              </w:rPr>
              <w:fldChar w:fldCharType="end"/>
            </w:r>
          </w:hyperlink>
        </w:p>
        <w:p w14:paraId="4D10832A" w14:textId="5681F2BA" w:rsidR="000F3171" w:rsidRDefault="000F3171">
          <w:pPr>
            <w:pStyle w:val="TOC2"/>
            <w:tabs>
              <w:tab w:val="left" w:pos="1276"/>
            </w:tabs>
            <w:rPr>
              <w:rFonts w:asciiTheme="minorHAnsi" w:eastAsiaTheme="minorEastAsia" w:hAnsiTheme="minorHAnsi" w:cstheme="minorBidi"/>
              <w:noProof/>
              <w:color w:val="auto"/>
              <w:kern w:val="2"/>
              <w:szCs w:val="24"/>
              <w:lang w:eastAsia="en-AU"/>
              <w14:ligatures w14:val="standardContextual"/>
            </w:rPr>
          </w:pPr>
          <w:hyperlink w:anchor="_Toc209035969" w:history="1">
            <w:r w:rsidRPr="0068310F">
              <w:rPr>
                <w:rStyle w:val="Hyperlink"/>
                <w:noProof/>
              </w:rPr>
              <w:t>2.1</w:t>
            </w:r>
            <w:r>
              <w:rPr>
                <w:rFonts w:asciiTheme="minorHAnsi" w:eastAsiaTheme="minorEastAsia" w:hAnsiTheme="minorHAnsi" w:cstheme="minorBidi"/>
                <w:noProof/>
                <w:color w:val="auto"/>
                <w:kern w:val="2"/>
                <w:szCs w:val="24"/>
                <w:lang w:eastAsia="en-AU"/>
                <w14:ligatures w14:val="standardContextual"/>
              </w:rPr>
              <w:t xml:space="preserve"> </w:t>
            </w:r>
            <w:r w:rsidRPr="0068310F">
              <w:rPr>
                <w:rStyle w:val="Hyperlink"/>
                <w:noProof/>
              </w:rPr>
              <w:t>Oxalic acid</w:t>
            </w:r>
            <w:r>
              <w:rPr>
                <w:noProof/>
                <w:webHidden/>
              </w:rPr>
              <w:tab/>
            </w:r>
            <w:r>
              <w:rPr>
                <w:noProof/>
                <w:webHidden/>
              </w:rPr>
              <w:fldChar w:fldCharType="begin"/>
            </w:r>
            <w:r>
              <w:rPr>
                <w:noProof/>
                <w:webHidden/>
              </w:rPr>
              <w:instrText xml:space="preserve"> PAGEREF _Toc209035969 \h </w:instrText>
            </w:r>
            <w:r>
              <w:rPr>
                <w:noProof/>
                <w:webHidden/>
              </w:rPr>
            </w:r>
            <w:r>
              <w:rPr>
                <w:noProof/>
                <w:webHidden/>
              </w:rPr>
              <w:fldChar w:fldCharType="separate"/>
            </w:r>
            <w:r>
              <w:rPr>
                <w:noProof/>
                <w:webHidden/>
              </w:rPr>
              <w:t>19</w:t>
            </w:r>
            <w:r>
              <w:rPr>
                <w:noProof/>
                <w:webHidden/>
              </w:rPr>
              <w:fldChar w:fldCharType="end"/>
            </w:r>
          </w:hyperlink>
        </w:p>
        <w:p w14:paraId="0D84B61B" w14:textId="29D94F33"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0" w:history="1">
            <w:r w:rsidRPr="0068310F">
              <w:rPr>
                <w:rStyle w:val="Hyperlink"/>
                <w:noProof/>
              </w:rPr>
              <w:t>Proposal</w:t>
            </w:r>
            <w:r>
              <w:rPr>
                <w:noProof/>
                <w:webHidden/>
              </w:rPr>
              <w:tab/>
            </w:r>
            <w:r>
              <w:rPr>
                <w:noProof/>
                <w:webHidden/>
              </w:rPr>
              <w:fldChar w:fldCharType="begin"/>
            </w:r>
            <w:r>
              <w:rPr>
                <w:noProof/>
                <w:webHidden/>
              </w:rPr>
              <w:instrText xml:space="preserve"> PAGEREF _Toc209035970 \h </w:instrText>
            </w:r>
            <w:r>
              <w:rPr>
                <w:noProof/>
                <w:webHidden/>
              </w:rPr>
            </w:r>
            <w:r>
              <w:rPr>
                <w:noProof/>
                <w:webHidden/>
              </w:rPr>
              <w:fldChar w:fldCharType="separate"/>
            </w:r>
            <w:r>
              <w:rPr>
                <w:noProof/>
                <w:webHidden/>
              </w:rPr>
              <w:t>19</w:t>
            </w:r>
            <w:r>
              <w:rPr>
                <w:noProof/>
                <w:webHidden/>
              </w:rPr>
              <w:fldChar w:fldCharType="end"/>
            </w:r>
          </w:hyperlink>
        </w:p>
        <w:p w14:paraId="374AE71A" w14:textId="34BD5CA7"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1" w:history="1">
            <w:r w:rsidRPr="0068310F">
              <w:rPr>
                <w:rStyle w:val="Hyperlink"/>
                <w:noProof/>
              </w:rPr>
              <w:t>CAS Number</w:t>
            </w:r>
            <w:r>
              <w:rPr>
                <w:noProof/>
                <w:webHidden/>
              </w:rPr>
              <w:tab/>
            </w:r>
            <w:r>
              <w:rPr>
                <w:noProof/>
                <w:webHidden/>
              </w:rPr>
              <w:fldChar w:fldCharType="begin"/>
            </w:r>
            <w:r>
              <w:rPr>
                <w:noProof/>
                <w:webHidden/>
              </w:rPr>
              <w:instrText xml:space="preserve"> PAGEREF _Toc209035971 \h </w:instrText>
            </w:r>
            <w:r>
              <w:rPr>
                <w:noProof/>
                <w:webHidden/>
              </w:rPr>
            </w:r>
            <w:r>
              <w:rPr>
                <w:noProof/>
                <w:webHidden/>
              </w:rPr>
              <w:fldChar w:fldCharType="separate"/>
            </w:r>
            <w:r>
              <w:rPr>
                <w:noProof/>
                <w:webHidden/>
              </w:rPr>
              <w:t>19</w:t>
            </w:r>
            <w:r>
              <w:rPr>
                <w:noProof/>
                <w:webHidden/>
              </w:rPr>
              <w:fldChar w:fldCharType="end"/>
            </w:r>
          </w:hyperlink>
        </w:p>
        <w:p w14:paraId="4F909A40" w14:textId="712923FB"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2" w:history="1">
            <w:r w:rsidRPr="0068310F">
              <w:rPr>
                <w:rStyle w:val="Hyperlink"/>
                <w:noProof/>
              </w:rPr>
              <w:t>Alternative names</w:t>
            </w:r>
            <w:r>
              <w:rPr>
                <w:noProof/>
                <w:webHidden/>
              </w:rPr>
              <w:tab/>
            </w:r>
            <w:r>
              <w:rPr>
                <w:noProof/>
                <w:webHidden/>
              </w:rPr>
              <w:fldChar w:fldCharType="begin"/>
            </w:r>
            <w:r>
              <w:rPr>
                <w:noProof/>
                <w:webHidden/>
              </w:rPr>
              <w:instrText xml:space="preserve"> PAGEREF _Toc209035972 \h </w:instrText>
            </w:r>
            <w:r>
              <w:rPr>
                <w:noProof/>
                <w:webHidden/>
              </w:rPr>
            </w:r>
            <w:r>
              <w:rPr>
                <w:noProof/>
                <w:webHidden/>
              </w:rPr>
              <w:fldChar w:fldCharType="separate"/>
            </w:r>
            <w:r>
              <w:rPr>
                <w:noProof/>
                <w:webHidden/>
              </w:rPr>
              <w:t>19</w:t>
            </w:r>
            <w:r>
              <w:rPr>
                <w:noProof/>
                <w:webHidden/>
              </w:rPr>
              <w:fldChar w:fldCharType="end"/>
            </w:r>
          </w:hyperlink>
        </w:p>
        <w:p w14:paraId="797A5FDD" w14:textId="546631EB"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3" w:history="1">
            <w:r w:rsidRPr="0068310F">
              <w:rPr>
                <w:rStyle w:val="Hyperlink"/>
                <w:noProof/>
              </w:rPr>
              <w:t>Applicant</w:t>
            </w:r>
            <w:r>
              <w:rPr>
                <w:noProof/>
                <w:webHidden/>
              </w:rPr>
              <w:tab/>
            </w:r>
            <w:r>
              <w:rPr>
                <w:noProof/>
                <w:webHidden/>
              </w:rPr>
              <w:fldChar w:fldCharType="begin"/>
            </w:r>
            <w:r>
              <w:rPr>
                <w:noProof/>
                <w:webHidden/>
              </w:rPr>
              <w:instrText xml:space="preserve"> PAGEREF _Toc209035973 \h </w:instrText>
            </w:r>
            <w:r>
              <w:rPr>
                <w:noProof/>
                <w:webHidden/>
              </w:rPr>
            </w:r>
            <w:r>
              <w:rPr>
                <w:noProof/>
                <w:webHidden/>
              </w:rPr>
              <w:fldChar w:fldCharType="separate"/>
            </w:r>
            <w:r>
              <w:rPr>
                <w:noProof/>
                <w:webHidden/>
              </w:rPr>
              <w:t>19</w:t>
            </w:r>
            <w:r>
              <w:rPr>
                <w:noProof/>
                <w:webHidden/>
              </w:rPr>
              <w:fldChar w:fldCharType="end"/>
            </w:r>
          </w:hyperlink>
        </w:p>
        <w:p w14:paraId="66BCA096" w14:textId="655A99B1"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4" w:history="1">
            <w:r w:rsidRPr="0068310F">
              <w:rPr>
                <w:rStyle w:val="Hyperlink"/>
                <w:noProof/>
              </w:rPr>
              <w:t>Proposed Scheduling</w:t>
            </w:r>
            <w:r>
              <w:rPr>
                <w:noProof/>
                <w:webHidden/>
              </w:rPr>
              <w:tab/>
            </w:r>
            <w:r>
              <w:rPr>
                <w:noProof/>
                <w:webHidden/>
              </w:rPr>
              <w:fldChar w:fldCharType="begin"/>
            </w:r>
            <w:r>
              <w:rPr>
                <w:noProof/>
                <w:webHidden/>
              </w:rPr>
              <w:instrText xml:space="preserve"> PAGEREF _Toc209035974 \h </w:instrText>
            </w:r>
            <w:r>
              <w:rPr>
                <w:noProof/>
                <w:webHidden/>
              </w:rPr>
            </w:r>
            <w:r>
              <w:rPr>
                <w:noProof/>
                <w:webHidden/>
              </w:rPr>
              <w:fldChar w:fldCharType="separate"/>
            </w:r>
            <w:r>
              <w:rPr>
                <w:noProof/>
                <w:webHidden/>
              </w:rPr>
              <w:t>19</w:t>
            </w:r>
            <w:r>
              <w:rPr>
                <w:noProof/>
                <w:webHidden/>
              </w:rPr>
              <w:fldChar w:fldCharType="end"/>
            </w:r>
          </w:hyperlink>
        </w:p>
        <w:p w14:paraId="6D698BB5" w14:textId="6F01F463"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5" w:history="1">
            <w:r w:rsidRPr="0068310F">
              <w:rPr>
                <w:rStyle w:val="Hyperlink"/>
                <w:noProof/>
              </w:rPr>
              <w:t>Background</w:t>
            </w:r>
            <w:r>
              <w:rPr>
                <w:noProof/>
                <w:webHidden/>
              </w:rPr>
              <w:tab/>
            </w:r>
            <w:r>
              <w:rPr>
                <w:noProof/>
                <w:webHidden/>
              </w:rPr>
              <w:fldChar w:fldCharType="begin"/>
            </w:r>
            <w:r>
              <w:rPr>
                <w:noProof/>
                <w:webHidden/>
              </w:rPr>
              <w:instrText xml:space="preserve"> PAGEREF _Toc209035975 \h </w:instrText>
            </w:r>
            <w:r>
              <w:rPr>
                <w:noProof/>
                <w:webHidden/>
              </w:rPr>
            </w:r>
            <w:r>
              <w:rPr>
                <w:noProof/>
                <w:webHidden/>
              </w:rPr>
              <w:fldChar w:fldCharType="separate"/>
            </w:r>
            <w:r>
              <w:rPr>
                <w:noProof/>
                <w:webHidden/>
              </w:rPr>
              <w:t>20</w:t>
            </w:r>
            <w:r>
              <w:rPr>
                <w:noProof/>
                <w:webHidden/>
              </w:rPr>
              <w:fldChar w:fldCharType="end"/>
            </w:r>
          </w:hyperlink>
        </w:p>
        <w:p w14:paraId="05218A34" w14:textId="37004AA7"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6" w:history="1">
            <w:r w:rsidRPr="0068310F">
              <w:rPr>
                <w:rStyle w:val="Hyperlink"/>
                <w:noProof/>
              </w:rPr>
              <w:t>Summary of applicant’s reasons for the proposal</w:t>
            </w:r>
            <w:r>
              <w:rPr>
                <w:noProof/>
                <w:webHidden/>
              </w:rPr>
              <w:tab/>
            </w:r>
            <w:r>
              <w:rPr>
                <w:noProof/>
                <w:webHidden/>
              </w:rPr>
              <w:fldChar w:fldCharType="begin"/>
            </w:r>
            <w:r>
              <w:rPr>
                <w:noProof/>
                <w:webHidden/>
              </w:rPr>
              <w:instrText xml:space="preserve"> PAGEREF _Toc209035976 \h </w:instrText>
            </w:r>
            <w:r>
              <w:rPr>
                <w:noProof/>
                <w:webHidden/>
              </w:rPr>
            </w:r>
            <w:r>
              <w:rPr>
                <w:noProof/>
                <w:webHidden/>
              </w:rPr>
              <w:fldChar w:fldCharType="separate"/>
            </w:r>
            <w:r>
              <w:rPr>
                <w:noProof/>
                <w:webHidden/>
              </w:rPr>
              <w:t>20</w:t>
            </w:r>
            <w:r>
              <w:rPr>
                <w:noProof/>
                <w:webHidden/>
              </w:rPr>
              <w:fldChar w:fldCharType="end"/>
            </w:r>
          </w:hyperlink>
        </w:p>
        <w:p w14:paraId="72BFB2A5" w14:textId="2FB48CCB"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7" w:history="1">
            <w:r w:rsidRPr="0068310F">
              <w:rPr>
                <w:rStyle w:val="Hyperlink"/>
                <w:noProof/>
              </w:rPr>
              <w:t>Key and expected use</w:t>
            </w:r>
            <w:r>
              <w:rPr>
                <w:noProof/>
                <w:webHidden/>
              </w:rPr>
              <w:tab/>
            </w:r>
            <w:r>
              <w:rPr>
                <w:noProof/>
                <w:webHidden/>
              </w:rPr>
              <w:fldChar w:fldCharType="begin"/>
            </w:r>
            <w:r>
              <w:rPr>
                <w:noProof/>
                <w:webHidden/>
              </w:rPr>
              <w:instrText xml:space="preserve"> PAGEREF _Toc209035977 \h </w:instrText>
            </w:r>
            <w:r>
              <w:rPr>
                <w:noProof/>
                <w:webHidden/>
              </w:rPr>
            </w:r>
            <w:r>
              <w:rPr>
                <w:noProof/>
                <w:webHidden/>
              </w:rPr>
              <w:fldChar w:fldCharType="separate"/>
            </w:r>
            <w:r>
              <w:rPr>
                <w:noProof/>
                <w:webHidden/>
              </w:rPr>
              <w:t>21</w:t>
            </w:r>
            <w:r>
              <w:rPr>
                <w:noProof/>
                <w:webHidden/>
              </w:rPr>
              <w:fldChar w:fldCharType="end"/>
            </w:r>
          </w:hyperlink>
        </w:p>
        <w:p w14:paraId="3F356844" w14:textId="1720CCBB"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8" w:history="1">
            <w:r w:rsidRPr="0068310F">
              <w:rPr>
                <w:rStyle w:val="Hyperlink"/>
                <w:noProof/>
              </w:rPr>
              <w:t>Australian regulations</w:t>
            </w:r>
            <w:r>
              <w:rPr>
                <w:noProof/>
                <w:webHidden/>
              </w:rPr>
              <w:tab/>
            </w:r>
            <w:r>
              <w:rPr>
                <w:noProof/>
                <w:webHidden/>
              </w:rPr>
              <w:fldChar w:fldCharType="begin"/>
            </w:r>
            <w:r>
              <w:rPr>
                <w:noProof/>
                <w:webHidden/>
              </w:rPr>
              <w:instrText xml:space="preserve"> PAGEREF _Toc209035978 \h </w:instrText>
            </w:r>
            <w:r>
              <w:rPr>
                <w:noProof/>
                <w:webHidden/>
              </w:rPr>
            </w:r>
            <w:r>
              <w:rPr>
                <w:noProof/>
                <w:webHidden/>
              </w:rPr>
              <w:fldChar w:fldCharType="separate"/>
            </w:r>
            <w:r>
              <w:rPr>
                <w:noProof/>
                <w:webHidden/>
              </w:rPr>
              <w:t>21</w:t>
            </w:r>
            <w:r>
              <w:rPr>
                <w:noProof/>
                <w:webHidden/>
              </w:rPr>
              <w:fldChar w:fldCharType="end"/>
            </w:r>
          </w:hyperlink>
        </w:p>
        <w:p w14:paraId="7EEDCA26" w14:textId="1AC4EBC6"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79" w:history="1">
            <w:r w:rsidRPr="0068310F">
              <w:rPr>
                <w:rStyle w:val="Hyperlink"/>
                <w:noProof/>
              </w:rPr>
              <w:t>International regulations</w:t>
            </w:r>
            <w:r>
              <w:rPr>
                <w:noProof/>
                <w:webHidden/>
              </w:rPr>
              <w:tab/>
            </w:r>
            <w:r>
              <w:rPr>
                <w:noProof/>
                <w:webHidden/>
              </w:rPr>
              <w:fldChar w:fldCharType="begin"/>
            </w:r>
            <w:r>
              <w:rPr>
                <w:noProof/>
                <w:webHidden/>
              </w:rPr>
              <w:instrText xml:space="preserve"> PAGEREF _Toc209035979 \h </w:instrText>
            </w:r>
            <w:r>
              <w:rPr>
                <w:noProof/>
                <w:webHidden/>
              </w:rPr>
            </w:r>
            <w:r>
              <w:rPr>
                <w:noProof/>
                <w:webHidden/>
              </w:rPr>
              <w:fldChar w:fldCharType="separate"/>
            </w:r>
            <w:r>
              <w:rPr>
                <w:noProof/>
                <w:webHidden/>
              </w:rPr>
              <w:t>22</w:t>
            </w:r>
            <w:r>
              <w:rPr>
                <w:noProof/>
                <w:webHidden/>
              </w:rPr>
              <w:fldChar w:fldCharType="end"/>
            </w:r>
          </w:hyperlink>
        </w:p>
        <w:p w14:paraId="0370FEA8" w14:textId="7E015599" w:rsidR="000F3171" w:rsidRDefault="000F3171">
          <w:pPr>
            <w:pStyle w:val="TOC1"/>
            <w:tabs>
              <w:tab w:val="left" w:pos="425"/>
            </w:tabs>
            <w:rPr>
              <w:rFonts w:asciiTheme="minorHAnsi" w:eastAsiaTheme="minorEastAsia" w:hAnsiTheme="minorHAnsi" w:cstheme="minorBidi"/>
              <w:b w:val="0"/>
              <w:noProof/>
              <w:color w:val="auto"/>
              <w:kern w:val="2"/>
              <w:sz w:val="24"/>
              <w:szCs w:val="24"/>
              <w:lang w:eastAsia="en-AU"/>
              <w14:ligatures w14:val="standardContextual"/>
            </w:rPr>
          </w:pPr>
          <w:hyperlink w:anchor="_Toc209035980" w:history="1">
            <w:r w:rsidRPr="0068310F">
              <w:rPr>
                <w:rStyle w:val="Hyperlink"/>
                <w:noProof/>
              </w:rPr>
              <w:t>3</w:t>
            </w:r>
            <w:r>
              <w:rPr>
                <w:rFonts w:asciiTheme="minorHAnsi" w:eastAsiaTheme="minorEastAsia" w:hAnsiTheme="minorHAnsi" w:cstheme="minorBidi"/>
                <w:b w:val="0"/>
                <w:noProof/>
                <w:color w:val="auto"/>
                <w:kern w:val="2"/>
                <w:sz w:val="24"/>
                <w:szCs w:val="24"/>
                <w:lang w:eastAsia="en-AU"/>
                <w14:ligatures w14:val="standardContextual"/>
              </w:rPr>
              <w:tab/>
            </w:r>
            <w:r w:rsidRPr="0068310F">
              <w:rPr>
                <w:rStyle w:val="Hyperlink"/>
                <w:noProof/>
              </w:rPr>
              <w:t>Proposed amendments referred for scheduling advice to the Joint ACMS-ACCS meeting #42</w:t>
            </w:r>
            <w:r>
              <w:rPr>
                <w:noProof/>
                <w:webHidden/>
              </w:rPr>
              <w:tab/>
            </w:r>
            <w:r>
              <w:rPr>
                <w:noProof/>
                <w:webHidden/>
              </w:rPr>
              <w:fldChar w:fldCharType="begin"/>
            </w:r>
            <w:r>
              <w:rPr>
                <w:noProof/>
                <w:webHidden/>
              </w:rPr>
              <w:instrText xml:space="preserve"> PAGEREF _Toc209035980 \h </w:instrText>
            </w:r>
            <w:r>
              <w:rPr>
                <w:noProof/>
                <w:webHidden/>
              </w:rPr>
            </w:r>
            <w:r>
              <w:rPr>
                <w:noProof/>
                <w:webHidden/>
              </w:rPr>
              <w:fldChar w:fldCharType="separate"/>
            </w:r>
            <w:r>
              <w:rPr>
                <w:noProof/>
                <w:webHidden/>
              </w:rPr>
              <w:t>22</w:t>
            </w:r>
            <w:r>
              <w:rPr>
                <w:noProof/>
                <w:webHidden/>
              </w:rPr>
              <w:fldChar w:fldCharType="end"/>
            </w:r>
          </w:hyperlink>
        </w:p>
        <w:p w14:paraId="20E62769" w14:textId="20CB7702" w:rsidR="000F3171" w:rsidRDefault="000F3171">
          <w:pPr>
            <w:pStyle w:val="TOC2"/>
            <w:rPr>
              <w:rFonts w:asciiTheme="minorHAnsi" w:eastAsiaTheme="minorEastAsia" w:hAnsiTheme="minorHAnsi" w:cstheme="minorBidi"/>
              <w:noProof/>
              <w:color w:val="auto"/>
              <w:kern w:val="2"/>
              <w:szCs w:val="24"/>
              <w:lang w:eastAsia="en-AU"/>
              <w14:ligatures w14:val="standardContextual"/>
            </w:rPr>
          </w:pPr>
          <w:hyperlink w:anchor="_Toc209035981" w:history="1">
            <w:r w:rsidRPr="0068310F">
              <w:rPr>
                <w:rStyle w:val="Hyperlink"/>
                <w:noProof/>
              </w:rPr>
              <w:t>3.1 Hydroquinone</w:t>
            </w:r>
            <w:r>
              <w:rPr>
                <w:noProof/>
                <w:webHidden/>
              </w:rPr>
              <w:tab/>
            </w:r>
            <w:r>
              <w:rPr>
                <w:noProof/>
                <w:webHidden/>
              </w:rPr>
              <w:fldChar w:fldCharType="begin"/>
            </w:r>
            <w:r>
              <w:rPr>
                <w:noProof/>
                <w:webHidden/>
              </w:rPr>
              <w:instrText xml:space="preserve"> PAGEREF _Toc209035981 \h </w:instrText>
            </w:r>
            <w:r>
              <w:rPr>
                <w:noProof/>
                <w:webHidden/>
              </w:rPr>
            </w:r>
            <w:r>
              <w:rPr>
                <w:noProof/>
                <w:webHidden/>
              </w:rPr>
              <w:fldChar w:fldCharType="separate"/>
            </w:r>
            <w:r>
              <w:rPr>
                <w:noProof/>
                <w:webHidden/>
              </w:rPr>
              <w:t>22</w:t>
            </w:r>
            <w:r>
              <w:rPr>
                <w:noProof/>
                <w:webHidden/>
              </w:rPr>
              <w:fldChar w:fldCharType="end"/>
            </w:r>
          </w:hyperlink>
        </w:p>
        <w:p w14:paraId="38829959" w14:textId="20E3F7F7"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82" w:history="1">
            <w:r w:rsidRPr="0068310F">
              <w:rPr>
                <w:rStyle w:val="Hyperlink"/>
                <w:noProof/>
              </w:rPr>
              <w:t>Proposal</w:t>
            </w:r>
            <w:r>
              <w:rPr>
                <w:noProof/>
                <w:webHidden/>
              </w:rPr>
              <w:tab/>
            </w:r>
            <w:r>
              <w:rPr>
                <w:noProof/>
                <w:webHidden/>
              </w:rPr>
              <w:fldChar w:fldCharType="begin"/>
            </w:r>
            <w:r>
              <w:rPr>
                <w:noProof/>
                <w:webHidden/>
              </w:rPr>
              <w:instrText xml:space="preserve"> PAGEREF _Toc209035982 \h </w:instrText>
            </w:r>
            <w:r>
              <w:rPr>
                <w:noProof/>
                <w:webHidden/>
              </w:rPr>
            </w:r>
            <w:r>
              <w:rPr>
                <w:noProof/>
                <w:webHidden/>
              </w:rPr>
              <w:fldChar w:fldCharType="separate"/>
            </w:r>
            <w:r>
              <w:rPr>
                <w:noProof/>
                <w:webHidden/>
              </w:rPr>
              <w:t>22</w:t>
            </w:r>
            <w:r>
              <w:rPr>
                <w:noProof/>
                <w:webHidden/>
              </w:rPr>
              <w:fldChar w:fldCharType="end"/>
            </w:r>
          </w:hyperlink>
        </w:p>
        <w:p w14:paraId="0541B9A3" w14:textId="47610485"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83" w:history="1">
            <w:r w:rsidRPr="0068310F">
              <w:rPr>
                <w:rStyle w:val="Hyperlink"/>
                <w:rFonts w:cs="Arial"/>
                <w:noProof/>
              </w:rPr>
              <w:t>CAS Number</w:t>
            </w:r>
            <w:r>
              <w:rPr>
                <w:noProof/>
                <w:webHidden/>
              </w:rPr>
              <w:tab/>
            </w:r>
            <w:r>
              <w:rPr>
                <w:noProof/>
                <w:webHidden/>
              </w:rPr>
              <w:fldChar w:fldCharType="begin"/>
            </w:r>
            <w:r>
              <w:rPr>
                <w:noProof/>
                <w:webHidden/>
              </w:rPr>
              <w:instrText xml:space="preserve"> PAGEREF _Toc209035983 \h </w:instrText>
            </w:r>
            <w:r>
              <w:rPr>
                <w:noProof/>
                <w:webHidden/>
              </w:rPr>
            </w:r>
            <w:r>
              <w:rPr>
                <w:noProof/>
                <w:webHidden/>
              </w:rPr>
              <w:fldChar w:fldCharType="separate"/>
            </w:r>
            <w:r>
              <w:rPr>
                <w:noProof/>
                <w:webHidden/>
              </w:rPr>
              <w:t>23</w:t>
            </w:r>
            <w:r>
              <w:rPr>
                <w:noProof/>
                <w:webHidden/>
              </w:rPr>
              <w:fldChar w:fldCharType="end"/>
            </w:r>
          </w:hyperlink>
        </w:p>
        <w:p w14:paraId="457B4E93" w14:textId="7AD43BD0"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84" w:history="1">
            <w:r w:rsidRPr="0068310F">
              <w:rPr>
                <w:rStyle w:val="Hyperlink"/>
                <w:rFonts w:cs="Arial"/>
                <w:noProof/>
              </w:rPr>
              <w:t>Alternative names</w:t>
            </w:r>
            <w:r>
              <w:rPr>
                <w:noProof/>
                <w:webHidden/>
              </w:rPr>
              <w:tab/>
            </w:r>
            <w:r>
              <w:rPr>
                <w:noProof/>
                <w:webHidden/>
              </w:rPr>
              <w:fldChar w:fldCharType="begin"/>
            </w:r>
            <w:r>
              <w:rPr>
                <w:noProof/>
                <w:webHidden/>
              </w:rPr>
              <w:instrText xml:space="preserve"> PAGEREF _Toc209035984 \h </w:instrText>
            </w:r>
            <w:r>
              <w:rPr>
                <w:noProof/>
                <w:webHidden/>
              </w:rPr>
            </w:r>
            <w:r>
              <w:rPr>
                <w:noProof/>
                <w:webHidden/>
              </w:rPr>
              <w:fldChar w:fldCharType="separate"/>
            </w:r>
            <w:r>
              <w:rPr>
                <w:noProof/>
                <w:webHidden/>
              </w:rPr>
              <w:t>23</w:t>
            </w:r>
            <w:r>
              <w:rPr>
                <w:noProof/>
                <w:webHidden/>
              </w:rPr>
              <w:fldChar w:fldCharType="end"/>
            </w:r>
          </w:hyperlink>
        </w:p>
        <w:p w14:paraId="26822543" w14:textId="2BE078F0"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85" w:history="1">
            <w:r w:rsidRPr="0068310F">
              <w:rPr>
                <w:rStyle w:val="Hyperlink"/>
                <w:rFonts w:cs="Arial"/>
                <w:noProof/>
              </w:rPr>
              <w:t>Proposed Scheduling</w:t>
            </w:r>
            <w:r>
              <w:rPr>
                <w:noProof/>
                <w:webHidden/>
              </w:rPr>
              <w:tab/>
            </w:r>
            <w:r>
              <w:rPr>
                <w:noProof/>
                <w:webHidden/>
              </w:rPr>
              <w:fldChar w:fldCharType="begin"/>
            </w:r>
            <w:r>
              <w:rPr>
                <w:noProof/>
                <w:webHidden/>
              </w:rPr>
              <w:instrText xml:space="preserve"> PAGEREF _Toc209035985 \h </w:instrText>
            </w:r>
            <w:r>
              <w:rPr>
                <w:noProof/>
                <w:webHidden/>
              </w:rPr>
            </w:r>
            <w:r>
              <w:rPr>
                <w:noProof/>
                <w:webHidden/>
              </w:rPr>
              <w:fldChar w:fldCharType="separate"/>
            </w:r>
            <w:r>
              <w:rPr>
                <w:noProof/>
                <w:webHidden/>
              </w:rPr>
              <w:t>23</w:t>
            </w:r>
            <w:r>
              <w:rPr>
                <w:noProof/>
                <w:webHidden/>
              </w:rPr>
              <w:fldChar w:fldCharType="end"/>
            </w:r>
          </w:hyperlink>
        </w:p>
        <w:p w14:paraId="69DC363B" w14:textId="6B6188D9"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86" w:history="1">
            <w:r w:rsidRPr="0068310F">
              <w:rPr>
                <w:rStyle w:val="Hyperlink"/>
                <w:rFonts w:cs="Arial"/>
                <w:noProof/>
              </w:rPr>
              <w:t>Background</w:t>
            </w:r>
            <w:r>
              <w:rPr>
                <w:noProof/>
                <w:webHidden/>
              </w:rPr>
              <w:tab/>
            </w:r>
            <w:r>
              <w:rPr>
                <w:noProof/>
                <w:webHidden/>
              </w:rPr>
              <w:fldChar w:fldCharType="begin"/>
            </w:r>
            <w:r>
              <w:rPr>
                <w:noProof/>
                <w:webHidden/>
              </w:rPr>
              <w:instrText xml:space="preserve"> PAGEREF _Toc209035986 \h </w:instrText>
            </w:r>
            <w:r>
              <w:rPr>
                <w:noProof/>
                <w:webHidden/>
              </w:rPr>
            </w:r>
            <w:r>
              <w:rPr>
                <w:noProof/>
                <w:webHidden/>
              </w:rPr>
              <w:fldChar w:fldCharType="separate"/>
            </w:r>
            <w:r>
              <w:rPr>
                <w:noProof/>
                <w:webHidden/>
              </w:rPr>
              <w:t>25</w:t>
            </w:r>
            <w:r>
              <w:rPr>
                <w:noProof/>
                <w:webHidden/>
              </w:rPr>
              <w:fldChar w:fldCharType="end"/>
            </w:r>
          </w:hyperlink>
        </w:p>
        <w:p w14:paraId="40196CCB" w14:textId="00FE95E3"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87" w:history="1">
            <w:r w:rsidRPr="0068310F">
              <w:rPr>
                <w:rStyle w:val="Hyperlink"/>
                <w:rFonts w:cs="Arial"/>
                <w:noProof/>
              </w:rPr>
              <w:t>Summary of the reasons for the proposal</w:t>
            </w:r>
            <w:r>
              <w:rPr>
                <w:noProof/>
                <w:webHidden/>
              </w:rPr>
              <w:tab/>
            </w:r>
            <w:r>
              <w:rPr>
                <w:noProof/>
                <w:webHidden/>
              </w:rPr>
              <w:fldChar w:fldCharType="begin"/>
            </w:r>
            <w:r>
              <w:rPr>
                <w:noProof/>
                <w:webHidden/>
              </w:rPr>
              <w:instrText xml:space="preserve"> PAGEREF _Toc209035987 \h </w:instrText>
            </w:r>
            <w:r>
              <w:rPr>
                <w:noProof/>
                <w:webHidden/>
              </w:rPr>
            </w:r>
            <w:r>
              <w:rPr>
                <w:noProof/>
                <w:webHidden/>
              </w:rPr>
              <w:fldChar w:fldCharType="separate"/>
            </w:r>
            <w:r>
              <w:rPr>
                <w:noProof/>
                <w:webHidden/>
              </w:rPr>
              <w:t>25</w:t>
            </w:r>
            <w:r>
              <w:rPr>
                <w:noProof/>
                <w:webHidden/>
              </w:rPr>
              <w:fldChar w:fldCharType="end"/>
            </w:r>
          </w:hyperlink>
        </w:p>
        <w:p w14:paraId="2A6F8F26" w14:textId="4F8B1A7E"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88" w:history="1">
            <w:r w:rsidRPr="0068310F">
              <w:rPr>
                <w:rStyle w:val="Hyperlink"/>
                <w:rFonts w:cs="Arial"/>
                <w:noProof/>
              </w:rPr>
              <w:t>Key uses / expected use</w:t>
            </w:r>
            <w:r>
              <w:rPr>
                <w:noProof/>
                <w:webHidden/>
              </w:rPr>
              <w:tab/>
            </w:r>
            <w:r>
              <w:rPr>
                <w:noProof/>
                <w:webHidden/>
              </w:rPr>
              <w:fldChar w:fldCharType="begin"/>
            </w:r>
            <w:r>
              <w:rPr>
                <w:noProof/>
                <w:webHidden/>
              </w:rPr>
              <w:instrText xml:space="preserve"> PAGEREF _Toc209035988 \h </w:instrText>
            </w:r>
            <w:r>
              <w:rPr>
                <w:noProof/>
                <w:webHidden/>
              </w:rPr>
            </w:r>
            <w:r>
              <w:rPr>
                <w:noProof/>
                <w:webHidden/>
              </w:rPr>
              <w:fldChar w:fldCharType="separate"/>
            </w:r>
            <w:r>
              <w:rPr>
                <w:noProof/>
                <w:webHidden/>
              </w:rPr>
              <w:t>26</w:t>
            </w:r>
            <w:r>
              <w:rPr>
                <w:noProof/>
                <w:webHidden/>
              </w:rPr>
              <w:fldChar w:fldCharType="end"/>
            </w:r>
          </w:hyperlink>
        </w:p>
        <w:p w14:paraId="14D371C2" w14:textId="3985DE4F"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89" w:history="1">
            <w:r w:rsidRPr="0068310F">
              <w:rPr>
                <w:rStyle w:val="Hyperlink"/>
                <w:rFonts w:cs="Arial"/>
                <w:noProof/>
              </w:rPr>
              <w:t>Australian regulations</w:t>
            </w:r>
            <w:r>
              <w:rPr>
                <w:noProof/>
                <w:webHidden/>
              </w:rPr>
              <w:tab/>
            </w:r>
            <w:r>
              <w:rPr>
                <w:noProof/>
                <w:webHidden/>
              </w:rPr>
              <w:fldChar w:fldCharType="begin"/>
            </w:r>
            <w:r>
              <w:rPr>
                <w:noProof/>
                <w:webHidden/>
              </w:rPr>
              <w:instrText xml:space="preserve"> PAGEREF _Toc209035989 \h </w:instrText>
            </w:r>
            <w:r>
              <w:rPr>
                <w:noProof/>
                <w:webHidden/>
              </w:rPr>
            </w:r>
            <w:r>
              <w:rPr>
                <w:noProof/>
                <w:webHidden/>
              </w:rPr>
              <w:fldChar w:fldCharType="separate"/>
            </w:r>
            <w:r>
              <w:rPr>
                <w:noProof/>
                <w:webHidden/>
              </w:rPr>
              <w:t>26</w:t>
            </w:r>
            <w:r>
              <w:rPr>
                <w:noProof/>
                <w:webHidden/>
              </w:rPr>
              <w:fldChar w:fldCharType="end"/>
            </w:r>
          </w:hyperlink>
        </w:p>
        <w:p w14:paraId="0EBFE7DC" w14:textId="3D82C615" w:rsidR="000F3171" w:rsidRDefault="000F3171">
          <w:pPr>
            <w:pStyle w:val="TOC3"/>
            <w:rPr>
              <w:rFonts w:asciiTheme="minorHAnsi" w:eastAsiaTheme="minorEastAsia" w:hAnsiTheme="minorHAnsi" w:cstheme="minorBidi"/>
              <w:noProof/>
              <w:color w:val="auto"/>
              <w:kern w:val="2"/>
              <w:sz w:val="24"/>
              <w:szCs w:val="24"/>
              <w:lang w:eastAsia="en-AU"/>
              <w14:ligatures w14:val="standardContextual"/>
            </w:rPr>
          </w:pPr>
          <w:hyperlink w:anchor="_Toc209035990" w:history="1">
            <w:r w:rsidRPr="0068310F">
              <w:rPr>
                <w:rStyle w:val="Hyperlink"/>
                <w:rFonts w:cs="Arial"/>
                <w:noProof/>
              </w:rPr>
              <w:t>International regulations</w:t>
            </w:r>
            <w:r>
              <w:rPr>
                <w:noProof/>
                <w:webHidden/>
              </w:rPr>
              <w:tab/>
            </w:r>
            <w:r>
              <w:rPr>
                <w:noProof/>
                <w:webHidden/>
              </w:rPr>
              <w:fldChar w:fldCharType="begin"/>
            </w:r>
            <w:r>
              <w:rPr>
                <w:noProof/>
                <w:webHidden/>
              </w:rPr>
              <w:instrText xml:space="preserve"> PAGEREF _Toc209035990 \h </w:instrText>
            </w:r>
            <w:r>
              <w:rPr>
                <w:noProof/>
                <w:webHidden/>
              </w:rPr>
            </w:r>
            <w:r>
              <w:rPr>
                <w:noProof/>
                <w:webHidden/>
              </w:rPr>
              <w:fldChar w:fldCharType="separate"/>
            </w:r>
            <w:r>
              <w:rPr>
                <w:noProof/>
                <w:webHidden/>
              </w:rPr>
              <w:t>27</w:t>
            </w:r>
            <w:r>
              <w:rPr>
                <w:noProof/>
                <w:webHidden/>
              </w:rPr>
              <w:fldChar w:fldCharType="end"/>
            </w:r>
          </w:hyperlink>
        </w:p>
        <w:p w14:paraId="732EA83A" w14:textId="60DAAF51" w:rsidR="000F3171" w:rsidRDefault="000F31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9035991" w:history="1">
            <w:r w:rsidRPr="0068310F">
              <w:rPr>
                <w:rStyle w:val="Hyperlink"/>
                <w:rFonts w:cs="Arial"/>
                <w:noProof/>
              </w:rPr>
              <w:t>How to respond</w:t>
            </w:r>
            <w:r>
              <w:rPr>
                <w:noProof/>
                <w:webHidden/>
              </w:rPr>
              <w:tab/>
            </w:r>
            <w:r>
              <w:rPr>
                <w:noProof/>
                <w:webHidden/>
              </w:rPr>
              <w:fldChar w:fldCharType="begin"/>
            </w:r>
            <w:r>
              <w:rPr>
                <w:noProof/>
                <w:webHidden/>
              </w:rPr>
              <w:instrText xml:space="preserve"> PAGEREF _Toc209035991 \h </w:instrText>
            </w:r>
            <w:r>
              <w:rPr>
                <w:noProof/>
                <w:webHidden/>
              </w:rPr>
            </w:r>
            <w:r>
              <w:rPr>
                <w:noProof/>
                <w:webHidden/>
              </w:rPr>
              <w:fldChar w:fldCharType="separate"/>
            </w:r>
            <w:r>
              <w:rPr>
                <w:noProof/>
                <w:webHidden/>
              </w:rPr>
              <w:t>29</w:t>
            </w:r>
            <w:r>
              <w:rPr>
                <w:noProof/>
                <w:webHidden/>
              </w:rPr>
              <w:fldChar w:fldCharType="end"/>
            </w:r>
          </w:hyperlink>
        </w:p>
        <w:p w14:paraId="5FF8B9F2" w14:textId="3B8AB0C0" w:rsidR="000F3171" w:rsidRDefault="000F31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9035992" w:history="1">
            <w:r w:rsidRPr="0068310F">
              <w:rPr>
                <w:rStyle w:val="Hyperlink"/>
                <w:rFonts w:cs="Arial"/>
                <w:noProof/>
              </w:rPr>
              <w:t>What will happen</w:t>
            </w:r>
            <w:r>
              <w:rPr>
                <w:noProof/>
                <w:webHidden/>
              </w:rPr>
              <w:tab/>
            </w:r>
            <w:r>
              <w:rPr>
                <w:noProof/>
                <w:webHidden/>
              </w:rPr>
              <w:fldChar w:fldCharType="begin"/>
            </w:r>
            <w:r>
              <w:rPr>
                <w:noProof/>
                <w:webHidden/>
              </w:rPr>
              <w:instrText xml:space="preserve"> PAGEREF _Toc209035992 \h </w:instrText>
            </w:r>
            <w:r>
              <w:rPr>
                <w:noProof/>
                <w:webHidden/>
              </w:rPr>
            </w:r>
            <w:r>
              <w:rPr>
                <w:noProof/>
                <w:webHidden/>
              </w:rPr>
              <w:fldChar w:fldCharType="separate"/>
            </w:r>
            <w:r>
              <w:rPr>
                <w:noProof/>
                <w:webHidden/>
              </w:rPr>
              <w:t>29</w:t>
            </w:r>
            <w:r>
              <w:rPr>
                <w:noProof/>
                <w:webHidden/>
              </w:rPr>
              <w:fldChar w:fldCharType="end"/>
            </w:r>
          </w:hyperlink>
        </w:p>
        <w:p w14:paraId="56048717" w14:textId="640262F0" w:rsidR="00F02AEC" w:rsidRPr="00C417B6" w:rsidRDefault="00F02AEC" w:rsidP="00C417B6">
          <w:r w:rsidRPr="00C417B6">
            <w:fldChar w:fldCharType="end"/>
          </w:r>
        </w:p>
      </w:sdtContent>
    </w:sdt>
    <w:bookmarkEnd w:id="3" w:displacedByCustomXml="prev"/>
    <w:p w14:paraId="06BF6429" w14:textId="24A270EB" w:rsidR="00F02AEC" w:rsidRPr="00C417B6" w:rsidRDefault="00F02AEC" w:rsidP="00C417B6">
      <w:r w:rsidRPr="00C417B6">
        <w:br w:type="page"/>
      </w:r>
    </w:p>
    <w:p w14:paraId="77723FEC" w14:textId="77777777" w:rsidR="00F02AEC" w:rsidRPr="00C417B6" w:rsidRDefault="00685E72" w:rsidP="00395107">
      <w:pPr>
        <w:pStyle w:val="Heading2"/>
      </w:pPr>
      <w:bookmarkStart w:id="4" w:name="_Toc209035924"/>
      <w:bookmarkStart w:id="5" w:name="_Hlk139892263"/>
      <w:r w:rsidRPr="00C417B6">
        <w:lastRenderedPageBreak/>
        <w:t>About this consultation</w:t>
      </w:r>
      <w:bookmarkEnd w:id="4"/>
    </w:p>
    <w:p w14:paraId="750B486D" w14:textId="77777777" w:rsidR="00685E72" w:rsidRPr="00C417B6" w:rsidRDefault="00685E72" w:rsidP="00F53761">
      <w:bookmarkStart w:id="6" w:name="_Toc323739591"/>
      <w:bookmarkStart w:id="7" w:name="_Toc356305218"/>
      <w:r w:rsidRPr="00C417B6">
        <w:t>Subdivision 3D.2 of the Therapeutic Goods Regulations 1990 (the Regulations) sets out the procedure to be followed where the Secretary receives an application under section 52EAA of the Therapeutic Goods Act 1989 (the Act)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4CE67C00" w14:textId="0DE1AC28" w:rsidR="00685E72" w:rsidRPr="00C417B6" w:rsidRDefault="00685E72" w:rsidP="00F53761">
      <w:r w:rsidRPr="007D59C0">
        <w:rPr>
          <w:noProof/>
        </w:rPr>
        <mc:AlternateContent>
          <mc:Choice Requires="wps">
            <w:drawing>
              <wp:anchor distT="0" distB="0" distL="114300" distR="114300" simplePos="0" relativeHeight="251662336" behindDoc="0" locked="0" layoutInCell="1" allowOverlap="1" wp14:anchorId="4C7810FA" wp14:editId="35301AE4">
                <wp:simplePos x="0" y="0"/>
                <wp:positionH relativeFrom="margin">
                  <wp:posOffset>0</wp:posOffset>
                </wp:positionH>
                <wp:positionV relativeFrom="paragraph">
                  <wp:posOffset>1007110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1FE41EB9" w14:textId="24C8F561" w:rsidR="00685E72" w:rsidRPr="00520CD5" w:rsidRDefault="00685E72" w:rsidP="00F53761">
                            <w:pPr>
                              <w:rPr>
                                <w:lang w:val="en"/>
                              </w:rPr>
                            </w:pPr>
                            <w:r w:rsidRPr="00520CD5">
                              <w:t>Submissions should be provided through our</w:t>
                            </w:r>
                            <w:r w:rsidRPr="00520CD5">
                              <w:rPr>
                                <w:lang w:val="en"/>
                              </w:rPr>
                              <w:t xml:space="preserve"> </w:t>
                            </w:r>
                            <w:hyperlink r:id="rId15" w:history="1">
                              <w:r w:rsidRPr="00520CD5">
                                <w:rPr>
                                  <w:rStyle w:val="Hyperlink"/>
                                  <w:rFonts w:cs="Arial"/>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16" w:history="1">
                              <w:r w:rsidRPr="00520CD5">
                                <w:rPr>
                                  <w:rStyle w:val="Hyperlink"/>
                                  <w:rFonts w:cs="Arial"/>
                                  <w:szCs w:val="18"/>
                                </w:rPr>
                                <w:t>Advisory Committee on Medicines Scheduling (ACMS)</w:t>
                              </w:r>
                            </w:hyperlink>
                            <w:r w:rsidRPr="00520CD5">
                              <w:rPr>
                                <w:lang w:val="en"/>
                              </w:rPr>
                              <w:t xml:space="preserve">, </w:t>
                            </w:r>
                            <w:r w:rsidRPr="00520CD5">
                              <w:t>meeting of the</w:t>
                            </w:r>
                            <w:r w:rsidRPr="00520CD5">
                              <w:rPr>
                                <w:lang w:val="en"/>
                              </w:rPr>
                              <w:t xml:space="preserve"> </w:t>
                            </w:r>
                            <w:hyperlink r:id="rId17" w:history="1">
                              <w:r w:rsidRPr="00520CD5">
                                <w:rPr>
                                  <w:rStyle w:val="Hyperlink"/>
                                  <w:rFonts w:cs="Arial"/>
                                  <w:szCs w:val="18"/>
                                </w:rPr>
                                <w:t>Advisory Committee on Chemicals Scheduling (ACCS)</w:t>
                              </w:r>
                            </w:hyperlink>
                            <w:r w:rsidRPr="00520CD5">
                              <w:rPr>
                                <w:lang w:val="en"/>
                              </w:rPr>
                              <w:t xml:space="preserve">, </w:t>
                            </w:r>
                            <w:r w:rsidRPr="00520CD5">
                              <w:t>or a joint meeting of these two committees.</w:t>
                            </w:r>
                          </w:p>
                          <w:p w14:paraId="0D7B4FC4" w14:textId="0AB07153" w:rsidR="00685E72" w:rsidRPr="00520CD5" w:rsidRDefault="00685E72" w:rsidP="00F53761">
                            <w:pPr>
                              <w:rPr>
                                <w:b/>
                                <w:lang w:val="en"/>
                              </w:rPr>
                            </w:pPr>
                            <w:r w:rsidRPr="00520CD5">
                              <w:rPr>
                                <w:b/>
                                <w:lang w:val="en"/>
                              </w:rPr>
                              <w:t xml:space="preserve">This consultation closes on </w:t>
                            </w:r>
                            <w:r w:rsidR="007D59C0" w:rsidRPr="00071991">
                              <w:rPr>
                                <w:b/>
                                <w:lang w:val="en"/>
                              </w:rPr>
                              <w:t>17</w:t>
                            </w:r>
                            <w:r w:rsidR="007D59C0">
                              <w:rPr>
                                <w:b/>
                                <w:lang w:val="en"/>
                              </w:rPr>
                              <w:t xml:space="preserve"> October 2025.</w:t>
                            </w:r>
                          </w:p>
                          <w:p w14:paraId="4EAFBA4A" w14:textId="77777777" w:rsidR="00685E72" w:rsidRPr="00520CD5" w:rsidRDefault="00685E72" w:rsidP="00F53761">
                            <w:r w:rsidRPr="00520CD5">
                              <w:t>We aim to provide documents in an accessible format. If you're having problems using this document, please contact </w:t>
                            </w:r>
                            <w:hyperlink r:id="rId18" w:history="1">
                              <w:r w:rsidRPr="00520CD5">
                                <w:rPr>
                                  <w:rStyle w:val="Hyperlink"/>
                                  <w:rFonts w:cs="Arial"/>
                                  <w:szCs w:val="18"/>
                                </w:rPr>
                                <w:t>medicines.scheduling@health.gov.au</w:t>
                              </w:r>
                            </w:hyperlink>
                            <w:r w:rsidRPr="00520CD5">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7810FA" id="_x0000_t202" coordsize="21600,21600" o:spt="202" path="m,l,21600r21600,l21600,xe">
                <v:stroke joinstyle="miter"/>
                <v:path gradientshapeok="t" o:connecttype="rect"/>
              </v:shapetype>
              <v:shape id="Text Box 1" o:spid="_x0000_s1026" type="#_x0000_t202" style="position:absolute;margin-left:0;margin-top:79.3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1FE41EB9" w14:textId="24C8F561" w:rsidR="00685E72" w:rsidRPr="00520CD5" w:rsidRDefault="00685E72" w:rsidP="00F53761">
                      <w:pPr>
                        <w:rPr>
                          <w:lang w:val="en"/>
                        </w:rPr>
                      </w:pPr>
                      <w:r w:rsidRPr="00520CD5">
                        <w:t>Submissions should be provided through our</w:t>
                      </w:r>
                      <w:r w:rsidRPr="00520CD5">
                        <w:rPr>
                          <w:lang w:val="en"/>
                        </w:rPr>
                        <w:t xml:space="preserve"> </w:t>
                      </w:r>
                      <w:hyperlink r:id="rId19" w:history="1">
                        <w:r w:rsidRPr="00520CD5">
                          <w:rPr>
                            <w:rStyle w:val="Hyperlink"/>
                            <w:rFonts w:cs="Arial"/>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20" w:history="1">
                        <w:r w:rsidRPr="00520CD5">
                          <w:rPr>
                            <w:rStyle w:val="Hyperlink"/>
                            <w:rFonts w:cs="Arial"/>
                            <w:szCs w:val="18"/>
                          </w:rPr>
                          <w:t>Advisory Committee on Medicines Scheduling (ACMS)</w:t>
                        </w:r>
                      </w:hyperlink>
                      <w:r w:rsidRPr="00520CD5">
                        <w:rPr>
                          <w:lang w:val="en"/>
                        </w:rPr>
                        <w:t xml:space="preserve">, </w:t>
                      </w:r>
                      <w:r w:rsidRPr="00520CD5">
                        <w:t>meeting of the</w:t>
                      </w:r>
                      <w:r w:rsidRPr="00520CD5">
                        <w:rPr>
                          <w:lang w:val="en"/>
                        </w:rPr>
                        <w:t xml:space="preserve"> </w:t>
                      </w:r>
                      <w:hyperlink r:id="rId21" w:history="1">
                        <w:r w:rsidRPr="00520CD5">
                          <w:rPr>
                            <w:rStyle w:val="Hyperlink"/>
                            <w:rFonts w:cs="Arial"/>
                            <w:szCs w:val="18"/>
                          </w:rPr>
                          <w:t>Advisory Committee on Chemicals Scheduling (ACCS)</w:t>
                        </w:r>
                      </w:hyperlink>
                      <w:r w:rsidRPr="00520CD5">
                        <w:rPr>
                          <w:lang w:val="en"/>
                        </w:rPr>
                        <w:t xml:space="preserve">, </w:t>
                      </w:r>
                      <w:r w:rsidRPr="00520CD5">
                        <w:t>or a joint meeting of these two committees.</w:t>
                      </w:r>
                    </w:p>
                    <w:p w14:paraId="0D7B4FC4" w14:textId="0AB07153" w:rsidR="00685E72" w:rsidRPr="00520CD5" w:rsidRDefault="00685E72" w:rsidP="00F53761">
                      <w:pPr>
                        <w:rPr>
                          <w:b/>
                          <w:lang w:val="en"/>
                        </w:rPr>
                      </w:pPr>
                      <w:r w:rsidRPr="00520CD5">
                        <w:rPr>
                          <w:b/>
                          <w:lang w:val="en"/>
                        </w:rPr>
                        <w:t xml:space="preserve">This consultation closes on </w:t>
                      </w:r>
                      <w:r w:rsidR="007D59C0" w:rsidRPr="00071991">
                        <w:rPr>
                          <w:b/>
                          <w:lang w:val="en"/>
                        </w:rPr>
                        <w:t>17</w:t>
                      </w:r>
                      <w:r w:rsidR="007D59C0">
                        <w:rPr>
                          <w:b/>
                          <w:lang w:val="en"/>
                        </w:rPr>
                        <w:t xml:space="preserve"> October 2025.</w:t>
                      </w:r>
                    </w:p>
                    <w:p w14:paraId="4EAFBA4A" w14:textId="77777777" w:rsidR="00685E72" w:rsidRPr="00520CD5" w:rsidRDefault="00685E72" w:rsidP="00F53761">
                      <w:r w:rsidRPr="00520CD5">
                        <w:t>We aim to provide documents in an accessible format. If you're having problems using this document, please contact </w:t>
                      </w:r>
                      <w:hyperlink r:id="rId22" w:history="1">
                        <w:r w:rsidRPr="00520CD5">
                          <w:rPr>
                            <w:rStyle w:val="Hyperlink"/>
                            <w:rFonts w:cs="Arial"/>
                            <w:szCs w:val="18"/>
                          </w:rPr>
                          <w:t>medicines.scheduling@health.gov.au</w:t>
                        </w:r>
                      </w:hyperlink>
                      <w:r w:rsidRPr="00520CD5">
                        <w:t>.</w:t>
                      </w:r>
                    </w:p>
                  </w:txbxContent>
                </v:textbox>
                <w10:wrap type="square" anchorx="margin"/>
              </v:shape>
            </w:pict>
          </mc:Fallback>
        </mc:AlternateContent>
      </w:r>
      <w:r w:rsidRPr="007D59C0">
        <w:t xml:space="preserve">In accordance with regulation 42ZCZK of the Regulations, the Secretary invites public submissions on scheduling proposals referred to the </w:t>
      </w:r>
      <w:r w:rsidR="007D59C0" w:rsidRPr="007D59C0">
        <w:t>November 2025</w:t>
      </w:r>
      <w:r w:rsidR="002327B4" w:rsidRPr="007D59C0">
        <w:t xml:space="preserve"> </w:t>
      </w:r>
      <w:r w:rsidRPr="007D59C0">
        <w:t>meeting</w:t>
      </w:r>
      <w:r w:rsidR="00F258A8" w:rsidRPr="007D59C0">
        <w:t>s</w:t>
      </w:r>
      <w:r w:rsidRPr="007D59C0">
        <w:t xml:space="preserve"> of the</w:t>
      </w:r>
      <w:r w:rsidR="00F258A8" w:rsidRPr="007D59C0">
        <w:t xml:space="preserve"> Advisory Committee on Medicines Scheduling (ACMS</w:t>
      </w:r>
      <w:r w:rsidR="007D59C0" w:rsidRPr="007D59C0">
        <w:t xml:space="preserve"> #48</w:t>
      </w:r>
      <w:r w:rsidR="00F258A8" w:rsidRPr="007D59C0">
        <w:t>), Advisory Committee on Chemicals Scheduling (ACCS</w:t>
      </w:r>
      <w:r w:rsidR="007D59C0" w:rsidRPr="007D59C0">
        <w:t xml:space="preserve"> #41</w:t>
      </w:r>
      <w:r w:rsidR="00F258A8" w:rsidRPr="007D59C0">
        <w:t>) and</w:t>
      </w:r>
      <w:r w:rsidRPr="007D59C0">
        <w:t xml:space="preserve"> Joint Advisory Committee</w:t>
      </w:r>
      <w:r w:rsidR="007D59C0">
        <w:t>s</w:t>
      </w:r>
      <w:r w:rsidRPr="007D59C0">
        <w:t xml:space="preserve"> on Medicines</w:t>
      </w:r>
      <w:r w:rsidR="007D59C0">
        <w:t xml:space="preserve"> and </w:t>
      </w:r>
      <w:r w:rsidRPr="007D59C0">
        <w:t>Chemicals Scheduling (Joint ACMS-ACCS #</w:t>
      </w:r>
      <w:r w:rsidR="007D59C0" w:rsidRPr="007D59C0">
        <w:t>42</w:t>
      </w:r>
      <w:r w:rsidRPr="007D59C0">
        <w:t>).</w:t>
      </w:r>
      <w:r w:rsidRPr="00C417B6">
        <w:t xml:space="preserve"> Submissions must be received by close of business </w:t>
      </w:r>
      <w:r w:rsidR="007D59C0" w:rsidRPr="00071991">
        <w:t>17</w:t>
      </w:r>
      <w:r w:rsidR="007D59C0" w:rsidRPr="007D59C0">
        <w:t xml:space="preserve"> October</w:t>
      </w:r>
      <w:r w:rsidR="007D59C0">
        <w:t xml:space="preserve"> 2025.</w:t>
      </w:r>
    </w:p>
    <w:bookmarkEnd w:id="5"/>
    <w:bookmarkEnd w:id="6"/>
    <w:bookmarkEnd w:id="7"/>
    <w:p w14:paraId="66D32965" w14:textId="77777777" w:rsidR="007D59C0" w:rsidRDefault="007D59C0">
      <w:pPr>
        <w:rPr>
          <w:rFonts w:eastAsia="Times New Roman" w:cs="Times New Roman"/>
          <w:b/>
          <w:bCs/>
          <w:color w:val="001871"/>
          <w:sz w:val="38"/>
          <w:szCs w:val="38"/>
        </w:rPr>
      </w:pPr>
      <w:r>
        <w:br w:type="page"/>
      </w:r>
    </w:p>
    <w:p w14:paraId="68099E53" w14:textId="25EB3202" w:rsidR="00685E72" w:rsidRPr="00C417B6" w:rsidRDefault="004B0184" w:rsidP="004B0184">
      <w:pPr>
        <w:pStyle w:val="Heading2"/>
      </w:pPr>
      <w:bookmarkStart w:id="8" w:name="_Toc209035925"/>
      <w:r>
        <w:lastRenderedPageBreak/>
        <w:t>1</w:t>
      </w:r>
      <w:r>
        <w:tab/>
      </w:r>
      <w:r w:rsidR="00685E72" w:rsidRPr="00C417B6">
        <w:t>Proposed amendment referred for scheduling advice to ACMS</w:t>
      </w:r>
      <w:r w:rsidR="00B90A0A" w:rsidRPr="00C417B6">
        <w:t> </w:t>
      </w:r>
      <w:r w:rsidR="00685E72" w:rsidRPr="00C417B6">
        <w:t>meeting</w:t>
      </w:r>
      <w:r w:rsidR="00B90A0A" w:rsidRPr="00C417B6">
        <w:t> </w:t>
      </w:r>
      <w:r w:rsidR="00685E72" w:rsidRPr="00AA4F80">
        <w:t>#</w:t>
      </w:r>
      <w:r w:rsidR="00AA4F80" w:rsidRPr="00AA4F80">
        <w:t>48</w:t>
      </w:r>
      <w:bookmarkEnd w:id="8"/>
    </w:p>
    <w:p w14:paraId="540BBDA1" w14:textId="6D5E8A5E" w:rsidR="00685E72" w:rsidRPr="00C417B6" w:rsidRDefault="00F62AC9" w:rsidP="00F62AC9">
      <w:pPr>
        <w:pStyle w:val="Heading3"/>
      </w:pPr>
      <w:bookmarkStart w:id="9" w:name="_Toc122614214"/>
      <w:bookmarkStart w:id="10" w:name="_Toc209035926"/>
      <w:r w:rsidRPr="00F62AC9">
        <w:t>1.1</w:t>
      </w:r>
      <w:r w:rsidRPr="00F62AC9">
        <w:tab/>
      </w:r>
      <w:bookmarkEnd w:id="9"/>
      <w:r w:rsidR="00AA4F80">
        <w:t>Vitamin D</w:t>
      </w:r>
      <w:bookmarkEnd w:id="10"/>
    </w:p>
    <w:p w14:paraId="61769D68" w14:textId="77777777" w:rsidR="00685E72" w:rsidRPr="00C417B6" w:rsidRDefault="00685E72" w:rsidP="00F62AC9">
      <w:pPr>
        <w:pStyle w:val="Heading4"/>
      </w:pPr>
      <w:bookmarkStart w:id="11" w:name="_Toc122614215"/>
      <w:bookmarkStart w:id="12" w:name="_Toc209035927"/>
      <w:r w:rsidRPr="00C417B6">
        <w:t>Proposal</w:t>
      </w:r>
      <w:bookmarkEnd w:id="11"/>
      <w:bookmarkEnd w:id="12"/>
    </w:p>
    <w:p w14:paraId="1E818968" w14:textId="6D0921A5" w:rsidR="00685E72" w:rsidRPr="00C417B6" w:rsidRDefault="00AA4F80" w:rsidP="000B2E7B">
      <w:r w:rsidRPr="00AA4F80">
        <w:t xml:space="preserve">The applicant has proposed to amend the current Poisons Standard in relation to vitamin D. Under the proposal, vitamin D for human internal therapeutic use would be a Pharmacy </w:t>
      </w:r>
      <w:r w:rsidR="00985BD7">
        <w:t>m</w:t>
      </w:r>
      <w:r w:rsidRPr="00AA4F80">
        <w:t>edicine (Schedule</w:t>
      </w:r>
      <w:r w:rsidR="005D26C2">
        <w:t> </w:t>
      </w:r>
      <w:r w:rsidRPr="00AA4F80">
        <w:t xml:space="preserve">2) if it is in divided preparations containing 175 micrograms or less of vitamin D per recommended single weekly dose and packaged in primary packs containing no more than 8 dosage units. All divided preparations containing 175 micrograms or less of vitamin D per recommended single weekly dose are currently Pharmacist </w:t>
      </w:r>
      <w:r w:rsidR="005D26C2">
        <w:t>o</w:t>
      </w:r>
      <w:r w:rsidRPr="00AA4F80">
        <w:t>nly (Schedule 3) medicines irrespective of pack size. Preparations containing 25 micrograms or less per recommended daily dose would continue to be unscheduled.</w:t>
      </w:r>
    </w:p>
    <w:p w14:paraId="6A812076" w14:textId="740C9FA7" w:rsidR="00685E72" w:rsidRPr="00C417B6" w:rsidRDefault="00685E72" w:rsidP="00E018A2">
      <w:pPr>
        <w:pStyle w:val="Heading4"/>
      </w:pPr>
      <w:bookmarkStart w:id="13" w:name="_Toc122614216"/>
      <w:bookmarkStart w:id="14" w:name="_Toc209035928"/>
      <w:r w:rsidRPr="00C417B6">
        <w:t>CAS number</w:t>
      </w:r>
      <w:bookmarkEnd w:id="13"/>
      <w:bookmarkEnd w:id="14"/>
    </w:p>
    <w:p w14:paraId="1F8AB219" w14:textId="77777777" w:rsidR="00AA4F80" w:rsidRDefault="00AA4F80" w:rsidP="00AA4F80">
      <w:r>
        <w:t>Vitamin D2: 50-14-6</w:t>
      </w:r>
    </w:p>
    <w:p w14:paraId="76C74C38" w14:textId="26DF2AA5" w:rsidR="00B90A0A" w:rsidRPr="00C417B6" w:rsidRDefault="00AA4F80" w:rsidP="00AA4F80">
      <w:r>
        <w:t>Vitamin D3: 67-97-0</w:t>
      </w:r>
    </w:p>
    <w:p w14:paraId="56C3FC20" w14:textId="77777777" w:rsidR="00685E72" w:rsidRPr="00C417B6" w:rsidRDefault="00685E72" w:rsidP="00E018A2">
      <w:pPr>
        <w:pStyle w:val="Heading4"/>
      </w:pPr>
      <w:bookmarkStart w:id="15" w:name="_Toc122614217"/>
      <w:bookmarkStart w:id="16" w:name="_Toc209035929"/>
      <w:r w:rsidRPr="00C417B6">
        <w:t>Alternative names</w:t>
      </w:r>
      <w:bookmarkEnd w:id="15"/>
      <w:bookmarkEnd w:id="16"/>
    </w:p>
    <w:p w14:paraId="31371D9B" w14:textId="77777777" w:rsidR="00AA4F80" w:rsidRPr="00C417B6" w:rsidRDefault="00AA4F80" w:rsidP="00AA4F80">
      <w:r>
        <w:t>Vitamin D2: Ergocalciferol</w:t>
      </w:r>
    </w:p>
    <w:p w14:paraId="30E448A1" w14:textId="77777777" w:rsidR="00AA4F80" w:rsidRDefault="00AA4F80" w:rsidP="00AA4F80">
      <w:r>
        <w:t>Vitamin D3: Cholecalciferol, colecalciferol</w:t>
      </w:r>
    </w:p>
    <w:p w14:paraId="6459EF3F" w14:textId="77777777" w:rsidR="00685E72" w:rsidRPr="00C417B6" w:rsidRDefault="00685E72" w:rsidP="00E018A2">
      <w:pPr>
        <w:pStyle w:val="Heading4"/>
      </w:pPr>
      <w:bookmarkStart w:id="17" w:name="_Toc122614218"/>
      <w:bookmarkStart w:id="18" w:name="_Toc209035930"/>
      <w:r w:rsidRPr="00C417B6">
        <w:t>Applicant</w:t>
      </w:r>
      <w:bookmarkEnd w:id="17"/>
      <w:bookmarkEnd w:id="18"/>
    </w:p>
    <w:p w14:paraId="693C225E" w14:textId="4D477A47" w:rsidR="00685E72" w:rsidRPr="00C417B6" w:rsidRDefault="00685E72" w:rsidP="00E018A2">
      <w:r w:rsidRPr="00AA4F80">
        <w:t>Private applicant</w:t>
      </w:r>
      <w:r w:rsidR="00AA4F80" w:rsidRPr="00AA4F80">
        <w:t>.</w:t>
      </w:r>
    </w:p>
    <w:p w14:paraId="42FF7239" w14:textId="77777777" w:rsidR="00685E72" w:rsidRPr="00C417B6" w:rsidRDefault="00685E72" w:rsidP="00E018A2">
      <w:pPr>
        <w:pStyle w:val="Heading4"/>
      </w:pPr>
      <w:bookmarkStart w:id="19" w:name="_Toc122614219"/>
      <w:bookmarkStart w:id="20" w:name="_Toc209035931"/>
      <w:r w:rsidRPr="00C417B6">
        <w:t>Proposed Scheduling</w:t>
      </w:r>
      <w:bookmarkEnd w:id="19"/>
      <w:bookmarkEnd w:id="20"/>
    </w:p>
    <w:p w14:paraId="5992926D" w14:textId="3C47D830" w:rsidR="00685E72" w:rsidRPr="00C417B6" w:rsidRDefault="00AA4F80" w:rsidP="00B8582B">
      <w:r w:rsidRPr="00AA4F80">
        <w:t xml:space="preserve">Vitamin D is currently listed in Schedule </w:t>
      </w:r>
      <w:r w:rsidR="005D26C2">
        <w:t>4 and</w:t>
      </w:r>
      <w:r w:rsidRPr="00AA4F80">
        <w:t xml:space="preserve"> Schedule </w:t>
      </w:r>
      <w:r w:rsidR="005D26C2">
        <w:t xml:space="preserve">3 and is </w:t>
      </w:r>
      <w:r w:rsidR="006443F8">
        <w:t xml:space="preserve">cross-referenced to colecalciferol and ergocalciferol. </w:t>
      </w:r>
      <w:r w:rsidR="005D26C2">
        <w:t>Vitamin D is also included in Appendix H, clause 1 (Schedule 3 medicines permitted to be advertised).</w:t>
      </w:r>
    </w:p>
    <w:p w14:paraId="67084666" w14:textId="36B9541C" w:rsidR="00685E72" w:rsidRPr="0057557A" w:rsidRDefault="00685E72" w:rsidP="0057557A">
      <w:pPr>
        <w:ind w:left="426"/>
        <w:rPr>
          <w:b/>
          <w:bCs/>
        </w:rPr>
      </w:pPr>
      <w:r w:rsidRPr="0057557A">
        <w:rPr>
          <w:b/>
          <w:bCs/>
        </w:rPr>
        <w:t xml:space="preserve">Schedule </w:t>
      </w:r>
      <w:r w:rsidR="00AA4F80">
        <w:rPr>
          <w:b/>
          <w:bCs/>
        </w:rPr>
        <w:t>4</w:t>
      </w:r>
    </w:p>
    <w:p w14:paraId="7762C5C3" w14:textId="77777777" w:rsidR="00AA4F80" w:rsidRDefault="00AA4F80" w:rsidP="00AA4F80">
      <w:pPr>
        <w:ind w:left="709"/>
      </w:pPr>
      <w:r>
        <w:t xml:space="preserve">VITAMIN D for human internal therapeutic use </w:t>
      </w:r>
      <w:r w:rsidRPr="43F50D41">
        <w:rPr>
          <w:b/>
          <w:bCs/>
        </w:rPr>
        <w:t>excep</w:t>
      </w:r>
      <w:r w:rsidRPr="00F213FB">
        <w:rPr>
          <w:b/>
          <w:bCs/>
        </w:rPr>
        <w:t>t:</w:t>
      </w:r>
    </w:p>
    <w:p w14:paraId="5FA82773" w14:textId="1F577606" w:rsidR="00AA4F80" w:rsidRDefault="00AA4F80" w:rsidP="00AA4F80">
      <w:pPr>
        <w:ind w:left="1418" w:hanging="425"/>
      </w:pPr>
      <w:r>
        <w:t xml:space="preserve">(a) </w:t>
      </w:r>
      <w:r>
        <w:tab/>
        <w:t>in preparations containing 25 micrograms or less of vitamin D per recommended daily dose; or</w:t>
      </w:r>
    </w:p>
    <w:p w14:paraId="438198FC" w14:textId="79577C73" w:rsidR="00685E72" w:rsidRPr="00C417B6" w:rsidRDefault="00AA4F80" w:rsidP="00AA4F80">
      <w:pPr>
        <w:ind w:left="1418" w:hanging="425"/>
      </w:pPr>
      <w:r>
        <w:t xml:space="preserve">(b) </w:t>
      </w:r>
      <w:r>
        <w:tab/>
        <w:t>when included in Schedule 3.</w:t>
      </w:r>
    </w:p>
    <w:p w14:paraId="734FF046" w14:textId="77777777" w:rsidR="00AA4F80" w:rsidRDefault="00AA4F80" w:rsidP="00AA4F80">
      <w:pPr>
        <w:ind w:left="426"/>
        <w:rPr>
          <w:b/>
          <w:bCs/>
        </w:rPr>
      </w:pPr>
      <w:r w:rsidRPr="43F50D41">
        <w:rPr>
          <w:b/>
          <w:bCs/>
        </w:rPr>
        <w:t>Schedule 3</w:t>
      </w:r>
    </w:p>
    <w:p w14:paraId="4ECB00EF" w14:textId="5CC19714" w:rsidR="00AA4F80" w:rsidRDefault="00AA4F80" w:rsidP="00AA4F80">
      <w:pPr>
        <w:ind w:left="426"/>
        <w:rPr>
          <w:b/>
          <w:bCs/>
        </w:rPr>
      </w:pPr>
      <w:r>
        <w:t xml:space="preserve">VITAMIN D for human internal therapeutic use in preparations containing 175 micrograms or less of vitamin D per recommended single weekly dose </w:t>
      </w:r>
      <w:r w:rsidRPr="00F213FB">
        <w:rPr>
          <w:b/>
          <w:bCs/>
        </w:rPr>
        <w:t>except</w:t>
      </w:r>
      <w:r>
        <w:t xml:space="preserve"> in preparations containing 25 micrograms or less of vitamin D per recommended daily dose.</w:t>
      </w:r>
    </w:p>
    <w:p w14:paraId="4520A37A" w14:textId="77777777" w:rsidR="005D26C2" w:rsidRDefault="005D26C2">
      <w:r>
        <w:br w:type="page"/>
      </w:r>
    </w:p>
    <w:p w14:paraId="1C5C2735" w14:textId="6E635554" w:rsidR="00685E72" w:rsidRPr="00C417B6" w:rsidRDefault="00685E72" w:rsidP="00C417B6">
      <w:r w:rsidRPr="009E18EA">
        <w:lastRenderedPageBreak/>
        <w:t>The applicant’s proposed amendments to the Poisons Standard are</w:t>
      </w:r>
      <w:r w:rsidR="00E517F4">
        <w:t>:</w:t>
      </w:r>
      <w:r w:rsidRPr="009E18EA">
        <w:rPr>
          <w:vertAlign w:val="superscript"/>
        </w:rPr>
        <w:footnoteReference w:id="1"/>
      </w:r>
    </w:p>
    <w:p w14:paraId="6B7D9D46" w14:textId="17A39546" w:rsidR="00AA4F80" w:rsidRPr="0057557A" w:rsidRDefault="00AA4F80" w:rsidP="00AA4F80">
      <w:pPr>
        <w:ind w:left="426"/>
        <w:rPr>
          <w:b/>
          <w:bCs/>
        </w:rPr>
      </w:pPr>
      <w:r w:rsidRPr="0057557A">
        <w:rPr>
          <w:b/>
          <w:bCs/>
        </w:rPr>
        <w:t xml:space="preserve">Schedule </w:t>
      </w:r>
      <w:r>
        <w:rPr>
          <w:b/>
          <w:bCs/>
        </w:rPr>
        <w:t>4 – Amend entry</w:t>
      </w:r>
    </w:p>
    <w:p w14:paraId="4D07892E" w14:textId="77777777" w:rsidR="00AA4F80" w:rsidRDefault="00AA4F80" w:rsidP="00AA4F80">
      <w:pPr>
        <w:ind w:left="709"/>
      </w:pPr>
      <w:r>
        <w:t xml:space="preserve">VITAMIN D for human internal therapeutic use </w:t>
      </w:r>
      <w:r w:rsidRPr="43F50D41">
        <w:rPr>
          <w:b/>
          <w:bCs/>
        </w:rPr>
        <w:t>excep</w:t>
      </w:r>
      <w:r>
        <w:t>t:</w:t>
      </w:r>
    </w:p>
    <w:p w14:paraId="35268234" w14:textId="77777777" w:rsidR="00AA4F80" w:rsidRDefault="00AA4F80" w:rsidP="00AA4F80">
      <w:pPr>
        <w:ind w:left="1418" w:hanging="425"/>
      </w:pPr>
      <w:r>
        <w:t xml:space="preserve">(a) </w:t>
      </w:r>
      <w:r>
        <w:tab/>
        <w:t>in preparations containing 25 micrograms or less of vitamin D per recommended daily dose; or</w:t>
      </w:r>
    </w:p>
    <w:p w14:paraId="6BAF81DE" w14:textId="1454A771" w:rsidR="00685E72" w:rsidRDefault="00AA4F80" w:rsidP="00AA4F80">
      <w:pPr>
        <w:ind w:left="1418" w:hanging="425"/>
      </w:pPr>
      <w:r>
        <w:t xml:space="preserve">(b) </w:t>
      </w:r>
      <w:r>
        <w:tab/>
        <w:t xml:space="preserve">when included in </w:t>
      </w:r>
      <w:r w:rsidRPr="00AA4F80">
        <w:rPr>
          <w:color w:val="00B050"/>
        </w:rPr>
        <w:t>Schedule 2 or</w:t>
      </w:r>
      <w:r>
        <w:t xml:space="preserve"> Schedule 3.</w:t>
      </w:r>
    </w:p>
    <w:p w14:paraId="12134EF4" w14:textId="738238C3" w:rsidR="006443F8" w:rsidRPr="0057557A" w:rsidRDefault="006443F8" w:rsidP="006443F8">
      <w:pPr>
        <w:ind w:left="426"/>
        <w:rPr>
          <w:b/>
          <w:bCs/>
        </w:rPr>
      </w:pPr>
      <w:r w:rsidRPr="0057557A">
        <w:rPr>
          <w:b/>
          <w:bCs/>
        </w:rPr>
        <w:t xml:space="preserve">Schedule </w:t>
      </w:r>
      <w:r>
        <w:rPr>
          <w:b/>
          <w:bCs/>
        </w:rPr>
        <w:t>3 – Amend entry</w:t>
      </w:r>
    </w:p>
    <w:p w14:paraId="2D5619B9" w14:textId="24078067" w:rsidR="006443F8" w:rsidRDefault="006443F8" w:rsidP="006443F8">
      <w:pPr>
        <w:ind w:left="709"/>
      </w:pPr>
      <w:r>
        <w:t xml:space="preserve">VITAMIN D for human internal therapeutic use in preparations containing 175 micrograms or less of vitamin D per recommended single weekly dose </w:t>
      </w:r>
      <w:r w:rsidRPr="006443F8">
        <w:rPr>
          <w:b/>
          <w:bCs/>
        </w:rPr>
        <w:t>except:</w:t>
      </w:r>
      <w:r>
        <w:t xml:space="preserve"> </w:t>
      </w:r>
    </w:p>
    <w:p w14:paraId="72D55FA6" w14:textId="4ED5B567" w:rsidR="006443F8" w:rsidRDefault="006443F8" w:rsidP="00F213FB">
      <w:pPr>
        <w:pStyle w:val="ListParagraph"/>
        <w:numPr>
          <w:ilvl w:val="0"/>
          <w:numId w:val="50"/>
        </w:numPr>
      </w:pPr>
      <w:r>
        <w:t>in preparations containing 25 micrograms or less of vitamin D per recommended daily dose; or</w:t>
      </w:r>
    </w:p>
    <w:p w14:paraId="5C9FAEAB" w14:textId="133A0572" w:rsidR="006443F8" w:rsidRDefault="006443F8" w:rsidP="00F213FB">
      <w:pPr>
        <w:pStyle w:val="ListParagraph"/>
        <w:numPr>
          <w:ilvl w:val="0"/>
          <w:numId w:val="50"/>
        </w:numPr>
      </w:pPr>
      <w:r w:rsidRPr="00F213FB">
        <w:rPr>
          <w:color w:val="00B050"/>
        </w:rPr>
        <w:t>when included in Schedule 2</w:t>
      </w:r>
      <w:r>
        <w:t>.</w:t>
      </w:r>
    </w:p>
    <w:p w14:paraId="64DDB960" w14:textId="77777777" w:rsidR="006443F8" w:rsidRPr="006443F8" w:rsidRDefault="006443F8" w:rsidP="006443F8">
      <w:pPr>
        <w:ind w:left="426"/>
        <w:rPr>
          <w:b/>
          <w:bCs/>
        </w:rPr>
      </w:pPr>
      <w:r w:rsidRPr="006443F8">
        <w:rPr>
          <w:b/>
          <w:bCs/>
        </w:rPr>
        <w:t>Schedule 2 – New Entry</w:t>
      </w:r>
    </w:p>
    <w:p w14:paraId="448D51B4" w14:textId="3FF6F977" w:rsidR="00AA4F80" w:rsidRPr="00C417B6" w:rsidRDefault="006443F8" w:rsidP="005D359B">
      <w:pPr>
        <w:ind w:left="709"/>
      </w:pPr>
      <w:r w:rsidRPr="006443F8">
        <w:rPr>
          <w:color w:val="00B050"/>
        </w:rPr>
        <w:t xml:space="preserve">VITAMIN D for human internal therapeutic use in divided preparations containing 175 micrograms or less of vitamin D per recommended single weekly dose in primary packs containing no more than 8 dosage units per pack </w:t>
      </w:r>
      <w:r w:rsidRPr="005D26C2">
        <w:rPr>
          <w:b/>
          <w:bCs/>
          <w:color w:val="00B050"/>
        </w:rPr>
        <w:t>except</w:t>
      </w:r>
      <w:r w:rsidRPr="006443F8">
        <w:rPr>
          <w:color w:val="00B050"/>
        </w:rPr>
        <w:t xml:space="preserve"> in preparations containing 25 micrograms or less of vitamin D per recommended daily dose.</w:t>
      </w:r>
    </w:p>
    <w:p w14:paraId="7D004BDB" w14:textId="77777777" w:rsidR="006443F8" w:rsidRPr="00514DE8" w:rsidRDefault="006443F8" w:rsidP="006443F8">
      <w:pPr>
        <w:ind w:left="426"/>
        <w:rPr>
          <w:b/>
          <w:bCs/>
        </w:rPr>
      </w:pPr>
      <w:r w:rsidRPr="00514DE8">
        <w:rPr>
          <w:b/>
          <w:bCs/>
        </w:rPr>
        <w:t>Index</w:t>
      </w:r>
    </w:p>
    <w:p w14:paraId="0F6B0DEB" w14:textId="77777777" w:rsidR="006443F8" w:rsidRDefault="006443F8" w:rsidP="006443F8">
      <w:pPr>
        <w:ind w:left="709"/>
      </w:pPr>
      <w:r>
        <w:t>VITAMIN D</w:t>
      </w:r>
    </w:p>
    <w:p w14:paraId="19019F81" w14:textId="77777777" w:rsidR="006443F8" w:rsidRDefault="006443F8" w:rsidP="006443F8">
      <w:pPr>
        <w:ind w:left="709"/>
      </w:pPr>
      <w:r>
        <w:t xml:space="preserve">Cross reference: COLECALCIFEROL, ERGOCALCIFEROL </w:t>
      </w:r>
    </w:p>
    <w:p w14:paraId="6E50D501" w14:textId="77777777" w:rsidR="006443F8" w:rsidRDefault="006443F8" w:rsidP="006443F8">
      <w:pPr>
        <w:ind w:left="709"/>
      </w:pPr>
      <w:r>
        <w:t>Schedule 4</w:t>
      </w:r>
    </w:p>
    <w:p w14:paraId="7FE7DC6D" w14:textId="2E086998" w:rsidR="006443F8" w:rsidRDefault="006443F8" w:rsidP="006443F8">
      <w:pPr>
        <w:ind w:left="709"/>
      </w:pPr>
      <w:r>
        <w:t>Schedule 3</w:t>
      </w:r>
    </w:p>
    <w:p w14:paraId="452DA629" w14:textId="1AA55D0E" w:rsidR="006443F8" w:rsidRPr="006443F8" w:rsidRDefault="006443F8" w:rsidP="006443F8">
      <w:pPr>
        <w:ind w:left="709"/>
        <w:rPr>
          <w:color w:val="00B050"/>
        </w:rPr>
      </w:pPr>
      <w:r w:rsidRPr="006443F8">
        <w:rPr>
          <w:color w:val="00B050"/>
        </w:rPr>
        <w:t>Schedule 2</w:t>
      </w:r>
    </w:p>
    <w:p w14:paraId="0ABEB3A5" w14:textId="49879D0B" w:rsidR="006443F8" w:rsidRPr="006443F8" w:rsidRDefault="006443F8" w:rsidP="006443F8">
      <w:pPr>
        <w:ind w:left="709"/>
      </w:pPr>
      <w:r>
        <w:t>Appendix H, Clause 3.</w:t>
      </w:r>
    </w:p>
    <w:p w14:paraId="14758479" w14:textId="77777777" w:rsidR="00685E72" w:rsidRPr="00C417B6" w:rsidRDefault="00685E72" w:rsidP="009059E7">
      <w:pPr>
        <w:pStyle w:val="Heading4"/>
      </w:pPr>
      <w:bookmarkStart w:id="21" w:name="_Toc122614220"/>
      <w:bookmarkStart w:id="22" w:name="_Toc209035932"/>
      <w:r w:rsidRPr="00C417B6">
        <w:t>Background</w:t>
      </w:r>
      <w:bookmarkEnd w:id="21"/>
      <w:bookmarkEnd w:id="22"/>
    </w:p>
    <w:p w14:paraId="55584CF8" w14:textId="44A96ED3" w:rsidR="006443F8" w:rsidRDefault="006443F8" w:rsidP="006443F8">
      <w:r>
        <w:t>Vitamin D is a fat-soluble vitamin in two main forms: D2 (ergocalciferol), found in fungi and plants, and D3 (cholecalciferol), sourced from animal products or generated in the skin by sunlight. Vitamin D3 is a more commonly used supplement than vitamin D2, as it has a longer half-life and greater potency, resulting in two to three times more storage in the body.</w:t>
      </w:r>
    </w:p>
    <w:p w14:paraId="378DBB6F" w14:textId="330D62BB" w:rsidR="006443F8" w:rsidRDefault="006443F8" w:rsidP="006443F8">
      <w:r>
        <w:t>Supplement</w:t>
      </w:r>
      <w:r w:rsidR="00E517F4">
        <w:t>ation</w:t>
      </w:r>
      <w:r>
        <w:t xml:space="preserve"> with vitamin D can mitigate the risk of acute respiratory infections, osteomalacia, cardiovascular disease, cancer, sarcopenia, diabetes, multiple sclerosis, osteoarthritis, epilepsy, and cognitive dysfunction.</w:t>
      </w:r>
    </w:p>
    <w:p w14:paraId="535C5608" w14:textId="5EF6AF3D" w:rsidR="006443F8" w:rsidRDefault="006443F8" w:rsidP="006443F8">
      <w:r>
        <w:t>Although vitamin D supplementation has several benefits, inappropriate or excessive intake can result in vitamin D intoxication. This condition typically arises when serum 25-hydroxyvitamin D levels exceed 100</w:t>
      </w:r>
      <w:r w:rsidR="00E517F4">
        <w:t>-</w:t>
      </w:r>
      <w:r>
        <w:t>150 ng/mL</w:t>
      </w:r>
      <w:r w:rsidR="00E517F4">
        <w:t>.</w:t>
      </w:r>
      <w:r w:rsidR="005D26C2">
        <w:t xml:space="preserve"> Vitamin D toxicity</w:t>
      </w:r>
      <w:r>
        <w:t xml:space="preserve"> is rarely caused by prolonged sunlight exposure, as the skin naturally regulates </w:t>
      </w:r>
      <w:r w:rsidR="005D26C2">
        <w:t>its</w:t>
      </w:r>
      <w:r>
        <w:t xml:space="preserve"> production by converting excess precursors into inactive metabolites.</w:t>
      </w:r>
    </w:p>
    <w:p w14:paraId="7B67D950" w14:textId="666F687C" w:rsidR="00685E72" w:rsidRPr="00C417B6" w:rsidRDefault="006443F8" w:rsidP="006443F8">
      <w:r>
        <w:t>The most common clinical manifestations of acute vitamin D intoxication are linked to elevated calcium levels, leading to hypercalciuria and hypercalcemia. Symptoms can include confusion, polydipsia, polyuria, loss of appetite, vomiting, and muscle weakness. Prolonged excessive vitamin D intake can lead to chronic toxicity, which may cause nephrocalcinosis, bone deminerali</w:t>
      </w:r>
      <w:r w:rsidR="005F1E18">
        <w:t>s</w:t>
      </w:r>
      <w:r>
        <w:t>ation, and ongoing pain.</w:t>
      </w:r>
    </w:p>
    <w:p w14:paraId="5A08DD94" w14:textId="77777777" w:rsidR="00685E72" w:rsidRPr="00C417B6" w:rsidRDefault="00685E72" w:rsidP="009059E7">
      <w:pPr>
        <w:pStyle w:val="Heading4"/>
      </w:pPr>
      <w:bookmarkStart w:id="23" w:name="_Toc122614221"/>
      <w:bookmarkStart w:id="24" w:name="_Toc209035933"/>
      <w:r w:rsidRPr="00C417B6">
        <w:lastRenderedPageBreak/>
        <w:t>Summary of applicant’s reasons for the proposal</w:t>
      </w:r>
      <w:bookmarkEnd w:id="23"/>
      <w:bookmarkEnd w:id="24"/>
    </w:p>
    <w:p w14:paraId="12E3DFBF" w14:textId="34EEE953" w:rsidR="006443F8" w:rsidRDefault="006443F8" w:rsidP="00A77369">
      <w:r>
        <w:t>Vitamin D deficiency poses health risks across all life stages from rickets and growth delays in infants to increased fracture and fall risk in older adults.</w:t>
      </w:r>
    </w:p>
    <w:p w14:paraId="4B0B6FB6" w14:textId="38ADAD3F" w:rsidR="006443F8" w:rsidRDefault="006443F8" w:rsidP="00A77369">
      <w:r>
        <w:t>The 2011</w:t>
      </w:r>
      <w:r w:rsidR="00E517F4">
        <w:t>-</w:t>
      </w:r>
      <w:r>
        <w:t>12 National Health Measures Survey (NHMS) shows around 23% of Australian adults, approximately 4 million people, had vitamin D deficiency, with similar rates across genders. Supplement users had significantly lower deficiency rates (7%) than non-users (23%), and about 10% of those with high levels (≥100 nmol/L) were taking supplements.</w:t>
      </w:r>
    </w:p>
    <w:p w14:paraId="10C98458" w14:textId="23915DC0" w:rsidR="006443F8" w:rsidRDefault="006443F8" w:rsidP="00A77369">
      <w:r>
        <w:t>According to the Tasmanian Government (Nov 2024), supplementation is recommended to prevent and treat deficiency, especially in individuals with limited sun exposure, darker skin, BMI</w:t>
      </w:r>
      <w:r w:rsidR="00A513F6">
        <w:t xml:space="preserve"> greater than </w:t>
      </w:r>
      <w:r>
        <w:t>30 kg/m</w:t>
      </w:r>
      <w:r w:rsidRPr="00194B17">
        <w:rPr>
          <w:vertAlign w:val="superscript"/>
        </w:rPr>
        <w:t>2</w:t>
      </w:r>
      <w:r>
        <w:t>, certain health conditions, or breastfeeding mothers. It plays a key role in preventing related diseases and supporting overall health.</w:t>
      </w:r>
    </w:p>
    <w:p w14:paraId="1DE6D4AD" w14:textId="6262A9BF" w:rsidR="006443F8" w:rsidRDefault="006443F8" w:rsidP="00A77369">
      <w:r>
        <w:t>A proposed Schedule 2 pack of 8 dosage units each containing 175 micrograms of vitamin D offers a convenient weekly dose over a two-month period. In contrast, the daily dosing of 25 micrograms requires 60 units over the same timeframe. The change is expected to improve patient experience by reducing dose frequency by 87%, enhancing adherence, and benefiting individuals with swallowing difficulties.</w:t>
      </w:r>
    </w:p>
    <w:p w14:paraId="21295900" w14:textId="539C4C16" w:rsidR="00685E72" w:rsidRPr="006443F8" w:rsidRDefault="006443F8" w:rsidP="00A77369">
      <w:r w:rsidRPr="006443F8">
        <w:t>The product could be made available directly from pharmacy shelves, expanding access beyond its current Schedule 3 status, thereby supporting the prevention and treatment of vitamin D deficiency.</w:t>
      </w:r>
    </w:p>
    <w:p w14:paraId="4A480D7F" w14:textId="0EDA56A8" w:rsidR="00685E72" w:rsidRPr="00C417B6" w:rsidRDefault="00685E72" w:rsidP="009059E7">
      <w:pPr>
        <w:pStyle w:val="Heading4"/>
      </w:pPr>
      <w:bookmarkStart w:id="25" w:name="_Toc122614222"/>
      <w:bookmarkStart w:id="26" w:name="_Toc209035934"/>
      <w:r w:rsidRPr="00C417B6">
        <w:t>Key uses/expected use</w:t>
      </w:r>
      <w:bookmarkEnd w:id="25"/>
      <w:bookmarkEnd w:id="26"/>
    </w:p>
    <w:p w14:paraId="493A9954" w14:textId="12CF3188" w:rsidR="00685E72" w:rsidRPr="00C417B6" w:rsidRDefault="006443F8" w:rsidP="00C417B6">
      <w:r>
        <w:t>Medicine.</w:t>
      </w:r>
    </w:p>
    <w:p w14:paraId="6818FD56" w14:textId="77777777" w:rsidR="00685E72" w:rsidRPr="00C417B6" w:rsidRDefault="00685E72" w:rsidP="009059E7">
      <w:pPr>
        <w:pStyle w:val="Heading4"/>
      </w:pPr>
      <w:bookmarkStart w:id="27" w:name="_Toc122614223"/>
      <w:bookmarkStart w:id="28" w:name="_Toc209035935"/>
      <w:r w:rsidRPr="00C417B6">
        <w:t>Australian regulations</w:t>
      </w:r>
      <w:bookmarkEnd w:id="27"/>
      <w:bookmarkEnd w:id="28"/>
    </w:p>
    <w:p w14:paraId="6A2A9E2F" w14:textId="77777777" w:rsidR="00826B5D" w:rsidRDefault="00685E72" w:rsidP="00503702">
      <w:pPr>
        <w:pStyle w:val="ListBullet"/>
      </w:pPr>
      <w:r w:rsidRPr="00C417B6">
        <w:t xml:space="preserve">According to the </w:t>
      </w:r>
      <w:hyperlink r:id="rId23" w:history="1">
        <w:r w:rsidRPr="00C417B6">
          <w:rPr>
            <w:rStyle w:val="Hyperlink"/>
          </w:rPr>
          <w:t>TGA Ingredient Database</w:t>
        </w:r>
      </w:hyperlink>
      <w:r w:rsidRPr="00C417B6">
        <w:t>,</w:t>
      </w:r>
    </w:p>
    <w:p w14:paraId="054AD0FB" w14:textId="7BCEE1AF" w:rsidR="00826B5D" w:rsidRPr="005F1E18" w:rsidRDefault="00826B5D" w:rsidP="00503702">
      <w:pPr>
        <w:pStyle w:val="ListBullet2"/>
        <w:rPr>
          <w:color w:val="auto"/>
        </w:rPr>
      </w:pPr>
      <w:r w:rsidRPr="005F1E18">
        <w:rPr>
          <w:color w:val="auto"/>
        </w:rPr>
        <w:t>vitamin D2 and D3 is available for use as an active ingredient in: Biologicals, Export Only, Listed Medicines, Over the Counter, Prescription Medicines.</w:t>
      </w:r>
    </w:p>
    <w:p w14:paraId="223FD1C0" w14:textId="1C6BD675" w:rsidR="00826B5D" w:rsidRPr="005F1E18" w:rsidRDefault="00826B5D" w:rsidP="00503702">
      <w:pPr>
        <w:pStyle w:val="ListBullet2"/>
        <w:rPr>
          <w:color w:val="auto"/>
        </w:rPr>
      </w:pPr>
      <w:r w:rsidRPr="005F1E18">
        <w:rPr>
          <w:color w:val="auto"/>
        </w:rPr>
        <w:t>both are not available as a Homoeopathic Ingredient in Listed Medicines.</w:t>
      </w:r>
    </w:p>
    <w:p w14:paraId="055E7ECE" w14:textId="0C0E6789" w:rsidR="00826B5D" w:rsidRPr="005F1E18" w:rsidRDefault="00826B5D" w:rsidP="00503702">
      <w:pPr>
        <w:pStyle w:val="ListBullet2"/>
        <w:rPr>
          <w:color w:val="auto"/>
        </w:rPr>
      </w:pPr>
      <w:r w:rsidRPr="005F1E18">
        <w:rPr>
          <w:color w:val="auto"/>
        </w:rPr>
        <w:t>both are available for use as an Excipient Ingredient in: Biologicals, Devices, Listed Medicines, Prescription Medicines while vitamin D3 is also available as Excipient Ingredient in Export Only and Over the Counter medicines.</w:t>
      </w:r>
    </w:p>
    <w:p w14:paraId="21BBB392" w14:textId="1AC662F9" w:rsidR="006443F8" w:rsidRPr="005F1E18" w:rsidRDefault="00826B5D" w:rsidP="00503702">
      <w:pPr>
        <w:pStyle w:val="ListBullet2"/>
        <w:rPr>
          <w:color w:val="auto"/>
        </w:rPr>
      </w:pPr>
      <w:r w:rsidRPr="005F1E18">
        <w:rPr>
          <w:color w:val="auto"/>
        </w:rPr>
        <w:t>only vitamin D3 is available for use as an Equivalent Ingredient in: Listed Medicines, Prescription Medicines.</w:t>
      </w:r>
    </w:p>
    <w:p w14:paraId="498F4682" w14:textId="03DC20A3" w:rsidR="00685E72" w:rsidRDefault="00685E72" w:rsidP="00503702">
      <w:pPr>
        <w:pStyle w:val="ListBullet"/>
      </w:pPr>
      <w:r w:rsidRPr="00C417B6">
        <w:t xml:space="preserve">As of </w:t>
      </w:r>
      <w:r w:rsidR="00EB7F32">
        <w:t>15 September 2025</w:t>
      </w:r>
      <w:r w:rsidRPr="00C417B6">
        <w:t xml:space="preserve">, there were </w:t>
      </w:r>
      <w:r w:rsidR="00EB7F32">
        <w:t>1,823</w:t>
      </w:r>
      <w:r w:rsidRPr="00C417B6">
        <w:t xml:space="preserve"> medicines the </w:t>
      </w:r>
      <w:hyperlink r:id="rId24" w:history="1">
        <w:r w:rsidRPr="00C417B6">
          <w:rPr>
            <w:rStyle w:val="Hyperlink"/>
          </w:rPr>
          <w:t>Australian Register of Therapeutic Goods (ARTG)</w:t>
        </w:r>
      </w:hyperlink>
      <w:r w:rsidRPr="00C417B6">
        <w:t xml:space="preserve"> that contain </w:t>
      </w:r>
      <w:r w:rsidR="00EB7F32" w:rsidRPr="3BD560CE">
        <w:t>colecalciferol</w:t>
      </w:r>
      <w:r w:rsidRPr="00C417B6">
        <w:t xml:space="preserve"> as an active ingredient. </w:t>
      </w:r>
      <w:r w:rsidR="00EB7F32" w:rsidRPr="00C417B6">
        <w:t xml:space="preserve">These include </w:t>
      </w:r>
      <w:r w:rsidR="00EB7F32">
        <w:t>12</w:t>
      </w:r>
      <w:r w:rsidR="00EB7F32" w:rsidRPr="00C417B6">
        <w:t xml:space="preserve"> prescription and </w:t>
      </w:r>
      <w:r w:rsidR="00EB7F32">
        <w:t>1</w:t>
      </w:r>
      <w:r w:rsidR="00A513F6">
        <w:t>,</w:t>
      </w:r>
      <w:r w:rsidR="00EB7F32">
        <w:t>597</w:t>
      </w:r>
      <w:r w:rsidR="00EB7F32" w:rsidRPr="00C417B6">
        <w:t xml:space="preserve"> non-prescription medicines</w:t>
      </w:r>
      <w:r w:rsidR="00EB7F32">
        <w:t xml:space="preserve"> available in Australia. In addition, there were 11 medicines that contain ergocalciferol as an active ingredient of which 2 are prescription </w:t>
      </w:r>
      <w:r w:rsidR="00B07129">
        <w:t xml:space="preserve">medicines </w:t>
      </w:r>
      <w:r w:rsidR="00EB7F32">
        <w:t>and 7 are listed medicines.</w:t>
      </w:r>
    </w:p>
    <w:p w14:paraId="7D976C18" w14:textId="137DC7C8" w:rsidR="00685E72" w:rsidRDefault="00685E72" w:rsidP="00503702">
      <w:pPr>
        <w:pStyle w:val="ListBullet"/>
      </w:pPr>
      <w:r w:rsidRPr="00C417B6">
        <w:t xml:space="preserve">According to the </w:t>
      </w:r>
      <w:hyperlink r:id="rId25" w:history="1">
        <w:r w:rsidRPr="00C417B6">
          <w:rPr>
            <w:rStyle w:val="Hyperlink"/>
          </w:rPr>
          <w:t>Therapeutic Goods (Permissible Ingredients) Determination</w:t>
        </w:r>
      </w:hyperlink>
      <w:r w:rsidRPr="00C417B6">
        <w:t xml:space="preserve"> No.</w:t>
      </w:r>
      <w:r w:rsidR="00367C46">
        <w:t xml:space="preserve"> </w:t>
      </w:r>
      <w:r w:rsidR="00AB3D3F">
        <w:t>2</w:t>
      </w:r>
      <w:r w:rsidRPr="00C417B6">
        <w:t xml:space="preserve"> of 20</w:t>
      </w:r>
      <w:r w:rsidR="00AB3D3F">
        <w:t>25</w:t>
      </w:r>
      <w:r w:rsidRPr="00C417B6">
        <w:t xml:space="preserve">, </w:t>
      </w:r>
      <w:r w:rsidR="00AB3D3F">
        <w:t xml:space="preserve">Vitamin D </w:t>
      </w:r>
      <w:r w:rsidRPr="00C417B6">
        <w:t>is permitted to be included in listed medicines as follows</w:t>
      </w:r>
      <w:r w:rsidR="000175F5">
        <w:t>.</w:t>
      </w:r>
    </w:p>
    <w:tbl>
      <w:tblPr>
        <w:tblStyle w:val="TableTGAblue2023"/>
        <w:tblW w:w="9067" w:type="dxa"/>
        <w:tblLayout w:type="fixed"/>
        <w:tblLook w:val="04A0" w:firstRow="1" w:lastRow="0" w:firstColumn="1" w:lastColumn="0" w:noHBand="0" w:noVBand="1"/>
      </w:tblPr>
      <w:tblGrid>
        <w:gridCol w:w="1129"/>
        <w:gridCol w:w="2410"/>
        <w:gridCol w:w="1276"/>
        <w:gridCol w:w="4252"/>
      </w:tblGrid>
      <w:tr w:rsidR="00F213FB" w14:paraId="36F0407F" w14:textId="77777777" w:rsidTr="000B2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51ADE4A" w14:textId="77777777" w:rsidR="000B20AB" w:rsidRDefault="000B20AB" w:rsidP="003423FA">
            <w:r>
              <w:t>Item</w:t>
            </w:r>
          </w:p>
        </w:tc>
        <w:tc>
          <w:tcPr>
            <w:tcW w:w="2410" w:type="dxa"/>
          </w:tcPr>
          <w:p w14:paraId="62CE833D" w14:textId="77777777" w:rsidR="000B20AB" w:rsidRDefault="000B20AB" w:rsidP="003423FA">
            <w:pPr>
              <w:cnfStyle w:val="100000000000" w:firstRow="1" w:lastRow="0" w:firstColumn="0" w:lastColumn="0" w:oddVBand="0" w:evenVBand="0" w:oddHBand="0" w:evenHBand="0" w:firstRowFirstColumn="0" w:firstRowLastColumn="0" w:lastRowFirstColumn="0" w:lastRowLastColumn="0"/>
            </w:pPr>
            <w:r>
              <w:t>Ingredient name</w:t>
            </w:r>
          </w:p>
        </w:tc>
        <w:tc>
          <w:tcPr>
            <w:tcW w:w="1276" w:type="dxa"/>
          </w:tcPr>
          <w:p w14:paraId="278DAA81" w14:textId="77777777" w:rsidR="000B20AB" w:rsidRDefault="000B20AB" w:rsidP="003423FA">
            <w:pPr>
              <w:cnfStyle w:val="100000000000" w:firstRow="1" w:lastRow="0" w:firstColumn="0" w:lastColumn="0" w:oddVBand="0" w:evenVBand="0" w:oddHBand="0" w:evenHBand="0" w:firstRowFirstColumn="0" w:firstRowLastColumn="0" w:lastRowFirstColumn="0" w:lastRowLastColumn="0"/>
            </w:pPr>
            <w:r>
              <w:t>Purpose</w:t>
            </w:r>
          </w:p>
        </w:tc>
        <w:tc>
          <w:tcPr>
            <w:tcW w:w="4252" w:type="dxa"/>
          </w:tcPr>
          <w:p w14:paraId="00D2ED8F" w14:textId="77777777" w:rsidR="000B20AB" w:rsidRPr="000B20AB" w:rsidRDefault="000B20AB" w:rsidP="000B20AB">
            <w:pPr>
              <w:cnfStyle w:val="100000000000" w:firstRow="1" w:lastRow="0" w:firstColumn="0" w:lastColumn="0" w:oddVBand="0" w:evenVBand="0" w:oddHBand="0" w:evenHBand="0" w:firstRowFirstColumn="0" w:firstRowLastColumn="0" w:lastRowFirstColumn="0" w:lastRowLastColumn="0"/>
              <w:rPr>
                <w:b w:val="0"/>
              </w:rPr>
            </w:pPr>
            <w:r>
              <w:t>Specific requirements</w:t>
            </w:r>
          </w:p>
        </w:tc>
      </w:tr>
      <w:tr w:rsidR="00AB3D3F" w14:paraId="68BCF219" w14:textId="77777777" w:rsidTr="000B20AB">
        <w:tc>
          <w:tcPr>
            <w:cnfStyle w:val="001000000000" w:firstRow="0" w:lastRow="0" w:firstColumn="1" w:lastColumn="0" w:oddVBand="0" w:evenVBand="0" w:oddHBand="0" w:evenHBand="0" w:firstRowFirstColumn="0" w:firstRowLastColumn="0" w:lastRowFirstColumn="0" w:lastRowLastColumn="0"/>
            <w:tcW w:w="1129" w:type="dxa"/>
          </w:tcPr>
          <w:p w14:paraId="39E70ECC" w14:textId="4919F8F0" w:rsidR="00AB3D3F" w:rsidRDefault="00AB3D3F" w:rsidP="00AB3D3F">
            <w:r w:rsidRPr="43F50D41">
              <w:rPr>
                <w:rFonts w:cs="Arial"/>
              </w:rPr>
              <w:t>1535</w:t>
            </w:r>
          </w:p>
        </w:tc>
        <w:tc>
          <w:tcPr>
            <w:tcW w:w="2410" w:type="dxa"/>
          </w:tcPr>
          <w:p w14:paraId="702F7210" w14:textId="52B35594" w:rsidR="00AB3D3F" w:rsidRDefault="00AB3D3F" w:rsidP="00AB3D3F">
            <w:pPr>
              <w:cnfStyle w:val="000000000000" w:firstRow="0" w:lastRow="0" w:firstColumn="0" w:lastColumn="0" w:oddVBand="0" w:evenVBand="0" w:oddHBand="0" w:evenHBand="0" w:firstRowFirstColumn="0" w:firstRowLastColumn="0" w:lastRowFirstColumn="0" w:lastRowLastColumn="0"/>
            </w:pPr>
            <w:r>
              <w:t>COLECALCIFEROL</w:t>
            </w:r>
          </w:p>
        </w:tc>
        <w:tc>
          <w:tcPr>
            <w:tcW w:w="1276" w:type="dxa"/>
          </w:tcPr>
          <w:p w14:paraId="6737B45D" w14:textId="6ADAC3F1" w:rsidR="00AB3D3F" w:rsidRDefault="00AB3D3F" w:rsidP="00AB3D3F">
            <w:pPr>
              <w:cnfStyle w:val="000000000000" w:firstRow="0" w:lastRow="0" w:firstColumn="0" w:lastColumn="0" w:oddVBand="0" w:evenVBand="0" w:oddHBand="0" w:evenHBand="0" w:firstRowFirstColumn="0" w:firstRowLastColumn="0" w:lastRowFirstColumn="0" w:lastRowLastColumn="0"/>
            </w:pPr>
            <w:r>
              <w:t>A, E</w:t>
            </w:r>
          </w:p>
        </w:tc>
        <w:tc>
          <w:tcPr>
            <w:tcW w:w="4252" w:type="dxa"/>
          </w:tcPr>
          <w:p w14:paraId="5F0F4AFF" w14:textId="2920B7D9" w:rsidR="00AB3D3F" w:rsidRDefault="00AB3D3F" w:rsidP="00AB3D3F">
            <w:pPr>
              <w:cnfStyle w:val="000000000000" w:firstRow="0" w:lastRow="0" w:firstColumn="0" w:lastColumn="0" w:oddVBand="0" w:evenVBand="0" w:oddHBand="0" w:evenHBand="0" w:firstRowFirstColumn="0" w:firstRowLastColumn="0" w:lastRowFirstColumn="0" w:lastRowLastColumn="0"/>
            </w:pPr>
            <w:r>
              <w:t>When for internal use, the maximum recommended daily dose must not be more than 25 micrograms of Vitamin D.</w:t>
            </w:r>
          </w:p>
        </w:tc>
      </w:tr>
      <w:tr w:rsidR="00AB3D3F" w14:paraId="70E48173" w14:textId="77777777" w:rsidTr="000B20AB">
        <w:tc>
          <w:tcPr>
            <w:cnfStyle w:val="001000000000" w:firstRow="0" w:lastRow="0" w:firstColumn="1" w:lastColumn="0" w:oddVBand="0" w:evenVBand="0" w:oddHBand="0" w:evenHBand="0" w:firstRowFirstColumn="0" w:firstRowLastColumn="0" w:lastRowFirstColumn="0" w:lastRowLastColumn="0"/>
            <w:tcW w:w="1129" w:type="dxa"/>
          </w:tcPr>
          <w:p w14:paraId="4FCE67BE" w14:textId="18E2A5E7" w:rsidR="00AB3D3F" w:rsidRPr="43F50D41" w:rsidRDefault="00AB3D3F" w:rsidP="00AB3D3F">
            <w:pPr>
              <w:rPr>
                <w:rFonts w:cs="Arial"/>
              </w:rPr>
            </w:pPr>
            <w:r w:rsidRPr="43F50D41">
              <w:rPr>
                <w:rFonts w:cs="Arial"/>
              </w:rPr>
              <w:t>2028</w:t>
            </w:r>
          </w:p>
        </w:tc>
        <w:tc>
          <w:tcPr>
            <w:tcW w:w="2410" w:type="dxa"/>
          </w:tcPr>
          <w:p w14:paraId="3C6EC6EE" w14:textId="4A0341CB" w:rsidR="00AB3D3F" w:rsidRDefault="00AB3D3F" w:rsidP="00AB3D3F">
            <w:pPr>
              <w:cnfStyle w:val="000000000000" w:firstRow="0" w:lastRow="0" w:firstColumn="0" w:lastColumn="0" w:oddVBand="0" w:evenVBand="0" w:oddHBand="0" w:evenHBand="0" w:firstRowFirstColumn="0" w:firstRowLastColumn="0" w:lastRowFirstColumn="0" w:lastRowLastColumn="0"/>
            </w:pPr>
            <w:r>
              <w:t>ERGOCALCIFEROL</w:t>
            </w:r>
          </w:p>
        </w:tc>
        <w:tc>
          <w:tcPr>
            <w:tcW w:w="1276" w:type="dxa"/>
          </w:tcPr>
          <w:p w14:paraId="00D26950" w14:textId="79FFEF65" w:rsidR="00AB3D3F" w:rsidRDefault="00AB3D3F" w:rsidP="00AB3D3F">
            <w:pPr>
              <w:cnfStyle w:val="000000000000" w:firstRow="0" w:lastRow="0" w:firstColumn="0" w:lastColumn="0" w:oddVBand="0" w:evenVBand="0" w:oddHBand="0" w:evenHBand="0" w:firstRowFirstColumn="0" w:firstRowLastColumn="0" w:lastRowFirstColumn="0" w:lastRowLastColumn="0"/>
            </w:pPr>
            <w:r>
              <w:t>A, E</w:t>
            </w:r>
          </w:p>
        </w:tc>
        <w:tc>
          <w:tcPr>
            <w:tcW w:w="4252" w:type="dxa"/>
          </w:tcPr>
          <w:p w14:paraId="231ED52A" w14:textId="6A8FF00C" w:rsidR="00AB3D3F" w:rsidRDefault="00AB3D3F" w:rsidP="00AB3D3F">
            <w:pPr>
              <w:cnfStyle w:val="000000000000" w:firstRow="0" w:lastRow="0" w:firstColumn="0" w:lastColumn="0" w:oddVBand="0" w:evenVBand="0" w:oddHBand="0" w:evenHBand="0" w:firstRowFirstColumn="0" w:firstRowLastColumn="0" w:lastRowFirstColumn="0" w:lastRowLastColumn="0"/>
            </w:pPr>
            <w:r>
              <w:t>When for internal use, the maximum recommended daily dose must be no more than 25 micrograms of Vitamin D.</w:t>
            </w:r>
          </w:p>
        </w:tc>
      </w:tr>
      <w:tr w:rsidR="00AB3D3F" w14:paraId="34D8EF36" w14:textId="77777777" w:rsidTr="003423FA">
        <w:tc>
          <w:tcPr>
            <w:cnfStyle w:val="001000000000" w:firstRow="0" w:lastRow="0" w:firstColumn="1" w:lastColumn="0" w:oddVBand="0" w:evenVBand="0" w:oddHBand="0" w:evenHBand="0" w:firstRowFirstColumn="0" w:firstRowLastColumn="0" w:lastRowFirstColumn="0" w:lastRowLastColumn="0"/>
            <w:tcW w:w="9067" w:type="dxa"/>
            <w:gridSpan w:val="4"/>
          </w:tcPr>
          <w:p w14:paraId="33A0A4A4" w14:textId="22A839E3" w:rsidR="00AB3D3F" w:rsidRDefault="00AB3D3F" w:rsidP="00AB3D3F">
            <w:r w:rsidRPr="0039205F">
              <w:rPr>
                <w:szCs w:val="18"/>
              </w:rPr>
              <w:lastRenderedPageBreak/>
              <w:t>A = active ingredient for a medicine has the same meaning as in the Regulations</w:t>
            </w:r>
            <w:r w:rsidRPr="0039205F">
              <w:rPr>
                <w:szCs w:val="18"/>
              </w:rPr>
              <w:br/>
              <w:t>E = excipient for a medicine meaning an ingredient that is not an active ingredient or a homoeopathic preparation ingredient</w:t>
            </w:r>
          </w:p>
        </w:tc>
      </w:tr>
    </w:tbl>
    <w:p w14:paraId="19E775A4" w14:textId="77777777" w:rsidR="00AB3D3F" w:rsidRDefault="00AB3D3F" w:rsidP="00503702">
      <w:pPr>
        <w:pStyle w:val="ListBullet"/>
      </w:pPr>
      <w:r>
        <w:t>T</w:t>
      </w:r>
      <w:r w:rsidRPr="00AB3D3F">
        <w:t>he Therapeutic Goods (Permissible Ingredients) Determination No. 2 of 2025</w:t>
      </w:r>
      <w:r>
        <w:t xml:space="preserve"> also provides that:</w:t>
      </w:r>
    </w:p>
    <w:p w14:paraId="07FE4F7A" w14:textId="21225C3F" w:rsidR="00AB3D3F" w:rsidRDefault="00AB3D3F" w:rsidP="00503702">
      <w:pPr>
        <w:pStyle w:val="ListBullet2"/>
      </w:pPr>
      <w:r>
        <w:t>vitamin D analogue calcifediol must not be used in medicines with ergocalciferol or colecalciferol</w:t>
      </w:r>
    </w:p>
    <w:p w14:paraId="3135E314" w14:textId="2EDCBF58" w:rsidR="00AB3D3F" w:rsidRDefault="00AB3D3F" w:rsidP="00503702">
      <w:pPr>
        <w:pStyle w:val="ListBullet2"/>
      </w:pPr>
      <w:r>
        <w:t xml:space="preserve">vitamin D is a mandatory component for cod liver oil, halibut liver oil, natural fish oil, pollack liver oil, shark liver oil, and skipjack liver oil. For internal use medicines, these </w:t>
      </w:r>
      <w:r w:rsidR="003A7E37">
        <w:t>fish oils</w:t>
      </w:r>
      <w:r>
        <w:t xml:space="preserve"> must not supply more than 25 micrograms of vitamin D per </w:t>
      </w:r>
      <w:r w:rsidR="003A7E37">
        <w:t xml:space="preserve">maximum </w:t>
      </w:r>
      <w:r>
        <w:t>recommended daily dose.</w:t>
      </w:r>
    </w:p>
    <w:p w14:paraId="70B7E2BD" w14:textId="77777777" w:rsidR="00B07129" w:rsidRDefault="00685E72" w:rsidP="00503702">
      <w:pPr>
        <w:pStyle w:val="ListBullet"/>
      </w:pPr>
      <w:r w:rsidRPr="00C417B6">
        <w:t xml:space="preserve">The </w:t>
      </w:r>
      <w:hyperlink r:id="rId26" w:history="1">
        <w:r w:rsidRPr="00C417B6">
          <w:rPr>
            <w:rStyle w:val="Hyperlink"/>
          </w:rPr>
          <w:t>TGA prescribing medicines in pregnancy database</w:t>
        </w:r>
      </w:hyperlink>
      <w:r w:rsidRPr="00C417B6">
        <w:t xml:space="preserve"> </w:t>
      </w:r>
      <w:r w:rsidR="00166F3D" w:rsidRPr="000D5419">
        <w:t>does not include</w:t>
      </w:r>
      <w:r w:rsidR="00B07129">
        <w:t xml:space="preserve"> vitamin D.</w:t>
      </w:r>
      <w:r w:rsidR="00B07129" w:rsidRPr="00C417B6">
        <w:t xml:space="preserve"> </w:t>
      </w:r>
    </w:p>
    <w:p w14:paraId="18F4137A" w14:textId="4B62DAE2" w:rsidR="00685E72" w:rsidRPr="00C417B6" w:rsidRDefault="00B07129" w:rsidP="00503702">
      <w:pPr>
        <w:pStyle w:val="ListBullet"/>
      </w:pPr>
      <w:r w:rsidRPr="00B07129">
        <w:t xml:space="preserve">There are no warning statements pertaining to vitamin D </w:t>
      </w:r>
      <w:r>
        <w:t>in t</w:t>
      </w:r>
      <w:r w:rsidR="00685E72" w:rsidRPr="00C417B6">
        <w:t xml:space="preserve">he </w:t>
      </w:r>
      <w:hyperlink r:id="rId27" w:history="1">
        <w:r w:rsidR="00685E72" w:rsidRPr="00C417B6">
          <w:rPr>
            <w:rStyle w:val="Hyperlink"/>
          </w:rPr>
          <w:t>Therapeutic Goods (Medicines Advisory Statements) Specification 2021</w:t>
        </w:r>
      </w:hyperlink>
      <w:r>
        <w:t>.</w:t>
      </w:r>
    </w:p>
    <w:p w14:paraId="48EE71D6" w14:textId="32585983" w:rsidR="005111AB" w:rsidRDefault="00E517F4" w:rsidP="00503702">
      <w:pPr>
        <w:pStyle w:val="ListBullet"/>
      </w:pPr>
      <w:r>
        <w:t>Since 1971</w:t>
      </w:r>
      <w:r w:rsidR="003306C0" w:rsidRPr="003A7E37">
        <w:t>,</w:t>
      </w:r>
      <w:r w:rsidR="00685E72" w:rsidRPr="00C417B6">
        <w:t xml:space="preserve"> there </w:t>
      </w:r>
      <w:r>
        <w:t>have been</w:t>
      </w:r>
      <w:r w:rsidRPr="00C417B6">
        <w:t xml:space="preserve"> </w:t>
      </w:r>
      <w:r w:rsidR="005111AB">
        <w:t>1,772</w:t>
      </w:r>
      <w:r w:rsidR="00685E72" w:rsidRPr="00C417B6">
        <w:t xml:space="preserve"> reports of adverse events </w:t>
      </w:r>
      <w:r>
        <w:t xml:space="preserve">(including 15 deaths) </w:t>
      </w:r>
      <w:r w:rsidR="00685E72" w:rsidRPr="00C417B6">
        <w:t xml:space="preserve">for products containing </w:t>
      </w:r>
      <w:r w:rsidR="005111AB">
        <w:t>colecalciferol</w:t>
      </w:r>
      <w:r w:rsidR="00685E72" w:rsidRPr="00C417B6">
        <w:t xml:space="preserve"> as an active ingredient on the </w:t>
      </w:r>
      <w:hyperlink r:id="rId28" w:history="1">
        <w:r w:rsidR="00685E72" w:rsidRPr="00C417B6">
          <w:rPr>
            <w:rStyle w:val="Hyperlink"/>
          </w:rPr>
          <w:t>Database of Adverse Event Notifications (DAEN)</w:t>
        </w:r>
      </w:hyperlink>
      <w:r>
        <w:t xml:space="preserve"> (accessed </w:t>
      </w:r>
      <w:r w:rsidRPr="003A7E37">
        <w:t>15 September 2025</w:t>
      </w:r>
      <w:r>
        <w:t>)</w:t>
      </w:r>
      <w:r w:rsidR="00E53723">
        <w:t>. For</w:t>
      </w:r>
      <w:r w:rsidR="00685E72" w:rsidRPr="00C417B6">
        <w:t xml:space="preserve"> </w:t>
      </w:r>
      <w:r w:rsidR="005111AB">
        <w:t>1,485</w:t>
      </w:r>
      <w:r w:rsidR="00685E72" w:rsidRPr="00C417B6">
        <w:t xml:space="preserve"> reports </w:t>
      </w:r>
      <w:r w:rsidR="00E53723">
        <w:t>there were a</w:t>
      </w:r>
      <w:r w:rsidR="00685E72" w:rsidRPr="00C417B6">
        <w:t xml:space="preserve"> single suspected medicine</w:t>
      </w:r>
      <w:r w:rsidR="00E53723">
        <w:t xml:space="preserve"> containing colecalciferol</w:t>
      </w:r>
      <w:r w:rsidR="00685E72" w:rsidRPr="00C417B6">
        <w:t>.</w:t>
      </w:r>
      <w:r w:rsidR="005111AB">
        <w:t xml:space="preserve"> For ergocalciferol, </w:t>
      </w:r>
      <w:r w:rsidR="00E53723">
        <w:t>54</w:t>
      </w:r>
      <w:r w:rsidR="005111AB">
        <w:t xml:space="preserve"> cases were reported </w:t>
      </w:r>
      <w:r w:rsidR="00E53723">
        <w:t>of which there were 16 cases where ergocalciferol containing medicines were singly suspected, and there was one reported death from a</w:t>
      </w:r>
      <w:r>
        <w:t>n</w:t>
      </w:r>
      <w:r w:rsidR="005111AB">
        <w:t xml:space="preserve"> </w:t>
      </w:r>
      <w:r w:rsidR="00E53723">
        <w:t>ergocalciferol containing medicine.</w:t>
      </w:r>
    </w:p>
    <w:p w14:paraId="00EFB1A8" w14:textId="4EC11A1D" w:rsidR="00685E72" w:rsidRPr="00C417B6" w:rsidRDefault="00685E72" w:rsidP="00503702">
      <w:pPr>
        <w:pStyle w:val="ListBullet"/>
      </w:pPr>
      <w:r w:rsidRPr="00C417B6">
        <w:t xml:space="preserve">As of </w:t>
      </w:r>
      <w:r w:rsidR="00B07129" w:rsidRPr="003A7E37">
        <w:t xml:space="preserve">15 September 2025, </w:t>
      </w:r>
      <w:r w:rsidRPr="00C417B6">
        <w:t xml:space="preserve">there were </w:t>
      </w:r>
      <w:r w:rsidR="003306C0">
        <w:t>23</w:t>
      </w:r>
      <w:r w:rsidRPr="00C417B6">
        <w:t xml:space="preserve"> products containing </w:t>
      </w:r>
      <w:r w:rsidR="003306C0">
        <w:t>vitamin D</w:t>
      </w:r>
      <w:r w:rsidRPr="00C417B6">
        <w:t xml:space="preserve"> as an active ingredient</w:t>
      </w:r>
      <w:r w:rsidR="003A7E37">
        <w:t xml:space="preserve"> listed in the</w:t>
      </w:r>
      <w:r w:rsidRPr="00C417B6">
        <w:t xml:space="preserve"> </w:t>
      </w:r>
      <w:hyperlink r:id="rId29" w:history="1">
        <w:r w:rsidRPr="00C417B6">
          <w:rPr>
            <w:rStyle w:val="Hyperlink"/>
          </w:rPr>
          <w:t>Public Chemical Registration Information System Search (PubCRIS)</w:t>
        </w:r>
      </w:hyperlink>
      <w:r w:rsidR="003306C0">
        <w:t xml:space="preserve"> of which 18 are registered products.</w:t>
      </w:r>
    </w:p>
    <w:p w14:paraId="067F2EEF" w14:textId="74F9CDE1" w:rsidR="00685E72" w:rsidRDefault="00685E72" w:rsidP="00503702">
      <w:pPr>
        <w:pStyle w:val="ListBullet"/>
      </w:pPr>
      <w:r w:rsidRPr="00C417B6">
        <w:t xml:space="preserve">In 2009-19 </w:t>
      </w:r>
      <w:r w:rsidR="003306C0" w:rsidRPr="003306C0">
        <w:t xml:space="preserve">no adverse events for humans and 3 adverse events for animals were recorded for vitamin D3 (cholecalciferol) in </w:t>
      </w:r>
      <w:r w:rsidRPr="00C417B6">
        <w:t xml:space="preserve">the </w:t>
      </w:r>
      <w:hyperlink r:id="rId30" w:history="1">
        <w:r w:rsidRPr="00C417B6">
          <w:rPr>
            <w:rStyle w:val="Hyperlink"/>
          </w:rPr>
          <w:t>APVMA Adverse Experience Reporting Program</w:t>
        </w:r>
      </w:hyperlink>
      <w:r w:rsidRPr="00C417B6">
        <w:t xml:space="preserve"> database</w:t>
      </w:r>
      <w:r w:rsidR="00503702">
        <w:t>.</w:t>
      </w:r>
      <w:r w:rsidR="003306C0">
        <w:t xml:space="preserve"> There were no reports for vitamin D2 (ergocalciferol).</w:t>
      </w:r>
    </w:p>
    <w:p w14:paraId="1D6F0A24" w14:textId="77E4E9AF" w:rsidR="001270CE" w:rsidRDefault="001270CE" w:rsidP="00503702">
      <w:pPr>
        <w:pStyle w:val="ListBullet"/>
      </w:pPr>
      <w:r>
        <w:t>Vitamin D3</w:t>
      </w:r>
      <w:r w:rsidR="00503702">
        <w:t xml:space="preserve"> </w:t>
      </w:r>
      <w:r w:rsidR="00503702" w:rsidRPr="003306C0">
        <w:t xml:space="preserve">(cholecalciferol) </w:t>
      </w:r>
      <w:r>
        <w:t>is</w:t>
      </w:r>
      <w:r w:rsidRPr="00194B17">
        <w:t xml:space="preserve"> listed on the</w:t>
      </w:r>
      <w:r>
        <w:t xml:space="preserve"> </w:t>
      </w:r>
      <w:hyperlink r:id="rId31" w:history="1">
        <w:r>
          <w:rPr>
            <w:rStyle w:val="Hyperlink"/>
          </w:rPr>
          <w:t>Australian Inventory of Industrial Chemicals</w:t>
        </w:r>
      </w:hyperlink>
      <w:r>
        <w:t xml:space="preserve">, but vitamin D2 </w:t>
      </w:r>
      <w:r w:rsidR="00503702">
        <w:t xml:space="preserve">(ergocalciferol) </w:t>
      </w:r>
      <w:r>
        <w:t>is not. However, vitamin D is listed without a specified formula.</w:t>
      </w:r>
      <w:r w:rsidR="00D774BA">
        <w:t xml:space="preserve"> However, t</w:t>
      </w:r>
      <w:r w:rsidR="00D774BA" w:rsidRPr="00D774BA">
        <w:t xml:space="preserve">he National Industrial Chemicals Notification and Assessment Scheme (now Australian Industrial Chemicals Introduction Scheme) </w:t>
      </w:r>
      <w:r w:rsidR="00D774BA">
        <w:t xml:space="preserve">published a </w:t>
      </w:r>
      <w:hyperlink r:id="rId32" w:history="1">
        <w:r w:rsidR="00D774BA" w:rsidRPr="00D774BA">
          <w:rPr>
            <w:rStyle w:val="Hyperlink"/>
          </w:rPr>
          <w:t>Human Health Tier II Assessment of Calciferols</w:t>
        </w:r>
      </w:hyperlink>
      <w:r w:rsidR="00D774BA">
        <w:t xml:space="preserve"> which included both vitamin D2 and D3.</w:t>
      </w:r>
    </w:p>
    <w:p w14:paraId="0180295E" w14:textId="77777777" w:rsidR="00685E72" w:rsidRPr="00C417B6" w:rsidRDefault="00685E72" w:rsidP="00CF55F5">
      <w:pPr>
        <w:pStyle w:val="Heading4"/>
      </w:pPr>
      <w:bookmarkStart w:id="29" w:name="_Toc122614224"/>
      <w:bookmarkStart w:id="30" w:name="_Toc209035936"/>
      <w:r w:rsidRPr="00C417B6">
        <w:t>International regulations</w:t>
      </w:r>
      <w:bookmarkStart w:id="31" w:name="_Hlk139892366"/>
      <w:bookmarkEnd w:id="29"/>
      <w:bookmarkEnd w:id="30"/>
    </w:p>
    <w:p w14:paraId="2CBFB12C" w14:textId="6A24B2DD" w:rsidR="00CF55F5" w:rsidRDefault="00CF55F5" w:rsidP="00503702">
      <w:pPr>
        <w:pStyle w:val="ListBullet"/>
      </w:pPr>
      <w:bookmarkStart w:id="32" w:name="_Toc122614225"/>
      <w:bookmarkEnd w:id="31"/>
      <w:r w:rsidRPr="00CF55F5">
        <w:t xml:space="preserve">The </w:t>
      </w:r>
      <w:hyperlink r:id="rId33" w:history="1">
        <w:r w:rsidRPr="00CF55F5">
          <w:rPr>
            <w:rStyle w:val="Hyperlink"/>
          </w:rPr>
          <w:t>Health Canada Drug Product Database</w:t>
        </w:r>
      </w:hyperlink>
      <w:r>
        <w:t xml:space="preserve"> </w:t>
      </w:r>
      <w:r w:rsidR="00902B32" w:rsidRPr="00902B32">
        <w:t xml:space="preserve">lists 16 approved products </w:t>
      </w:r>
      <w:r w:rsidR="00902B32">
        <w:t xml:space="preserve">containing vitamin D </w:t>
      </w:r>
      <w:r w:rsidR="00902B32" w:rsidRPr="00902B32">
        <w:t>including 12 for human use (one non-prescription</w:t>
      </w:r>
      <w:r w:rsidR="00902B32">
        <w:t xml:space="preserve"> and 11</w:t>
      </w:r>
      <w:r w:rsidR="00902B32" w:rsidRPr="00902B32">
        <w:t xml:space="preserve"> prescription and 4 for veterinary use (all non-prescription)</w:t>
      </w:r>
      <w:r w:rsidR="00902B32">
        <w:t>.</w:t>
      </w:r>
    </w:p>
    <w:p w14:paraId="50FCBD66" w14:textId="194371ED" w:rsidR="00CF55F5" w:rsidRDefault="00CF55F5" w:rsidP="00503702">
      <w:pPr>
        <w:pStyle w:val="ListBullet"/>
      </w:pPr>
      <w:r w:rsidRPr="00CF55F5">
        <w:t xml:space="preserve">The </w:t>
      </w:r>
      <w:hyperlink r:id="rId34" w:history="1">
        <w:r w:rsidR="009C3C0E" w:rsidRPr="009C3C0E">
          <w:rPr>
            <w:rStyle w:val="Hyperlink"/>
          </w:rPr>
          <w:t>New Zealand Medsafe Medicines Classification Database</w:t>
        </w:r>
      </w:hyperlink>
      <w:r w:rsidRPr="00CF55F5">
        <w:t xml:space="preserve"> </w:t>
      </w:r>
      <w:r w:rsidR="00902B32">
        <w:t xml:space="preserve">classifies colecalciferol medicines as prescription-only when the daily dose exceeds 25 micrograms, except when used in parenteral nutrition replacement preparations. </w:t>
      </w:r>
      <w:r w:rsidR="00E61A23" w:rsidRPr="00E61A23">
        <w:t>P</w:t>
      </w:r>
      <w:r w:rsidR="00902B32" w:rsidRPr="00E61A23">
        <w:t xml:space="preserve">roducts containing 25 micrograms or less per day or for parenteral nutrition </w:t>
      </w:r>
      <w:r w:rsidR="00E61A23">
        <w:t>replacement</w:t>
      </w:r>
      <w:r w:rsidR="00E61A23" w:rsidRPr="00E61A23">
        <w:t xml:space="preserve"> are for general sale</w:t>
      </w:r>
      <w:r w:rsidR="00902B32" w:rsidRPr="00E61A23">
        <w:t>.</w:t>
      </w:r>
      <w:r w:rsidR="00902B32">
        <w:t xml:space="preserve"> Ergosterol </w:t>
      </w:r>
      <w:r w:rsidR="00902B32" w:rsidRPr="0002408A">
        <w:t>in medicines containing more than 25 micrograms per recommended daily dose</w:t>
      </w:r>
      <w:r w:rsidR="00902B32">
        <w:t xml:space="preserve"> requires a prescription but available for general sale</w:t>
      </w:r>
      <w:r w:rsidR="00902B32" w:rsidRPr="008121DE">
        <w:t xml:space="preserve"> </w:t>
      </w:r>
      <w:r w:rsidR="00902B32">
        <w:t>otherwise.</w:t>
      </w:r>
    </w:p>
    <w:p w14:paraId="1BA454B8" w14:textId="2A03DC5A" w:rsidR="009347DF" w:rsidRDefault="009347DF" w:rsidP="00503702">
      <w:pPr>
        <w:pStyle w:val="ListBullet"/>
      </w:pPr>
      <w:r w:rsidRPr="43F50D41">
        <w:rPr>
          <w:rFonts w:eastAsia="Arial"/>
          <w:color w:val="0000FF"/>
          <w:u w:val="single"/>
          <w:lang w:eastAsia="en-AU"/>
        </w:rPr>
        <w:t xml:space="preserve">The </w:t>
      </w:r>
      <w:hyperlink r:id="rId35">
        <w:r w:rsidRPr="43F50D41">
          <w:rPr>
            <w:rFonts w:eastAsia="Arial"/>
            <w:color w:val="0000FF"/>
            <w:u w:val="single"/>
            <w:lang w:eastAsia="en-AU"/>
          </w:rPr>
          <w:t>US Food and Drug Administration’s Orange Book</w:t>
        </w:r>
      </w:hyperlink>
      <w:r>
        <w:t xml:space="preserve"> lists 6 products containing colecalciferol as one of the active ingredients as prescription only medicines. It also lists 5 ergocalciferol products as prescription only medicines.</w:t>
      </w:r>
    </w:p>
    <w:p w14:paraId="43282E4A" w14:textId="646F4E8B" w:rsidR="00234E95" w:rsidRPr="00234E95" w:rsidRDefault="00234E95" w:rsidP="00503702">
      <w:pPr>
        <w:pStyle w:val="ListBullet"/>
      </w:pPr>
      <w:r w:rsidRPr="43F50D41">
        <w:rPr>
          <w:color w:val="0000FF"/>
          <w:u w:val="single"/>
          <w:lang w:eastAsia="en-AU"/>
        </w:rPr>
        <w:t xml:space="preserve">Ireland's </w:t>
      </w:r>
      <w:hyperlink r:id="rId36">
        <w:r w:rsidRPr="43F50D41">
          <w:rPr>
            <w:color w:val="0000FF"/>
            <w:u w:val="single"/>
            <w:lang w:eastAsia="en-AU"/>
          </w:rPr>
          <w:t>Health Products Regulatory Authority</w:t>
        </w:r>
      </w:hyperlink>
      <w:r w:rsidRPr="43F50D41">
        <w:rPr>
          <w:lang w:eastAsia="en-AU"/>
        </w:rPr>
        <w:t xml:space="preserve"> regulates </w:t>
      </w:r>
      <w:r w:rsidR="00384359">
        <w:rPr>
          <w:lang w:eastAsia="en-AU"/>
        </w:rPr>
        <w:t>more than 50</w:t>
      </w:r>
      <w:r w:rsidRPr="43F50D41">
        <w:rPr>
          <w:lang w:eastAsia="en-AU"/>
        </w:rPr>
        <w:t xml:space="preserve"> products containing vitamin D3, colecalciferol or cholecalciferol or ergocalciferol. </w:t>
      </w:r>
      <w:r w:rsidRPr="00E61A23">
        <w:rPr>
          <w:lang w:eastAsia="en-AU"/>
        </w:rPr>
        <w:t>Among them 6 products are registered with the European Medicines Agency (EMA).</w:t>
      </w:r>
    </w:p>
    <w:p w14:paraId="56EA5371" w14:textId="294621B6" w:rsidR="009347DF" w:rsidRDefault="00234E95" w:rsidP="00503702">
      <w:pPr>
        <w:pStyle w:val="ListBullet"/>
      </w:pPr>
      <w:r w:rsidRPr="43F50D41">
        <w:rPr>
          <w:lang w:eastAsia="en-AU"/>
        </w:rPr>
        <w:lastRenderedPageBreak/>
        <w:t xml:space="preserve">The UK </w:t>
      </w:r>
      <w:hyperlink r:id="rId37">
        <w:r w:rsidR="00E61A23">
          <w:rPr>
            <w:color w:val="0000FF"/>
            <w:u w:val="single"/>
            <w:lang w:eastAsia="en-AU"/>
          </w:rPr>
          <w:t>Electronic Medicines Compendium</w:t>
        </w:r>
      </w:hyperlink>
      <w:r w:rsidRPr="43F50D41">
        <w:rPr>
          <w:lang w:eastAsia="en-AU"/>
        </w:rPr>
        <w:t xml:space="preserve"> l</w:t>
      </w:r>
      <w:r w:rsidRPr="43F50D41">
        <w:t xml:space="preserve">ists 41 products containing colecalciferol or cholecalciferol, comprising </w:t>
      </w:r>
      <w:r>
        <w:t xml:space="preserve">of </w:t>
      </w:r>
      <w:r w:rsidRPr="43F50D41">
        <w:t>27 prescription-only medicines, 13 pharmacy-only medicines, and one general sale product.</w:t>
      </w:r>
      <w:r>
        <w:t xml:space="preserve"> Additionally, there are 3 ergocalciferol medicines one of which is a prescription medicine, two are available from pharmacy and none </w:t>
      </w:r>
      <w:r w:rsidR="00E61A23">
        <w:t>is</w:t>
      </w:r>
      <w:r>
        <w:t xml:space="preserve"> available for general sale.</w:t>
      </w:r>
    </w:p>
    <w:p w14:paraId="75F13AF5" w14:textId="3D432862" w:rsidR="009C3C0E" w:rsidRDefault="002E147C" w:rsidP="002E147C">
      <w:pPr>
        <w:pStyle w:val="Heading3"/>
      </w:pPr>
      <w:bookmarkStart w:id="33" w:name="_Toc209035937"/>
      <w:r>
        <w:t>1.2 Isotretinoin</w:t>
      </w:r>
      <w:bookmarkEnd w:id="33"/>
    </w:p>
    <w:p w14:paraId="40637A99" w14:textId="77777777" w:rsidR="002E147C" w:rsidRPr="00C417B6" w:rsidRDefault="002E147C" w:rsidP="002E147C">
      <w:pPr>
        <w:pStyle w:val="Heading4"/>
      </w:pPr>
      <w:bookmarkStart w:id="34" w:name="_Toc207284838"/>
      <w:bookmarkStart w:id="35" w:name="_Toc209035938"/>
      <w:r w:rsidRPr="00C417B6">
        <w:t>Proposal</w:t>
      </w:r>
      <w:bookmarkEnd w:id="34"/>
      <w:bookmarkEnd w:id="35"/>
    </w:p>
    <w:p w14:paraId="04A23EE5" w14:textId="75CDB924" w:rsidR="00881927" w:rsidRDefault="002E147C" w:rsidP="002E147C">
      <w:pPr>
        <w:rPr>
          <w:rFonts w:cs="Arial"/>
        </w:rPr>
      </w:pPr>
      <w:r w:rsidRPr="00EC3928">
        <w:rPr>
          <w:rFonts w:cs="Arial"/>
        </w:rPr>
        <w:t>The applicant has proposed to amend the Appendix D</w:t>
      </w:r>
      <w:r w:rsidR="004955EB">
        <w:rPr>
          <w:rFonts w:cs="Arial"/>
        </w:rPr>
        <w:t xml:space="preserve">, clause 2 </w:t>
      </w:r>
      <w:r w:rsidRPr="00EC3928">
        <w:rPr>
          <w:rFonts w:cs="Arial"/>
        </w:rPr>
        <w:t xml:space="preserve">entry for isotretinoin in the </w:t>
      </w:r>
      <w:r w:rsidR="00E8686F">
        <w:rPr>
          <w:rFonts w:cs="Arial"/>
        </w:rPr>
        <w:t xml:space="preserve">current </w:t>
      </w:r>
      <w:r w:rsidRPr="00EC3928">
        <w:rPr>
          <w:rFonts w:cs="Arial"/>
        </w:rPr>
        <w:t xml:space="preserve">Poisons Standard to </w:t>
      </w:r>
      <w:r w:rsidR="004955EB">
        <w:rPr>
          <w:rFonts w:cs="Arial"/>
        </w:rPr>
        <w:t>extend</w:t>
      </w:r>
      <w:r w:rsidRPr="00EC3928">
        <w:rPr>
          <w:rFonts w:cs="Arial"/>
        </w:rPr>
        <w:t xml:space="preserve"> prescribing rights to </w:t>
      </w:r>
      <w:r w:rsidR="00881927" w:rsidRPr="00881927">
        <w:rPr>
          <w:rFonts w:cs="Arial"/>
        </w:rPr>
        <w:t>allow medical practitioner</w:t>
      </w:r>
      <w:r w:rsidR="00881927">
        <w:rPr>
          <w:rFonts w:cs="Arial"/>
        </w:rPr>
        <w:t>s</w:t>
      </w:r>
      <w:r w:rsidR="00881927" w:rsidRPr="00881927">
        <w:rPr>
          <w:rFonts w:cs="Arial"/>
        </w:rPr>
        <w:t xml:space="preserve"> with advanced qualifications in general practice from the Australian College of General Practitioners (FRACGP) or the Australian College of Rural and Remote Medicine (FACRRM)</w:t>
      </w:r>
      <w:r w:rsidR="000D72E1">
        <w:rPr>
          <w:rFonts w:cs="Arial"/>
        </w:rPr>
        <w:t xml:space="preserve">. </w:t>
      </w:r>
      <w:r w:rsidR="000D72E1" w:rsidRPr="000D72E1">
        <w:rPr>
          <w:rFonts w:cs="Arial"/>
        </w:rPr>
        <w:t xml:space="preserve">Currently, only a specialist physician or a dermatologist can supply or prescribe isotretinoin for human use. </w:t>
      </w:r>
      <w:r w:rsidR="000D72E1">
        <w:rPr>
          <w:rFonts w:cs="Arial"/>
        </w:rPr>
        <w:t xml:space="preserve">If implemented, such specialist </w:t>
      </w:r>
      <w:r w:rsidR="000D72E1" w:rsidRPr="00EC3928">
        <w:rPr>
          <w:rFonts w:cs="Arial"/>
        </w:rPr>
        <w:t>General Practitioners</w:t>
      </w:r>
      <w:r w:rsidR="000D72E1">
        <w:rPr>
          <w:rFonts w:cs="Arial"/>
        </w:rPr>
        <w:t xml:space="preserve"> (GPs) will be allowed </w:t>
      </w:r>
      <w:r w:rsidR="000D72E1" w:rsidRPr="000D72E1">
        <w:rPr>
          <w:rFonts w:cs="Arial"/>
        </w:rPr>
        <w:t xml:space="preserve">to prescribe isotretinoin </w:t>
      </w:r>
      <w:r w:rsidR="000D72E1" w:rsidRPr="00881927">
        <w:rPr>
          <w:rFonts w:cs="Arial"/>
        </w:rPr>
        <w:t>under the same safety protocols currently applied to dermatologists.</w:t>
      </w:r>
    </w:p>
    <w:p w14:paraId="4C5D0FB3" w14:textId="23672949" w:rsidR="002E147C" w:rsidRPr="00C417B6" w:rsidRDefault="002E147C" w:rsidP="002E147C">
      <w:pPr>
        <w:pStyle w:val="Heading4"/>
      </w:pPr>
      <w:bookmarkStart w:id="36" w:name="_Toc207284839"/>
      <w:bookmarkStart w:id="37" w:name="_Toc209035939"/>
      <w:r w:rsidRPr="00C417B6">
        <w:t>CAS number</w:t>
      </w:r>
      <w:bookmarkEnd w:id="36"/>
      <w:bookmarkEnd w:id="37"/>
    </w:p>
    <w:p w14:paraId="2930196D" w14:textId="77777777" w:rsidR="002E147C" w:rsidRPr="00C417B6" w:rsidRDefault="002E147C" w:rsidP="002E147C">
      <w:r w:rsidRPr="00073DA2">
        <w:t>4759-48-2</w:t>
      </w:r>
    </w:p>
    <w:p w14:paraId="354C2471" w14:textId="77777777" w:rsidR="002E147C" w:rsidRPr="00C417B6" w:rsidRDefault="002E147C" w:rsidP="002E147C">
      <w:pPr>
        <w:pStyle w:val="Heading4"/>
      </w:pPr>
      <w:bookmarkStart w:id="38" w:name="_Toc207284840"/>
      <w:bookmarkStart w:id="39" w:name="_Toc209035940"/>
      <w:r w:rsidRPr="00C417B6">
        <w:t>Alternative names</w:t>
      </w:r>
      <w:bookmarkEnd w:id="38"/>
      <w:bookmarkEnd w:id="39"/>
    </w:p>
    <w:p w14:paraId="451EE595" w14:textId="463F0582" w:rsidR="002E147C" w:rsidRPr="00C417B6" w:rsidRDefault="002E147C" w:rsidP="002E147C">
      <w:r w:rsidRPr="004F4121">
        <w:t>13-</w:t>
      </w:r>
      <w:r w:rsidRPr="00881927">
        <w:rPr>
          <w:i/>
          <w:iCs/>
        </w:rPr>
        <w:t>cis</w:t>
      </w:r>
      <w:r w:rsidRPr="004F4121">
        <w:t>-</w:t>
      </w:r>
      <w:r w:rsidR="00881927">
        <w:t>R</w:t>
      </w:r>
      <w:r w:rsidRPr="004F4121">
        <w:t>etinoic acid</w:t>
      </w:r>
      <w:r>
        <w:t xml:space="preserve">, </w:t>
      </w:r>
      <w:r w:rsidRPr="00113A96">
        <w:t>Roaccutane, Oratane, Dermatane</w:t>
      </w:r>
    </w:p>
    <w:p w14:paraId="4D5A597F" w14:textId="77777777" w:rsidR="002E147C" w:rsidRPr="00C417B6" w:rsidRDefault="002E147C" w:rsidP="002E147C">
      <w:pPr>
        <w:pStyle w:val="Heading4"/>
      </w:pPr>
      <w:bookmarkStart w:id="40" w:name="_Toc207284841"/>
      <w:bookmarkStart w:id="41" w:name="_Toc209035941"/>
      <w:r w:rsidRPr="00C417B6">
        <w:t>Applicant</w:t>
      </w:r>
      <w:bookmarkEnd w:id="40"/>
      <w:bookmarkEnd w:id="41"/>
    </w:p>
    <w:p w14:paraId="1E284B35" w14:textId="65A55A4C" w:rsidR="002E147C" w:rsidRDefault="002E147C" w:rsidP="002E147C">
      <w:r w:rsidRPr="00542521">
        <w:t>Private applicant</w:t>
      </w:r>
    </w:p>
    <w:p w14:paraId="0ADA0394" w14:textId="77777777" w:rsidR="002E147C" w:rsidRPr="00C417B6" w:rsidRDefault="002E147C" w:rsidP="002E147C">
      <w:pPr>
        <w:pStyle w:val="Heading4"/>
      </w:pPr>
      <w:bookmarkStart w:id="42" w:name="_Toc207284842"/>
      <w:bookmarkStart w:id="43" w:name="_Toc209035942"/>
      <w:r>
        <w:t>Current</w:t>
      </w:r>
      <w:r w:rsidRPr="00C417B6">
        <w:t xml:space="preserve"> Scheduling</w:t>
      </w:r>
      <w:bookmarkEnd w:id="42"/>
      <w:bookmarkEnd w:id="43"/>
    </w:p>
    <w:p w14:paraId="68C7F7A4" w14:textId="6A50F2DD" w:rsidR="002E147C" w:rsidRDefault="002E147C" w:rsidP="002E147C">
      <w:pPr>
        <w:rPr>
          <w:rFonts w:cs="Arial"/>
        </w:rPr>
      </w:pPr>
      <w:r w:rsidRPr="72E39221">
        <w:rPr>
          <w:rFonts w:cs="Arial"/>
        </w:rPr>
        <w:t xml:space="preserve">Isotretinoin is currently included in Schedule 4 of the Poisons Standard and is subject to Appendix D restrictions. </w:t>
      </w:r>
      <w:r w:rsidR="004955EB">
        <w:rPr>
          <w:rFonts w:cs="Arial"/>
        </w:rPr>
        <w:t>Isotretinoin</w:t>
      </w:r>
      <w:r w:rsidR="004955EB" w:rsidRPr="004955EB">
        <w:rPr>
          <w:rFonts w:cs="Arial"/>
        </w:rPr>
        <w:t xml:space="preserve"> also requires several warning statements under Appendix F and Appendix L.</w:t>
      </w:r>
    </w:p>
    <w:p w14:paraId="5A74353B" w14:textId="77777777" w:rsidR="002E147C" w:rsidRPr="0057557A" w:rsidRDefault="002E147C" w:rsidP="002E147C">
      <w:pPr>
        <w:ind w:left="426"/>
        <w:rPr>
          <w:b/>
          <w:bCs/>
        </w:rPr>
      </w:pPr>
      <w:bookmarkStart w:id="44" w:name="_Hlk207268455"/>
      <w:r w:rsidRPr="0057557A">
        <w:rPr>
          <w:b/>
          <w:bCs/>
        </w:rPr>
        <w:t xml:space="preserve">Schedule </w:t>
      </w:r>
      <w:r>
        <w:rPr>
          <w:b/>
          <w:bCs/>
        </w:rPr>
        <w:t>4</w:t>
      </w:r>
    </w:p>
    <w:p w14:paraId="372AEC6E" w14:textId="77777777" w:rsidR="002E147C" w:rsidRPr="00C417B6" w:rsidRDefault="002E147C" w:rsidP="002E147C">
      <w:pPr>
        <w:ind w:left="709"/>
      </w:pPr>
      <w:r w:rsidRPr="004B2E83">
        <w:t># ISOTRETINOIN.</w:t>
      </w:r>
    </w:p>
    <w:p w14:paraId="04BD0331" w14:textId="77777777" w:rsidR="002E147C" w:rsidRPr="00514DE8" w:rsidRDefault="002E147C" w:rsidP="002E147C">
      <w:pPr>
        <w:ind w:left="426"/>
        <w:rPr>
          <w:b/>
          <w:bCs/>
        </w:rPr>
      </w:pPr>
      <w:r w:rsidRPr="00514DE8">
        <w:rPr>
          <w:b/>
          <w:bCs/>
        </w:rPr>
        <w:t>Index</w:t>
      </w:r>
    </w:p>
    <w:p w14:paraId="6230305C" w14:textId="43647FD4" w:rsidR="002E147C" w:rsidRDefault="002E147C" w:rsidP="002E147C">
      <w:pPr>
        <w:ind w:left="709"/>
      </w:pPr>
      <w:r w:rsidRPr="004B2E83">
        <w:t>ISOTRETINOIN</w:t>
      </w:r>
    </w:p>
    <w:p w14:paraId="6DBC3726" w14:textId="77777777" w:rsidR="002E147C" w:rsidRDefault="002E147C" w:rsidP="002E147C">
      <w:pPr>
        <w:spacing w:before="120"/>
        <w:ind w:left="709"/>
      </w:pPr>
      <w:r>
        <w:t>Schedule 4</w:t>
      </w:r>
    </w:p>
    <w:p w14:paraId="689CA510" w14:textId="77777777" w:rsidR="002E147C" w:rsidRDefault="002E147C" w:rsidP="002E147C">
      <w:pPr>
        <w:spacing w:before="120"/>
        <w:ind w:left="709"/>
      </w:pPr>
      <w:r w:rsidRPr="00414CFC">
        <w:t>Appendix D, clause 2</w:t>
      </w:r>
    </w:p>
    <w:p w14:paraId="5C75452E" w14:textId="77777777" w:rsidR="002E147C" w:rsidRDefault="002E147C" w:rsidP="002E147C">
      <w:pPr>
        <w:spacing w:before="120"/>
        <w:ind w:left="709"/>
      </w:pPr>
      <w:r w:rsidRPr="00414CFC">
        <w:t>Appendix F, clause 4</w:t>
      </w:r>
    </w:p>
    <w:p w14:paraId="19EBE4E8" w14:textId="77777777" w:rsidR="002E147C" w:rsidRDefault="002E147C" w:rsidP="002E147C">
      <w:pPr>
        <w:spacing w:before="120"/>
        <w:ind w:left="709"/>
      </w:pPr>
      <w:r w:rsidRPr="00414CFC">
        <w:t>Appendix L, clause 2</w:t>
      </w:r>
    </w:p>
    <w:bookmarkEnd w:id="44"/>
    <w:p w14:paraId="27CC7E6C" w14:textId="138612D1" w:rsidR="002E147C" w:rsidRDefault="002E147C" w:rsidP="002E147C">
      <w:r w:rsidRPr="72E39221">
        <w:rPr>
          <w:rFonts w:cs="Arial"/>
        </w:rPr>
        <w:t>The current Appendix D, clause 2</w:t>
      </w:r>
      <w:r w:rsidR="00106125">
        <w:rPr>
          <w:rFonts w:cs="Arial"/>
        </w:rPr>
        <w:t xml:space="preserve"> </w:t>
      </w:r>
      <w:r w:rsidRPr="72E39221">
        <w:rPr>
          <w:rFonts w:cs="Arial"/>
        </w:rPr>
        <w:t xml:space="preserve">entry limits prescribing oral isotretinoin medicines to </w:t>
      </w:r>
      <w:r w:rsidR="00334A7B" w:rsidRPr="00334A7B">
        <w:rPr>
          <w:rFonts w:cs="Arial"/>
        </w:rPr>
        <w:t>a specialist physician or a dermatologist</w:t>
      </w:r>
      <w:r w:rsidRPr="72E39221">
        <w:rPr>
          <w:rFonts w:cs="Arial"/>
        </w:rPr>
        <w:t xml:space="preserve">. If the </w:t>
      </w:r>
      <w:r w:rsidR="00106125">
        <w:rPr>
          <w:rFonts w:cs="Arial"/>
        </w:rPr>
        <w:t>patient</w:t>
      </w:r>
      <w:r w:rsidRPr="72E39221">
        <w:rPr>
          <w:rFonts w:cs="Arial"/>
        </w:rPr>
        <w:t xml:space="preserve"> is a woman of child</w:t>
      </w:r>
      <w:r w:rsidRPr="72E39221">
        <w:rPr>
          <w:rFonts w:ascii="Cambria Math" w:hAnsi="Cambria Math" w:cs="Cambria Math"/>
        </w:rPr>
        <w:t>‑</w:t>
      </w:r>
      <w:r w:rsidRPr="72E39221">
        <w:rPr>
          <w:rFonts w:cs="Arial"/>
        </w:rPr>
        <w:t xml:space="preserve">bearing age, </w:t>
      </w:r>
      <w:r w:rsidR="00106125">
        <w:rPr>
          <w:rFonts w:cs="Arial"/>
        </w:rPr>
        <w:t xml:space="preserve">the </w:t>
      </w:r>
      <w:r w:rsidRPr="72E39221">
        <w:rPr>
          <w:rFonts w:cs="Arial"/>
        </w:rPr>
        <w:t xml:space="preserve">prescribing </w:t>
      </w:r>
      <w:r w:rsidR="00334A7B">
        <w:rPr>
          <w:rFonts w:cs="Arial"/>
        </w:rPr>
        <w:t>doctor</w:t>
      </w:r>
      <w:r w:rsidRPr="72E39221">
        <w:rPr>
          <w:rFonts w:cs="Arial"/>
        </w:rPr>
        <w:t xml:space="preserve"> must also advise the patient to avoid becoming pregnant during or for a period of 1 month after completion of treatment.</w:t>
      </w:r>
    </w:p>
    <w:p w14:paraId="6B1ABB24" w14:textId="77777777" w:rsidR="002E147C" w:rsidRDefault="002E147C" w:rsidP="002E147C">
      <w:r>
        <w:t>Under Appendix F, clause 4 (Poisons that must be labelled with warning statements and safety directions) and Appendix L, clause 2 (Additional warning statements for certain human medicines), isotretinoin preparations must be labelled with the below warning statements.</w:t>
      </w:r>
    </w:p>
    <w:p w14:paraId="7A5BA402" w14:textId="77777777" w:rsidR="005F1E18" w:rsidRDefault="005F1E18" w:rsidP="00106125">
      <w:pPr>
        <w:ind w:left="426"/>
        <w:rPr>
          <w:b/>
          <w:bCs/>
        </w:rPr>
      </w:pPr>
    </w:p>
    <w:p w14:paraId="7B8A3FF9" w14:textId="14D995FC" w:rsidR="002E147C" w:rsidRPr="00106125" w:rsidRDefault="002E147C" w:rsidP="00106125">
      <w:pPr>
        <w:ind w:left="426"/>
        <w:rPr>
          <w:b/>
          <w:bCs/>
        </w:rPr>
      </w:pPr>
      <w:r w:rsidRPr="00106125">
        <w:rPr>
          <w:b/>
          <w:bCs/>
        </w:rPr>
        <w:lastRenderedPageBreak/>
        <w:t>ISOTRETINOIN</w:t>
      </w:r>
      <w:r w:rsidR="00106125" w:rsidRPr="00106125">
        <w:rPr>
          <w:b/>
          <w:bCs/>
        </w:rPr>
        <w:t>—</w:t>
      </w:r>
      <w:r w:rsidRPr="00106125">
        <w:rPr>
          <w:b/>
          <w:bCs/>
        </w:rPr>
        <w:t>for oral use</w:t>
      </w:r>
    </w:p>
    <w:p w14:paraId="7F96345B" w14:textId="01C522E1" w:rsidR="002E147C" w:rsidRDefault="002E147C" w:rsidP="00106125">
      <w:pPr>
        <w:spacing w:before="120"/>
        <w:ind w:left="709"/>
      </w:pPr>
      <w:r>
        <w:t>WARNING – Causes birth defects.</w:t>
      </w:r>
    </w:p>
    <w:p w14:paraId="6261EFA5" w14:textId="77777777" w:rsidR="002E147C" w:rsidRDefault="002E147C" w:rsidP="00106125">
      <w:pPr>
        <w:spacing w:before="120"/>
        <w:ind w:left="709"/>
      </w:pPr>
      <w:r>
        <w:t>Do not use if pregnant.</w:t>
      </w:r>
    </w:p>
    <w:p w14:paraId="62336521" w14:textId="77777777" w:rsidR="002E147C" w:rsidRDefault="002E147C" w:rsidP="00106125">
      <w:pPr>
        <w:spacing w:before="120"/>
        <w:ind w:left="709"/>
      </w:pPr>
      <w:r>
        <w:t>Do not become pregnant during use or within (Insert number of months as per approved Product Information) month(s) of stopping treatment.</w:t>
      </w:r>
    </w:p>
    <w:p w14:paraId="68BB9B2C" w14:textId="77777777" w:rsidR="002E147C" w:rsidRPr="00106125" w:rsidRDefault="002E147C" w:rsidP="00106125">
      <w:pPr>
        <w:ind w:left="426"/>
        <w:rPr>
          <w:b/>
          <w:bCs/>
        </w:rPr>
      </w:pPr>
      <w:r w:rsidRPr="00106125">
        <w:rPr>
          <w:b/>
          <w:bCs/>
        </w:rPr>
        <w:t>ISOTRETINOIN—for topical use</w:t>
      </w:r>
    </w:p>
    <w:p w14:paraId="003CCE51" w14:textId="77777777" w:rsidR="002E147C" w:rsidRDefault="002E147C" w:rsidP="00106125">
      <w:pPr>
        <w:spacing w:before="120"/>
        <w:ind w:left="709"/>
      </w:pPr>
      <w:r>
        <w:t>Do not use if pregnant.</w:t>
      </w:r>
    </w:p>
    <w:p w14:paraId="37C3990C" w14:textId="3DA06D6A" w:rsidR="002E147C" w:rsidRDefault="00106125" w:rsidP="00106125">
      <w:pPr>
        <w:spacing w:before="120"/>
        <w:ind w:left="709"/>
      </w:pPr>
      <w:r>
        <w:t xml:space="preserve">WARNING – </w:t>
      </w:r>
      <w:r w:rsidR="002E147C">
        <w:t>May cause birth defects.</w:t>
      </w:r>
    </w:p>
    <w:p w14:paraId="65D32DDC" w14:textId="77777777" w:rsidR="002E147C" w:rsidRDefault="002E147C" w:rsidP="002E147C">
      <w:pPr>
        <w:pStyle w:val="Heading4"/>
      </w:pPr>
      <w:bookmarkStart w:id="45" w:name="_Toc207284843"/>
      <w:bookmarkStart w:id="46" w:name="_Toc209035943"/>
      <w:r>
        <w:t>Proposed Scheduling</w:t>
      </w:r>
      <w:bookmarkEnd w:id="45"/>
      <w:bookmarkEnd w:id="46"/>
    </w:p>
    <w:p w14:paraId="71934A9A" w14:textId="198CA369" w:rsidR="002E147C" w:rsidRDefault="002E147C" w:rsidP="002E147C">
      <w:pPr>
        <w:rPr>
          <w:rFonts w:cs="Arial"/>
        </w:rPr>
      </w:pPr>
      <w:r>
        <w:t xml:space="preserve">The applicant has proposed amendments to the </w:t>
      </w:r>
      <w:r w:rsidRPr="72E39221">
        <w:rPr>
          <w:rFonts w:cs="Arial"/>
        </w:rPr>
        <w:t>Appendix D, clause 2 entry for isotretinoin as follows.</w:t>
      </w:r>
      <w:r w:rsidR="00985BD7">
        <w:rPr>
          <w:rStyle w:val="FootnoteReference"/>
          <w:rFonts w:cs="Arial"/>
        </w:rPr>
        <w:footnoteReference w:id="2"/>
      </w:r>
    </w:p>
    <w:tbl>
      <w:tblPr>
        <w:tblW w:w="8202" w:type="dxa"/>
        <w:tblInd w:w="113" w:type="dxa"/>
        <w:tblCellMar>
          <w:left w:w="0" w:type="dxa"/>
          <w:right w:w="0" w:type="dxa"/>
        </w:tblCellMar>
        <w:tblLook w:val="04A0" w:firstRow="1" w:lastRow="0" w:firstColumn="1" w:lastColumn="0" w:noHBand="0" w:noVBand="1"/>
      </w:tblPr>
      <w:tblGrid>
        <w:gridCol w:w="750"/>
        <w:gridCol w:w="7452"/>
      </w:tblGrid>
      <w:tr w:rsidR="002E147C" w:rsidRPr="00F07C8D" w14:paraId="5EA2E2B6" w14:textId="77777777" w:rsidTr="008F121F">
        <w:trPr>
          <w:trHeight w:val="300"/>
          <w:tblHeader/>
        </w:trPr>
        <w:tc>
          <w:tcPr>
            <w:tcW w:w="750" w:type="dxa"/>
            <w:tcBorders>
              <w:top w:val="single" w:sz="12" w:space="0" w:color="000000" w:themeColor="text1"/>
              <w:bottom w:val="single" w:sz="12" w:space="0" w:color="000000" w:themeColor="text1"/>
            </w:tcBorders>
            <w:tcMar>
              <w:top w:w="0" w:type="dxa"/>
              <w:left w:w="108" w:type="dxa"/>
              <w:bottom w:w="0" w:type="dxa"/>
              <w:right w:w="108" w:type="dxa"/>
            </w:tcMar>
            <w:hideMark/>
          </w:tcPr>
          <w:p w14:paraId="63E26F74" w14:textId="77777777" w:rsidR="002E147C" w:rsidRPr="00F07C8D" w:rsidRDefault="002E147C" w:rsidP="008F121F">
            <w:pPr>
              <w:rPr>
                <w:b/>
                <w:bCs/>
              </w:rPr>
            </w:pPr>
            <w:r w:rsidRPr="00F07C8D">
              <w:rPr>
                <w:b/>
                <w:bCs/>
              </w:rPr>
              <w:t>Item</w:t>
            </w:r>
          </w:p>
        </w:tc>
        <w:tc>
          <w:tcPr>
            <w:tcW w:w="7452" w:type="dxa"/>
            <w:tcBorders>
              <w:top w:val="single" w:sz="12" w:space="0" w:color="000000" w:themeColor="text1"/>
              <w:bottom w:val="single" w:sz="12" w:space="0" w:color="000000" w:themeColor="text1"/>
            </w:tcBorders>
            <w:tcMar>
              <w:top w:w="0" w:type="dxa"/>
              <w:left w:w="108" w:type="dxa"/>
              <w:bottom w:w="0" w:type="dxa"/>
              <w:right w:w="108" w:type="dxa"/>
            </w:tcMar>
            <w:hideMark/>
          </w:tcPr>
          <w:p w14:paraId="00DAA2C4" w14:textId="77777777" w:rsidR="002E147C" w:rsidRPr="00F07C8D" w:rsidRDefault="002E147C" w:rsidP="008F121F">
            <w:pPr>
              <w:rPr>
                <w:b/>
                <w:bCs/>
              </w:rPr>
            </w:pPr>
            <w:r w:rsidRPr="00F07C8D">
              <w:rPr>
                <w:b/>
                <w:bCs/>
              </w:rPr>
              <w:t>Poison</w:t>
            </w:r>
          </w:p>
        </w:tc>
      </w:tr>
      <w:tr w:rsidR="002E147C" w:rsidRPr="00F07C8D" w14:paraId="07C006A3" w14:textId="77777777" w:rsidTr="008F121F">
        <w:trPr>
          <w:trHeight w:val="300"/>
        </w:trPr>
        <w:tc>
          <w:tcPr>
            <w:tcW w:w="750" w:type="dxa"/>
            <w:tcBorders>
              <w:top w:val="single" w:sz="6" w:space="0" w:color="000000" w:themeColor="text1"/>
              <w:bottom w:val="single" w:sz="6" w:space="0" w:color="000000" w:themeColor="text1"/>
            </w:tcBorders>
            <w:tcMar>
              <w:top w:w="0" w:type="dxa"/>
              <w:left w:w="108" w:type="dxa"/>
              <w:bottom w:w="0" w:type="dxa"/>
              <w:right w:w="108" w:type="dxa"/>
            </w:tcMar>
            <w:hideMark/>
          </w:tcPr>
          <w:p w14:paraId="29E05216" w14:textId="77777777" w:rsidR="002E147C" w:rsidRPr="00F07C8D" w:rsidRDefault="002E147C" w:rsidP="008F121F">
            <w:r w:rsidRPr="00F07C8D">
              <w:t>4</w:t>
            </w:r>
          </w:p>
        </w:tc>
        <w:tc>
          <w:tcPr>
            <w:tcW w:w="7452" w:type="dxa"/>
            <w:tcBorders>
              <w:top w:val="single" w:sz="6" w:space="0" w:color="000000" w:themeColor="text1"/>
              <w:bottom w:val="single" w:sz="6" w:space="0" w:color="000000" w:themeColor="text1"/>
            </w:tcBorders>
            <w:tcMar>
              <w:top w:w="0" w:type="dxa"/>
              <w:left w:w="108" w:type="dxa"/>
              <w:bottom w:w="0" w:type="dxa"/>
              <w:right w:w="108" w:type="dxa"/>
            </w:tcMar>
            <w:hideMark/>
          </w:tcPr>
          <w:p w14:paraId="1DB9DF80" w14:textId="77777777" w:rsidR="002E147C" w:rsidRDefault="002E147C" w:rsidP="008F121F">
            <w:pPr>
              <w:rPr>
                <w:rFonts w:cs="Arial"/>
                <w:b/>
                <w:bCs/>
                <w:color w:val="00B050"/>
              </w:rPr>
            </w:pPr>
            <w:r w:rsidRPr="00F07C8D">
              <w:t>ISOTRETINOIN for human oral use</w:t>
            </w:r>
            <w:r w:rsidRPr="00081174">
              <w:rPr>
                <w:rFonts w:cs="Arial"/>
              </w:rPr>
              <w:t xml:space="preserve"> </w:t>
            </w:r>
            <w:r w:rsidRPr="00896358">
              <w:rPr>
                <w:rFonts w:cs="Arial"/>
                <w:b/>
                <w:bCs/>
                <w:color w:val="00B050"/>
              </w:rPr>
              <w:t>except</w:t>
            </w:r>
            <w:r>
              <w:rPr>
                <w:rFonts w:cs="Arial"/>
                <w:b/>
                <w:bCs/>
                <w:color w:val="00B050"/>
              </w:rPr>
              <w:t>:</w:t>
            </w:r>
          </w:p>
          <w:p w14:paraId="7EBFEC3E" w14:textId="77777777" w:rsidR="002E147C" w:rsidRDefault="002E147C" w:rsidP="008F121F">
            <w:pPr>
              <w:rPr>
                <w:rFonts w:cs="Arial"/>
                <w:color w:val="00B050"/>
              </w:rPr>
            </w:pPr>
            <w:r>
              <w:rPr>
                <w:rFonts w:cs="Arial"/>
                <w:color w:val="00B050"/>
              </w:rPr>
              <w:t xml:space="preserve">a) </w:t>
            </w:r>
            <w:r w:rsidRPr="00772A9E">
              <w:rPr>
                <w:rFonts w:cs="Arial"/>
                <w:color w:val="00B050"/>
              </w:rPr>
              <w:t xml:space="preserve">when used </w:t>
            </w:r>
            <w:r>
              <w:rPr>
                <w:rFonts w:cs="Arial"/>
                <w:color w:val="00B050"/>
              </w:rPr>
              <w:t xml:space="preserve">orally </w:t>
            </w:r>
            <w:r w:rsidRPr="00772A9E">
              <w:rPr>
                <w:rFonts w:cs="Arial"/>
                <w:color w:val="00B050"/>
              </w:rPr>
              <w:t>for the treatment of acne</w:t>
            </w:r>
            <w:r>
              <w:rPr>
                <w:rFonts w:cs="Arial"/>
                <w:color w:val="00B050"/>
              </w:rPr>
              <w:t>; and</w:t>
            </w:r>
            <w:r w:rsidRPr="00772A9E">
              <w:rPr>
                <w:rFonts w:cs="Arial"/>
                <w:color w:val="00B050"/>
              </w:rPr>
              <w:t xml:space="preserve"> </w:t>
            </w:r>
          </w:p>
          <w:p w14:paraId="23D6EFF3" w14:textId="77777777" w:rsidR="002E147C" w:rsidRPr="00F07C8D" w:rsidRDefault="002E147C" w:rsidP="008F121F">
            <w:r>
              <w:rPr>
                <w:rFonts w:cs="Arial"/>
                <w:color w:val="00B050"/>
              </w:rPr>
              <w:t xml:space="preserve">b) </w:t>
            </w:r>
            <w:r w:rsidRPr="00772A9E">
              <w:rPr>
                <w:rFonts w:cs="Arial"/>
                <w:color w:val="00B050"/>
              </w:rPr>
              <w:t>prescribed by a medical practitioner registered as a specialist in dermatology or a medical practitioner with advanced qualifications in general practice (Fellowship of the RACGP or ACRRM).</w:t>
            </w:r>
          </w:p>
        </w:tc>
      </w:tr>
    </w:tbl>
    <w:p w14:paraId="6CCB4805" w14:textId="77777777" w:rsidR="002E147C" w:rsidRDefault="002E147C" w:rsidP="002E147C"/>
    <w:p w14:paraId="1F8F955E" w14:textId="35E0D285" w:rsidR="002E147C" w:rsidRDefault="00881927" w:rsidP="002E147C">
      <w:r w:rsidRPr="00881927">
        <w:t>The Schedule 4 entry, and Appendix F and Appendix L warning statements remain unaltered.</w:t>
      </w:r>
    </w:p>
    <w:p w14:paraId="41E341E5" w14:textId="77777777" w:rsidR="002E147C" w:rsidRPr="00C417B6" w:rsidRDefault="002E147C" w:rsidP="002E147C">
      <w:pPr>
        <w:pStyle w:val="Heading4"/>
      </w:pPr>
      <w:bookmarkStart w:id="47" w:name="_Toc209035944"/>
      <w:r w:rsidRPr="00C417B6">
        <w:t>Background</w:t>
      </w:r>
      <w:bookmarkEnd w:id="47"/>
    </w:p>
    <w:p w14:paraId="4663CB41" w14:textId="3424AFE0" w:rsidR="002E147C" w:rsidRPr="00EC3928" w:rsidRDefault="002E147C" w:rsidP="002E147C">
      <w:pPr>
        <w:rPr>
          <w:rFonts w:cs="Arial"/>
        </w:rPr>
      </w:pPr>
      <w:r w:rsidRPr="00EC3928">
        <w:rPr>
          <w:rFonts w:cs="Arial"/>
        </w:rPr>
        <w:t>Isotretinoin</w:t>
      </w:r>
      <w:r>
        <w:rPr>
          <w:rFonts w:cs="Arial"/>
        </w:rPr>
        <w:t xml:space="preserve"> </w:t>
      </w:r>
      <w:r w:rsidRPr="00AF63D8">
        <w:rPr>
          <w:rFonts w:cs="Arial"/>
        </w:rPr>
        <w:t>(13-</w:t>
      </w:r>
      <w:r w:rsidRPr="00881927">
        <w:rPr>
          <w:rFonts w:cs="Arial"/>
          <w:i/>
          <w:iCs/>
        </w:rPr>
        <w:t>cis</w:t>
      </w:r>
      <w:r w:rsidRPr="00AF63D8">
        <w:rPr>
          <w:rFonts w:cs="Arial"/>
        </w:rPr>
        <w:t>-</w:t>
      </w:r>
      <w:r w:rsidR="00881927">
        <w:rPr>
          <w:rFonts w:cs="Arial"/>
        </w:rPr>
        <w:t>R</w:t>
      </w:r>
      <w:r w:rsidRPr="00AF63D8">
        <w:rPr>
          <w:rFonts w:cs="Arial"/>
        </w:rPr>
        <w:t>etinoic acid) is a retinoid compound, and a derivative of vitamin A.</w:t>
      </w:r>
      <w:r>
        <w:rPr>
          <w:rFonts w:cs="Arial"/>
        </w:rPr>
        <w:t xml:space="preserve"> I</w:t>
      </w:r>
      <w:r w:rsidR="00881927">
        <w:rPr>
          <w:rFonts w:cs="Arial"/>
        </w:rPr>
        <w:t>t</w:t>
      </w:r>
      <w:r>
        <w:rPr>
          <w:rFonts w:cs="Arial"/>
        </w:rPr>
        <w:t xml:space="preserve"> </w:t>
      </w:r>
      <w:r w:rsidRPr="00EC3928">
        <w:rPr>
          <w:rFonts w:cs="Arial"/>
        </w:rPr>
        <w:t xml:space="preserve">is </w:t>
      </w:r>
      <w:r w:rsidR="00881927" w:rsidRPr="00EC3928">
        <w:rPr>
          <w:rFonts w:cs="Arial"/>
        </w:rPr>
        <w:t xml:space="preserve">used </w:t>
      </w:r>
      <w:r w:rsidRPr="00EC3928">
        <w:rPr>
          <w:rFonts w:cs="Arial"/>
        </w:rPr>
        <w:t>a</w:t>
      </w:r>
      <w:r w:rsidR="00881927">
        <w:rPr>
          <w:rFonts w:cs="Arial"/>
        </w:rPr>
        <w:t>s</w:t>
      </w:r>
      <w:r w:rsidRPr="00EC3928">
        <w:rPr>
          <w:rFonts w:cs="Arial"/>
        </w:rPr>
        <w:t xml:space="preserve"> systemic retinoid for the treatment of severe cystic acne and other follicular skin conditions. </w:t>
      </w:r>
      <w:r w:rsidR="00881927" w:rsidRPr="00881927">
        <w:rPr>
          <w:rFonts w:cs="Arial"/>
        </w:rPr>
        <w:t>Isotretinoin</w:t>
      </w:r>
      <w:r w:rsidRPr="00EC3928">
        <w:rPr>
          <w:rFonts w:cs="Arial"/>
        </w:rPr>
        <w:t xml:space="preserve"> is highly effective but associated with significant risks, including teratogenicity, psychiatric effects, and liver toxicity. These risks are currently managed through prescriber restrictions, patient consent, and monitoring protocols.</w:t>
      </w:r>
    </w:p>
    <w:p w14:paraId="30A64C74" w14:textId="77777777" w:rsidR="002E147C" w:rsidRPr="00C417B6" w:rsidRDefault="002E147C" w:rsidP="002E147C">
      <w:pPr>
        <w:pStyle w:val="Heading4"/>
      </w:pPr>
      <w:bookmarkStart w:id="48" w:name="_Toc207284845"/>
      <w:bookmarkStart w:id="49" w:name="_Toc209035945"/>
      <w:r w:rsidRPr="00C417B6">
        <w:t>Summary of applicant’s reasons for the proposal</w:t>
      </w:r>
      <w:bookmarkEnd w:id="48"/>
      <w:bookmarkEnd w:id="49"/>
    </w:p>
    <w:p w14:paraId="30E9B645" w14:textId="17AB4547" w:rsidR="000D72E1" w:rsidRPr="000D72E1" w:rsidRDefault="00334A7B" w:rsidP="00A77369">
      <w:pPr>
        <w:rPr>
          <w:rFonts w:cs="Times New Roman"/>
        </w:rPr>
      </w:pPr>
      <w:r w:rsidRPr="00A77369">
        <w:rPr>
          <w:rFonts w:cs="Arial"/>
        </w:rPr>
        <w:t xml:space="preserve">Currently, only medical practitioners registered as specialists in dermatology can prescribe oral isotretinoin. </w:t>
      </w:r>
      <w:r w:rsidR="000D72E1" w:rsidRPr="00A77369">
        <w:rPr>
          <w:rFonts w:cs="Arial"/>
        </w:rPr>
        <w:t>This change would amend the current prescriber limitation in Appendix D, Item 4 to include GPs with appropriate qualifications</w:t>
      </w:r>
      <w:r w:rsidRPr="00A77369">
        <w:rPr>
          <w:rFonts w:cs="Arial"/>
        </w:rPr>
        <w:t xml:space="preserve"> without affecting its Schedule 4 classification.</w:t>
      </w:r>
    </w:p>
    <w:p w14:paraId="76CFDC79" w14:textId="172146D6" w:rsidR="002E147C" w:rsidRPr="00A77369" w:rsidRDefault="002E147C" w:rsidP="00A77369">
      <w:pPr>
        <w:rPr>
          <w:rFonts w:cs="Arial"/>
        </w:rPr>
      </w:pPr>
      <w:r w:rsidRPr="00A77369">
        <w:rPr>
          <w:rFonts w:cs="Arial"/>
        </w:rPr>
        <w:t xml:space="preserve">GPs are highly experienced in managing acne and are often the first point of care for these patients. Many already initiate and manage moderate to severe acne, including prescribing antibiotics and hormonal treatments. Allowing trained GPs to prescribe isotretinoin represents a safe and logical extension of existing care. </w:t>
      </w:r>
      <w:r w:rsidR="000D72E1">
        <w:t xml:space="preserve">The </w:t>
      </w:r>
      <w:r w:rsidR="00334A7B">
        <w:t>proposal</w:t>
      </w:r>
      <w:r w:rsidR="000D72E1" w:rsidRPr="00010CD1">
        <w:t xml:space="preserve"> recognises the capability of specialist GPs and supports collaborative care models between GPs and dermatologists where needed.</w:t>
      </w:r>
    </w:p>
    <w:p w14:paraId="753F4189" w14:textId="76CA1BC4" w:rsidR="002E147C" w:rsidRDefault="000D72E1" w:rsidP="00A77369">
      <w:r w:rsidRPr="000D72E1">
        <w:t>This proposal reflects a patient-centred update to prescribing regulations, improving access without compromising safety</w:t>
      </w:r>
      <w:r>
        <w:t xml:space="preserve">. </w:t>
      </w:r>
      <w:r w:rsidR="002E147C">
        <w:t>The proposed changes would:</w:t>
      </w:r>
    </w:p>
    <w:p w14:paraId="38DC4B33" w14:textId="4298239E" w:rsidR="00E8686F" w:rsidRDefault="00106125" w:rsidP="00503702">
      <w:pPr>
        <w:pStyle w:val="ListBullet"/>
      </w:pPr>
      <w:r>
        <w:t>i</w:t>
      </w:r>
      <w:r w:rsidR="002E147C">
        <w:t>ncrease timely access to effective acne treatment, especially for patients outside major metropolitan centres</w:t>
      </w:r>
    </w:p>
    <w:p w14:paraId="04934AEA" w14:textId="19931426" w:rsidR="002E147C" w:rsidRDefault="00106125" w:rsidP="00503702">
      <w:pPr>
        <w:pStyle w:val="ListBullet"/>
      </w:pPr>
      <w:r>
        <w:t>r</w:t>
      </w:r>
      <w:r w:rsidR="002E147C">
        <w:t>educe avoidable scarring, physical discomfort, and long-term psychological harm</w:t>
      </w:r>
    </w:p>
    <w:p w14:paraId="21AD9B8C" w14:textId="619B3026" w:rsidR="002E147C" w:rsidRDefault="00106125" w:rsidP="00503702">
      <w:pPr>
        <w:pStyle w:val="ListBullet"/>
      </w:pPr>
      <w:r>
        <w:lastRenderedPageBreak/>
        <w:t>a</w:t>
      </w:r>
      <w:r w:rsidR="002E147C">
        <w:t>lign with modern models of care, recognising the role of well-trained GPs in managing complex, chronic skin conditions</w:t>
      </w:r>
    </w:p>
    <w:p w14:paraId="39716C32" w14:textId="359569B3" w:rsidR="002E147C" w:rsidRDefault="00106125" w:rsidP="00503702">
      <w:pPr>
        <w:pStyle w:val="ListBullet"/>
      </w:pPr>
      <w:r>
        <w:t>m</w:t>
      </w:r>
      <w:r w:rsidR="002E147C">
        <w:t>aintain patient safety by ensuring only GPs who complete specific accredited training are eligible to prescribe.</w:t>
      </w:r>
    </w:p>
    <w:p w14:paraId="62DA4A0F" w14:textId="77777777" w:rsidR="002E147C" w:rsidRPr="00C417B6" w:rsidRDefault="002E147C" w:rsidP="002E147C">
      <w:pPr>
        <w:pStyle w:val="Heading4"/>
      </w:pPr>
      <w:bookmarkStart w:id="50" w:name="_Toc207284846"/>
      <w:bookmarkStart w:id="51" w:name="_Toc209035946"/>
      <w:r w:rsidRPr="00C417B6">
        <w:t>Key uses</w:t>
      </w:r>
      <w:bookmarkEnd w:id="50"/>
      <w:bookmarkEnd w:id="51"/>
      <w:r w:rsidRPr="00C417B6">
        <w:t xml:space="preserve"> </w:t>
      </w:r>
    </w:p>
    <w:p w14:paraId="29A373CE" w14:textId="2E21F8BB" w:rsidR="002E147C" w:rsidRPr="00E8686F" w:rsidRDefault="002E147C" w:rsidP="00503702">
      <w:pPr>
        <w:pStyle w:val="ListBullet"/>
      </w:pPr>
      <w:r w:rsidRPr="00644370">
        <w:t>Used in medicines to treat severe cystic acne (primary indication)</w:t>
      </w:r>
    </w:p>
    <w:p w14:paraId="7E9E7AE0" w14:textId="4365B18F" w:rsidR="002E147C" w:rsidRPr="00644370" w:rsidRDefault="002E147C" w:rsidP="00503702">
      <w:pPr>
        <w:pStyle w:val="ListBullet"/>
      </w:pPr>
      <w:r w:rsidRPr="72E39221">
        <w:t>Off-label</w:t>
      </w:r>
      <w:r w:rsidR="00E517F4">
        <w:t xml:space="preserve"> use is known for other conditions including</w:t>
      </w:r>
      <w:r w:rsidRPr="72E39221">
        <w:t xml:space="preserve"> rosacea, seborrhoea, hidradenitis suppurativa</w:t>
      </w:r>
      <w:r w:rsidR="00E517F4">
        <w:t xml:space="preserve"> and </w:t>
      </w:r>
      <w:r w:rsidRPr="72E39221">
        <w:t>discoid lupus erythematosus.</w:t>
      </w:r>
    </w:p>
    <w:p w14:paraId="20DCE9CC" w14:textId="77777777" w:rsidR="002E147C" w:rsidRPr="00C417B6" w:rsidRDefault="002E147C" w:rsidP="002E147C">
      <w:pPr>
        <w:pStyle w:val="Heading4"/>
      </w:pPr>
      <w:bookmarkStart w:id="52" w:name="_Toc207284847"/>
      <w:bookmarkStart w:id="53" w:name="_Toc209035947"/>
      <w:r w:rsidRPr="00C417B6">
        <w:t>Australian regulations</w:t>
      </w:r>
      <w:bookmarkEnd w:id="52"/>
      <w:bookmarkEnd w:id="53"/>
    </w:p>
    <w:p w14:paraId="56020BDA" w14:textId="77777777" w:rsidR="002E147C" w:rsidRDefault="002E147C" w:rsidP="00503702">
      <w:pPr>
        <w:pStyle w:val="ListBullet"/>
      </w:pPr>
      <w:r w:rsidRPr="00C417B6">
        <w:t xml:space="preserve">According to the </w:t>
      </w:r>
      <w:hyperlink r:id="rId38" w:history="1">
        <w:r w:rsidRPr="00C417B6">
          <w:rPr>
            <w:rStyle w:val="Hyperlink"/>
          </w:rPr>
          <w:t>TGA Ingredient Database</w:t>
        </w:r>
      </w:hyperlink>
      <w:r w:rsidRPr="00C417B6">
        <w:t xml:space="preserve">, </w:t>
      </w:r>
      <w:r>
        <w:t>isotretinoin</w:t>
      </w:r>
      <w:r w:rsidRPr="00C417B6">
        <w:t xml:space="preserve"> is</w:t>
      </w:r>
      <w:r>
        <w:t xml:space="preserve"> </w:t>
      </w:r>
      <w:r w:rsidRPr="00C417B6">
        <w:t>available for use as</w:t>
      </w:r>
      <w:r>
        <w:t>:</w:t>
      </w:r>
    </w:p>
    <w:p w14:paraId="278D94BF" w14:textId="77777777" w:rsidR="002E147C" w:rsidRPr="005F1E18" w:rsidRDefault="002E147C" w:rsidP="00503702">
      <w:pPr>
        <w:pStyle w:val="ListBullet2"/>
        <w:rPr>
          <w:color w:val="auto"/>
        </w:rPr>
      </w:pPr>
      <w:r w:rsidRPr="005F1E18">
        <w:rPr>
          <w:color w:val="auto"/>
        </w:rPr>
        <w:t xml:space="preserve">an Active Ingredient in: Biologicals, Export Only, Prescription Medicines </w:t>
      </w:r>
    </w:p>
    <w:p w14:paraId="7D902219" w14:textId="77777777" w:rsidR="002E147C" w:rsidRPr="00C417B6" w:rsidRDefault="002E147C" w:rsidP="00503702">
      <w:pPr>
        <w:pStyle w:val="ListBullet2"/>
      </w:pPr>
      <w:r w:rsidRPr="005F1E18">
        <w:rPr>
          <w:color w:val="auto"/>
        </w:rPr>
        <w:t>an Excipient Ingredient in: Biologicals, Devices, Prescription Medicines.</w:t>
      </w:r>
    </w:p>
    <w:p w14:paraId="1D791A90" w14:textId="77777777" w:rsidR="002E147C" w:rsidRDefault="002E147C" w:rsidP="00503702">
      <w:pPr>
        <w:pStyle w:val="ListBullet"/>
      </w:pPr>
      <w:r>
        <w:t xml:space="preserve">As of 12 September 2025, there were 37 medicines currently active on the </w:t>
      </w:r>
      <w:hyperlink r:id="rId39">
        <w:r w:rsidRPr="72E39221">
          <w:rPr>
            <w:rStyle w:val="Hyperlink"/>
          </w:rPr>
          <w:t>Australian Register of Therapeutic Goods (ARTG)</w:t>
        </w:r>
      </w:hyperlink>
      <w:r>
        <w:t xml:space="preserve"> that contain isotretinoin as an active ingredient. These include 37 prescription medicines.</w:t>
      </w:r>
    </w:p>
    <w:p w14:paraId="49FCB4FE" w14:textId="1C7126C1" w:rsidR="002E147C" w:rsidRDefault="002E147C" w:rsidP="00503702">
      <w:pPr>
        <w:pStyle w:val="ListBullet"/>
      </w:pPr>
      <w:r>
        <w:t>Isotretinoin</w:t>
      </w:r>
      <w:r w:rsidRPr="00C417B6">
        <w:t xml:space="preserve"> is not permitted to be included in listed medicines as it is not included in the </w:t>
      </w:r>
      <w:hyperlink r:id="rId40" w:history="1">
        <w:r w:rsidRPr="00C417B6">
          <w:rPr>
            <w:rStyle w:val="Hyperlink"/>
          </w:rPr>
          <w:t>Therapeutic Goods (Permissible Ingredients) Determination</w:t>
        </w:r>
      </w:hyperlink>
      <w:r w:rsidRPr="00C417B6">
        <w:t xml:space="preserve"> No.</w:t>
      </w:r>
      <w:r>
        <w:t xml:space="preserve"> 2</w:t>
      </w:r>
      <w:r w:rsidRPr="00C417B6">
        <w:t xml:space="preserve"> </w:t>
      </w:r>
      <w:r w:rsidRPr="00A86E5B">
        <w:t>of 2025.</w:t>
      </w:r>
    </w:p>
    <w:p w14:paraId="7EB85454" w14:textId="3BE8724F" w:rsidR="002E147C" w:rsidRDefault="002E147C" w:rsidP="00503702">
      <w:pPr>
        <w:pStyle w:val="ListBullet"/>
      </w:pPr>
      <w:r w:rsidRPr="00C417B6">
        <w:t xml:space="preserve">The </w:t>
      </w:r>
      <w:hyperlink r:id="rId41" w:history="1">
        <w:r w:rsidRPr="00C417B6">
          <w:rPr>
            <w:rStyle w:val="Hyperlink"/>
          </w:rPr>
          <w:t>TGA prescribing medicines in pregnancy database</w:t>
        </w:r>
      </w:hyperlink>
      <w:r w:rsidRPr="00C417B6">
        <w:t xml:space="preserve"> classifies </w:t>
      </w:r>
      <w:r>
        <w:t>isotretinoin</w:t>
      </w:r>
      <w:r w:rsidRPr="00C417B6">
        <w:t xml:space="preserve"> as</w:t>
      </w:r>
      <w:r>
        <w:t xml:space="preserve"> category X.</w:t>
      </w:r>
    </w:p>
    <w:tbl>
      <w:tblPr>
        <w:tblStyle w:val="TableTGAblue2023"/>
        <w:tblW w:w="9067" w:type="dxa"/>
        <w:tblLayout w:type="fixed"/>
        <w:tblLook w:val="04A0" w:firstRow="1" w:lastRow="0" w:firstColumn="1" w:lastColumn="0" w:noHBand="0" w:noVBand="1"/>
      </w:tblPr>
      <w:tblGrid>
        <w:gridCol w:w="1980"/>
        <w:gridCol w:w="1701"/>
        <w:gridCol w:w="1795"/>
        <w:gridCol w:w="1795"/>
        <w:gridCol w:w="1796"/>
      </w:tblGrid>
      <w:tr w:rsidR="00F213FB" w14:paraId="4112106E" w14:textId="77777777" w:rsidTr="008F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088157A" w14:textId="77777777" w:rsidR="002E147C" w:rsidRDefault="002E147C" w:rsidP="008F121F">
            <w:r>
              <w:t>Drug name</w:t>
            </w:r>
          </w:p>
        </w:tc>
        <w:tc>
          <w:tcPr>
            <w:tcW w:w="1701" w:type="dxa"/>
          </w:tcPr>
          <w:p w14:paraId="7FAC9FA4" w14:textId="77777777" w:rsidR="002E147C" w:rsidRDefault="002E147C" w:rsidP="008F121F">
            <w:pPr>
              <w:cnfStyle w:val="100000000000" w:firstRow="1" w:lastRow="0" w:firstColumn="0" w:lastColumn="0" w:oddVBand="0" w:evenVBand="0" w:oddHBand="0" w:evenHBand="0" w:firstRowFirstColumn="0" w:firstRowLastColumn="0" w:lastRowFirstColumn="0" w:lastRowLastColumn="0"/>
            </w:pPr>
            <w:r w:rsidRPr="00C417B6">
              <w:t>Category</w:t>
            </w:r>
          </w:p>
        </w:tc>
        <w:tc>
          <w:tcPr>
            <w:tcW w:w="1795" w:type="dxa"/>
          </w:tcPr>
          <w:p w14:paraId="1C754ADF" w14:textId="77777777" w:rsidR="002E147C" w:rsidRDefault="002E147C" w:rsidP="008F121F">
            <w:pPr>
              <w:cnfStyle w:val="100000000000" w:firstRow="1" w:lastRow="0" w:firstColumn="0" w:lastColumn="0" w:oddVBand="0" w:evenVBand="0" w:oddHBand="0" w:evenHBand="0" w:firstRowFirstColumn="0" w:firstRowLastColumn="0" w:lastRowFirstColumn="0" w:lastRowLastColumn="0"/>
            </w:pPr>
            <w:r w:rsidRPr="00C417B6">
              <w:t>Classification Level 1</w:t>
            </w:r>
          </w:p>
        </w:tc>
        <w:tc>
          <w:tcPr>
            <w:tcW w:w="1795" w:type="dxa"/>
          </w:tcPr>
          <w:p w14:paraId="5AC6086E" w14:textId="77777777" w:rsidR="002E147C" w:rsidRDefault="002E147C" w:rsidP="008F121F">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2</w:t>
            </w:r>
          </w:p>
        </w:tc>
        <w:tc>
          <w:tcPr>
            <w:tcW w:w="1796" w:type="dxa"/>
          </w:tcPr>
          <w:p w14:paraId="7A3E3F5F" w14:textId="77777777" w:rsidR="002E147C" w:rsidRDefault="002E147C" w:rsidP="008F121F">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3</w:t>
            </w:r>
          </w:p>
        </w:tc>
      </w:tr>
      <w:tr w:rsidR="002E147C" w14:paraId="48E594EB" w14:textId="77777777" w:rsidTr="008F121F">
        <w:tc>
          <w:tcPr>
            <w:cnfStyle w:val="001000000000" w:firstRow="0" w:lastRow="0" w:firstColumn="1" w:lastColumn="0" w:oddVBand="0" w:evenVBand="0" w:oddHBand="0" w:evenHBand="0" w:firstRowFirstColumn="0" w:firstRowLastColumn="0" w:lastRowFirstColumn="0" w:lastRowLastColumn="0"/>
            <w:tcW w:w="1980" w:type="dxa"/>
          </w:tcPr>
          <w:p w14:paraId="6D0D1B9B" w14:textId="77777777" w:rsidR="002E147C" w:rsidRPr="00334A7B" w:rsidRDefault="002E147C" w:rsidP="008F121F">
            <w:pPr>
              <w:ind w:left="0"/>
              <w:rPr>
                <w:sz w:val="20"/>
                <w:szCs w:val="20"/>
              </w:rPr>
            </w:pPr>
            <w:r w:rsidRPr="00334A7B">
              <w:rPr>
                <w:sz w:val="20"/>
                <w:szCs w:val="20"/>
              </w:rPr>
              <w:t xml:space="preserve"> Isotretinoin (oral)</w:t>
            </w:r>
          </w:p>
        </w:tc>
        <w:tc>
          <w:tcPr>
            <w:tcW w:w="1701" w:type="dxa"/>
          </w:tcPr>
          <w:p w14:paraId="2AE90CBC" w14:textId="77777777" w:rsidR="002E147C" w:rsidRPr="00334A7B" w:rsidRDefault="002E147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34A7B">
              <w:rPr>
                <w:sz w:val="20"/>
                <w:szCs w:val="20"/>
              </w:rPr>
              <w:t>X</w:t>
            </w:r>
          </w:p>
        </w:tc>
        <w:tc>
          <w:tcPr>
            <w:tcW w:w="1795" w:type="dxa"/>
          </w:tcPr>
          <w:p w14:paraId="499A52DA" w14:textId="77777777" w:rsidR="002E147C" w:rsidRPr="00334A7B" w:rsidRDefault="002E147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34A7B">
              <w:rPr>
                <w:sz w:val="20"/>
                <w:szCs w:val="20"/>
              </w:rPr>
              <w:t>Drugs used in Dermatology</w:t>
            </w:r>
          </w:p>
        </w:tc>
        <w:tc>
          <w:tcPr>
            <w:tcW w:w="1795" w:type="dxa"/>
          </w:tcPr>
          <w:p w14:paraId="406944C5" w14:textId="77777777" w:rsidR="002E147C" w:rsidRPr="00334A7B" w:rsidRDefault="002E147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34A7B">
              <w:rPr>
                <w:sz w:val="20"/>
                <w:szCs w:val="20"/>
              </w:rPr>
              <w:t xml:space="preserve">Systemic </w:t>
            </w:r>
          </w:p>
        </w:tc>
        <w:tc>
          <w:tcPr>
            <w:tcW w:w="1796" w:type="dxa"/>
          </w:tcPr>
          <w:p w14:paraId="21800FA9" w14:textId="77777777" w:rsidR="002E147C" w:rsidRPr="00334A7B" w:rsidRDefault="002E147C" w:rsidP="008F121F">
            <w:pPr>
              <w:cnfStyle w:val="000000000000" w:firstRow="0" w:lastRow="0" w:firstColumn="0" w:lastColumn="0" w:oddVBand="0" w:evenVBand="0" w:oddHBand="0" w:evenHBand="0" w:firstRowFirstColumn="0" w:firstRowLastColumn="0" w:lastRowFirstColumn="0" w:lastRowLastColumn="0"/>
              <w:rPr>
                <w:sz w:val="20"/>
                <w:szCs w:val="20"/>
              </w:rPr>
            </w:pPr>
          </w:p>
        </w:tc>
      </w:tr>
      <w:tr w:rsidR="002E147C" w14:paraId="46A7327E" w14:textId="77777777" w:rsidTr="008F121F">
        <w:tc>
          <w:tcPr>
            <w:cnfStyle w:val="001000000000" w:firstRow="0" w:lastRow="0" w:firstColumn="1" w:lastColumn="0" w:oddVBand="0" w:evenVBand="0" w:oddHBand="0" w:evenHBand="0" w:firstRowFirstColumn="0" w:firstRowLastColumn="0" w:lastRowFirstColumn="0" w:lastRowLastColumn="0"/>
            <w:tcW w:w="9067" w:type="dxa"/>
            <w:gridSpan w:val="5"/>
          </w:tcPr>
          <w:p w14:paraId="2A8EE300" w14:textId="77777777" w:rsidR="002E147C" w:rsidRPr="00384359" w:rsidRDefault="002E147C" w:rsidP="008F121F">
            <w:pPr>
              <w:rPr>
                <w:szCs w:val="18"/>
              </w:rPr>
            </w:pPr>
            <w:r w:rsidRPr="00384359">
              <w:rPr>
                <w:szCs w:val="18"/>
              </w:rPr>
              <w:t>Category X – Drugs which have such a high risk of causing permanent damage to the foetus that they should not be used in pregnancy or when there is a possibility of pregnancy.</w:t>
            </w:r>
          </w:p>
        </w:tc>
      </w:tr>
    </w:tbl>
    <w:p w14:paraId="1748EE28" w14:textId="77777777" w:rsidR="002E147C" w:rsidRPr="00C417B6" w:rsidRDefault="002E147C" w:rsidP="002E147C"/>
    <w:p w14:paraId="63E53AF6" w14:textId="2CC1E1C5" w:rsidR="002E147C" w:rsidRPr="00C417B6" w:rsidRDefault="002E147C" w:rsidP="00503702">
      <w:pPr>
        <w:pStyle w:val="ListBullet"/>
      </w:pPr>
      <w:r w:rsidRPr="00C417B6">
        <w:t xml:space="preserve">There are no warning statements </w:t>
      </w:r>
      <w:r w:rsidR="00E517F4">
        <w:t>for</w:t>
      </w:r>
      <w:r w:rsidRPr="00C417B6">
        <w:t xml:space="preserve"> </w:t>
      </w:r>
      <w:r>
        <w:t>isotretinoin</w:t>
      </w:r>
      <w:r w:rsidRPr="00C417B6">
        <w:t xml:space="preserve"> in the </w:t>
      </w:r>
      <w:hyperlink r:id="rId42" w:history="1">
        <w:r w:rsidRPr="00C417B6">
          <w:rPr>
            <w:rStyle w:val="Hyperlink"/>
          </w:rPr>
          <w:t>Therapeutic Goods (Medicines Advisory Statements) Specification 2021</w:t>
        </w:r>
      </w:hyperlink>
      <w:r w:rsidR="0057675F" w:rsidRPr="001270CE">
        <w:rPr>
          <w:rStyle w:val="Hyperlink"/>
          <w:color w:val="auto"/>
          <w:u w:val="none"/>
        </w:rPr>
        <w:t>.</w:t>
      </w:r>
    </w:p>
    <w:p w14:paraId="6C13E5AD" w14:textId="24FF0C26" w:rsidR="002E147C" w:rsidRPr="00C417B6" w:rsidRDefault="002E147C" w:rsidP="00503702">
      <w:pPr>
        <w:pStyle w:val="ListBullet"/>
      </w:pPr>
      <w:r>
        <w:t xml:space="preserve">As of 12 September 2025, there were 978 reports of adverse events for products containing isotretinoin as an active ingredient on the </w:t>
      </w:r>
      <w:hyperlink r:id="rId43">
        <w:r w:rsidRPr="72E39221">
          <w:rPr>
            <w:rStyle w:val="Hyperlink"/>
          </w:rPr>
          <w:t>Database of Adverse Event Notifications (DAEN)</w:t>
        </w:r>
      </w:hyperlink>
      <w:r>
        <w:t>, with 896 reports where isotretinoin was the single suspected medicine. There were 31 reports of deaths associated with isotretinoin use.</w:t>
      </w:r>
    </w:p>
    <w:p w14:paraId="525F16C8" w14:textId="6781CF84" w:rsidR="002E147C" w:rsidRDefault="002E147C" w:rsidP="00503702">
      <w:pPr>
        <w:pStyle w:val="ListBullet"/>
      </w:pPr>
      <w:r>
        <w:t xml:space="preserve">As of 12 September 2025, there were no products containing isotretinoin as an active ingredient/constituent or scheduled substance listed on the </w:t>
      </w:r>
      <w:hyperlink r:id="rId44">
        <w:r w:rsidRPr="72E39221">
          <w:rPr>
            <w:rStyle w:val="Hyperlink"/>
          </w:rPr>
          <w:t>Public Chemical Registration Information System Search (PubCRIS)</w:t>
        </w:r>
      </w:hyperlink>
      <w:r w:rsidRPr="0057675F">
        <w:t>.</w:t>
      </w:r>
    </w:p>
    <w:p w14:paraId="28254D83" w14:textId="2C813251" w:rsidR="0057675F" w:rsidRPr="00194B17" w:rsidRDefault="00194B17" w:rsidP="00503702">
      <w:pPr>
        <w:pStyle w:val="ListBullet"/>
      </w:pPr>
      <w:r w:rsidRPr="00194B17">
        <w:t>As of September 2025, isotretinoin was not listed on the</w:t>
      </w:r>
      <w:r>
        <w:t xml:space="preserve"> </w:t>
      </w:r>
      <w:hyperlink r:id="rId45" w:history="1">
        <w:r>
          <w:rPr>
            <w:rStyle w:val="Hyperlink"/>
          </w:rPr>
          <w:t>Australian Inventory of Industrial Chemicals</w:t>
        </w:r>
      </w:hyperlink>
      <w:r>
        <w:t>.</w:t>
      </w:r>
    </w:p>
    <w:p w14:paraId="24F9D717" w14:textId="77777777" w:rsidR="002E147C" w:rsidRPr="0071350C" w:rsidRDefault="002E147C" w:rsidP="002E147C">
      <w:pPr>
        <w:pStyle w:val="Heading4"/>
      </w:pPr>
      <w:bookmarkStart w:id="54" w:name="_Toc207284848"/>
      <w:bookmarkStart w:id="55" w:name="_Toc209035948"/>
      <w:r w:rsidRPr="00C417B6">
        <w:t>International regulations</w:t>
      </w:r>
      <w:bookmarkEnd w:id="54"/>
      <w:bookmarkEnd w:id="55"/>
    </w:p>
    <w:p w14:paraId="7A1A88CB" w14:textId="6C12C98F" w:rsidR="00106125" w:rsidRDefault="002E147C" w:rsidP="00503702">
      <w:pPr>
        <w:pStyle w:val="ListBullet"/>
      </w:pPr>
      <w:r>
        <w:t xml:space="preserve">In Canada isotretinoin may be prescribed by non-dermatologist physicians under defined frameworks. </w:t>
      </w:r>
      <w:r w:rsidRPr="00C50D13">
        <w:rPr>
          <w:rFonts w:eastAsia="Arial"/>
        </w:rPr>
        <w:t xml:space="preserve">Canada’s </w:t>
      </w:r>
      <w:hyperlink r:id="rId46">
        <w:r w:rsidRPr="00C50D13">
          <w:rPr>
            <w:rFonts w:eastAsia="Arial"/>
            <w:color w:val="0000FF"/>
            <w:u w:val="single"/>
          </w:rPr>
          <w:t>National Drug Schedules Database</w:t>
        </w:r>
      </w:hyperlink>
      <w:r w:rsidRPr="00C50D13">
        <w:rPr>
          <w:rFonts w:eastAsia="Arial"/>
        </w:rPr>
        <w:t xml:space="preserve"> classes isotretinoin as Schedule I (prescription only)</w:t>
      </w:r>
      <w:r>
        <w:t xml:space="preserve">. The </w:t>
      </w:r>
      <w:hyperlink r:id="rId47">
        <w:r w:rsidRPr="72E39221">
          <w:rPr>
            <w:rStyle w:val="Hyperlink"/>
          </w:rPr>
          <w:t>Health Canada Drug Product Database</w:t>
        </w:r>
      </w:hyperlink>
      <w:r>
        <w:t xml:space="preserve"> includes 14 entries, all of which are prescription medications. While general practitioners may prescribe it, the Canadian </w:t>
      </w:r>
      <w:r>
        <w:lastRenderedPageBreak/>
        <w:t>Dermatology Association recommends referral to specialists if the prescriber is unfamiliar with its risks and management.</w:t>
      </w:r>
    </w:p>
    <w:p w14:paraId="1C4B7D8E" w14:textId="27CB64EB" w:rsidR="002E147C" w:rsidRPr="00106125" w:rsidRDefault="00106125" w:rsidP="00503702">
      <w:pPr>
        <w:pStyle w:val="ListBullet"/>
      </w:pPr>
      <w:r>
        <w:t>In Europe t</w:t>
      </w:r>
      <w:r w:rsidRPr="00A23B8F">
        <w:t>he</w:t>
      </w:r>
      <w:hyperlink r:id="rId48" w:history="1">
        <w:r w:rsidRPr="00D56B8A">
          <w:rPr>
            <w:rStyle w:val="Hyperlink"/>
          </w:rPr>
          <w:t xml:space="preserve"> European Medicines Agency (EMA)</w:t>
        </w:r>
      </w:hyperlink>
      <w:r w:rsidRPr="00A23B8F">
        <w:t xml:space="preserve"> and national regulatory bodies oversee isotretinoin use. </w:t>
      </w:r>
      <w:r w:rsidR="00C50D13">
        <w:t>Isotretinoin (oral formulations) medicinal products are listed on the EMA website.</w:t>
      </w:r>
      <w:r w:rsidR="00C50D13">
        <w:rPr>
          <w:rStyle w:val="FootnoteReference"/>
        </w:rPr>
        <w:footnoteReference w:id="3"/>
      </w:r>
      <w:r w:rsidR="00C50D13">
        <w:t xml:space="preserve"> </w:t>
      </w:r>
      <w:r>
        <w:t>A European Directive was introduced to harmoni</w:t>
      </w:r>
      <w:r w:rsidR="00E517F4">
        <w:t>s</w:t>
      </w:r>
      <w:r>
        <w:t xml:space="preserve">e prescribing practices across member states, particularly focusing on teratogenic risks and pregnancy prevention </w:t>
      </w:r>
      <w:r w:rsidRPr="00A23B8F">
        <w:t>measures</w:t>
      </w:r>
      <w:r>
        <w:t xml:space="preserve">. While national practices may vary slightly, most </w:t>
      </w:r>
      <w:r w:rsidR="00C50D13">
        <w:t xml:space="preserve">of the EU members states </w:t>
      </w:r>
      <w:r>
        <w:t>follow similar restrictions, requiring specialist oversight and adherence to the Pregnancy Prevention Programme (PPP)</w:t>
      </w:r>
      <w:r w:rsidDel="005344EA">
        <w:t>. Some countries allow prescribing by general practitioners with specific training or under specialist supervision.</w:t>
      </w:r>
      <w:r>
        <w:rPr>
          <w:rStyle w:val="FootnoteReference"/>
        </w:rPr>
        <w:footnoteReference w:id="4"/>
      </w:r>
      <w:r>
        <w:t xml:space="preserve"> </w:t>
      </w:r>
      <w:r w:rsidRPr="002E147C">
        <w:t>The European prescribing directives on oral isotretinoin prescribing are summarised in the table below</w:t>
      </w:r>
      <w:r>
        <w:t>.</w:t>
      </w:r>
      <w:r>
        <w:rPr>
          <w:rStyle w:val="FootnoteReference"/>
        </w:rPr>
        <w:footnoteReference w:id="5"/>
      </w:r>
    </w:p>
    <w:tbl>
      <w:tblPr>
        <w:tblStyle w:val="TableGrid"/>
        <w:tblW w:w="0" w:type="auto"/>
        <w:tblLayout w:type="fixed"/>
        <w:tblLook w:val="04A0" w:firstRow="1" w:lastRow="0" w:firstColumn="1" w:lastColumn="0" w:noHBand="0" w:noVBand="1"/>
      </w:tblPr>
      <w:tblGrid>
        <w:gridCol w:w="3795"/>
        <w:gridCol w:w="5126"/>
      </w:tblGrid>
      <w:tr w:rsidR="002E147C" w:rsidRPr="00E8686F" w14:paraId="6E8EF590" w14:textId="77777777" w:rsidTr="00334A7B">
        <w:trPr>
          <w:trHeight w:val="340"/>
        </w:trPr>
        <w:tc>
          <w:tcPr>
            <w:tcW w:w="3795" w:type="dxa"/>
            <w:tcBorders>
              <w:top w:val="single" w:sz="8" w:space="0" w:color="auto"/>
              <w:left w:val="single" w:sz="8" w:space="0" w:color="auto"/>
              <w:bottom w:val="single" w:sz="8" w:space="0" w:color="auto"/>
              <w:right w:val="single" w:sz="8" w:space="0" w:color="auto"/>
            </w:tcBorders>
            <w:shd w:val="clear" w:color="auto" w:fill="B8CCEA"/>
            <w:tcMar>
              <w:left w:w="108" w:type="dxa"/>
              <w:right w:w="108" w:type="dxa"/>
            </w:tcMar>
          </w:tcPr>
          <w:p w14:paraId="728B9D99" w14:textId="77777777" w:rsidR="002E147C" w:rsidRPr="00E8686F" w:rsidRDefault="002E147C" w:rsidP="00334A7B">
            <w:pPr>
              <w:keepNext/>
              <w:spacing w:before="80" w:after="40" w:line="264" w:lineRule="auto"/>
              <w:ind w:left="113" w:firstLine="54"/>
              <w:rPr>
                <w:color w:val="263287"/>
                <w:sz w:val="22"/>
              </w:rPr>
            </w:pPr>
            <w:r w:rsidRPr="00E8686F">
              <w:rPr>
                <w:b/>
                <w:color w:val="263287"/>
                <w:sz w:val="22"/>
              </w:rPr>
              <w:t>Category</w:t>
            </w:r>
          </w:p>
        </w:tc>
        <w:tc>
          <w:tcPr>
            <w:tcW w:w="5126" w:type="dxa"/>
            <w:tcBorders>
              <w:top w:val="single" w:sz="8" w:space="0" w:color="auto"/>
              <w:left w:val="single" w:sz="8" w:space="0" w:color="auto"/>
              <w:bottom w:val="single" w:sz="8" w:space="0" w:color="auto"/>
              <w:right w:val="single" w:sz="8" w:space="0" w:color="auto"/>
            </w:tcBorders>
            <w:shd w:val="clear" w:color="auto" w:fill="B8CCEA"/>
            <w:tcMar>
              <w:left w:w="108" w:type="dxa"/>
              <w:right w:w="108" w:type="dxa"/>
            </w:tcMar>
          </w:tcPr>
          <w:p w14:paraId="7129E04E" w14:textId="77777777" w:rsidR="002E147C" w:rsidRPr="00E8686F" w:rsidRDefault="002E147C" w:rsidP="00334A7B">
            <w:pPr>
              <w:keepNext/>
              <w:spacing w:before="80" w:after="40" w:line="264" w:lineRule="auto"/>
              <w:ind w:left="113" w:hanging="56"/>
              <w:rPr>
                <w:color w:val="263287"/>
                <w:sz w:val="22"/>
              </w:rPr>
            </w:pPr>
            <w:r w:rsidRPr="00E8686F">
              <w:rPr>
                <w:b/>
                <w:color w:val="263287"/>
                <w:sz w:val="22"/>
              </w:rPr>
              <w:t>Directive Requirements</w:t>
            </w:r>
          </w:p>
        </w:tc>
      </w:tr>
      <w:tr w:rsidR="002E147C" w14:paraId="289ADF23"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F7E6F"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Indication</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26288" w14:textId="77777777" w:rsidR="002E147C" w:rsidRDefault="002E147C" w:rsidP="00334A7B">
            <w:pPr>
              <w:ind w:left="57"/>
              <w:jc w:val="both"/>
              <w:rPr>
                <w:rFonts w:eastAsia="Arial" w:cs="Arial"/>
                <w:sz w:val="20"/>
                <w:szCs w:val="20"/>
                <w:lang w:val="en-US"/>
              </w:rPr>
            </w:pPr>
            <w:r w:rsidRPr="72E39221">
              <w:rPr>
                <w:rFonts w:eastAsia="Arial" w:cs="Arial"/>
                <w:sz w:val="20"/>
                <w:szCs w:val="20"/>
                <w:lang w:val="en-US"/>
              </w:rPr>
              <w:t>Severe acne (nodular/conglobata) unresponsive to standard therapy; not for &lt;12 years old.</w:t>
            </w:r>
          </w:p>
        </w:tc>
      </w:tr>
      <w:tr w:rsidR="002E147C" w14:paraId="0212F89A"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F127D"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Dosage</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517E8" w14:textId="77777777" w:rsidR="002E147C" w:rsidRDefault="002E147C" w:rsidP="00334A7B">
            <w:pPr>
              <w:ind w:left="57"/>
              <w:jc w:val="both"/>
              <w:rPr>
                <w:rFonts w:eastAsia="Arial" w:cs="Arial"/>
                <w:sz w:val="20"/>
                <w:szCs w:val="20"/>
                <w:lang w:val="en-US"/>
              </w:rPr>
            </w:pPr>
            <w:r w:rsidRPr="72E39221">
              <w:rPr>
                <w:rFonts w:eastAsia="Arial" w:cs="Arial"/>
                <w:sz w:val="20"/>
                <w:szCs w:val="20"/>
                <w:lang w:val="en-US"/>
              </w:rPr>
              <w:t>Start at 0.5 mg/kg/day; titrate based on tolerance. No recognition of low-dose regimens.</w:t>
            </w:r>
          </w:p>
        </w:tc>
      </w:tr>
      <w:tr w:rsidR="002E147C" w14:paraId="64A336CA"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7CCD7"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Monitoring</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A23FB" w14:textId="5BDC0C85" w:rsidR="002E147C" w:rsidRDefault="002E147C" w:rsidP="00334A7B">
            <w:pPr>
              <w:ind w:left="57"/>
              <w:jc w:val="both"/>
              <w:rPr>
                <w:rFonts w:eastAsia="Arial" w:cs="Arial"/>
                <w:sz w:val="20"/>
                <w:szCs w:val="20"/>
                <w:lang w:val="en-US"/>
              </w:rPr>
            </w:pPr>
            <w:r w:rsidRPr="72E39221">
              <w:rPr>
                <w:rFonts w:eastAsia="Arial" w:cs="Arial"/>
                <w:sz w:val="20"/>
                <w:szCs w:val="20"/>
                <w:lang w:val="en-US"/>
              </w:rPr>
              <w:t xml:space="preserve">Fasting lipids </w:t>
            </w:r>
            <w:r w:rsidR="00C50D13">
              <w:rPr>
                <w:rFonts w:eastAsia="Arial" w:cs="Arial"/>
                <w:sz w:val="20"/>
                <w:szCs w:val="20"/>
                <w:lang w:val="en-US"/>
              </w:rPr>
              <w:t>and</w:t>
            </w:r>
            <w:r w:rsidRPr="72E39221">
              <w:rPr>
                <w:rFonts w:eastAsia="Arial" w:cs="Arial"/>
                <w:sz w:val="20"/>
                <w:szCs w:val="20"/>
                <w:lang w:val="en-US"/>
              </w:rPr>
              <w:t xml:space="preserve"> </w:t>
            </w:r>
            <w:r w:rsidR="00C50D13">
              <w:rPr>
                <w:rFonts w:eastAsia="Arial" w:cs="Arial"/>
                <w:sz w:val="20"/>
                <w:szCs w:val="20"/>
                <w:lang w:val="en-US"/>
              </w:rPr>
              <w:t>live function test</w:t>
            </w:r>
            <w:r w:rsidRPr="72E39221">
              <w:rPr>
                <w:rFonts w:eastAsia="Arial" w:cs="Arial"/>
                <w:sz w:val="20"/>
                <w:szCs w:val="20"/>
                <w:lang w:val="en-US"/>
              </w:rPr>
              <w:t>s: before treatment, at 1 month, then every 3 months.</w:t>
            </w:r>
          </w:p>
        </w:tc>
      </w:tr>
      <w:tr w:rsidR="002E147C" w14:paraId="02247972"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79BEB8"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Physical Treatments</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682CB" w14:textId="77777777" w:rsidR="002E147C" w:rsidRDefault="002E147C" w:rsidP="00334A7B">
            <w:pPr>
              <w:ind w:left="57"/>
              <w:jc w:val="both"/>
              <w:rPr>
                <w:rFonts w:eastAsia="Arial" w:cs="Arial"/>
                <w:sz w:val="20"/>
                <w:szCs w:val="20"/>
                <w:lang w:val="en-US"/>
              </w:rPr>
            </w:pPr>
            <w:r w:rsidRPr="72E39221">
              <w:rPr>
                <w:rFonts w:eastAsia="Arial" w:cs="Arial"/>
                <w:sz w:val="20"/>
                <w:szCs w:val="20"/>
                <w:lang w:val="en-US"/>
              </w:rPr>
              <w:t>Avoid chemical peels, laser therapy, wax depilation during and for 6 months post-treatment.</w:t>
            </w:r>
          </w:p>
        </w:tc>
      </w:tr>
      <w:tr w:rsidR="002E147C" w14:paraId="06C14FE9"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53B9C5"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Pregnancy Prevention</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0A8C9E" w14:textId="77777777" w:rsidR="002E147C" w:rsidRDefault="002E147C" w:rsidP="00334A7B">
            <w:pPr>
              <w:ind w:left="57"/>
              <w:jc w:val="both"/>
              <w:rPr>
                <w:rFonts w:eastAsia="Arial" w:cs="Arial"/>
                <w:sz w:val="20"/>
                <w:szCs w:val="20"/>
                <w:lang w:val="en-US"/>
              </w:rPr>
            </w:pPr>
            <w:r w:rsidRPr="72E39221">
              <w:rPr>
                <w:rFonts w:eastAsia="Arial" w:cs="Arial"/>
                <w:sz w:val="20"/>
                <w:szCs w:val="20"/>
                <w:lang w:val="en-US"/>
              </w:rPr>
              <w:t>Mandatory for females of childbearing potential: education, consent, supervised testing.</w:t>
            </w:r>
          </w:p>
        </w:tc>
      </w:tr>
      <w:tr w:rsidR="002E147C" w14:paraId="61D9FF7A"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234E33"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Pregnancy Testing</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BC8FB" w14:textId="77777777" w:rsidR="002E147C" w:rsidRDefault="002E147C" w:rsidP="00334A7B">
            <w:pPr>
              <w:ind w:left="57"/>
              <w:jc w:val="both"/>
              <w:rPr>
                <w:rFonts w:eastAsia="Arial" w:cs="Arial"/>
                <w:sz w:val="20"/>
                <w:szCs w:val="20"/>
                <w:lang w:val="en-US"/>
              </w:rPr>
            </w:pPr>
            <w:r w:rsidRPr="72E39221">
              <w:rPr>
                <w:rFonts w:eastAsia="Arial" w:cs="Arial"/>
                <w:sz w:val="20"/>
                <w:szCs w:val="20"/>
                <w:lang w:val="en-US"/>
              </w:rPr>
              <w:t>Before treatment, monthly during, and 5 weeks post-treatment.</w:t>
            </w:r>
          </w:p>
        </w:tc>
      </w:tr>
      <w:tr w:rsidR="002E147C" w14:paraId="189119A8"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AD14E"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Contraception</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C499F" w14:textId="77777777" w:rsidR="002E147C" w:rsidRDefault="002E147C" w:rsidP="00334A7B">
            <w:pPr>
              <w:ind w:left="57"/>
              <w:jc w:val="both"/>
              <w:rPr>
                <w:rFonts w:eastAsia="Arial" w:cs="Arial"/>
                <w:sz w:val="20"/>
                <w:szCs w:val="20"/>
                <w:lang w:val="en-US"/>
              </w:rPr>
            </w:pPr>
            <w:r w:rsidRPr="72E39221">
              <w:rPr>
                <w:rFonts w:eastAsia="Arial" w:cs="Arial"/>
                <w:sz w:val="20"/>
                <w:szCs w:val="20"/>
                <w:lang w:val="en-US"/>
              </w:rPr>
              <w:t>Two methods recommended; start treatment on day 3 of menstrual cycle.</w:t>
            </w:r>
          </w:p>
        </w:tc>
      </w:tr>
      <w:tr w:rsidR="002E147C" w14:paraId="21A63186"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1F1B0"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Prescription Limits</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1B47F" w14:textId="62F03FD8" w:rsidR="002E147C" w:rsidRDefault="002E147C" w:rsidP="00334A7B">
            <w:pPr>
              <w:ind w:left="57"/>
              <w:jc w:val="both"/>
              <w:rPr>
                <w:rFonts w:eastAsia="Arial" w:cs="Arial"/>
                <w:sz w:val="20"/>
                <w:szCs w:val="20"/>
                <w:lang w:val="en-US"/>
              </w:rPr>
            </w:pPr>
            <w:r w:rsidRPr="72E39221">
              <w:rPr>
                <w:rFonts w:eastAsia="Arial" w:cs="Arial"/>
                <w:sz w:val="20"/>
                <w:szCs w:val="20"/>
                <w:lang w:val="en-US"/>
              </w:rPr>
              <w:t>Max</w:t>
            </w:r>
            <w:r w:rsidR="00C50D13">
              <w:rPr>
                <w:rFonts w:eastAsia="Arial" w:cs="Arial"/>
                <w:sz w:val="20"/>
                <w:szCs w:val="20"/>
                <w:lang w:val="en-US"/>
              </w:rPr>
              <w:t>imum</w:t>
            </w:r>
            <w:r w:rsidRPr="72E39221">
              <w:rPr>
                <w:rFonts w:eastAsia="Arial" w:cs="Arial"/>
                <w:sz w:val="20"/>
                <w:szCs w:val="20"/>
                <w:lang w:val="en-US"/>
              </w:rPr>
              <w:t xml:space="preserve"> 30-day supply; prescription valid for 7 days only.</w:t>
            </w:r>
          </w:p>
        </w:tc>
      </w:tr>
      <w:tr w:rsidR="002E147C" w14:paraId="45C46221"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69CCB"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Male Patients</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7A2404" w14:textId="77777777" w:rsidR="002E147C" w:rsidRDefault="002E147C" w:rsidP="00334A7B">
            <w:pPr>
              <w:ind w:left="57"/>
              <w:jc w:val="both"/>
              <w:rPr>
                <w:rFonts w:eastAsia="Arial" w:cs="Arial"/>
                <w:sz w:val="20"/>
                <w:szCs w:val="20"/>
                <w:lang w:val="en-US"/>
              </w:rPr>
            </w:pPr>
            <w:r w:rsidRPr="72E39221">
              <w:rPr>
                <w:rFonts w:eastAsia="Arial" w:cs="Arial"/>
                <w:sz w:val="20"/>
                <w:szCs w:val="20"/>
                <w:lang w:val="en-US"/>
              </w:rPr>
              <w:t>PPP and prescription limits do not apply.</w:t>
            </w:r>
          </w:p>
        </w:tc>
      </w:tr>
      <w:tr w:rsidR="002E147C" w14:paraId="6163DFB4" w14:textId="77777777" w:rsidTr="00334A7B">
        <w:trPr>
          <w:trHeight w:hRule="exact" w:val="567"/>
        </w:trPr>
        <w:tc>
          <w:tcPr>
            <w:tcW w:w="3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55A11" w14:textId="77777777" w:rsidR="002E147C" w:rsidRDefault="002E147C" w:rsidP="00334A7B">
            <w:pPr>
              <w:ind w:left="283" w:hanging="116"/>
              <w:jc w:val="both"/>
              <w:rPr>
                <w:rFonts w:eastAsia="Arial" w:cs="Arial"/>
                <w:sz w:val="20"/>
                <w:szCs w:val="20"/>
                <w:lang w:val="en-US"/>
              </w:rPr>
            </w:pPr>
            <w:r w:rsidRPr="72E39221">
              <w:rPr>
                <w:rFonts w:eastAsia="Arial" w:cs="Arial"/>
                <w:sz w:val="20"/>
                <w:szCs w:val="20"/>
                <w:lang w:val="en-US"/>
              </w:rPr>
              <w:t>Implementation Challenges</w:t>
            </w:r>
          </w:p>
        </w:tc>
        <w:tc>
          <w:tcPr>
            <w:tcW w:w="5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D0774" w14:textId="77777777" w:rsidR="002E147C" w:rsidRDefault="002E147C" w:rsidP="00334A7B">
            <w:pPr>
              <w:ind w:left="57"/>
              <w:jc w:val="both"/>
              <w:rPr>
                <w:rFonts w:eastAsia="Arial" w:cs="Arial"/>
                <w:sz w:val="20"/>
                <w:szCs w:val="20"/>
                <w:lang w:val="en-US"/>
              </w:rPr>
            </w:pPr>
            <w:r w:rsidRPr="72E39221">
              <w:rPr>
                <w:rFonts w:eastAsia="Arial" w:cs="Arial"/>
                <w:sz w:val="20"/>
                <w:szCs w:val="20"/>
                <w:lang w:val="en-US"/>
              </w:rPr>
              <w:t>Increased clinical burden, ethical concerns, financial costs, and continuity of care issues.</w:t>
            </w:r>
          </w:p>
        </w:tc>
      </w:tr>
    </w:tbl>
    <w:p w14:paraId="11C699AD" w14:textId="77777777" w:rsidR="002E147C" w:rsidRDefault="002E147C" w:rsidP="00503702">
      <w:pPr>
        <w:pStyle w:val="ListBullet"/>
      </w:pPr>
      <w:r>
        <w:t xml:space="preserve">The </w:t>
      </w:r>
      <w:hyperlink r:id="rId49">
        <w:r w:rsidRPr="72E39221">
          <w:rPr>
            <w:rStyle w:val="Hyperlink"/>
          </w:rPr>
          <w:t>European Chemicals Agency (ECHA)</w:t>
        </w:r>
      </w:hyperlink>
      <w:r>
        <w:t xml:space="preserve">, based on information provided by companies under the </w:t>
      </w:r>
      <w:r w:rsidRPr="72E39221">
        <w:rPr>
          <w:i/>
          <w:iCs/>
        </w:rPr>
        <w:t>Classification, Labelling and Packaging Regulation</w:t>
      </w:r>
      <w:r>
        <w:t>, considers isotretinoin may damage the unborn child; is very toxic to aquatic life with long lasting effects; causes serious eye irritation and skin irritation; and may cause respiratory irritation.</w:t>
      </w:r>
    </w:p>
    <w:p w14:paraId="0B024AC2" w14:textId="5F762361" w:rsidR="002E147C" w:rsidRDefault="002E147C" w:rsidP="00503702">
      <w:pPr>
        <w:pStyle w:val="ListBullet"/>
      </w:pPr>
      <w:r w:rsidRPr="3268883D">
        <w:t xml:space="preserve">The </w:t>
      </w:r>
      <w:hyperlink r:id="rId50">
        <w:r w:rsidRPr="3268883D">
          <w:rPr>
            <w:rStyle w:val="Hyperlink"/>
          </w:rPr>
          <w:t>European Commission database for information on cosmetic substances and ingredients database</w:t>
        </w:r>
      </w:hyperlink>
      <w:r w:rsidRPr="3268883D">
        <w:t xml:space="preserve"> </w:t>
      </w:r>
      <w:r>
        <w:t>lists</w:t>
      </w:r>
      <w:r w:rsidRPr="3268883D">
        <w:t xml:space="preserve"> </w:t>
      </w:r>
      <w:r>
        <w:t>isotretinoin as an anti-sebum ingredient under cosmetics regulation provisions</w:t>
      </w:r>
      <w:r w:rsidR="00503702">
        <w:t> </w:t>
      </w:r>
      <w:r>
        <w:t>II/375 (</w:t>
      </w:r>
      <w:hyperlink r:id="rId51" w:history="1">
        <w:r w:rsidRPr="008277F0">
          <w:rPr>
            <w:rFonts w:eastAsiaTheme="minorHAnsi" w:cstheme="minorBidi"/>
            <w:color w:val="0000FF"/>
            <w:u w:val="single"/>
          </w:rPr>
          <w:t>CosIng - Cosmetics - GROWTH - European Commission</w:t>
        </w:r>
      </w:hyperlink>
      <w:r>
        <w:rPr>
          <w:rFonts w:eastAsiaTheme="minorHAnsi" w:cstheme="minorBidi"/>
        </w:rPr>
        <w:t>).</w:t>
      </w:r>
    </w:p>
    <w:p w14:paraId="71FA9DD6" w14:textId="67114ECF" w:rsidR="002E147C" w:rsidRDefault="002E147C" w:rsidP="00503702">
      <w:pPr>
        <w:pStyle w:val="ListBullet"/>
      </w:pPr>
      <w:r>
        <w:t>I</w:t>
      </w:r>
      <w:r w:rsidRPr="005377AD">
        <w:t>n the UK, isotretinoin must be prescribed by a consultant dermatologist-led team and dispensed through hospital pharmacies.</w:t>
      </w:r>
      <w:r>
        <w:rPr>
          <w:rStyle w:val="FootnoteReference"/>
        </w:rPr>
        <w:footnoteReference w:id="6"/>
      </w:r>
      <w:r>
        <w:t xml:space="preserve"> </w:t>
      </w:r>
      <w:r w:rsidRPr="00E37C22">
        <w:t>The U</w:t>
      </w:r>
      <w:r>
        <w:t>nited Kingdom</w:t>
      </w:r>
      <w:r w:rsidRPr="00E37C22">
        <w:t xml:space="preserve"> </w:t>
      </w:r>
      <w:hyperlink r:id="rId52" w:history="1">
        <w:r w:rsidRPr="007D4161">
          <w:rPr>
            <w:rStyle w:val="Hyperlink"/>
          </w:rPr>
          <w:t>Electronic Medicines Compendium</w:t>
        </w:r>
      </w:hyperlink>
      <w:r w:rsidRPr="00E37C22">
        <w:t xml:space="preserve"> lists </w:t>
      </w:r>
      <w:r>
        <w:t>9</w:t>
      </w:r>
      <w:r w:rsidR="00503702">
        <w:t> </w:t>
      </w:r>
      <w:r w:rsidRPr="00E37C22">
        <w:t xml:space="preserve">prescription-only medicines containing </w:t>
      </w:r>
      <w:r>
        <w:t>isotretinoin.</w:t>
      </w:r>
    </w:p>
    <w:p w14:paraId="3685FEC6" w14:textId="77777777" w:rsidR="002E147C" w:rsidRDefault="002E147C" w:rsidP="00503702">
      <w:pPr>
        <w:pStyle w:val="ListBullet"/>
      </w:pPr>
      <w:r w:rsidRPr="00B26F12">
        <w:lastRenderedPageBreak/>
        <w:t xml:space="preserve">Ireland’s </w:t>
      </w:r>
      <w:hyperlink r:id="rId53" w:tgtFrame="_blank" w:history="1">
        <w:r w:rsidRPr="00E37C22">
          <w:rPr>
            <w:rStyle w:val="Hyperlink"/>
          </w:rPr>
          <w:t>Health Products Regulatory Authority</w:t>
        </w:r>
      </w:hyperlink>
      <w:r w:rsidRPr="00E37C22">
        <w:rPr>
          <w:u w:val="single"/>
        </w:rPr>
        <w:t xml:space="preserve"> </w:t>
      </w:r>
      <w:r w:rsidRPr="00E37C22">
        <w:t xml:space="preserve">regulates </w:t>
      </w:r>
      <w:r>
        <w:t>8</w:t>
      </w:r>
      <w:r w:rsidRPr="00E37C22">
        <w:t xml:space="preserve"> products containing </w:t>
      </w:r>
      <w:r>
        <w:t>isotretinoin</w:t>
      </w:r>
      <w:r w:rsidRPr="00E37C22">
        <w:t>. All are available for supply through pharmacies only and require prescription.</w:t>
      </w:r>
    </w:p>
    <w:p w14:paraId="4D8BB849" w14:textId="77777777" w:rsidR="002E147C" w:rsidRDefault="002E147C" w:rsidP="00503702">
      <w:pPr>
        <w:pStyle w:val="ListBullet"/>
      </w:pPr>
      <w:r>
        <w:t xml:space="preserve">The USA mandates prescriber registration and patient consent under the </w:t>
      </w:r>
      <w:hyperlink r:id="rId54">
        <w:r w:rsidRPr="72E39221">
          <w:rPr>
            <w:rStyle w:val="Hyperlink"/>
          </w:rPr>
          <w:t>iPLEDGE</w:t>
        </w:r>
      </w:hyperlink>
      <w:r>
        <w:t xml:space="preserve"> program to minimize the risk of fetal exposure due to isotretinoin’s high teratogenicity. Licensed healthcare providers including dermatologists, family physicians, and other qualified prescribers can prescribe isotretinoin, but only if they are registered and activated in the iPLEDGE Risk Evaluation and Mitigation Strategy program.</w:t>
      </w:r>
    </w:p>
    <w:p w14:paraId="67619C5E" w14:textId="360F9EB3" w:rsidR="002E147C" w:rsidRDefault="002E147C" w:rsidP="00503702">
      <w:pPr>
        <w:pStyle w:val="ListBullet"/>
      </w:pPr>
      <w:r w:rsidRPr="00B26F12">
        <w:t>The U</w:t>
      </w:r>
      <w:r>
        <w:t>nited States</w:t>
      </w:r>
      <w:r w:rsidRPr="00B26F12">
        <w:t xml:space="preserve"> Food and Drug Administration’s </w:t>
      </w:r>
      <w:hyperlink r:id="rId55" w:history="1">
        <w:r w:rsidRPr="007D4161">
          <w:rPr>
            <w:rStyle w:val="Hyperlink"/>
          </w:rPr>
          <w:t>Orange Book: Approved Drug Products with Therapeutic Equivalence Evaluations</w:t>
        </w:r>
      </w:hyperlink>
      <w:r w:rsidRPr="00B26F12">
        <w:t xml:space="preserve"> </w:t>
      </w:r>
      <w:r w:rsidRPr="00E37C22">
        <w:t xml:space="preserve">includes </w:t>
      </w:r>
      <w:r>
        <w:t>65</w:t>
      </w:r>
      <w:r w:rsidRPr="00E37C22">
        <w:t xml:space="preserve"> prescription-only containing </w:t>
      </w:r>
      <w:r>
        <w:t xml:space="preserve">isotretinoin </w:t>
      </w:r>
      <w:r w:rsidRPr="00E37C22">
        <w:t>medicines that are currently available.</w:t>
      </w:r>
      <w:r w:rsidR="00AB7E0B">
        <w:t xml:space="preserve"> </w:t>
      </w:r>
      <w:r>
        <w:t xml:space="preserve">There are 7 records in the </w:t>
      </w:r>
      <w:hyperlink r:id="rId56">
        <w:r w:rsidRPr="3268883D">
          <w:rPr>
            <w:rStyle w:val="Hyperlink"/>
          </w:rPr>
          <w:t>United States Food and Drug Administration Approved Drugs Database (Drugs@FDA)</w:t>
        </w:r>
      </w:hyperlink>
      <w:r>
        <w:t xml:space="preserve"> for isotretinoin.</w:t>
      </w:r>
    </w:p>
    <w:p w14:paraId="5E4A6716" w14:textId="26B8B923" w:rsidR="002E147C" w:rsidRDefault="002E147C" w:rsidP="00503702">
      <w:pPr>
        <w:pStyle w:val="ListBullet"/>
      </w:pPr>
      <w:r w:rsidRPr="00CF55F5">
        <w:t xml:space="preserve">The </w:t>
      </w:r>
      <w:hyperlink r:id="rId57" w:history="1">
        <w:r w:rsidRPr="009C3C0E">
          <w:rPr>
            <w:rStyle w:val="Hyperlink"/>
          </w:rPr>
          <w:t>New Zealand Medsafe Medicines Classification Database</w:t>
        </w:r>
      </w:hyperlink>
      <w:r w:rsidRPr="00CF55F5">
        <w:t xml:space="preserve"> </w:t>
      </w:r>
      <w:r>
        <w:t>classifies</w:t>
      </w:r>
      <w:r w:rsidRPr="00CF55F5">
        <w:t xml:space="preserve"> </w:t>
      </w:r>
      <w:r>
        <w:t>isotretinoin</w:t>
      </w:r>
      <w:r w:rsidRPr="00CF55F5">
        <w:t xml:space="preserve"> as </w:t>
      </w:r>
      <w:r>
        <w:t>a prescription medication.</w:t>
      </w:r>
    </w:p>
    <w:p w14:paraId="10F62AE1" w14:textId="5A4EDE20" w:rsidR="002E147C" w:rsidRDefault="002E147C" w:rsidP="002E147C">
      <w:pPr>
        <w:pStyle w:val="Heading3"/>
      </w:pPr>
      <w:bookmarkStart w:id="56" w:name="_Toc209035949"/>
      <w:r>
        <w:t>1.3 Mannitol</w:t>
      </w:r>
      <w:bookmarkEnd w:id="56"/>
    </w:p>
    <w:p w14:paraId="554210CE" w14:textId="77777777" w:rsidR="00D83811" w:rsidRPr="00C417B6" w:rsidRDefault="00D83811" w:rsidP="00D83811">
      <w:pPr>
        <w:pStyle w:val="Heading4"/>
      </w:pPr>
      <w:bookmarkStart w:id="57" w:name="_Toc206075731"/>
      <w:bookmarkStart w:id="58" w:name="_Toc209035950"/>
      <w:r w:rsidRPr="00C417B6">
        <w:t>Proposal</w:t>
      </w:r>
      <w:bookmarkEnd w:id="57"/>
      <w:bookmarkEnd w:id="58"/>
    </w:p>
    <w:p w14:paraId="628B7F62" w14:textId="7D77863D" w:rsidR="00D83811" w:rsidRPr="00C417B6" w:rsidRDefault="00D83811" w:rsidP="00D83811">
      <w:r>
        <w:t xml:space="preserve">The Department of Health, Disability and Ageing has proposed to create a new Pharmacist only medicine (Schedule 3) entry for mannitol for oral use for bowel cleansing in adults 18 years and over prior to diagnostic, medical or surgical procedures. Mannitol is currently unscheduled, but there are </w:t>
      </w:r>
      <w:r w:rsidR="00E517F4">
        <w:t>4</w:t>
      </w:r>
      <w:r w:rsidR="005F1E18">
        <w:t> </w:t>
      </w:r>
      <w:r>
        <w:t>registered therapeutic products for injection or inhalation.</w:t>
      </w:r>
    </w:p>
    <w:p w14:paraId="1CA2B68F" w14:textId="5B620DA1" w:rsidR="00D83811" w:rsidRPr="00C417B6" w:rsidRDefault="00D83811" w:rsidP="00D83811">
      <w:pPr>
        <w:pStyle w:val="Heading4"/>
      </w:pPr>
      <w:bookmarkStart w:id="59" w:name="_Toc206075732"/>
      <w:bookmarkStart w:id="60" w:name="_Toc209035951"/>
      <w:r w:rsidRPr="00C417B6">
        <w:t>CAS number</w:t>
      </w:r>
      <w:bookmarkEnd w:id="59"/>
      <w:bookmarkEnd w:id="60"/>
    </w:p>
    <w:p w14:paraId="29424B44" w14:textId="77777777" w:rsidR="00D83811" w:rsidRPr="00C417B6" w:rsidRDefault="00D83811" w:rsidP="00D83811">
      <w:r>
        <w:t>69-65-8</w:t>
      </w:r>
    </w:p>
    <w:p w14:paraId="6F4E35D5" w14:textId="77777777" w:rsidR="00D83811" w:rsidRPr="00C417B6" w:rsidRDefault="00D83811" w:rsidP="00D83811">
      <w:pPr>
        <w:pStyle w:val="Heading4"/>
      </w:pPr>
      <w:bookmarkStart w:id="61" w:name="_Toc206075733"/>
      <w:bookmarkStart w:id="62" w:name="_Toc209035952"/>
      <w:r w:rsidRPr="00C417B6">
        <w:t>Alternative names</w:t>
      </w:r>
      <w:bookmarkEnd w:id="61"/>
      <w:bookmarkEnd w:id="62"/>
    </w:p>
    <w:p w14:paraId="26742D2F" w14:textId="77777777" w:rsidR="00D83811" w:rsidRPr="00C417B6" w:rsidRDefault="00D83811" w:rsidP="00D83811">
      <w:r>
        <w:t>Manna sugar, mannite, D-mannitol, cordycepic acid</w:t>
      </w:r>
    </w:p>
    <w:p w14:paraId="51F620D7" w14:textId="77777777" w:rsidR="00D83811" w:rsidRPr="00C417B6" w:rsidRDefault="00D83811" w:rsidP="00D83811">
      <w:pPr>
        <w:pStyle w:val="Heading4"/>
      </w:pPr>
      <w:bookmarkStart w:id="63" w:name="_Toc206075734"/>
      <w:bookmarkStart w:id="64" w:name="_Toc209035953"/>
      <w:r w:rsidRPr="00C417B6">
        <w:t>Proposed Scheduling</w:t>
      </w:r>
      <w:bookmarkEnd w:id="63"/>
      <w:bookmarkEnd w:id="64"/>
    </w:p>
    <w:p w14:paraId="6A56BDDB" w14:textId="77777777" w:rsidR="00D83811" w:rsidRDefault="00D83811" w:rsidP="00D83811">
      <w:r w:rsidRPr="00F4131D">
        <w:t>Mannitol</w:t>
      </w:r>
      <w:r w:rsidRPr="00287ABB">
        <w:t xml:space="preserve"> is not specifically scheduled in the current Poisons Standard</w:t>
      </w:r>
      <w:r>
        <w:t>.</w:t>
      </w:r>
    </w:p>
    <w:p w14:paraId="1CBE6E07" w14:textId="77777777" w:rsidR="00D83811" w:rsidRPr="00C417B6" w:rsidRDefault="00D83811" w:rsidP="00D83811">
      <w:r w:rsidRPr="009E18EA">
        <w:t>The applicant’s proposed amendments to the Poisons Standard are</w:t>
      </w:r>
      <w:r w:rsidRPr="009E18EA">
        <w:rPr>
          <w:vertAlign w:val="superscript"/>
        </w:rPr>
        <w:footnoteReference w:id="7"/>
      </w:r>
      <w:r w:rsidRPr="009E18EA">
        <w:t>:</w:t>
      </w:r>
    </w:p>
    <w:p w14:paraId="508FB27F" w14:textId="77777777" w:rsidR="00D83811" w:rsidRPr="00F75DFB" w:rsidRDefault="00D83811" w:rsidP="00D83811">
      <w:pPr>
        <w:ind w:left="426"/>
        <w:rPr>
          <w:b/>
          <w:bCs/>
        </w:rPr>
      </w:pPr>
      <w:r w:rsidRPr="00F75DFB">
        <w:rPr>
          <w:b/>
          <w:bCs/>
        </w:rPr>
        <w:t xml:space="preserve">Schedule </w:t>
      </w:r>
      <w:r w:rsidRPr="00F4131D">
        <w:rPr>
          <w:b/>
          <w:bCs/>
        </w:rPr>
        <w:t>3</w:t>
      </w:r>
      <w:r w:rsidRPr="00287ABB">
        <w:rPr>
          <w:b/>
          <w:bCs/>
        </w:rPr>
        <w:t xml:space="preserve"> – </w:t>
      </w:r>
      <w:r w:rsidRPr="00F4131D">
        <w:rPr>
          <w:b/>
          <w:bCs/>
        </w:rPr>
        <w:t>New Entry</w:t>
      </w:r>
    </w:p>
    <w:p w14:paraId="33BF9591" w14:textId="77777777" w:rsidR="00D83811" w:rsidRPr="009C78A7" w:rsidRDefault="00D83811" w:rsidP="005D359B">
      <w:pPr>
        <w:ind w:left="709"/>
        <w:rPr>
          <w:color w:val="00B050"/>
          <w:u w:val="single"/>
        </w:rPr>
      </w:pPr>
      <w:r w:rsidRPr="009C78A7">
        <w:rPr>
          <w:color w:val="00B050"/>
          <w:u w:val="single"/>
        </w:rPr>
        <w:t>MANNITOL in preparations for oral use for bowel cleansing (in adults 18 years and over) prior to diagnostic, medical or surgical procedures.</w:t>
      </w:r>
    </w:p>
    <w:p w14:paraId="57D9B6F0" w14:textId="77777777" w:rsidR="00D83811" w:rsidRPr="00235FEB" w:rsidRDefault="00D83811" w:rsidP="00D83811">
      <w:pPr>
        <w:ind w:left="426"/>
        <w:rPr>
          <w:b/>
          <w:bCs/>
        </w:rPr>
      </w:pPr>
      <w:r w:rsidRPr="009E18EA">
        <w:rPr>
          <w:b/>
          <w:bCs/>
        </w:rPr>
        <w:t xml:space="preserve">Index – </w:t>
      </w:r>
      <w:r w:rsidRPr="00F4131D">
        <w:rPr>
          <w:b/>
          <w:bCs/>
        </w:rPr>
        <w:t>New Entry</w:t>
      </w:r>
    </w:p>
    <w:p w14:paraId="564BF82B" w14:textId="77777777" w:rsidR="00D83811" w:rsidRPr="009C78A7" w:rsidRDefault="00D83811" w:rsidP="00D83811">
      <w:pPr>
        <w:ind w:left="709"/>
        <w:rPr>
          <w:color w:val="00B050"/>
        </w:rPr>
      </w:pPr>
      <w:r w:rsidRPr="009C78A7">
        <w:rPr>
          <w:color w:val="00B050"/>
          <w:u w:val="single"/>
        </w:rPr>
        <w:t>MANNITOL</w:t>
      </w:r>
    </w:p>
    <w:p w14:paraId="3B7C6170" w14:textId="77777777" w:rsidR="00D83811" w:rsidRPr="00C417B6" w:rsidRDefault="00D83811" w:rsidP="00D83811">
      <w:pPr>
        <w:pStyle w:val="Heading4"/>
      </w:pPr>
      <w:bookmarkStart w:id="65" w:name="_Toc206075735"/>
      <w:bookmarkStart w:id="66" w:name="_Toc209035954"/>
      <w:r w:rsidRPr="00C417B6">
        <w:t>Background</w:t>
      </w:r>
      <w:bookmarkEnd w:id="65"/>
      <w:bookmarkEnd w:id="66"/>
    </w:p>
    <w:p w14:paraId="2DB2DB08" w14:textId="558137E7" w:rsidR="00D83811" w:rsidRPr="00C417B6" w:rsidRDefault="00D83811" w:rsidP="00D83811">
      <w:r>
        <w:t>Mannitol is a sugar alcohol that has a long history of medical use for its diuretic and laxative properties, as an excipient in therapeutic preparations</w:t>
      </w:r>
      <w:r w:rsidR="00E517F4">
        <w:t>,</w:t>
      </w:r>
      <w:r>
        <w:t xml:space="preserve"> and as a low-calorie sweetener in food. It is an osmotic diuretic. Once ingested, mannitol absorbs water from body tissues, particularly the gut lumen, and promotes bowel evacuation through rapid emptying of the colon.</w:t>
      </w:r>
    </w:p>
    <w:p w14:paraId="41899779" w14:textId="5BB1C89B" w:rsidR="00D83811" w:rsidRPr="00C417B6" w:rsidRDefault="00D83811" w:rsidP="00D83811">
      <w:pPr>
        <w:pStyle w:val="Heading4"/>
      </w:pPr>
      <w:bookmarkStart w:id="67" w:name="_Toc206075736"/>
      <w:bookmarkStart w:id="68" w:name="_Toc209035955"/>
      <w:r w:rsidRPr="00C417B6">
        <w:lastRenderedPageBreak/>
        <w:t>Summary of reasons for the proposal</w:t>
      </w:r>
      <w:bookmarkEnd w:id="67"/>
      <w:bookmarkEnd w:id="68"/>
    </w:p>
    <w:p w14:paraId="5684E76E" w14:textId="5238228B" w:rsidR="00D83811" w:rsidRDefault="00D83811" w:rsidP="00384359">
      <w:r>
        <w:t xml:space="preserve">Inclusion of mannitol in Schedule 3 will </w:t>
      </w:r>
      <w:r w:rsidR="00E517F4">
        <w:t xml:space="preserve">ensure safe </w:t>
      </w:r>
      <w:r>
        <w:t>access for use as a bowel cleansing agent prior to clinical procedures, such as endoscopy or radiology.</w:t>
      </w:r>
    </w:p>
    <w:p w14:paraId="43AF4512" w14:textId="4E921453" w:rsidR="00D83811" w:rsidRDefault="00D83811" w:rsidP="00384359">
      <w:r>
        <w:t>Many patients requiring bowel cleansing find options such as polyethylene glycol to be intolerable due to its unpleasant taste and high volume of intake required.</w:t>
      </w:r>
    </w:p>
    <w:p w14:paraId="35F9A2C6" w14:textId="5BA455D3" w:rsidR="00D83811" w:rsidRDefault="00D83811" w:rsidP="00384359">
      <w:r>
        <w:t xml:space="preserve">Mannitol is required to be ingested </w:t>
      </w:r>
      <w:r w:rsidR="00E517F4">
        <w:t xml:space="preserve">over a 30-minute period </w:t>
      </w:r>
      <w:r>
        <w:t xml:space="preserve">only </w:t>
      </w:r>
      <w:r w:rsidR="00E517F4">
        <w:t xml:space="preserve">4 </w:t>
      </w:r>
      <w:r>
        <w:t>hours prior to the procedure</w:t>
      </w:r>
      <w:r w:rsidR="00E517F4">
        <w:t>,</w:t>
      </w:r>
      <w:r>
        <w:t xml:space="preserve"> offering a shorter treatment time in comparison with other bowel cleansing agents. </w:t>
      </w:r>
      <w:r w:rsidRPr="00020F16">
        <w:t xml:space="preserve">It also scored highly in ease of use, taste and adherence to course of treatment when trialled in a dose-finding clinical study, suggesting </w:t>
      </w:r>
      <w:r>
        <w:t>an</w:t>
      </w:r>
      <w:r w:rsidRPr="00020F16">
        <w:t xml:space="preserve"> improvement in patient experience whilst undergoing bowel preparation</w:t>
      </w:r>
      <w:r>
        <w:t>.</w:t>
      </w:r>
    </w:p>
    <w:p w14:paraId="44E65A99" w14:textId="77777777" w:rsidR="00D83811" w:rsidRDefault="00D83811" w:rsidP="00384359">
      <w:r>
        <w:t>Mannitol does not present the risks of electrolyte abnormalities and renal disease usually associated and accepted the currently scheduled bowel cleansing agents, such as sodium phosphate and sodium picosulfate.</w:t>
      </w:r>
    </w:p>
    <w:p w14:paraId="542E8329" w14:textId="63C8A0D8" w:rsidR="00D83811" w:rsidRPr="00F4131D" w:rsidRDefault="00D83811" w:rsidP="00384359">
      <w:r>
        <w:t xml:space="preserve">Associated risks of use include intestinal gas buildup, nausea, serum electrolyte changes and vomiting. There have been reported cases of colonic gas explosion, including one fatal incident, associated with its use as a bowel cleansing agent. </w:t>
      </w:r>
      <w:r w:rsidR="00E517F4">
        <w:t>Therefore, for th</w:t>
      </w:r>
      <w:r w:rsidR="0057675F">
        <w:t xml:space="preserve">e </w:t>
      </w:r>
      <w:r w:rsidR="00E517F4">
        <w:t>therapeutic use of mannitol in bowel cleansing, it is appropriate for r</w:t>
      </w:r>
      <w:r>
        <w:t xml:space="preserve">isks </w:t>
      </w:r>
      <w:r w:rsidR="00E517F4">
        <w:t xml:space="preserve">to be </w:t>
      </w:r>
      <w:r>
        <w:t xml:space="preserve">managed through </w:t>
      </w:r>
      <w:r w:rsidR="00E517F4">
        <w:t>classification as a Pharmacist</w:t>
      </w:r>
      <w:r w:rsidR="00503702">
        <w:t xml:space="preserve"> </w:t>
      </w:r>
      <w:r w:rsidR="00E517F4">
        <w:t xml:space="preserve">only medicine (Schedule 3), requiring </w:t>
      </w:r>
      <w:r>
        <w:t>p</w:t>
      </w:r>
      <w:r w:rsidRPr="00504AB2">
        <w:t xml:space="preserve">rofessional advice </w:t>
      </w:r>
      <w:r>
        <w:t>from a pharmacist.</w:t>
      </w:r>
    </w:p>
    <w:p w14:paraId="176AA519" w14:textId="193EA576" w:rsidR="00D83811" w:rsidRPr="00C417B6" w:rsidRDefault="00D83811" w:rsidP="00D83811">
      <w:pPr>
        <w:pStyle w:val="Heading4"/>
      </w:pPr>
      <w:bookmarkStart w:id="69" w:name="_Toc206075737"/>
      <w:bookmarkStart w:id="70" w:name="_Toc209035956"/>
      <w:r w:rsidRPr="00C417B6">
        <w:t>Key uses/expected use</w:t>
      </w:r>
      <w:bookmarkEnd w:id="69"/>
      <w:bookmarkEnd w:id="70"/>
    </w:p>
    <w:p w14:paraId="7A02B762" w14:textId="714C6474" w:rsidR="00D83811" w:rsidRDefault="00D83811" w:rsidP="00D83811">
      <w:r>
        <w:t xml:space="preserve">The product, supplied as powder for ingestion with water, will be used as a bowel cleansing agent for preparation for clinical procedures </w:t>
      </w:r>
      <w:r w:rsidRPr="008B5639">
        <w:t>requiring a clean bowel, such as endoscopy or x-ray examinations.</w:t>
      </w:r>
    </w:p>
    <w:p w14:paraId="7D422380" w14:textId="77777777" w:rsidR="00D83811" w:rsidRPr="00C417B6" w:rsidRDefault="00D83811" w:rsidP="00D83811">
      <w:pPr>
        <w:pStyle w:val="Heading4"/>
      </w:pPr>
      <w:bookmarkStart w:id="71" w:name="_Toc206075738"/>
      <w:bookmarkStart w:id="72" w:name="_Toc209035957"/>
      <w:r w:rsidRPr="00C417B6">
        <w:t>Australian regulations</w:t>
      </w:r>
      <w:bookmarkEnd w:id="71"/>
      <w:bookmarkEnd w:id="72"/>
    </w:p>
    <w:p w14:paraId="6D58E254" w14:textId="21BBB7E7" w:rsidR="00D83811" w:rsidRDefault="00D83811" w:rsidP="00F30896">
      <w:pPr>
        <w:pStyle w:val="ListBullet"/>
      </w:pPr>
      <w:r w:rsidRPr="00C417B6">
        <w:t xml:space="preserve">According to the </w:t>
      </w:r>
      <w:hyperlink r:id="rId58" w:history="1">
        <w:r w:rsidRPr="00C417B6">
          <w:rPr>
            <w:rStyle w:val="Hyperlink"/>
          </w:rPr>
          <w:t>TGA Ingredient Database</w:t>
        </w:r>
      </w:hyperlink>
      <w:r w:rsidRPr="00C417B6">
        <w:t>,</w:t>
      </w:r>
      <w:r>
        <w:t xml:space="preserve"> mannitol </w:t>
      </w:r>
      <w:r w:rsidRPr="00C417B6">
        <w:t>is</w:t>
      </w:r>
      <w:r w:rsidR="00D10D16">
        <w:t>:</w:t>
      </w:r>
    </w:p>
    <w:p w14:paraId="712E51F2" w14:textId="1D34ABD7" w:rsidR="00D10D16" w:rsidRDefault="00D10D16" w:rsidP="00D83811">
      <w:pPr>
        <w:pStyle w:val="ListBullet2"/>
        <w:rPr>
          <w:color w:val="auto"/>
        </w:rPr>
      </w:pPr>
      <w:r w:rsidRPr="00C417B6">
        <w:t>available for use as an active ingredient in Biologicals, Export Only, Over the Counter and Prescription Medicines</w:t>
      </w:r>
    </w:p>
    <w:p w14:paraId="05EFA209" w14:textId="08B1135A" w:rsidR="00D83811" w:rsidRPr="00F4131D" w:rsidRDefault="00D10D16" w:rsidP="00D83811">
      <w:pPr>
        <w:pStyle w:val="ListBullet2"/>
        <w:rPr>
          <w:color w:val="auto"/>
        </w:rPr>
      </w:pPr>
      <w:r>
        <w:rPr>
          <w:color w:val="auto"/>
        </w:rPr>
        <w:t>a</w:t>
      </w:r>
      <w:r w:rsidR="00D83811" w:rsidRPr="00F4131D">
        <w:rPr>
          <w:color w:val="auto"/>
        </w:rPr>
        <w:t>vailable for use as an Excipient Ingredient in Biologicals, Devices, Export Only, Listed Medicines, Over the Counter, Prescription Medicines</w:t>
      </w:r>
    </w:p>
    <w:p w14:paraId="5527EDF0" w14:textId="398ACF04" w:rsidR="00D83811" w:rsidRPr="00A17065" w:rsidRDefault="00D10D16" w:rsidP="00D83811">
      <w:pPr>
        <w:pStyle w:val="ListBullet2"/>
        <w:rPr>
          <w:color w:val="auto"/>
        </w:rPr>
      </w:pPr>
      <w:r>
        <w:rPr>
          <w:color w:val="auto"/>
        </w:rPr>
        <w:t>n</w:t>
      </w:r>
      <w:r w:rsidR="00D83811" w:rsidRPr="00F4131D">
        <w:rPr>
          <w:color w:val="auto"/>
        </w:rPr>
        <w:t>ot available as an Equivalent Ingredient in any application</w:t>
      </w:r>
      <w:r>
        <w:rPr>
          <w:color w:val="auto"/>
        </w:rPr>
        <w:t>.</w:t>
      </w:r>
    </w:p>
    <w:p w14:paraId="77DFF2A4" w14:textId="77777777" w:rsidR="00D83811" w:rsidRDefault="00D83811" w:rsidP="00F30896">
      <w:pPr>
        <w:pStyle w:val="ListBullet"/>
      </w:pPr>
      <w:r w:rsidRPr="00C417B6">
        <w:t xml:space="preserve">As of </w:t>
      </w:r>
      <w:r>
        <w:t>11 September</w:t>
      </w:r>
      <w:r w:rsidRPr="00C417B6">
        <w:t>, there were</w:t>
      </w:r>
      <w:r>
        <w:t xml:space="preserve"> 10</w:t>
      </w:r>
      <w:r w:rsidRPr="00C417B6">
        <w:t xml:space="preserve"> medicines active on the </w:t>
      </w:r>
      <w:hyperlink r:id="rId59" w:history="1">
        <w:r w:rsidRPr="00C417B6">
          <w:rPr>
            <w:rStyle w:val="Hyperlink"/>
          </w:rPr>
          <w:t>Australian Register of Therapeutic Goods (ARTG)</w:t>
        </w:r>
      </w:hyperlink>
      <w:r w:rsidRPr="00C417B6">
        <w:t xml:space="preserve"> that contain</w:t>
      </w:r>
      <w:r>
        <w:t xml:space="preserve"> mannitol </w:t>
      </w:r>
      <w:r w:rsidRPr="00C417B6">
        <w:t xml:space="preserve">as an active ingredient. </w:t>
      </w:r>
      <w:r>
        <w:t xml:space="preserve">All are </w:t>
      </w:r>
      <w:r w:rsidRPr="00C417B6">
        <w:t>non-prescription medicines</w:t>
      </w:r>
      <w:r>
        <w:t>, of which 4 are registered and 6 are listed (export only) medicines</w:t>
      </w:r>
      <w:r w:rsidRPr="00C417B6">
        <w:t>.</w:t>
      </w:r>
    </w:p>
    <w:p w14:paraId="656C7157" w14:textId="747885FB" w:rsidR="00D83811" w:rsidRDefault="00D83811" w:rsidP="00F30896">
      <w:pPr>
        <w:pStyle w:val="ListBullet"/>
      </w:pPr>
      <w:r w:rsidRPr="00C417B6">
        <w:t xml:space="preserve">According to the </w:t>
      </w:r>
      <w:hyperlink r:id="rId60" w:history="1">
        <w:r w:rsidRPr="00C417B6">
          <w:rPr>
            <w:rStyle w:val="Hyperlink"/>
          </w:rPr>
          <w:t>Therapeutic Goods (Permissible Ingredients) Determination</w:t>
        </w:r>
      </w:hyperlink>
      <w:r w:rsidRPr="00C417B6">
        <w:t xml:space="preserve"> No.</w:t>
      </w:r>
      <w:r>
        <w:t xml:space="preserve"> 2</w:t>
      </w:r>
      <w:r w:rsidRPr="00C417B6">
        <w:t xml:space="preserve"> of 2</w:t>
      </w:r>
      <w:r>
        <w:t>025</w:t>
      </w:r>
      <w:r w:rsidRPr="00C417B6">
        <w:t xml:space="preserve">, </w:t>
      </w:r>
      <w:r>
        <w:t xml:space="preserve">mannitol </w:t>
      </w:r>
      <w:r w:rsidRPr="00C417B6">
        <w:t>is permitted to be included in listed medicines as follows</w:t>
      </w:r>
      <w:r w:rsidR="000175F5">
        <w:t>.</w:t>
      </w:r>
    </w:p>
    <w:tbl>
      <w:tblPr>
        <w:tblStyle w:val="TableTGAblue2023"/>
        <w:tblW w:w="9067" w:type="dxa"/>
        <w:tblLayout w:type="fixed"/>
        <w:tblLook w:val="04A0" w:firstRow="1" w:lastRow="0" w:firstColumn="1" w:lastColumn="0" w:noHBand="0" w:noVBand="1"/>
      </w:tblPr>
      <w:tblGrid>
        <w:gridCol w:w="1129"/>
        <w:gridCol w:w="2410"/>
        <w:gridCol w:w="1276"/>
        <w:gridCol w:w="4252"/>
      </w:tblGrid>
      <w:tr w:rsidR="00F213FB" w14:paraId="496CBC0F" w14:textId="77777777" w:rsidTr="008F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C4508E0" w14:textId="77777777" w:rsidR="00D83811" w:rsidRDefault="00D83811" w:rsidP="008F121F">
            <w:r>
              <w:t>Item</w:t>
            </w:r>
          </w:p>
        </w:tc>
        <w:tc>
          <w:tcPr>
            <w:tcW w:w="2410" w:type="dxa"/>
          </w:tcPr>
          <w:p w14:paraId="4F722CED" w14:textId="77777777" w:rsidR="00D83811" w:rsidRDefault="00D83811" w:rsidP="008F121F">
            <w:pPr>
              <w:cnfStyle w:val="100000000000" w:firstRow="1" w:lastRow="0" w:firstColumn="0" w:lastColumn="0" w:oddVBand="0" w:evenVBand="0" w:oddHBand="0" w:evenHBand="0" w:firstRowFirstColumn="0" w:firstRowLastColumn="0" w:lastRowFirstColumn="0" w:lastRowLastColumn="0"/>
            </w:pPr>
            <w:r>
              <w:t>Ingredient name</w:t>
            </w:r>
          </w:p>
        </w:tc>
        <w:tc>
          <w:tcPr>
            <w:tcW w:w="1276" w:type="dxa"/>
          </w:tcPr>
          <w:p w14:paraId="6A3258BC" w14:textId="77777777" w:rsidR="00D83811" w:rsidRDefault="00D83811" w:rsidP="008F121F">
            <w:pPr>
              <w:cnfStyle w:val="100000000000" w:firstRow="1" w:lastRow="0" w:firstColumn="0" w:lastColumn="0" w:oddVBand="0" w:evenVBand="0" w:oddHBand="0" w:evenHBand="0" w:firstRowFirstColumn="0" w:firstRowLastColumn="0" w:lastRowFirstColumn="0" w:lastRowLastColumn="0"/>
            </w:pPr>
            <w:r>
              <w:t>Purpose</w:t>
            </w:r>
          </w:p>
        </w:tc>
        <w:tc>
          <w:tcPr>
            <w:tcW w:w="4252" w:type="dxa"/>
          </w:tcPr>
          <w:p w14:paraId="28831FEE" w14:textId="77777777" w:rsidR="00D83811" w:rsidRPr="000B20AB" w:rsidRDefault="00D83811" w:rsidP="008F121F">
            <w:pPr>
              <w:cnfStyle w:val="100000000000" w:firstRow="1" w:lastRow="0" w:firstColumn="0" w:lastColumn="0" w:oddVBand="0" w:evenVBand="0" w:oddHBand="0" w:evenHBand="0" w:firstRowFirstColumn="0" w:firstRowLastColumn="0" w:lastRowFirstColumn="0" w:lastRowLastColumn="0"/>
              <w:rPr>
                <w:b w:val="0"/>
              </w:rPr>
            </w:pPr>
            <w:r>
              <w:t>Specific requirements</w:t>
            </w:r>
          </w:p>
        </w:tc>
      </w:tr>
      <w:tr w:rsidR="00D83811" w14:paraId="3F1E3937" w14:textId="77777777" w:rsidTr="008F121F">
        <w:tc>
          <w:tcPr>
            <w:cnfStyle w:val="001000000000" w:firstRow="0" w:lastRow="0" w:firstColumn="1" w:lastColumn="0" w:oddVBand="0" w:evenVBand="0" w:oddHBand="0" w:evenHBand="0" w:firstRowFirstColumn="0" w:firstRowLastColumn="0" w:lastRowFirstColumn="0" w:lastRowLastColumn="0"/>
            <w:tcW w:w="1129" w:type="dxa"/>
          </w:tcPr>
          <w:p w14:paraId="6B777A0B" w14:textId="77777777" w:rsidR="00D83811" w:rsidRPr="00384359" w:rsidRDefault="00D83811" w:rsidP="008F121F">
            <w:pPr>
              <w:rPr>
                <w:sz w:val="20"/>
                <w:szCs w:val="20"/>
              </w:rPr>
            </w:pPr>
            <w:r w:rsidRPr="00384359">
              <w:rPr>
                <w:sz w:val="20"/>
                <w:szCs w:val="20"/>
              </w:rPr>
              <w:t>3219</w:t>
            </w:r>
          </w:p>
        </w:tc>
        <w:tc>
          <w:tcPr>
            <w:tcW w:w="2410" w:type="dxa"/>
          </w:tcPr>
          <w:p w14:paraId="6191D5BB" w14:textId="77777777" w:rsidR="00D83811" w:rsidRPr="00384359" w:rsidRDefault="00D83811"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Mannitol</w:t>
            </w:r>
          </w:p>
        </w:tc>
        <w:tc>
          <w:tcPr>
            <w:tcW w:w="1276" w:type="dxa"/>
          </w:tcPr>
          <w:p w14:paraId="32C149C4" w14:textId="77777777" w:rsidR="00D83811" w:rsidRPr="00384359" w:rsidRDefault="00D83811"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E</w:t>
            </w:r>
          </w:p>
        </w:tc>
        <w:tc>
          <w:tcPr>
            <w:tcW w:w="4252" w:type="dxa"/>
          </w:tcPr>
          <w:p w14:paraId="3C37AE15" w14:textId="77777777" w:rsidR="00D83811" w:rsidRPr="00384359" w:rsidRDefault="00D83811" w:rsidP="008F121F">
            <w:pPr>
              <w:cnfStyle w:val="000000000000" w:firstRow="0" w:lastRow="0" w:firstColumn="0" w:lastColumn="0" w:oddVBand="0" w:evenVBand="0" w:oddHBand="0" w:evenHBand="0" w:firstRowFirstColumn="0" w:firstRowLastColumn="0" w:lastRowFirstColumn="0" w:lastRowLastColumn="0"/>
              <w:rPr>
                <w:sz w:val="20"/>
                <w:szCs w:val="20"/>
              </w:rPr>
            </w:pPr>
          </w:p>
        </w:tc>
      </w:tr>
      <w:tr w:rsidR="00D83811" w14:paraId="784ECE9F" w14:textId="77777777" w:rsidTr="008F121F">
        <w:tc>
          <w:tcPr>
            <w:cnfStyle w:val="001000000000" w:firstRow="0" w:lastRow="0" w:firstColumn="1" w:lastColumn="0" w:oddVBand="0" w:evenVBand="0" w:oddHBand="0" w:evenHBand="0" w:firstRowFirstColumn="0" w:firstRowLastColumn="0" w:lastRowFirstColumn="0" w:lastRowLastColumn="0"/>
            <w:tcW w:w="9067" w:type="dxa"/>
            <w:gridSpan w:val="4"/>
          </w:tcPr>
          <w:p w14:paraId="0585C7CE" w14:textId="77777777" w:rsidR="00D83811" w:rsidRDefault="00D83811" w:rsidP="008F121F">
            <w:pPr>
              <w:ind w:left="0"/>
            </w:pPr>
            <w:r w:rsidRPr="0039205F">
              <w:rPr>
                <w:szCs w:val="18"/>
              </w:rPr>
              <w:t>E = excipient for a medicine meaning an ingredient that is not an active ingredient or a homoeopathic preparation ingredient</w:t>
            </w:r>
          </w:p>
        </w:tc>
      </w:tr>
    </w:tbl>
    <w:p w14:paraId="11FF4213" w14:textId="77777777" w:rsidR="00D10D16" w:rsidRDefault="00D10D16" w:rsidP="005F1E18">
      <w:pPr>
        <w:pStyle w:val="ListBullet"/>
        <w:numPr>
          <w:ilvl w:val="0"/>
          <w:numId w:val="0"/>
        </w:numPr>
        <w:ind w:left="360"/>
      </w:pPr>
    </w:p>
    <w:p w14:paraId="10C25385" w14:textId="77777777" w:rsidR="00D10D16" w:rsidRDefault="00D10D16">
      <w:pPr>
        <w:rPr>
          <w:rFonts w:eastAsia="Cambria" w:cs="Arial"/>
        </w:rPr>
      </w:pPr>
      <w:r>
        <w:br w:type="page"/>
      </w:r>
    </w:p>
    <w:p w14:paraId="0259B116" w14:textId="0896803D" w:rsidR="00D83811" w:rsidRDefault="00D83811" w:rsidP="00F30896">
      <w:pPr>
        <w:pStyle w:val="ListBullet"/>
      </w:pPr>
      <w:r w:rsidRPr="00C417B6">
        <w:lastRenderedPageBreak/>
        <w:t xml:space="preserve">The </w:t>
      </w:r>
      <w:hyperlink r:id="rId61" w:history="1">
        <w:r w:rsidRPr="00C417B6">
          <w:rPr>
            <w:rStyle w:val="Hyperlink"/>
          </w:rPr>
          <w:t>TGA prescribing medicines in pregnancy database</w:t>
        </w:r>
      </w:hyperlink>
      <w:r w:rsidRPr="00C417B6">
        <w:t xml:space="preserve"> classifies </w:t>
      </w:r>
      <w:r>
        <w:t xml:space="preserve">mannitol </w:t>
      </w:r>
      <w:r w:rsidRPr="00C417B6">
        <w:t>as:</w:t>
      </w:r>
    </w:p>
    <w:tbl>
      <w:tblPr>
        <w:tblStyle w:val="TableTGAblue2023"/>
        <w:tblW w:w="9067" w:type="dxa"/>
        <w:tblLayout w:type="fixed"/>
        <w:tblLook w:val="04A0" w:firstRow="1" w:lastRow="0" w:firstColumn="1" w:lastColumn="0" w:noHBand="0" w:noVBand="1"/>
      </w:tblPr>
      <w:tblGrid>
        <w:gridCol w:w="1980"/>
        <w:gridCol w:w="1701"/>
        <w:gridCol w:w="1795"/>
        <w:gridCol w:w="1795"/>
        <w:gridCol w:w="1796"/>
      </w:tblGrid>
      <w:tr w:rsidR="00F213FB" w14:paraId="1404541B" w14:textId="77777777" w:rsidTr="008F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5EB4E44" w14:textId="77777777" w:rsidR="00D83811" w:rsidRDefault="00D83811" w:rsidP="008F121F">
            <w:r>
              <w:t>Drug name</w:t>
            </w:r>
          </w:p>
        </w:tc>
        <w:tc>
          <w:tcPr>
            <w:tcW w:w="1701" w:type="dxa"/>
          </w:tcPr>
          <w:p w14:paraId="6F266629" w14:textId="77777777" w:rsidR="00D83811" w:rsidRDefault="00D83811" w:rsidP="008F121F">
            <w:pPr>
              <w:cnfStyle w:val="100000000000" w:firstRow="1" w:lastRow="0" w:firstColumn="0" w:lastColumn="0" w:oddVBand="0" w:evenVBand="0" w:oddHBand="0" w:evenHBand="0" w:firstRowFirstColumn="0" w:firstRowLastColumn="0" w:lastRowFirstColumn="0" w:lastRowLastColumn="0"/>
            </w:pPr>
            <w:r w:rsidRPr="00C417B6">
              <w:t>Category</w:t>
            </w:r>
          </w:p>
        </w:tc>
        <w:tc>
          <w:tcPr>
            <w:tcW w:w="1795" w:type="dxa"/>
          </w:tcPr>
          <w:p w14:paraId="2F2A3379" w14:textId="77777777" w:rsidR="00D83811" w:rsidRDefault="00D83811" w:rsidP="008F121F">
            <w:pPr>
              <w:cnfStyle w:val="100000000000" w:firstRow="1" w:lastRow="0" w:firstColumn="0" w:lastColumn="0" w:oddVBand="0" w:evenVBand="0" w:oddHBand="0" w:evenHBand="0" w:firstRowFirstColumn="0" w:firstRowLastColumn="0" w:lastRowFirstColumn="0" w:lastRowLastColumn="0"/>
            </w:pPr>
            <w:r w:rsidRPr="00C417B6">
              <w:t>Classification Level 1</w:t>
            </w:r>
          </w:p>
        </w:tc>
        <w:tc>
          <w:tcPr>
            <w:tcW w:w="1795" w:type="dxa"/>
          </w:tcPr>
          <w:p w14:paraId="0105771D" w14:textId="77777777" w:rsidR="00D83811" w:rsidRDefault="00D83811" w:rsidP="008F121F">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2</w:t>
            </w:r>
          </w:p>
        </w:tc>
        <w:tc>
          <w:tcPr>
            <w:tcW w:w="1796" w:type="dxa"/>
          </w:tcPr>
          <w:p w14:paraId="49B731F5" w14:textId="77777777" w:rsidR="00D83811" w:rsidRDefault="00D83811" w:rsidP="008F121F">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3</w:t>
            </w:r>
          </w:p>
        </w:tc>
      </w:tr>
      <w:tr w:rsidR="00D83811" w14:paraId="524C1AF2" w14:textId="77777777" w:rsidTr="008F121F">
        <w:tc>
          <w:tcPr>
            <w:cnfStyle w:val="001000000000" w:firstRow="0" w:lastRow="0" w:firstColumn="1" w:lastColumn="0" w:oddVBand="0" w:evenVBand="0" w:oddHBand="0" w:evenHBand="0" w:firstRowFirstColumn="0" w:firstRowLastColumn="0" w:lastRowFirstColumn="0" w:lastRowLastColumn="0"/>
            <w:tcW w:w="1980" w:type="dxa"/>
          </w:tcPr>
          <w:p w14:paraId="051B556C" w14:textId="678AEF09" w:rsidR="00D83811" w:rsidRPr="00384359" w:rsidRDefault="005D359B" w:rsidP="008F121F">
            <w:pPr>
              <w:rPr>
                <w:sz w:val="20"/>
                <w:szCs w:val="20"/>
              </w:rPr>
            </w:pPr>
            <w:r w:rsidRPr="00384359">
              <w:rPr>
                <w:sz w:val="20"/>
                <w:szCs w:val="20"/>
              </w:rPr>
              <w:t>M</w:t>
            </w:r>
            <w:r w:rsidR="00D83811" w:rsidRPr="00384359">
              <w:rPr>
                <w:sz w:val="20"/>
                <w:szCs w:val="20"/>
              </w:rPr>
              <w:t>annitol</w:t>
            </w:r>
          </w:p>
        </w:tc>
        <w:tc>
          <w:tcPr>
            <w:tcW w:w="1701" w:type="dxa"/>
          </w:tcPr>
          <w:p w14:paraId="04A8B9E6" w14:textId="77777777" w:rsidR="00D83811" w:rsidRPr="00384359" w:rsidRDefault="00D83811"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B2</w:t>
            </w:r>
          </w:p>
        </w:tc>
        <w:tc>
          <w:tcPr>
            <w:tcW w:w="1795" w:type="dxa"/>
          </w:tcPr>
          <w:p w14:paraId="57F05FBB" w14:textId="3BD56084" w:rsidR="00D83811" w:rsidRPr="00384359" w:rsidRDefault="00D83811"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 xml:space="preserve">Cardiovascular </w:t>
            </w:r>
            <w:r w:rsidR="005D359B" w:rsidRPr="00384359">
              <w:rPr>
                <w:sz w:val="20"/>
                <w:szCs w:val="20"/>
              </w:rPr>
              <w:t>s</w:t>
            </w:r>
            <w:r w:rsidRPr="00384359">
              <w:rPr>
                <w:sz w:val="20"/>
                <w:szCs w:val="20"/>
              </w:rPr>
              <w:t>ystem</w:t>
            </w:r>
          </w:p>
        </w:tc>
        <w:tc>
          <w:tcPr>
            <w:tcW w:w="1795" w:type="dxa"/>
          </w:tcPr>
          <w:p w14:paraId="3B956519" w14:textId="77777777" w:rsidR="00D83811" w:rsidRPr="00384359" w:rsidRDefault="00D83811" w:rsidP="008F121F">
            <w:pPr>
              <w:cnfStyle w:val="000000000000" w:firstRow="0" w:lastRow="0" w:firstColumn="0" w:lastColumn="0" w:oddVBand="0" w:evenVBand="0" w:oddHBand="0" w:evenHBand="0" w:firstRowFirstColumn="0" w:firstRowLastColumn="0" w:lastRowFirstColumn="0" w:lastRowLastColumn="0"/>
              <w:rPr>
                <w:sz w:val="20"/>
                <w:szCs w:val="20"/>
              </w:rPr>
            </w:pPr>
          </w:p>
        </w:tc>
        <w:tc>
          <w:tcPr>
            <w:tcW w:w="1796" w:type="dxa"/>
          </w:tcPr>
          <w:p w14:paraId="6D543397" w14:textId="77777777" w:rsidR="00D83811" w:rsidRDefault="00D83811" w:rsidP="008F121F">
            <w:pPr>
              <w:cnfStyle w:val="000000000000" w:firstRow="0" w:lastRow="0" w:firstColumn="0" w:lastColumn="0" w:oddVBand="0" w:evenVBand="0" w:oddHBand="0" w:evenHBand="0" w:firstRowFirstColumn="0" w:firstRowLastColumn="0" w:lastRowFirstColumn="0" w:lastRowLastColumn="0"/>
            </w:pPr>
          </w:p>
        </w:tc>
      </w:tr>
      <w:tr w:rsidR="00D83811" w14:paraId="6827E868" w14:textId="77777777" w:rsidTr="008F121F">
        <w:tc>
          <w:tcPr>
            <w:cnfStyle w:val="001000000000" w:firstRow="0" w:lastRow="0" w:firstColumn="1" w:lastColumn="0" w:oddVBand="0" w:evenVBand="0" w:oddHBand="0" w:evenHBand="0" w:firstRowFirstColumn="0" w:firstRowLastColumn="0" w:lastRowFirstColumn="0" w:lastRowLastColumn="0"/>
            <w:tcW w:w="9067" w:type="dxa"/>
            <w:gridSpan w:val="5"/>
          </w:tcPr>
          <w:p w14:paraId="4CB28FC1" w14:textId="77777777" w:rsidR="00D83811" w:rsidRPr="0039205F" w:rsidRDefault="00D83811" w:rsidP="008F121F">
            <w:pPr>
              <w:rPr>
                <w:szCs w:val="18"/>
              </w:rPr>
            </w:pPr>
            <w:r w:rsidRPr="0039205F">
              <w:rPr>
                <w:szCs w:val="18"/>
              </w:rPr>
              <w:t>Category B2 – Drugs which have been taken by only a limited number of pregnant women and women of childbearing age, without an increase in the frequency of malformation or other direct or indirect harmful effects on the human foetus having been observed.</w:t>
            </w:r>
          </w:p>
          <w:p w14:paraId="7941B0C8" w14:textId="77777777" w:rsidR="00D83811" w:rsidRDefault="00D83811" w:rsidP="008F121F">
            <w:r w:rsidRPr="0039205F">
              <w:rPr>
                <w:szCs w:val="18"/>
              </w:rPr>
              <w:t>Studies in animals are inadequate or may be lacking, but available data show no evidence of an increased occurrence of foetal damage.</w:t>
            </w:r>
          </w:p>
        </w:tc>
      </w:tr>
    </w:tbl>
    <w:p w14:paraId="5E0BD271" w14:textId="0A0AC101" w:rsidR="00D83811" w:rsidRPr="00C417B6" w:rsidRDefault="00D83811" w:rsidP="00F30896">
      <w:pPr>
        <w:pStyle w:val="ListBullet"/>
      </w:pPr>
      <w:r w:rsidRPr="00C417B6">
        <w:t xml:space="preserve">There are no warning statements pertaining to </w:t>
      </w:r>
      <w:r>
        <w:t>mannitol</w:t>
      </w:r>
      <w:r w:rsidRPr="00C417B6">
        <w:t xml:space="preserve"> in the </w:t>
      </w:r>
      <w:hyperlink r:id="rId62" w:history="1">
        <w:r w:rsidRPr="00C417B6">
          <w:rPr>
            <w:rStyle w:val="Hyperlink"/>
          </w:rPr>
          <w:t>Therapeutic Goods (Medicines Advisory Statements) Specification 2021</w:t>
        </w:r>
      </w:hyperlink>
      <w:r>
        <w:rPr>
          <w:rStyle w:val="Hyperlink"/>
        </w:rPr>
        <w:t>.</w:t>
      </w:r>
    </w:p>
    <w:p w14:paraId="06953224" w14:textId="77777777" w:rsidR="00D83811" w:rsidRPr="00C417B6" w:rsidRDefault="00D83811" w:rsidP="00F30896">
      <w:pPr>
        <w:pStyle w:val="ListBullet"/>
      </w:pPr>
      <w:r w:rsidRPr="00C417B6">
        <w:t xml:space="preserve">As of </w:t>
      </w:r>
      <w:r>
        <w:t>29 August</w:t>
      </w:r>
      <w:r w:rsidRPr="00F4131D">
        <w:t xml:space="preserve"> 2025</w:t>
      </w:r>
      <w:r w:rsidRPr="00C417B6">
        <w:t>, there were</w:t>
      </w:r>
      <w:r>
        <w:t xml:space="preserve"> 47</w:t>
      </w:r>
      <w:r w:rsidRPr="00C417B6">
        <w:t xml:space="preserve"> reports of adverse events for products containing </w:t>
      </w:r>
      <w:r>
        <w:t>mannitol</w:t>
      </w:r>
      <w:r w:rsidRPr="00C417B6">
        <w:t xml:space="preserve"> as an active ingredient on the </w:t>
      </w:r>
      <w:hyperlink r:id="rId63" w:history="1">
        <w:r w:rsidRPr="00C417B6">
          <w:rPr>
            <w:rStyle w:val="Hyperlink"/>
          </w:rPr>
          <w:t>Database of Adverse Event Notifications (DAEN)</w:t>
        </w:r>
      </w:hyperlink>
      <w:r w:rsidRPr="00C417B6">
        <w:t>, with</w:t>
      </w:r>
      <w:r>
        <w:t xml:space="preserve"> 26 </w:t>
      </w:r>
      <w:r w:rsidRPr="00C417B6">
        <w:t>reports where</w:t>
      </w:r>
      <w:r>
        <w:t xml:space="preserve"> mannitol </w:t>
      </w:r>
      <w:r w:rsidRPr="00C417B6">
        <w:t>was the single suspected medicine. There were</w:t>
      </w:r>
      <w:r>
        <w:t xml:space="preserve"> 2</w:t>
      </w:r>
      <w:r w:rsidRPr="00C417B6">
        <w:t xml:space="preserve"> reports of deaths associated with </w:t>
      </w:r>
      <w:r>
        <w:t>mannitol</w:t>
      </w:r>
      <w:r w:rsidRPr="00C417B6">
        <w:t xml:space="preserve"> use</w:t>
      </w:r>
      <w:r>
        <w:t>.</w:t>
      </w:r>
    </w:p>
    <w:p w14:paraId="6549680F" w14:textId="3E10E3C2" w:rsidR="0057675F" w:rsidRDefault="00D83811" w:rsidP="00F30896">
      <w:pPr>
        <w:pStyle w:val="ListBullet"/>
      </w:pPr>
      <w:r w:rsidRPr="00A67561">
        <w:t>As of 12 September 2025</w:t>
      </w:r>
      <w:r w:rsidRPr="00C417B6">
        <w:t xml:space="preserve">, there were </w:t>
      </w:r>
      <w:r w:rsidRPr="00F4131D">
        <w:t>no</w:t>
      </w:r>
      <w:r w:rsidRPr="00C417B6">
        <w:t xml:space="preserve"> products containing </w:t>
      </w:r>
      <w:r>
        <w:t>mannitol</w:t>
      </w:r>
      <w:r w:rsidRPr="00C417B6">
        <w:t xml:space="preserve"> as an active ingredient/constituent or scheduled substance listed on the </w:t>
      </w:r>
      <w:hyperlink r:id="rId64" w:history="1">
        <w:r w:rsidRPr="00C417B6">
          <w:rPr>
            <w:rStyle w:val="Hyperlink"/>
          </w:rPr>
          <w:t>Public Chemical Registration Information System Search (PubCRIS)</w:t>
        </w:r>
      </w:hyperlink>
      <w:r w:rsidRPr="00C417B6">
        <w:t>.</w:t>
      </w:r>
    </w:p>
    <w:p w14:paraId="4135179C" w14:textId="6B47CEEF" w:rsidR="00F30896" w:rsidRPr="00F30896" w:rsidRDefault="00F30896" w:rsidP="00F30896">
      <w:pPr>
        <w:pStyle w:val="ListBullet"/>
      </w:pPr>
      <w:r>
        <w:t>Mannitol is</w:t>
      </w:r>
      <w:r w:rsidRPr="00F30896">
        <w:t xml:space="preserve"> </w:t>
      </w:r>
      <w:r>
        <w:t xml:space="preserve">listed </w:t>
      </w:r>
      <w:r w:rsidRPr="00F30896">
        <w:t xml:space="preserve">on </w:t>
      </w:r>
      <w:r w:rsidRPr="00194B17">
        <w:t>the</w:t>
      </w:r>
      <w:r>
        <w:t xml:space="preserve"> </w:t>
      </w:r>
      <w:hyperlink r:id="rId65" w:history="1">
        <w:r>
          <w:rPr>
            <w:rStyle w:val="Hyperlink"/>
          </w:rPr>
          <w:t>Australian Inventory of Industrial Chemicals</w:t>
        </w:r>
      </w:hyperlink>
      <w:r>
        <w:t>.</w:t>
      </w:r>
    </w:p>
    <w:p w14:paraId="3CA1324C" w14:textId="77777777" w:rsidR="00D83811" w:rsidRDefault="00D83811" w:rsidP="00D83811">
      <w:pPr>
        <w:pStyle w:val="Heading4"/>
      </w:pPr>
      <w:bookmarkStart w:id="73" w:name="_Toc206075739"/>
      <w:bookmarkStart w:id="74" w:name="_Toc209035958"/>
      <w:r w:rsidRPr="00C417B6">
        <w:t>International regulations</w:t>
      </w:r>
      <w:bookmarkEnd w:id="73"/>
      <w:bookmarkEnd w:id="74"/>
    </w:p>
    <w:p w14:paraId="0F135E9C" w14:textId="77777777" w:rsidR="00D83811" w:rsidRDefault="00D83811" w:rsidP="00F30896">
      <w:pPr>
        <w:pStyle w:val="ListBullet"/>
      </w:pPr>
      <w:r w:rsidRPr="7C05F361">
        <w:rPr>
          <w:rFonts w:eastAsia="Arial"/>
        </w:rPr>
        <w:t>According</w:t>
      </w:r>
      <w:r w:rsidRPr="0A2902DE">
        <w:rPr>
          <w:rFonts w:eastAsia="Arial"/>
        </w:rPr>
        <w:t xml:space="preserve"> to the </w:t>
      </w:r>
      <w:hyperlink r:id="rId66">
        <w:r w:rsidRPr="0A2902DE">
          <w:rPr>
            <w:rStyle w:val="Hyperlink"/>
            <w:rFonts w:eastAsia="Arial"/>
          </w:rPr>
          <w:t>United States Food and Drug Administration Approved Drug Products Database (Drugs@FDA)</w:t>
        </w:r>
      </w:hyperlink>
      <w:r>
        <w:t xml:space="preserve"> and the </w:t>
      </w:r>
      <w:hyperlink r:id="rId67" w:history="1">
        <w:r w:rsidRPr="00CF55F5">
          <w:rPr>
            <w:rStyle w:val="Hyperlink"/>
          </w:rPr>
          <w:t>The Orange Book: Approved Drug Products with Therapeutic Equivalence Evaluations</w:t>
        </w:r>
      </w:hyperlink>
      <w:r>
        <w:t>, there is one product currently listed in the US for irrigation. The database also includes three listings of mannitol for inhalation and 14 listings for injection.</w:t>
      </w:r>
    </w:p>
    <w:p w14:paraId="752147B5" w14:textId="77777777" w:rsidR="00D83811" w:rsidRDefault="00D83811" w:rsidP="00F30896">
      <w:pPr>
        <w:pStyle w:val="ListBullet"/>
      </w:pPr>
      <w:r w:rsidRPr="00CF55F5">
        <w:t xml:space="preserve">The </w:t>
      </w:r>
      <w:hyperlink r:id="rId68" w:history="1">
        <w:r w:rsidRPr="00CF55F5">
          <w:rPr>
            <w:rStyle w:val="Hyperlink"/>
          </w:rPr>
          <w:t>Health Canada Drug Product Database</w:t>
        </w:r>
      </w:hyperlink>
      <w:r>
        <w:t xml:space="preserve"> </w:t>
      </w:r>
      <w:r w:rsidRPr="00CF55F5">
        <w:t>includes</w:t>
      </w:r>
      <w:r>
        <w:t xml:space="preserve"> six listings of mannitol for injection but none for irrigation. </w:t>
      </w:r>
    </w:p>
    <w:p w14:paraId="18C8DE12" w14:textId="77777777" w:rsidR="00D83811" w:rsidRDefault="00D83811" w:rsidP="00F30896">
      <w:pPr>
        <w:pStyle w:val="ListBullet"/>
      </w:pPr>
      <w:r>
        <w:t xml:space="preserve">The </w:t>
      </w:r>
      <w:hyperlink r:id="rId69" w:history="1">
        <w:r w:rsidRPr="00CF55F5">
          <w:rPr>
            <w:rStyle w:val="Hyperlink"/>
          </w:rPr>
          <w:t>European Commission database for information on cosmetic substances and ingredients database</w:t>
        </w:r>
      </w:hyperlink>
      <w:r>
        <w:t xml:space="preserve"> contains one listing for mannitol.</w:t>
      </w:r>
    </w:p>
    <w:p w14:paraId="6CFC20FE" w14:textId="4C504B01" w:rsidR="00D83811" w:rsidRDefault="005D359B" w:rsidP="00F30896">
      <w:pPr>
        <w:pStyle w:val="ListBullet"/>
      </w:pPr>
      <w:r>
        <w:t>The</w:t>
      </w:r>
      <w:r w:rsidR="00D83811">
        <w:t xml:space="preserve"> </w:t>
      </w:r>
      <w:hyperlink r:id="rId70" w:history="1">
        <w:r w:rsidR="00D83811" w:rsidRPr="00D65B65">
          <w:rPr>
            <w:rStyle w:val="Hyperlink"/>
          </w:rPr>
          <w:t>European Chemicals Agency (ECHA)</w:t>
        </w:r>
      </w:hyperlink>
      <w:r w:rsidR="00D83811" w:rsidRPr="00D65B65">
        <w:t xml:space="preserve"> </w:t>
      </w:r>
      <w:r w:rsidR="00D83811">
        <w:t>database search did not identify any hazard from mannitol based on</w:t>
      </w:r>
      <w:r w:rsidR="00D83811" w:rsidRPr="004839F6">
        <w:t xml:space="preserve"> </w:t>
      </w:r>
      <w:r w:rsidR="00D83811">
        <w:t>the</w:t>
      </w:r>
      <w:r w:rsidR="00D83811" w:rsidRPr="004839F6">
        <w:t xml:space="preserve"> notifications provided by companies to ECHA</w:t>
      </w:r>
      <w:r w:rsidR="00D83811">
        <w:t>.</w:t>
      </w:r>
    </w:p>
    <w:p w14:paraId="4B18B39C" w14:textId="5CC51CF2" w:rsidR="00D83811" w:rsidRPr="00CF55F5" w:rsidRDefault="00D83811" w:rsidP="00F30896">
      <w:pPr>
        <w:pStyle w:val="ListBullet"/>
      </w:pPr>
      <w:r w:rsidRPr="00CF55F5">
        <w:t xml:space="preserve">The </w:t>
      </w:r>
      <w:hyperlink r:id="rId71" w:history="1">
        <w:r w:rsidRPr="009C3C0E">
          <w:rPr>
            <w:rStyle w:val="Hyperlink"/>
          </w:rPr>
          <w:t>New Zealand Medsafe Medicines Classification Database</w:t>
        </w:r>
      </w:hyperlink>
      <w:r w:rsidRPr="00CF55F5">
        <w:t xml:space="preserve"> </w:t>
      </w:r>
      <w:r>
        <w:t>contains no listings for mannitol.</w:t>
      </w:r>
    </w:p>
    <w:p w14:paraId="534DC099" w14:textId="3238CFC7" w:rsidR="002E147C" w:rsidRDefault="002E147C" w:rsidP="002E147C">
      <w:pPr>
        <w:pStyle w:val="Heading3"/>
      </w:pPr>
      <w:bookmarkStart w:id="75" w:name="_Toc209035959"/>
      <w:r>
        <w:t>1.4 Efepoetin</w:t>
      </w:r>
      <w:bookmarkEnd w:id="75"/>
    </w:p>
    <w:p w14:paraId="792ACE4F" w14:textId="77777777" w:rsidR="00C9153C" w:rsidRPr="00C417B6" w:rsidRDefault="00C9153C" w:rsidP="00C9153C">
      <w:pPr>
        <w:pStyle w:val="Heading4"/>
      </w:pPr>
      <w:bookmarkStart w:id="76" w:name="_Toc209035960"/>
      <w:r w:rsidRPr="00C417B6">
        <w:t>Proposal</w:t>
      </w:r>
      <w:bookmarkEnd w:id="76"/>
    </w:p>
    <w:p w14:paraId="7A39AE8C" w14:textId="5A5C7C4D" w:rsidR="00C9153C" w:rsidRPr="00C9153C" w:rsidRDefault="00C9153C" w:rsidP="008478D0">
      <w:pPr>
        <w:pStyle w:val="StyleHeading410ptAuto"/>
      </w:pPr>
      <w:r w:rsidRPr="00C9153C">
        <w:t>The Department of Health, Disability and Ageing has proposed creating Schedule 4 and Appendix</w:t>
      </w:r>
      <w:r w:rsidR="005D359B">
        <w:t> </w:t>
      </w:r>
      <w:r w:rsidRPr="00C9153C">
        <w:t>D, clause 5 (Poisons for which possession without authority is illegal) entries for efepoetin alfa. The substance is not currently captured in the Poisons Standard.</w:t>
      </w:r>
    </w:p>
    <w:p w14:paraId="11EA28D3" w14:textId="135E5AD7" w:rsidR="00C9153C" w:rsidRPr="00C417B6" w:rsidRDefault="00C9153C" w:rsidP="00C9153C">
      <w:pPr>
        <w:pStyle w:val="Heading4"/>
      </w:pPr>
      <w:bookmarkStart w:id="77" w:name="_Toc209035961"/>
      <w:r w:rsidRPr="00C417B6">
        <w:t>CAS number</w:t>
      </w:r>
      <w:bookmarkEnd w:id="77"/>
    </w:p>
    <w:p w14:paraId="5F2CD2C9" w14:textId="77777777" w:rsidR="00C9153C" w:rsidRPr="00C417B6" w:rsidRDefault="00C9153C" w:rsidP="00C9153C">
      <w:r>
        <w:t>Efepoetin alfa: 1905452-78-9</w:t>
      </w:r>
    </w:p>
    <w:p w14:paraId="559F4255" w14:textId="77777777" w:rsidR="00C9153C" w:rsidRPr="00C417B6" w:rsidRDefault="00C9153C" w:rsidP="00C9153C">
      <w:pPr>
        <w:pStyle w:val="Heading4"/>
      </w:pPr>
      <w:bookmarkStart w:id="78" w:name="_Toc209035962"/>
      <w:r>
        <w:lastRenderedPageBreak/>
        <w:t>Proposed Scheduling</w:t>
      </w:r>
      <w:bookmarkEnd w:id="78"/>
    </w:p>
    <w:p w14:paraId="59C0A47F" w14:textId="480FAB4B" w:rsidR="00C9153C" w:rsidRDefault="00C9153C" w:rsidP="00C9153C">
      <w:r>
        <w:t xml:space="preserve">The proposal is to create </w:t>
      </w:r>
      <w:r w:rsidR="005D359B">
        <w:t>an entry</w:t>
      </w:r>
      <w:r>
        <w:t xml:space="preserve"> for efepoetin</w:t>
      </w:r>
      <w:r w:rsidR="00384359">
        <w:t xml:space="preserve"> alfa</w:t>
      </w:r>
      <w:r>
        <w:t xml:space="preserve"> as follows:</w:t>
      </w:r>
      <w:r w:rsidRPr="6F81EA6D">
        <w:rPr>
          <w:vertAlign w:val="superscript"/>
        </w:rPr>
        <w:footnoteReference w:id="8"/>
      </w:r>
    </w:p>
    <w:p w14:paraId="4E73925F" w14:textId="77777777" w:rsidR="00C9153C" w:rsidRPr="00E438EB" w:rsidRDefault="00C9153C" w:rsidP="00C9153C">
      <w:pPr>
        <w:ind w:left="426"/>
        <w:rPr>
          <w:b/>
          <w:bCs/>
        </w:rPr>
      </w:pPr>
      <w:r w:rsidRPr="00E438EB">
        <w:rPr>
          <w:b/>
          <w:bCs/>
        </w:rPr>
        <w:t>Schedule 4 – New entry</w:t>
      </w:r>
    </w:p>
    <w:p w14:paraId="42C3387A" w14:textId="77777777" w:rsidR="00C9153C" w:rsidRDefault="00C9153C" w:rsidP="00C9153C">
      <w:pPr>
        <w:ind w:left="709"/>
      </w:pPr>
      <w:r w:rsidRPr="6F81EA6D">
        <w:rPr>
          <w:color w:val="00B050"/>
        </w:rPr>
        <w:t>Efepoetin alfa</w:t>
      </w:r>
    </w:p>
    <w:p w14:paraId="565A84B9" w14:textId="77777777" w:rsidR="00C9153C" w:rsidRDefault="00C9153C" w:rsidP="00C9153C">
      <w:pPr>
        <w:ind w:left="426"/>
        <w:rPr>
          <w:b/>
          <w:bCs/>
        </w:rPr>
      </w:pPr>
      <w:r w:rsidRPr="00E438EB">
        <w:rPr>
          <w:b/>
          <w:bCs/>
        </w:rPr>
        <w:t>Appendix D, Clause 5</w:t>
      </w:r>
      <w:r>
        <w:rPr>
          <w:b/>
          <w:bCs/>
        </w:rPr>
        <w:t xml:space="preserve"> </w:t>
      </w:r>
      <w:r>
        <w:rPr>
          <w:rFonts w:cs="Arial"/>
          <w:b/>
          <w:bCs/>
        </w:rPr>
        <w:t>–</w:t>
      </w:r>
      <w:r>
        <w:rPr>
          <w:b/>
          <w:bCs/>
        </w:rPr>
        <w:t xml:space="preserve"> </w:t>
      </w:r>
      <w:r w:rsidRPr="002214D9">
        <w:rPr>
          <w:b/>
          <w:bCs/>
        </w:rPr>
        <w:t>Additional controls on possession or supply of poisons included in Schedule 4 or 8</w:t>
      </w:r>
      <w:r>
        <w:rPr>
          <w:b/>
          <w:bCs/>
        </w:rPr>
        <w:t xml:space="preserve"> – New entry</w:t>
      </w:r>
    </w:p>
    <w:tbl>
      <w:tblPr>
        <w:tblStyle w:val="TableGrid"/>
        <w:tblW w:w="8222" w:type="dxa"/>
        <w:jc w:val="center"/>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851"/>
        <w:gridCol w:w="7371"/>
      </w:tblGrid>
      <w:tr w:rsidR="00C9153C" w:rsidRPr="00BD4290" w14:paraId="2234D2FE" w14:textId="77777777" w:rsidTr="008F121F">
        <w:trPr>
          <w:tblHeader/>
          <w:jc w:val="center"/>
        </w:trPr>
        <w:tc>
          <w:tcPr>
            <w:tcW w:w="851" w:type="dxa"/>
            <w:tcBorders>
              <w:top w:val="single" w:sz="18" w:space="0" w:color="auto"/>
              <w:bottom w:val="single" w:sz="12" w:space="0" w:color="auto"/>
            </w:tcBorders>
            <w:shd w:val="clear" w:color="auto" w:fill="auto"/>
          </w:tcPr>
          <w:p w14:paraId="69A29654" w14:textId="77777777" w:rsidR="00C9153C" w:rsidRPr="00BD4290" w:rsidRDefault="00C9153C" w:rsidP="008F121F">
            <w:pPr>
              <w:rPr>
                <w:rFonts w:cs="Arial"/>
                <w:b/>
                <w:bCs/>
                <w:sz w:val="20"/>
                <w:szCs w:val="20"/>
              </w:rPr>
            </w:pPr>
            <w:r w:rsidRPr="00BD4290">
              <w:rPr>
                <w:rFonts w:cs="Arial"/>
                <w:b/>
                <w:bCs/>
                <w:sz w:val="20"/>
                <w:szCs w:val="20"/>
              </w:rPr>
              <w:t>Item</w:t>
            </w:r>
          </w:p>
        </w:tc>
        <w:tc>
          <w:tcPr>
            <w:tcW w:w="7371" w:type="dxa"/>
            <w:tcBorders>
              <w:top w:val="single" w:sz="18" w:space="0" w:color="auto"/>
              <w:bottom w:val="single" w:sz="12" w:space="0" w:color="auto"/>
            </w:tcBorders>
            <w:shd w:val="clear" w:color="auto" w:fill="auto"/>
          </w:tcPr>
          <w:p w14:paraId="1D6E0EA7" w14:textId="77777777" w:rsidR="00C9153C" w:rsidRPr="00BD4290" w:rsidRDefault="00C9153C" w:rsidP="008F121F">
            <w:pPr>
              <w:rPr>
                <w:rFonts w:cs="Arial"/>
                <w:b/>
                <w:bCs/>
                <w:sz w:val="20"/>
                <w:szCs w:val="20"/>
              </w:rPr>
            </w:pPr>
            <w:r w:rsidRPr="00BD4290">
              <w:rPr>
                <w:rFonts w:cs="Arial"/>
                <w:b/>
                <w:bCs/>
                <w:sz w:val="20"/>
                <w:szCs w:val="20"/>
              </w:rPr>
              <w:t>Poison</w:t>
            </w:r>
          </w:p>
        </w:tc>
      </w:tr>
      <w:tr w:rsidR="00C9153C" w:rsidRPr="00BD4290" w14:paraId="0BA51C08" w14:textId="77777777" w:rsidTr="008F121F">
        <w:trPr>
          <w:jc w:val="center"/>
        </w:trPr>
        <w:tc>
          <w:tcPr>
            <w:tcW w:w="851" w:type="dxa"/>
            <w:tcBorders>
              <w:top w:val="single" w:sz="12" w:space="0" w:color="auto"/>
              <w:bottom w:val="single" w:sz="18" w:space="0" w:color="auto"/>
            </w:tcBorders>
            <w:shd w:val="clear" w:color="auto" w:fill="auto"/>
          </w:tcPr>
          <w:p w14:paraId="5F8F2832" w14:textId="77777777" w:rsidR="00C9153C" w:rsidRPr="001A0450" w:rsidRDefault="00C9153C" w:rsidP="008F121F">
            <w:pPr>
              <w:rPr>
                <w:rFonts w:cs="Arial"/>
                <w:color w:val="00B050"/>
                <w:sz w:val="20"/>
                <w:szCs w:val="20"/>
              </w:rPr>
            </w:pPr>
            <w:r w:rsidRPr="6F81EA6D">
              <w:rPr>
                <w:rFonts w:cs="Arial"/>
                <w:color w:val="00B050"/>
                <w:sz w:val="20"/>
                <w:szCs w:val="20"/>
              </w:rPr>
              <w:t>11</w:t>
            </w:r>
          </w:p>
        </w:tc>
        <w:tc>
          <w:tcPr>
            <w:tcW w:w="7371" w:type="dxa"/>
            <w:tcBorders>
              <w:top w:val="single" w:sz="12" w:space="0" w:color="auto"/>
              <w:bottom w:val="single" w:sz="18" w:space="0" w:color="auto"/>
            </w:tcBorders>
            <w:shd w:val="clear" w:color="auto" w:fill="auto"/>
          </w:tcPr>
          <w:p w14:paraId="120602C6" w14:textId="77777777" w:rsidR="00C9153C" w:rsidRPr="001A0450" w:rsidRDefault="00C9153C" w:rsidP="008F121F">
            <w:pPr>
              <w:rPr>
                <w:rFonts w:cs="Arial"/>
                <w:color w:val="00B050"/>
                <w:sz w:val="20"/>
                <w:szCs w:val="20"/>
              </w:rPr>
            </w:pPr>
            <w:r w:rsidRPr="6F81EA6D">
              <w:rPr>
                <w:rFonts w:cs="Arial"/>
                <w:color w:val="00B050"/>
                <w:sz w:val="20"/>
                <w:szCs w:val="20"/>
              </w:rPr>
              <w:t>Efepoetin alfa</w:t>
            </w:r>
          </w:p>
        </w:tc>
      </w:tr>
    </w:tbl>
    <w:p w14:paraId="583117ED" w14:textId="77777777" w:rsidR="00C9153C" w:rsidRPr="00C417B6" w:rsidRDefault="00C9153C" w:rsidP="00C9153C">
      <w:pPr>
        <w:pStyle w:val="Heading4"/>
      </w:pPr>
      <w:bookmarkStart w:id="79" w:name="_Toc209035963"/>
      <w:r w:rsidRPr="00C417B6">
        <w:t>Background</w:t>
      </w:r>
      <w:bookmarkEnd w:id="79"/>
    </w:p>
    <w:p w14:paraId="6E6FC1B3" w14:textId="599AF2DE" w:rsidR="00C9153C" w:rsidRPr="004D0DD7" w:rsidRDefault="00C9153C" w:rsidP="00C9153C">
      <w:r w:rsidRPr="00FD2194">
        <w:t>Efepoetin alfa is a long-acting recombinant form of</w:t>
      </w:r>
      <w:r>
        <w:t xml:space="preserve"> human</w:t>
      </w:r>
      <w:r w:rsidRPr="00FD2194">
        <w:t xml:space="preserve"> erythropoietin </w:t>
      </w:r>
      <w:r>
        <w:t>that</w:t>
      </w:r>
      <w:r w:rsidRPr="00FD2194">
        <w:t xml:space="preserve"> act</w:t>
      </w:r>
      <w:r>
        <w:t>s</w:t>
      </w:r>
      <w:r w:rsidRPr="00FD2194">
        <w:t xml:space="preserve"> as an erythropoiesis-stimulating agent</w:t>
      </w:r>
      <w:r>
        <w:t xml:space="preserve"> intended</w:t>
      </w:r>
      <w:r w:rsidRPr="00FD2194">
        <w:t xml:space="preserve"> to treat anaemia in patients with chronic kidney disease</w:t>
      </w:r>
      <w:r>
        <w:t>s</w:t>
      </w:r>
      <w:r w:rsidRPr="00FD2194">
        <w:t xml:space="preserve">. </w:t>
      </w:r>
      <w:r>
        <w:t xml:space="preserve">It is </w:t>
      </w:r>
      <w:r w:rsidRPr="00E009CA">
        <w:t xml:space="preserve">a fusion protein consisting of a homodimeric </w:t>
      </w:r>
      <w:r w:rsidRPr="00FD2194">
        <w:t>erythropoietin</w:t>
      </w:r>
      <w:r w:rsidRPr="00E009CA">
        <w:t xml:space="preserve"> fused to </w:t>
      </w:r>
      <w:r>
        <w:t xml:space="preserve">a hybrid Fc domain derived from </w:t>
      </w:r>
      <w:r w:rsidRPr="00E009CA">
        <w:t xml:space="preserve">immunoglobulin </w:t>
      </w:r>
      <w:r>
        <w:t>D and G4.</w:t>
      </w:r>
      <w:r>
        <w:rPr>
          <w:rStyle w:val="FootnoteReference"/>
        </w:rPr>
        <w:footnoteReference w:id="9"/>
      </w:r>
      <w:r>
        <w:t xml:space="preserve"> The hybrid Fc domain binds to the Fc receptor but lacks </w:t>
      </w:r>
      <w:r w:rsidRPr="0031179A">
        <w:t xml:space="preserve">complement activation </w:t>
      </w:r>
      <w:r>
        <w:t xml:space="preserve">ability leading to lower cytotoxicity and better safety. </w:t>
      </w:r>
      <w:r w:rsidRPr="0086539E">
        <w:t>The hy</w:t>
      </w:r>
      <w:r>
        <w:t xml:space="preserve">brid </w:t>
      </w:r>
      <w:r w:rsidRPr="0086539E">
        <w:t xml:space="preserve">Fc region </w:t>
      </w:r>
      <w:r>
        <w:t xml:space="preserve">also </w:t>
      </w:r>
      <w:r w:rsidRPr="0086539E">
        <w:t xml:space="preserve">helps </w:t>
      </w:r>
      <w:r w:rsidRPr="00FD2194">
        <w:t>erythropoietin</w:t>
      </w:r>
      <w:r w:rsidRPr="0086539E">
        <w:t xml:space="preserve"> </w:t>
      </w:r>
      <w:r>
        <w:t xml:space="preserve">to </w:t>
      </w:r>
      <w:r w:rsidRPr="0086539E">
        <w:t>remain in the body</w:t>
      </w:r>
      <w:r>
        <w:t xml:space="preserve"> </w:t>
      </w:r>
      <w:r w:rsidRPr="0086539E">
        <w:t>longer through Fc</w:t>
      </w:r>
      <w:r>
        <w:t xml:space="preserve"> receptor</w:t>
      </w:r>
      <w:r w:rsidRPr="0086539E">
        <w:t xml:space="preserve"> recycling</w:t>
      </w:r>
      <w:r>
        <w:t>.</w:t>
      </w:r>
    </w:p>
    <w:p w14:paraId="5066F1BA" w14:textId="25CF9BB6" w:rsidR="00C9153C" w:rsidRPr="00C417B6" w:rsidRDefault="00C9153C" w:rsidP="00C9153C">
      <w:pPr>
        <w:pStyle w:val="Heading4"/>
      </w:pPr>
      <w:bookmarkStart w:id="80" w:name="_Toc209035964"/>
      <w:r w:rsidRPr="00C417B6">
        <w:t>Summary of reasons for the proposal</w:t>
      </w:r>
      <w:bookmarkEnd w:id="80"/>
    </w:p>
    <w:p w14:paraId="18545699" w14:textId="77777777" w:rsidR="00C9153C" w:rsidRPr="00420697" w:rsidRDefault="00C9153C" w:rsidP="00A77369">
      <w:r>
        <w:t xml:space="preserve">Efepoetin alfa is a new chemical entity with limited experience of use of the substance under normal </w:t>
      </w:r>
      <w:r w:rsidRPr="00420697">
        <w:t>clinical conditions. Additionally,</w:t>
      </w:r>
      <w:r>
        <w:t xml:space="preserve"> treatment</w:t>
      </w:r>
      <w:r w:rsidRPr="00420697">
        <w:t xml:space="preserve"> </w:t>
      </w:r>
      <w:r>
        <w:t xml:space="preserve">of </w:t>
      </w:r>
      <w:r w:rsidRPr="00420697">
        <w:t>anaemia in chronic kidney disease</w:t>
      </w:r>
      <w:r>
        <w:t xml:space="preserve"> patients</w:t>
      </w:r>
      <w:r w:rsidRPr="00420697">
        <w:t xml:space="preserve"> requires medical diagnosis and on-going clinical management by a kidney specialist (nephrologist).</w:t>
      </w:r>
    </w:p>
    <w:p w14:paraId="768ADFE1" w14:textId="4988ED8D" w:rsidR="00C9153C" w:rsidRDefault="00C9153C" w:rsidP="00A77369">
      <w:r>
        <w:t>Efepoetin alfa shares a similar risk profile to other s</w:t>
      </w:r>
      <w:r w:rsidRPr="00522A7C">
        <w:t>ynthetic erythropoetins such as epoetins (alfa, beta, and lambda) and darbepoetin alfa</w:t>
      </w:r>
      <w:r>
        <w:t xml:space="preserve"> that</w:t>
      </w:r>
      <w:r w:rsidRPr="00522A7C">
        <w:t xml:space="preserve"> are already available</w:t>
      </w:r>
      <w:r>
        <w:t xml:space="preserve"> for the same indication. </w:t>
      </w:r>
      <w:r w:rsidR="005D359B" w:rsidRPr="005D359B">
        <w:t xml:space="preserve">The proposal would align the scheduling of efepoetin alfa, a recombinant form of human </w:t>
      </w:r>
      <w:r w:rsidR="005D359B" w:rsidRPr="00A77369">
        <w:t>erythropoietin, with other erythropoetins.</w:t>
      </w:r>
    </w:p>
    <w:p w14:paraId="48BBB2B3" w14:textId="28133C43" w:rsidR="00C9153C" w:rsidRPr="00A77369" w:rsidRDefault="00A77369" w:rsidP="00A77369">
      <w:r w:rsidRPr="00A77369">
        <w:t>Erythropoetins</w:t>
      </w:r>
      <w:r>
        <w:t xml:space="preserve"> have historically been subject to misuse and abuse among certain communities, particularly athletes, and are banned by the </w:t>
      </w:r>
      <w:hyperlink r:id="rId72" w:history="1">
        <w:r w:rsidRPr="00A77369">
          <w:t>World Anti-Doping Agency</w:t>
        </w:r>
      </w:hyperlink>
      <w:r>
        <w:t xml:space="preserve"> (WADA). Additional access restrictions would reduce the risk of misuse and abuse of efepoetin alfa and align the scheduling with that of other erythropoetins.</w:t>
      </w:r>
    </w:p>
    <w:p w14:paraId="63C34F86" w14:textId="0378F099" w:rsidR="00C9153C" w:rsidRPr="00C417B6" w:rsidRDefault="00C9153C" w:rsidP="00C9153C">
      <w:pPr>
        <w:pStyle w:val="Heading4"/>
      </w:pPr>
      <w:bookmarkStart w:id="81" w:name="_Toc209035965"/>
      <w:r w:rsidRPr="00C417B6">
        <w:t>Key uses/expected use</w:t>
      </w:r>
      <w:bookmarkEnd w:id="81"/>
    </w:p>
    <w:p w14:paraId="56CEA0FE" w14:textId="77777777" w:rsidR="00C9153C" w:rsidRPr="00C417B6" w:rsidRDefault="00C9153C" w:rsidP="00C9153C">
      <w:r>
        <w:t>E</w:t>
      </w:r>
      <w:r w:rsidRPr="00FD2194">
        <w:t xml:space="preserve">fepoetin alfa </w:t>
      </w:r>
      <w:r>
        <w:t>will</w:t>
      </w:r>
      <w:r w:rsidRPr="00FD2194">
        <w:t xml:space="preserve"> be available in prefilled syringes for</w:t>
      </w:r>
      <w:r>
        <w:t xml:space="preserve"> subcutaneous</w:t>
      </w:r>
      <w:r w:rsidRPr="00FD2194">
        <w:t xml:space="preserve"> injection</w:t>
      </w:r>
      <w:r>
        <w:t xml:space="preserve"> for the treatment of anaemia in chronic kidney disease patients</w:t>
      </w:r>
      <w:r w:rsidRPr="00FD2194">
        <w:t>.</w:t>
      </w:r>
    </w:p>
    <w:p w14:paraId="50031DE5" w14:textId="77777777" w:rsidR="00C9153C" w:rsidRPr="00C417B6" w:rsidRDefault="00C9153C" w:rsidP="00C9153C">
      <w:pPr>
        <w:pStyle w:val="Heading4"/>
      </w:pPr>
      <w:bookmarkStart w:id="82" w:name="_Toc209035966"/>
      <w:r w:rsidRPr="00C417B6">
        <w:t>Australian regulations</w:t>
      </w:r>
      <w:bookmarkEnd w:id="82"/>
    </w:p>
    <w:p w14:paraId="229EAA11" w14:textId="029AB662" w:rsidR="00C9153C" w:rsidRPr="003537F2" w:rsidRDefault="00C9153C" w:rsidP="00F30896">
      <w:pPr>
        <w:pStyle w:val="ListBullet"/>
      </w:pPr>
      <w:r w:rsidRPr="00C417B6">
        <w:t xml:space="preserve">According to the </w:t>
      </w:r>
      <w:hyperlink r:id="rId73" w:history="1">
        <w:r w:rsidRPr="00C417B6">
          <w:rPr>
            <w:rStyle w:val="Hyperlink"/>
          </w:rPr>
          <w:t>TGA Ingredient Database</w:t>
        </w:r>
      </w:hyperlink>
      <w:r w:rsidRPr="00C417B6">
        <w:t xml:space="preserve">, </w:t>
      </w:r>
      <w:r>
        <w:t>efepo</w:t>
      </w:r>
      <w:r w:rsidR="00D774BA">
        <w:t>e</w:t>
      </w:r>
      <w:r>
        <w:t>tin alfa</w:t>
      </w:r>
      <w:r w:rsidRPr="00C417B6">
        <w:t xml:space="preserve"> is</w:t>
      </w:r>
      <w:r>
        <w:t xml:space="preserve"> </w:t>
      </w:r>
      <w:r w:rsidRPr="00C417B6">
        <w:t xml:space="preserve">available for use as an active ingredient </w:t>
      </w:r>
      <w:r w:rsidRPr="003537F2">
        <w:t>in Prescription Medicines. It is not available for use as an excipient or an equivalent ingredient in any application.</w:t>
      </w:r>
      <w:r>
        <w:t xml:space="preserve"> Erythropoietin is available as an active or excipient ingredient in biologicals and prescription medicines. </w:t>
      </w:r>
      <w:r w:rsidR="00D774BA">
        <w:t>Epoetin</w:t>
      </w:r>
      <w:r>
        <w:t xml:space="preserve"> and darbepoetin alfa are available as an active or excipient ingredient in biologicals, prescription and export-only medicines.</w:t>
      </w:r>
    </w:p>
    <w:p w14:paraId="3BEF19C7" w14:textId="28640EA2" w:rsidR="00C9153C" w:rsidRPr="003537F2" w:rsidRDefault="00C9153C" w:rsidP="00F30896">
      <w:pPr>
        <w:pStyle w:val="ListBullet"/>
      </w:pPr>
      <w:r w:rsidRPr="003537F2">
        <w:lastRenderedPageBreak/>
        <w:t xml:space="preserve">As of 12 September 2025, there were no medicines currently active on the </w:t>
      </w:r>
      <w:hyperlink r:id="rId74" w:history="1">
        <w:r w:rsidRPr="003537F2">
          <w:rPr>
            <w:rStyle w:val="Hyperlink"/>
          </w:rPr>
          <w:t>Australian Register of Therapeutic Goods (ARTG)</w:t>
        </w:r>
      </w:hyperlink>
      <w:r w:rsidRPr="003537F2">
        <w:t xml:space="preserve"> that contain efepoetin alfa</w:t>
      </w:r>
      <w:r>
        <w:t xml:space="preserve"> or erythropoietin</w:t>
      </w:r>
      <w:r w:rsidRPr="003537F2">
        <w:t xml:space="preserve"> as an active ingredient.</w:t>
      </w:r>
      <w:r>
        <w:t xml:space="preserve"> There are 36 medicines currently active containing epoetins as an active ingredient.</w:t>
      </w:r>
    </w:p>
    <w:p w14:paraId="5EBCCBB2" w14:textId="21922A7B" w:rsidR="00C9153C" w:rsidRPr="003537F2" w:rsidRDefault="00C9153C" w:rsidP="00F30896">
      <w:pPr>
        <w:pStyle w:val="ListBullet"/>
      </w:pPr>
      <w:r>
        <w:t>None of e</w:t>
      </w:r>
      <w:r w:rsidRPr="003537F2">
        <w:t>fepoetin alfa</w:t>
      </w:r>
      <w:r>
        <w:t xml:space="preserve">, </w:t>
      </w:r>
      <w:r w:rsidRPr="007A468A">
        <w:t>erythropoietin</w:t>
      </w:r>
      <w:r>
        <w:t xml:space="preserve"> or epoetins</w:t>
      </w:r>
      <w:r w:rsidRPr="003537F2">
        <w:t xml:space="preserve"> </w:t>
      </w:r>
      <w:r>
        <w:t>are</w:t>
      </w:r>
      <w:r w:rsidRPr="003537F2">
        <w:t xml:space="preserve"> permitted to be included in listed medicines as not included in the </w:t>
      </w:r>
      <w:hyperlink r:id="rId75" w:history="1">
        <w:r w:rsidRPr="003537F2">
          <w:rPr>
            <w:rStyle w:val="Hyperlink"/>
          </w:rPr>
          <w:t>Therapeutic Goods (Permissible Ingredients) Determination</w:t>
        </w:r>
      </w:hyperlink>
      <w:r w:rsidRPr="003537F2">
        <w:t xml:space="preserve"> No. 2 of 2025</w:t>
      </w:r>
      <w:r w:rsidR="00384359">
        <w:t>.</w:t>
      </w:r>
    </w:p>
    <w:p w14:paraId="0BDF54CB" w14:textId="163AC40E" w:rsidR="00C9153C" w:rsidRPr="003537F2" w:rsidRDefault="00C9153C" w:rsidP="00F30896">
      <w:pPr>
        <w:pStyle w:val="ListBullet"/>
      </w:pPr>
      <w:r w:rsidRPr="003537F2">
        <w:t xml:space="preserve">The </w:t>
      </w:r>
      <w:hyperlink r:id="rId76" w:history="1">
        <w:r w:rsidRPr="003537F2">
          <w:rPr>
            <w:rStyle w:val="Hyperlink"/>
          </w:rPr>
          <w:t>TGA prescribing medicines in pregnancy database</w:t>
        </w:r>
      </w:hyperlink>
      <w:r w:rsidRPr="003537F2">
        <w:t xml:space="preserve"> does not include efep</w:t>
      </w:r>
      <w:r w:rsidR="00985B8A">
        <w:t>oe</w:t>
      </w:r>
      <w:r w:rsidRPr="003537F2">
        <w:t>tin alfa.</w:t>
      </w:r>
      <w:r>
        <w:t xml:space="preserve"> E</w:t>
      </w:r>
      <w:r w:rsidRPr="00D17FCE">
        <w:t>rythropoietin</w:t>
      </w:r>
      <w:r>
        <w:t xml:space="preserve"> and epoetins are classified as:</w:t>
      </w:r>
    </w:p>
    <w:tbl>
      <w:tblPr>
        <w:tblStyle w:val="TableTGAblue2023"/>
        <w:tblW w:w="9067" w:type="dxa"/>
        <w:tblLayout w:type="fixed"/>
        <w:tblLook w:val="04A0" w:firstRow="1" w:lastRow="0" w:firstColumn="1" w:lastColumn="0" w:noHBand="0" w:noVBand="1"/>
      </w:tblPr>
      <w:tblGrid>
        <w:gridCol w:w="1980"/>
        <w:gridCol w:w="1701"/>
        <w:gridCol w:w="1795"/>
        <w:gridCol w:w="1795"/>
        <w:gridCol w:w="1796"/>
      </w:tblGrid>
      <w:tr w:rsidR="00F213FB" w14:paraId="39AAA14C" w14:textId="77777777" w:rsidTr="008F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1C49D28" w14:textId="77777777" w:rsidR="00C9153C" w:rsidRDefault="00C9153C" w:rsidP="008F121F">
            <w:r>
              <w:t>Drug name</w:t>
            </w:r>
          </w:p>
        </w:tc>
        <w:tc>
          <w:tcPr>
            <w:tcW w:w="1701" w:type="dxa"/>
          </w:tcPr>
          <w:p w14:paraId="3ECDBDDB" w14:textId="77777777" w:rsidR="00C9153C" w:rsidRDefault="00C9153C" w:rsidP="008F121F">
            <w:pPr>
              <w:cnfStyle w:val="100000000000" w:firstRow="1" w:lastRow="0" w:firstColumn="0" w:lastColumn="0" w:oddVBand="0" w:evenVBand="0" w:oddHBand="0" w:evenHBand="0" w:firstRowFirstColumn="0" w:firstRowLastColumn="0" w:lastRowFirstColumn="0" w:lastRowLastColumn="0"/>
            </w:pPr>
            <w:r w:rsidRPr="00C417B6">
              <w:t>Category</w:t>
            </w:r>
          </w:p>
        </w:tc>
        <w:tc>
          <w:tcPr>
            <w:tcW w:w="1795" w:type="dxa"/>
          </w:tcPr>
          <w:p w14:paraId="75F9487B" w14:textId="77777777" w:rsidR="00C9153C" w:rsidRDefault="00C9153C" w:rsidP="008F121F">
            <w:pPr>
              <w:cnfStyle w:val="100000000000" w:firstRow="1" w:lastRow="0" w:firstColumn="0" w:lastColumn="0" w:oddVBand="0" w:evenVBand="0" w:oddHBand="0" w:evenHBand="0" w:firstRowFirstColumn="0" w:firstRowLastColumn="0" w:lastRowFirstColumn="0" w:lastRowLastColumn="0"/>
            </w:pPr>
            <w:r w:rsidRPr="00C417B6">
              <w:t>Classification Level 1</w:t>
            </w:r>
          </w:p>
        </w:tc>
        <w:tc>
          <w:tcPr>
            <w:tcW w:w="1795" w:type="dxa"/>
          </w:tcPr>
          <w:p w14:paraId="775E9349" w14:textId="77777777" w:rsidR="00C9153C" w:rsidRDefault="00C9153C" w:rsidP="008F121F">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2</w:t>
            </w:r>
          </w:p>
        </w:tc>
        <w:tc>
          <w:tcPr>
            <w:tcW w:w="1796" w:type="dxa"/>
          </w:tcPr>
          <w:p w14:paraId="02455A6C" w14:textId="77777777" w:rsidR="00C9153C" w:rsidRDefault="00C9153C" w:rsidP="008F121F">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3</w:t>
            </w:r>
          </w:p>
        </w:tc>
      </w:tr>
      <w:tr w:rsidR="00C9153C" w14:paraId="57A44F38" w14:textId="77777777" w:rsidTr="008F121F">
        <w:tc>
          <w:tcPr>
            <w:cnfStyle w:val="001000000000" w:firstRow="0" w:lastRow="0" w:firstColumn="1" w:lastColumn="0" w:oddVBand="0" w:evenVBand="0" w:oddHBand="0" w:evenHBand="0" w:firstRowFirstColumn="0" w:firstRowLastColumn="0" w:lastRowFirstColumn="0" w:lastRowLastColumn="0"/>
            <w:tcW w:w="1980" w:type="dxa"/>
          </w:tcPr>
          <w:p w14:paraId="61FAC610" w14:textId="77777777" w:rsidR="00C9153C" w:rsidRPr="00384359" w:rsidRDefault="00C9153C" w:rsidP="008F121F">
            <w:pPr>
              <w:rPr>
                <w:sz w:val="20"/>
                <w:szCs w:val="20"/>
              </w:rPr>
            </w:pPr>
            <w:r w:rsidRPr="00384359">
              <w:rPr>
                <w:sz w:val="20"/>
                <w:szCs w:val="20"/>
              </w:rPr>
              <w:t>Erythropoietin</w:t>
            </w:r>
          </w:p>
        </w:tc>
        <w:tc>
          <w:tcPr>
            <w:tcW w:w="1701" w:type="dxa"/>
          </w:tcPr>
          <w:p w14:paraId="6C8D4267"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B3</w:t>
            </w:r>
          </w:p>
        </w:tc>
        <w:tc>
          <w:tcPr>
            <w:tcW w:w="1795" w:type="dxa"/>
          </w:tcPr>
          <w:p w14:paraId="02396D85"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Blood and Haemopoietic System</w:t>
            </w:r>
          </w:p>
        </w:tc>
        <w:tc>
          <w:tcPr>
            <w:tcW w:w="1795" w:type="dxa"/>
          </w:tcPr>
          <w:p w14:paraId="702B43C8"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Haemopoietic agents</w:t>
            </w:r>
          </w:p>
        </w:tc>
        <w:tc>
          <w:tcPr>
            <w:tcW w:w="1796" w:type="dxa"/>
          </w:tcPr>
          <w:p w14:paraId="46D43FE7"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w:t>
            </w:r>
          </w:p>
        </w:tc>
      </w:tr>
      <w:tr w:rsidR="00C9153C" w14:paraId="78EBED67" w14:textId="77777777" w:rsidTr="008F121F">
        <w:tc>
          <w:tcPr>
            <w:cnfStyle w:val="001000000000" w:firstRow="0" w:lastRow="0" w:firstColumn="1" w:lastColumn="0" w:oddVBand="0" w:evenVBand="0" w:oddHBand="0" w:evenHBand="0" w:firstRowFirstColumn="0" w:firstRowLastColumn="0" w:lastRowFirstColumn="0" w:lastRowLastColumn="0"/>
            <w:tcW w:w="1980" w:type="dxa"/>
          </w:tcPr>
          <w:p w14:paraId="557FEA10" w14:textId="77777777" w:rsidR="00C9153C" w:rsidRPr="00384359" w:rsidRDefault="00C9153C" w:rsidP="008F121F">
            <w:pPr>
              <w:rPr>
                <w:sz w:val="20"/>
                <w:szCs w:val="20"/>
              </w:rPr>
            </w:pPr>
            <w:r w:rsidRPr="00384359">
              <w:rPr>
                <w:sz w:val="20"/>
                <w:szCs w:val="20"/>
              </w:rPr>
              <w:t>Epoetin alfa</w:t>
            </w:r>
          </w:p>
        </w:tc>
        <w:tc>
          <w:tcPr>
            <w:tcW w:w="1701" w:type="dxa"/>
          </w:tcPr>
          <w:p w14:paraId="27435609"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B3</w:t>
            </w:r>
          </w:p>
        </w:tc>
        <w:tc>
          <w:tcPr>
            <w:tcW w:w="1795" w:type="dxa"/>
          </w:tcPr>
          <w:p w14:paraId="5D485229"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Blood and Haemopoietic System</w:t>
            </w:r>
          </w:p>
        </w:tc>
        <w:tc>
          <w:tcPr>
            <w:tcW w:w="1795" w:type="dxa"/>
          </w:tcPr>
          <w:p w14:paraId="3A84E642"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Haemopoietic agents</w:t>
            </w:r>
          </w:p>
        </w:tc>
        <w:tc>
          <w:tcPr>
            <w:tcW w:w="1796" w:type="dxa"/>
          </w:tcPr>
          <w:p w14:paraId="17823304"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w:t>
            </w:r>
          </w:p>
        </w:tc>
      </w:tr>
      <w:tr w:rsidR="00C9153C" w14:paraId="5E82FDBD" w14:textId="77777777" w:rsidTr="008F121F">
        <w:tc>
          <w:tcPr>
            <w:cnfStyle w:val="001000000000" w:firstRow="0" w:lastRow="0" w:firstColumn="1" w:lastColumn="0" w:oddVBand="0" w:evenVBand="0" w:oddHBand="0" w:evenHBand="0" w:firstRowFirstColumn="0" w:firstRowLastColumn="0" w:lastRowFirstColumn="0" w:lastRowLastColumn="0"/>
            <w:tcW w:w="1980" w:type="dxa"/>
          </w:tcPr>
          <w:p w14:paraId="0DFF772A" w14:textId="77777777" w:rsidR="00C9153C" w:rsidRPr="00384359" w:rsidRDefault="00C9153C" w:rsidP="008F121F">
            <w:pPr>
              <w:rPr>
                <w:sz w:val="20"/>
                <w:szCs w:val="20"/>
              </w:rPr>
            </w:pPr>
            <w:r w:rsidRPr="00384359">
              <w:rPr>
                <w:sz w:val="20"/>
                <w:szCs w:val="20"/>
              </w:rPr>
              <w:t>Epoetin beta (rch)</w:t>
            </w:r>
          </w:p>
        </w:tc>
        <w:tc>
          <w:tcPr>
            <w:tcW w:w="1701" w:type="dxa"/>
          </w:tcPr>
          <w:p w14:paraId="1C8B4BB8"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B3</w:t>
            </w:r>
          </w:p>
        </w:tc>
        <w:tc>
          <w:tcPr>
            <w:tcW w:w="1795" w:type="dxa"/>
          </w:tcPr>
          <w:p w14:paraId="26E493EF"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Blood and Haemopoietic System</w:t>
            </w:r>
          </w:p>
        </w:tc>
        <w:tc>
          <w:tcPr>
            <w:tcW w:w="1795" w:type="dxa"/>
          </w:tcPr>
          <w:p w14:paraId="2A0BF33E"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Haemopoietic agents</w:t>
            </w:r>
          </w:p>
        </w:tc>
        <w:tc>
          <w:tcPr>
            <w:tcW w:w="1796" w:type="dxa"/>
          </w:tcPr>
          <w:p w14:paraId="277F6CF0"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w:t>
            </w:r>
          </w:p>
        </w:tc>
      </w:tr>
      <w:tr w:rsidR="00C9153C" w14:paraId="254EE9EC" w14:textId="77777777" w:rsidTr="008F121F">
        <w:tc>
          <w:tcPr>
            <w:cnfStyle w:val="001000000000" w:firstRow="0" w:lastRow="0" w:firstColumn="1" w:lastColumn="0" w:oddVBand="0" w:evenVBand="0" w:oddHBand="0" w:evenHBand="0" w:firstRowFirstColumn="0" w:firstRowLastColumn="0" w:lastRowFirstColumn="0" w:lastRowLastColumn="0"/>
            <w:tcW w:w="1980" w:type="dxa"/>
          </w:tcPr>
          <w:p w14:paraId="624D3198" w14:textId="77777777" w:rsidR="00C9153C" w:rsidRPr="00384359" w:rsidRDefault="00C9153C" w:rsidP="008F121F">
            <w:pPr>
              <w:rPr>
                <w:sz w:val="20"/>
                <w:szCs w:val="20"/>
              </w:rPr>
            </w:pPr>
            <w:r w:rsidRPr="00384359">
              <w:rPr>
                <w:sz w:val="20"/>
                <w:szCs w:val="20"/>
              </w:rPr>
              <w:t>Epoetin lambda (rch)</w:t>
            </w:r>
          </w:p>
        </w:tc>
        <w:tc>
          <w:tcPr>
            <w:tcW w:w="1701" w:type="dxa"/>
          </w:tcPr>
          <w:p w14:paraId="467490AD"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B3</w:t>
            </w:r>
          </w:p>
        </w:tc>
        <w:tc>
          <w:tcPr>
            <w:tcW w:w="1795" w:type="dxa"/>
          </w:tcPr>
          <w:p w14:paraId="00DF0B60"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Blood and Haemopoietic System</w:t>
            </w:r>
          </w:p>
        </w:tc>
        <w:tc>
          <w:tcPr>
            <w:tcW w:w="1795" w:type="dxa"/>
          </w:tcPr>
          <w:p w14:paraId="07C42324"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Haemopoietic agents</w:t>
            </w:r>
          </w:p>
        </w:tc>
        <w:tc>
          <w:tcPr>
            <w:tcW w:w="1796" w:type="dxa"/>
          </w:tcPr>
          <w:p w14:paraId="0A84D793" w14:textId="77777777" w:rsidR="00C9153C" w:rsidRPr="00384359"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384359">
              <w:rPr>
                <w:sz w:val="20"/>
                <w:szCs w:val="20"/>
              </w:rPr>
              <w:t>-</w:t>
            </w:r>
          </w:p>
        </w:tc>
      </w:tr>
      <w:tr w:rsidR="00C9153C" w14:paraId="2E7FFF46" w14:textId="77777777" w:rsidTr="008F121F">
        <w:tc>
          <w:tcPr>
            <w:cnfStyle w:val="001000000000" w:firstRow="0" w:lastRow="0" w:firstColumn="1" w:lastColumn="0" w:oddVBand="0" w:evenVBand="0" w:oddHBand="0" w:evenHBand="0" w:firstRowFirstColumn="0" w:firstRowLastColumn="0" w:lastRowFirstColumn="0" w:lastRowLastColumn="0"/>
            <w:tcW w:w="9067" w:type="dxa"/>
            <w:gridSpan w:val="5"/>
          </w:tcPr>
          <w:p w14:paraId="5F70D7D0" w14:textId="77777777" w:rsidR="00C9153C" w:rsidRPr="0039205F" w:rsidRDefault="00C9153C" w:rsidP="008F121F">
            <w:pPr>
              <w:rPr>
                <w:szCs w:val="18"/>
              </w:rPr>
            </w:pPr>
            <w:r w:rsidRPr="0039205F">
              <w:rPr>
                <w:szCs w:val="18"/>
              </w:rPr>
              <w:t>Category B3 – Drugs which have been taken by only a limited number of pregnant women and women of childbearing age, without an increase in the frequency of malformation or other direct or indirect harmful effects on the human foetus having been observed.</w:t>
            </w:r>
          </w:p>
          <w:p w14:paraId="07143D4A" w14:textId="77777777" w:rsidR="00C9153C" w:rsidRDefault="00C9153C" w:rsidP="008F121F">
            <w:r w:rsidRPr="0039205F">
              <w:rPr>
                <w:szCs w:val="18"/>
              </w:rPr>
              <w:t>Studies in animals have shown evidence of an increased occurrence of foetal damage, the significance of which is considered uncertain in humans.</w:t>
            </w:r>
          </w:p>
        </w:tc>
      </w:tr>
    </w:tbl>
    <w:p w14:paraId="7F70ED87" w14:textId="7F746B0D" w:rsidR="00C9153C" w:rsidRPr="003537F2" w:rsidRDefault="00C9153C" w:rsidP="00F30896">
      <w:pPr>
        <w:pStyle w:val="ListBullet"/>
      </w:pPr>
      <w:r w:rsidRPr="003537F2">
        <w:t xml:space="preserve">There are no warning statements pertaining to </w:t>
      </w:r>
      <w:r w:rsidRPr="007A468A">
        <w:t>erythropoietin</w:t>
      </w:r>
      <w:r>
        <w:t xml:space="preserve"> or epoetins</w:t>
      </w:r>
      <w:r w:rsidRPr="003537F2">
        <w:t xml:space="preserve"> in the </w:t>
      </w:r>
      <w:hyperlink r:id="rId77" w:history="1">
        <w:r w:rsidRPr="003537F2">
          <w:rPr>
            <w:rStyle w:val="Hyperlink"/>
          </w:rPr>
          <w:t>Therapeutic Goods (Medicines Advisory Statements) Specification 2021</w:t>
        </w:r>
      </w:hyperlink>
      <w:r w:rsidRPr="003537F2">
        <w:rPr>
          <w:rStyle w:val="Hyperlink"/>
        </w:rPr>
        <w:t>.</w:t>
      </w:r>
    </w:p>
    <w:p w14:paraId="2A5550BA" w14:textId="677FFE3D" w:rsidR="00C9153C" w:rsidRPr="003537F2" w:rsidRDefault="00C9153C" w:rsidP="00F30896">
      <w:pPr>
        <w:pStyle w:val="ListBullet"/>
      </w:pPr>
      <w:r w:rsidRPr="003537F2">
        <w:t>As of 12 September 2025, there were no reports of adverse events for products containing efep</w:t>
      </w:r>
      <w:r>
        <w:t>oe</w:t>
      </w:r>
      <w:r w:rsidRPr="003537F2">
        <w:t xml:space="preserve">tin alfa as an active ingredient on the </w:t>
      </w:r>
      <w:hyperlink r:id="rId78" w:history="1">
        <w:r w:rsidRPr="003537F2">
          <w:rPr>
            <w:rStyle w:val="Hyperlink"/>
          </w:rPr>
          <w:t>Database of Adverse Event Notifications (DAEN)</w:t>
        </w:r>
      </w:hyperlink>
      <w:r w:rsidRPr="003537F2">
        <w:t>.</w:t>
      </w:r>
      <w:r>
        <w:t xml:space="preserve"> There were 2 reported cases of adverse events for products containing </w:t>
      </w:r>
      <w:r w:rsidRPr="007A468A">
        <w:t>erythropoietin</w:t>
      </w:r>
      <w:r>
        <w:t xml:space="preserve"> as an active ingredient. Both incidents involved exposure during pregnancy and </w:t>
      </w:r>
      <w:r w:rsidRPr="007A468A">
        <w:t>erythropoietin</w:t>
      </w:r>
      <w:r>
        <w:t xml:space="preserve"> was not the single suspected medicine. There were 358 reports of </w:t>
      </w:r>
      <w:r w:rsidRPr="003537F2">
        <w:t xml:space="preserve">adverse events for products containing </w:t>
      </w:r>
      <w:r>
        <w:t>epoetins or darbepoetin alfa with 25 resulting in death. Epoetins or darbepoetin alfa were the single suspected medicine in 261 of these cases.</w:t>
      </w:r>
    </w:p>
    <w:p w14:paraId="2606ACA4" w14:textId="2C900821" w:rsidR="00C9153C" w:rsidRPr="00C417B6" w:rsidRDefault="00C9153C" w:rsidP="00F30896">
      <w:pPr>
        <w:pStyle w:val="ListBullet"/>
      </w:pPr>
      <w:r w:rsidRPr="003537F2">
        <w:t>In 2009-19 there were no adverse experiences recorded for efep</w:t>
      </w:r>
      <w:r w:rsidR="00985B8A">
        <w:t>oe</w:t>
      </w:r>
      <w:r w:rsidRPr="003537F2">
        <w:t>tin alfa</w:t>
      </w:r>
      <w:r>
        <w:t xml:space="preserve">, </w:t>
      </w:r>
      <w:r w:rsidRPr="007A468A">
        <w:t>erythropoietin</w:t>
      </w:r>
      <w:r>
        <w:t xml:space="preserve"> or epoetins</w:t>
      </w:r>
      <w:r w:rsidRPr="003537F2">
        <w:t xml:space="preserve"> in the </w:t>
      </w:r>
      <w:hyperlink r:id="rId79" w:history="1">
        <w:r w:rsidRPr="003537F2">
          <w:rPr>
            <w:rStyle w:val="Hyperlink"/>
          </w:rPr>
          <w:t>APVMA Adverse Experience Reporting Program</w:t>
        </w:r>
      </w:hyperlink>
      <w:r w:rsidRPr="003537F2">
        <w:t xml:space="preserve"> database (AERP).</w:t>
      </w:r>
    </w:p>
    <w:p w14:paraId="6919C47A" w14:textId="77777777" w:rsidR="00C9153C" w:rsidRPr="00C417B6" w:rsidRDefault="00C9153C" w:rsidP="00C9153C">
      <w:pPr>
        <w:pStyle w:val="Heading4"/>
      </w:pPr>
      <w:bookmarkStart w:id="83" w:name="_Toc209035967"/>
      <w:r w:rsidRPr="00C417B6">
        <w:t>International regulations</w:t>
      </w:r>
      <w:bookmarkEnd w:id="83"/>
    </w:p>
    <w:p w14:paraId="1C935F4E" w14:textId="2C949FE6" w:rsidR="00C9153C" w:rsidRDefault="00C9153C" w:rsidP="00F30896">
      <w:pPr>
        <w:pStyle w:val="ListBullet"/>
      </w:pPr>
      <w:r>
        <w:t xml:space="preserve">The </w:t>
      </w:r>
      <w:hyperlink r:id="rId80" w:history="1">
        <w:r w:rsidRPr="001D2C7C">
          <w:rPr>
            <w:rStyle w:val="Hyperlink"/>
          </w:rPr>
          <w:t>World Anti-Doping Agency</w:t>
        </w:r>
      </w:hyperlink>
      <w:r>
        <w:t xml:space="preserve"> lists erythropoietin receptor agonists, including darbepoetins, </w:t>
      </w:r>
      <w:r w:rsidRPr="001A632A">
        <w:t>erythropoetins</w:t>
      </w:r>
      <w:r>
        <w:t xml:space="preserve"> and epoetins as substances prohibited from use at all times.</w:t>
      </w:r>
    </w:p>
    <w:p w14:paraId="5CBBE4CA" w14:textId="595B3B69" w:rsidR="00C9153C" w:rsidRDefault="00C9153C" w:rsidP="00F30896">
      <w:pPr>
        <w:pStyle w:val="ListBullet"/>
      </w:pPr>
      <w:r>
        <w:t xml:space="preserve">The </w:t>
      </w:r>
      <w:hyperlink r:id="rId81" w:history="1">
        <w:r w:rsidRPr="003A61F5">
          <w:rPr>
            <w:rStyle w:val="Hyperlink"/>
          </w:rPr>
          <w:t>United States Food and Drug Administration Approved Drug Products Database (Drugs@FDA)</w:t>
        </w:r>
      </w:hyperlink>
      <w:r>
        <w:t xml:space="preserve"> does not include efepoetin alfa or erythropoietin, though there are 3 prescription only medicines approved containing epoetins and 1 containing </w:t>
      </w:r>
      <w:r w:rsidR="00985B8A">
        <w:t>darbepoetin</w:t>
      </w:r>
      <w:r>
        <w:t xml:space="preserve"> alfa.</w:t>
      </w:r>
    </w:p>
    <w:p w14:paraId="2F44EEBA" w14:textId="3B75A2A0" w:rsidR="00C9153C" w:rsidRDefault="00C9153C" w:rsidP="00F30896">
      <w:pPr>
        <w:pStyle w:val="ListBullet"/>
      </w:pPr>
      <w:r>
        <w:t xml:space="preserve">The </w:t>
      </w:r>
      <w:hyperlink r:id="rId82" w:history="1">
        <w:r w:rsidRPr="00CF55F5">
          <w:rPr>
            <w:rStyle w:val="Hyperlink"/>
          </w:rPr>
          <w:t>European Commission</w:t>
        </w:r>
      </w:hyperlink>
      <w:r>
        <w:t xml:space="preserve"> does not include efepoetin alfa or erythropoietin, but lists epoetins as an active ingredient in 12 prescription only medicines and </w:t>
      </w:r>
      <w:r w:rsidR="00985B8A">
        <w:t>darbepoetin</w:t>
      </w:r>
      <w:r>
        <w:t xml:space="preserve"> alfa as an active ingredient in 2 prescription only medicines.</w:t>
      </w:r>
    </w:p>
    <w:p w14:paraId="02872B24" w14:textId="77777777" w:rsidR="00C9153C" w:rsidRDefault="00C9153C" w:rsidP="00F30896">
      <w:pPr>
        <w:pStyle w:val="ListBullet"/>
      </w:pPr>
      <w:r>
        <w:lastRenderedPageBreak/>
        <w:t>In New Zealand, e</w:t>
      </w:r>
      <w:r w:rsidRPr="007B34C0">
        <w:t>rythropoietin</w:t>
      </w:r>
      <w:r>
        <w:t xml:space="preserve">, epoetins and darbepoetin are classified as prescription medicines in the </w:t>
      </w:r>
      <w:hyperlink r:id="rId83" w:history="1">
        <w:r w:rsidRPr="00CF55F5">
          <w:rPr>
            <w:rStyle w:val="Hyperlink"/>
          </w:rPr>
          <w:t>New Zealand Medicines and Medical Devices Safety Authority (MedSafe</w:t>
        </w:r>
      </w:hyperlink>
      <w:r w:rsidRPr="00CF55F5">
        <w:t>)</w:t>
      </w:r>
      <w:r>
        <w:t>.</w:t>
      </w:r>
    </w:p>
    <w:p w14:paraId="6B081F10" w14:textId="77777777" w:rsidR="00384359" w:rsidRDefault="00C9153C" w:rsidP="00F30896">
      <w:pPr>
        <w:pStyle w:val="ListBullet"/>
      </w:pPr>
      <w:r>
        <w:t xml:space="preserve">The </w:t>
      </w:r>
      <w:hyperlink r:id="rId84" w:history="1">
        <w:r w:rsidRPr="00CF55F5">
          <w:rPr>
            <w:rStyle w:val="Hyperlink"/>
          </w:rPr>
          <w:t>Canadian (Health Canada) Drug Product Database</w:t>
        </w:r>
      </w:hyperlink>
      <w:r>
        <w:t xml:space="preserve"> lists 6 prescription medicines and 6 Schedule D medicines (</w:t>
      </w:r>
      <w:r w:rsidRPr="00472A15">
        <w:t>biologic drugs which require specific regulatory oversight and market authorization from Health Canada before they can be sold</w:t>
      </w:r>
      <w:r>
        <w:t>) containing darbepoetin. Efepoetin alfa, erythropoietin, or epoetins are not listed in the database.</w:t>
      </w:r>
    </w:p>
    <w:p w14:paraId="43686C19" w14:textId="15294350" w:rsidR="00C9153C" w:rsidRPr="00C9153C" w:rsidRDefault="00C9153C" w:rsidP="00F30896">
      <w:pPr>
        <w:pStyle w:val="ListBullet"/>
      </w:pPr>
      <w:r>
        <w:t xml:space="preserve">Currently, efepoetin alfa is approved in Indonesia for </w:t>
      </w:r>
      <w:r w:rsidRPr="0007220A">
        <w:t>treating anaemia in non-dialysis chronic kidney disease (CKD) patients</w:t>
      </w:r>
      <w:r>
        <w:t xml:space="preserve">. A </w:t>
      </w:r>
      <w:r w:rsidRPr="00C83DDE">
        <w:t xml:space="preserve">multinational Phase </w:t>
      </w:r>
      <w:r>
        <w:t>III</w:t>
      </w:r>
      <w:r w:rsidRPr="00C83DDE">
        <w:t xml:space="preserve"> clinical trial targeting dialysis patients</w:t>
      </w:r>
      <w:r>
        <w:t xml:space="preserve"> in currently under progress.</w:t>
      </w:r>
      <w:r>
        <w:rPr>
          <w:rStyle w:val="FootnoteReference"/>
        </w:rPr>
        <w:footnoteReference w:id="10"/>
      </w:r>
      <w:r w:rsidRPr="00384359">
        <w:rPr>
          <w:vertAlign w:val="superscript"/>
        </w:rPr>
        <w:t xml:space="preserve">, </w:t>
      </w:r>
      <w:r>
        <w:rPr>
          <w:rStyle w:val="FootnoteReference"/>
        </w:rPr>
        <w:footnoteReference w:id="11"/>
      </w:r>
      <w:r w:rsidRPr="00384359">
        <w:rPr>
          <w:vertAlign w:val="superscript"/>
        </w:rPr>
        <w:t xml:space="preserve">, </w:t>
      </w:r>
      <w:r>
        <w:rPr>
          <w:rStyle w:val="FootnoteReference"/>
        </w:rPr>
        <w:footnoteReference w:id="12"/>
      </w:r>
    </w:p>
    <w:p w14:paraId="54E00F80" w14:textId="7EE2B712" w:rsidR="00685E72" w:rsidRDefault="009C3C0E" w:rsidP="009C3C0E">
      <w:pPr>
        <w:pStyle w:val="Heading2"/>
      </w:pPr>
      <w:bookmarkStart w:id="84" w:name="_Toc209035968"/>
      <w:r>
        <w:t>2</w:t>
      </w:r>
      <w:r>
        <w:tab/>
      </w:r>
      <w:bookmarkStart w:id="85" w:name="_Hlk165902706"/>
      <w:r w:rsidR="00685E72" w:rsidRPr="00C417B6">
        <w:t>Proposed amendments referred for scheduling advice to</w:t>
      </w:r>
      <w:r w:rsidR="00B90A0A" w:rsidRPr="00C417B6">
        <w:t> </w:t>
      </w:r>
      <w:r w:rsidR="00685E72" w:rsidRPr="00C417B6">
        <w:t>ACCS</w:t>
      </w:r>
      <w:r w:rsidR="00B90A0A" w:rsidRPr="00C417B6">
        <w:t> </w:t>
      </w:r>
      <w:r w:rsidR="00685E72" w:rsidRPr="00C417B6">
        <w:t>meeting</w:t>
      </w:r>
      <w:r w:rsidR="00B90A0A" w:rsidRPr="00C417B6">
        <w:t> </w:t>
      </w:r>
      <w:r w:rsidR="00685E72" w:rsidRPr="00C417B6">
        <w:t>#</w:t>
      </w:r>
      <w:bookmarkEnd w:id="32"/>
      <w:r w:rsidR="00C9153C">
        <w:t>4</w:t>
      </w:r>
      <w:r w:rsidR="00071991">
        <w:t>1</w:t>
      </w:r>
      <w:bookmarkEnd w:id="84"/>
    </w:p>
    <w:p w14:paraId="32BF8AB3" w14:textId="45A7685A" w:rsidR="00685E72" w:rsidRPr="00C417B6" w:rsidRDefault="009C3C0E" w:rsidP="009C3C0E">
      <w:pPr>
        <w:pStyle w:val="Heading3"/>
      </w:pPr>
      <w:bookmarkStart w:id="86" w:name="_Toc122614226"/>
      <w:bookmarkStart w:id="87" w:name="_Toc209035969"/>
      <w:r w:rsidRPr="00C9153C">
        <w:t>2.1</w:t>
      </w:r>
      <w:r w:rsidRPr="00C9153C">
        <w:tab/>
      </w:r>
      <w:bookmarkEnd w:id="86"/>
      <w:r w:rsidR="00C9153C">
        <w:t>Oxalic acid</w:t>
      </w:r>
      <w:bookmarkEnd w:id="87"/>
    </w:p>
    <w:p w14:paraId="611665DB" w14:textId="77777777" w:rsidR="00C9153C" w:rsidRPr="00C417B6" w:rsidRDefault="00C9153C" w:rsidP="00C9153C">
      <w:pPr>
        <w:pStyle w:val="Heading4"/>
      </w:pPr>
      <w:bookmarkStart w:id="88" w:name="_Toc209035970"/>
      <w:bookmarkStart w:id="89" w:name="_Toc122614227"/>
      <w:r w:rsidRPr="00C417B6">
        <w:t>Proposal</w:t>
      </w:r>
      <w:bookmarkEnd w:id="88"/>
    </w:p>
    <w:p w14:paraId="334E7127" w14:textId="77777777" w:rsidR="00C9153C" w:rsidRPr="00C417B6" w:rsidRDefault="00C9153C" w:rsidP="00C9153C">
      <w:r>
        <w:t xml:space="preserve">The proposal is to amend the current Poison Standard with regards to the Poison (Schedule 6) entry oxalic acid to exempt </w:t>
      </w:r>
      <w:r w:rsidRPr="008A6464">
        <w:t xml:space="preserve">commercial, household or domestic cleaning products, containing </w:t>
      </w:r>
      <w:r>
        <w:t>9.5</w:t>
      </w:r>
      <w:r w:rsidRPr="008A6464">
        <w:t>% or less of soluble salts of oxalic acid</w:t>
      </w:r>
      <w:r>
        <w:t xml:space="preserve">. Under the proposal, such products will be unscheduled and will be available without the POISON signal heading or any </w:t>
      </w:r>
      <w:r w:rsidRPr="002E0A7A">
        <w:t>first aid instructions</w:t>
      </w:r>
      <w:r>
        <w:t>, w</w:t>
      </w:r>
      <w:r w:rsidRPr="002E0A7A">
        <w:t>arning statements and general safety directions</w:t>
      </w:r>
      <w:r>
        <w:t xml:space="preserve"> currently applicable to them.</w:t>
      </w:r>
    </w:p>
    <w:p w14:paraId="6357C2E7" w14:textId="3493BB49" w:rsidR="00C9153C" w:rsidRPr="00C417B6" w:rsidRDefault="00C9153C" w:rsidP="00C9153C">
      <w:pPr>
        <w:pStyle w:val="Heading4"/>
      </w:pPr>
      <w:bookmarkStart w:id="90" w:name="_Toc209035971"/>
      <w:r w:rsidRPr="00C417B6">
        <w:t>CAS Number</w:t>
      </w:r>
      <w:bookmarkEnd w:id="90"/>
    </w:p>
    <w:p w14:paraId="38DCFAAD" w14:textId="77777777" w:rsidR="00C9153C" w:rsidRPr="00C417B6" w:rsidRDefault="00C9153C" w:rsidP="00C9153C">
      <w:r>
        <w:t>144-62-7</w:t>
      </w:r>
    </w:p>
    <w:p w14:paraId="108981C3" w14:textId="77777777" w:rsidR="00C9153C" w:rsidRPr="00C417B6" w:rsidRDefault="00C9153C" w:rsidP="00C9153C">
      <w:pPr>
        <w:pStyle w:val="Heading4"/>
      </w:pPr>
      <w:bookmarkStart w:id="91" w:name="_Toc209035972"/>
      <w:r w:rsidRPr="00C417B6">
        <w:t>Alternative names</w:t>
      </w:r>
      <w:bookmarkEnd w:id="91"/>
    </w:p>
    <w:p w14:paraId="0643D130" w14:textId="77777777" w:rsidR="00C9153C" w:rsidRPr="00C417B6" w:rsidRDefault="00C9153C" w:rsidP="00C9153C">
      <w:r w:rsidRPr="002E0A7A">
        <w:t>Ethanedioic acid</w:t>
      </w:r>
    </w:p>
    <w:p w14:paraId="72BCCC84" w14:textId="77777777" w:rsidR="00C9153C" w:rsidRPr="00C417B6" w:rsidRDefault="00C9153C" w:rsidP="00C9153C">
      <w:pPr>
        <w:pStyle w:val="Heading4"/>
      </w:pPr>
      <w:bookmarkStart w:id="92" w:name="_Toc209035973"/>
      <w:r w:rsidRPr="00C417B6">
        <w:t>Applicant</w:t>
      </w:r>
      <w:bookmarkEnd w:id="92"/>
    </w:p>
    <w:p w14:paraId="4FFED8FE" w14:textId="77777777" w:rsidR="00C9153C" w:rsidRPr="00C417B6" w:rsidRDefault="00C9153C" w:rsidP="00C9153C">
      <w:r w:rsidRPr="002E0A7A">
        <w:t>Private applicant</w:t>
      </w:r>
    </w:p>
    <w:p w14:paraId="7ED7579E" w14:textId="77777777" w:rsidR="00C9153C" w:rsidRPr="00C417B6" w:rsidRDefault="00C9153C" w:rsidP="00C9153C">
      <w:pPr>
        <w:pStyle w:val="Heading4"/>
      </w:pPr>
      <w:bookmarkStart w:id="93" w:name="_Toc209035974"/>
      <w:r w:rsidRPr="00C417B6">
        <w:t>Proposed Scheduling</w:t>
      </w:r>
      <w:bookmarkEnd w:id="93"/>
    </w:p>
    <w:p w14:paraId="26495651" w14:textId="77777777" w:rsidR="00C9153C" w:rsidRPr="00C417B6" w:rsidRDefault="00C9153C" w:rsidP="00C9153C">
      <w:r>
        <w:t>Oxalic acid</w:t>
      </w:r>
      <w:r w:rsidRPr="00C417B6">
        <w:t xml:space="preserve"> is currently listed in Schedul</w:t>
      </w:r>
      <w:r>
        <w:t>e 6</w:t>
      </w:r>
      <w:r w:rsidRPr="00C417B6">
        <w:t xml:space="preserve"> </w:t>
      </w:r>
      <w:r>
        <w:t xml:space="preserve">of </w:t>
      </w:r>
      <w:r w:rsidRPr="00C417B6">
        <w:t>the Poisons Standard as follows:</w:t>
      </w:r>
    </w:p>
    <w:p w14:paraId="66811619" w14:textId="77777777" w:rsidR="00C9153C" w:rsidRPr="0057557A" w:rsidRDefault="00C9153C" w:rsidP="00C9153C">
      <w:pPr>
        <w:ind w:left="426"/>
        <w:rPr>
          <w:b/>
          <w:bCs/>
        </w:rPr>
      </w:pPr>
      <w:r w:rsidRPr="0057557A">
        <w:rPr>
          <w:b/>
          <w:bCs/>
        </w:rPr>
        <w:t xml:space="preserve">Schedule </w:t>
      </w:r>
      <w:r>
        <w:rPr>
          <w:b/>
          <w:bCs/>
        </w:rPr>
        <w:t>6</w:t>
      </w:r>
    </w:p>
    <w:p w14:paraId="0139B186" w14:textId="77777777" w:rsidR="00C9153C" w:rsidRDefault="00C9153C" w:rsidP="00C9153C">
      <w:pPr>
        <w:ind w:left="709"/>
      </w:pPr>
      <w:r>
        <w:t xml:space="preserve">OXALIC ACID </w:t>
      </w:r>
      <w:r w:rsidRPr="002E0A7A">
        <w:rPr>
          <w:b/>
          <w:bCs/>
        </w:rPr>
        <w:t>except</w:t>
      </w:r>
    </w:p>
    <w:p w14:paraId="1D5C1F7F" w14:textId="77777777" w:rsidR="00C9153C" w:rsidRPr="002E0A7A" w:rsidRDefault="00C9153C" w:rsidP="00C9153C">
      <w:pPr>
        <w:ind w:left="1134" w:hanging="425"/>
      </w:pPr>
      <w:r w:rsidRPr="002E0A7A">
        <w:t xml:space="preserve">(a) </w:t>
      </w:r>
      <w:r>
        <w:tab/>
      </w:r>
      <w:r w:rsidRPr="002E0A7A">
        <w:t>in dental care preparations, including mouthwashes, containing 3% or less of soluble salts of oxalic acid; or</w:t>
      </w:r>
    </w:p>
    <w:p w14:paraId="72311F5B" w14:textId="77777777" w:rsidR="00C9153C" w:rsidRPr="002E0A7A" w:rsidRDefault="00C9153C" w:rsidP="00C9153C">
      <w:pPr>
        <w:ind w:left="1134" w:hanging="425"/>
      </w:pPr>
      <w:r w:rsidRPr="002E0A7A">
        <w:lastRenderedPageBreak/>
        <w:t xml:space="preserve">(b) </w:t>
      </w:r>
      <w:r>
        <w:tab/>
        <w:t>i</w:t>
      </w:r>
      <w:r w:rsidRPr="002E0A7A">
        <w:t>ts insoluble salts.</w:t>
      </w:r>
    </w:p>
    <w:p w14:paraId="618CD1B1" w14:textId="28CED001" w:rsidR="00C9153C" w:rsidRPr="00C417B6" w:rsidRDefault="00C9153C" w:rsidP="00C9153C">
      <w:r w:rsidRPr="00C417B6">
        <w:t xml:space="preserve">It is also included under the entry </w:t>
      </w:r>
      <w:r>
        <w:t>OXALIC ACID</w:t>
      </w:r>
      <w:r w:rsidRPr="00C417B6">
        <w:t xml:space="preserve"> in Appendix </w:t>
      </w:r>
      <w:r>
        <w:t xml:space="preserve">E and </w:t>
      </w:r>
      <w:r w:rsidR="00384359">
        <w:t xml:space="preserve">Appendix </w:t>
      </w:r>
      <w:r>
        <w:t>F</w:t>
      </w:r>
      <w:r w:rsidRPr="00C417B6">
        <w:t xml:space="preserve"> as follows</w:t>
      </w:r>
      <w:r w:rsidR="000175F5">
        <w:t>:</w:t>
      </w:r>
    </w:p>
    <w:p w14:paraId="72555D9F" w14:textId="77777777" w:rsidR="00C9153C" w:rsidRPr="00E6696A" w:rsidRDefault="00C9153C" w:rsidP="00C9153C">
      <w:pPr>
        <w:ind w:left="426"/>
        <w:rPr>
          <w:b/>
          <w:bCs/>
        </w:rPr>
      </w:pPr>
      <w:r w:rsidRPr="00E6696A">
        <w:rPr>
          <w:b/>
          <w:bCs/>
        </w:rPr>
        <w:t>Appendix E, Clause 2 – First aid instructions for poisons</w:t>
      </w:r>
    </w:p>
    <w:p w14:paraId="4FF5934C" w14:textId="77777777" w:rsidR="00C9153C" w:rsidRPr="00E6696A" w:rsidRDefault="00C9153C" w:rsidP="00C9153C">
      <w:pPr>
        <w:ind w:left="709"/>
      </w:pPr>
      <w:r w:rsidRPr="00E6696A">
        <w:t>For advice, contact a Poisons Information Centre (e.g. phone Australia 13 11 26; New Zealand 0800 764 766) or a doctor (at once).</w:t>
      </w:r>
    </w:p>
    <w:p w14:paraId="1B20B23D" w14:textId="77777777" w:rsidR="00C9153C" w:rsidRPr="00E6696A" w:rsidRDefault="00C9153C" w:rsidP="00C9153C">
      <w:pPr>
        <w:ind w:left="709"/>
      </w:pPr>
      <w:r w:rsidRPr="00E6696A">
        <w:t>If swallowed, do NOT induce vomiting.</w:t>
      </w:r>
    </w:p>
    <w:p w14:paraId="506289A7" w14:textId="77777777" w:rsidR="00C9153C" w:rsidRPr="00E6696A" w:rsidRDefault="00C9153C" w:rsidP="00C9153C">
      <w:pPr>
        <w:ind w:left="709"/>
      </w:pPr>
      <w:r w:rsidRPr="00E6696A">
        <w:t>If in eyes, hold eyelids apart and flush the eye continuously with running water. Continue flushing until advised to stop by a Poisons Information Centre (e.g. phone Australia 13 11 26; New Zealand 0800 764 766) or a doctor, or for at least 15 minutes.</w:t>
      </w:r>
    </w:p>
    <w:p w14:paraId="6F47AE0C" w14:textId="77777777" w:rsidR="00C9153C" w:rsidRPr="00E6696A" w:rsidRDefault="00C9153C" w:rsidP="00C9153C">
      <w:pPr>
        <w:ind w:left="709"/>
      </w:pPr>
      <w:r w:rsidRPr="00E6696A">
        <w:t>If skin or hair contact occurs, remove contaminated clothing and flush skin and hair with running water.</w:t>
      </w:r>
    </w:p>
    <w:p w14:paraId="2BECEF28" w14:textId="77777777" w:rsidR="00C9153C" w:rsidRPr="00E6696A" w:rsidRDefault="00C9153C" w:rsidP="00C9153C">
      <w:pPr>
        <w:ind w:left="426"/>
        <w:rPr>
          <w:b/>
          <w:bCs/>
        </w:rPr>
      </w:pPr>
      <w:r w:rsidRPr="00E6696A">
        <w:rPr>
          <w:b/>
          <w:bCs/>
        </w:rPr>
        <w:t>Appendix F, Clause 3 – Warning statements and general safety directions for poisons</w:t>
      </w:r>
    </w:p>
    <w:p w14:paraId="3B9FA17B" w14:textId="77777777" w:rsidR="00C9153C" w:rsidRPr="00E6696A" w:rsidRDefault="00C9153C" w:rsidP="00C9153C">
      <w:pPr>
        <w:ind w:left="709"/>
      </w:pPr>
      <w:r w:rsidRPr="00E6696A">
        <w:t>Corrosive.</w:t>
      </w:r>
    </w:p>
    <w:p w14:paraId="7602BE40" w14:textId="77777777" w:rsidR="00C9153C" w:rsidRPr="00E6696A" w:rsidRDefault="00C9153C" w:rsidP="00C9153C">
      <w:pPr>
        <w:ind w:left="709"/>
      </w:pPr>
      <w:r w:rsidRPr="00E6696A">
        <w:t>Avoid contact with skin.</w:t>
      </w:r>
    </w:p>
    <w:p w14:paraId="6249A3E5" w14:textId="77777777" w:rsidR="00C9153C" w:rsidRPr="00E6696A" w:rsidRDefault="00C9153C" w:rsidP="00C9153C">
      <w:pPr>
        <w:ind w:left="709"/>
      </w:pPr>
      <w:r w:rsidRPr="00E6696A">
        <w:t>Avoid breathing dust (or) vapour (or) spray mist.</w:t>
      </w:r>
    </w:p>
    <w:p w14:paraId="3E2171C4" w14:textId="77777777" w:rsidR="00C9153C" w:rsidRPr="00E6696A" w:rsidRDefault="00C9153C" w:rsidP="00C9153C">
      <w:r w:rsidRPr="00E6696A">
        <w:t>The applicant’s proposed amendments to the Poisons Standard are</w:t>
      </w:r>
      <w:r w:rsidRPr="00E6696A">
        <w:rPr>
          <w:vertAlign w:val="superscript"/>
        </w:rPr>
        <w:footnoteReference w:id="13"/>
      </w:r>
      <w:r w:rsidRPr="00E6696A">
        <w:t>:</w:t>
      </w:r>
    </w:p>
    <w:p w14:paraId="2416436C" w14:textId="77777777" w:rsidR="00C9153C" w:rsidRPr="00E6696A" w:rsidRDefault="00C9153C" w:rsidP="00C9153C">
      <w:pPr>
        <w:ind w:left="426"/>
        <w:rPr>
          <w:b/>
          <w:bCs/>
        </w:rPr>
      </w:pPr>
      <w:r w:rsidRPr="00E6696A">
        <w:rPr>
          <w:b/>
          <w:bCs/>
        </w:rPr>
        <w:t>Schedule 6 –Amend Entry</w:t>
      </w:r>
    </w:p>
    <w:p w14:paraId="05254A33" w14:textId="2DF205AA" w:rsidR="00C9153C" w:rsidRPr="00E6696A" w:rsidRDefault="00C9153C" w:rsidP="00C9153C">
      <w:pPr>
        <w:ind w:left="709"/>
      </w:pPr>
      <w:r w:rsidRPr="00E6696A">
        <w:t xml:space="preserve">OXALIC ACID </w:t>
      </w:r>
      <w:r w:rsidRPr="00E6696A">
        <w:rPr>
          <w:b/>
          <w:bCs/>
        </w:rPr>
        <w:t>except</w:t>
      </w:r>
      <w:r w:rsidR="00043AB0">
        <w:rPr>
          <w:b/>
          <w:bCs/>
        </w:rPr>
        <w:t>:</w:t>
      </w:r>
    </w:p>
    <w:p w14:paraId="029C3057" w14:textId="77777777" w:rsidR="00C9153C" w:rsidRPr="00E6696A" w:rsidRDefault="00C9153C" w:rsidP="00C9153C">
      <w:pPr>
        <w:ind w:left="1134" w:hanging="425"/>
      </w:pPr>
      <w:r w:rsidRPr="00E6696A">
        <w:t xml:space="preserve">(a) </w:t>
      </w:r>
      <w:r w:rsidRPr="00E6696A">
        <w:tab/>
        <w:t>in dental care preparations, including mouthwashes, containing 3% or less of soluble salts of oxalic acid; or</w:t>
      </w:r>
    </w:p>
    <w:p w14:paraId="3CF73AB8" w14:textId="77777777" w:rsidR="00C9153C" w:rsidRDefault="00C9153C" w:rsidP="00C9153C">
      <w:pPr>
        <w:ind w:left="1134" w:hanging="425"/>
      </w:pPr>
      <w:r w:rsidRPr="00E6696A">
        <w:t xml:space="preserve">(b) </w:t>
      </w:r>
      <w:r w:rsidRPr="00E6696A">
        <w:tab/>
        <w:t>its insoluble salts; or</w:t>
      </w:r>
    </w:p>
    <w:p w14:paraId="739478C3" w14:textId="77777777" w:rsidR="00C9153C" w:rsidRPr="002E0A7A" w:rsidRDefault="00C9153C" w:rsidP="00C9153C">
      <w:pPr>
        <w:ind w:left="1134" w:hanging="425"/>
      </w:pPr>
      <w:r>
        <w:t>(c)</w:t>
      </w:r>
      <w:r>
        <w:tab/>
      </w:r>
      <w:r w:rsidRPr="00E6696A">
        <w:rPr>
          <w:color w:val="00B050"/>
          <w:u w:val="single"/>
        </w:rPr>
        <w:t>in commercial, household or domestic cleaning products, containing 9.5% or less of soluble salts of oxalic acid.</w:t>
      </w:r>
    </w:p>
    <w:p w14:paraId="21E9D278" w14:textId="77777777" w:rsidR="00C9153C" w:rsidRPr="00C417B6" w:rsidRDefault="00C9153C" w:rsidP="00C9153C">
      <w:pPr>
        <w:pStyle w:val="Heading4"/>
      </w:pPr>
      <w:bookmarkStart w:id="94" w:name="_Toc209035975"/>
      <w:r w:rsidRPr="00C417B6">
        <w:t>Background</w:t>
      </w:r>
      <w:bookmarkEnd w:id="94"/>
    </w:p>
    <w:p w14:paraId="223C025D" w14:textId="77777777" w:rsidR="00C9153C" w:rsidRPr="003E4839" w:rsidRDefault="00C9153C" w:rsidP="00C9153C">
      <w:pPr>
        <w:autoSpaceDE w:val="0"/>
        <w:autoSpaceDN w:val="0"/>
        <w:adjustRightInd w:val="0"/>
        <w:spacing w:after="0" w:line="240" w:lineRule="auto"/>
        <w:rPr>
          <w:rFonts w:cs="Arial"/>
          <w:color w:val="000000"/>
        </w:rPr>
      </w:pPr>
      <w:r>
        <w:rPr>
          <w:rFonts w:cs="Arial"/>
          <w:color w:val="000000"/>
        </w:rPr>
        <w:t>Oxalic acid is used for r</w:t>
      </w:r>
      <w:r w:rsidRPr="003E4839">
        <w:rPr>
          <w:rFonts w:cs="Arial"/>
          <w:color w:val="000000"/>
        </w:rPr>
        <w:t xml:space="preserve">emoving rust, tarnish, mineral deposits and tough stains from variety of surfaces including </w:t>
      </w:r>
      <w:r>
        <w:rPr>
          <w:rFonts w:cs="Arial"/>
          <w:color w:val="000000"/>
        </w:rPr>
        <w:t xml:space="preserve">wood surface, concrete, </w:t>
      </w:r>
      <w:r w:rsidRPr="003E4839">
        <w:rPr>
          <w:rFonts w:cs="Arial"/>
          <w:color w:val="000000"/>
        </w:rPr>
        <w:t>stainless steel, glass and porcelain in industrial, domestic and household applications</w:t>
      </w:r>
      <w:r>
        <w:rPr>
          <w:rFonts w:cs="Arial"/>
          <w:color w:val="000000"/>
        </w:rPr>
        <w:t xml:space="preserve">. It is an ingredient in </w:t>
      </w:r>
      <w:r w:rsidRPr="003E4839">
        <w:rPr>
          <w:rFonts w:cs="Arial"/>
          <w:color w:val="000000"/>
        </w:rPr>
        <w:t>bathroom and toilet cleaners</w:t>
      </w:r>
      <w:r>
        <w:rPr>
          <w:rFonts w:cs="Arial"/>
          <w:color w:val="000000"/>
        </w:rPr>
        <w:t>, m</w:t>
      </w:r>
      <w:r w:rsidRPr="003E4839">
        <w:rPr>
          <w:rFonts w:cs="Arial"/>
          <w:color w:val="000000"/>
        </w:rPr>
        <w:t>etal polish and descaler</w:t>
      </w:r>
      <w:r>
        <w:rPr>
          <w:rFonts w:cs="Arial"/>
          <w:color w:val="000000"/>
        </w:rPr>
        <w:t>, e</w:t>
      </w:r>
      <w:r w:rsidRPr="003E4839">
        <w:rPr>
          <w:rFonts w:cs="Arial"/>
          <w:color w:val="000000"/>
        </w:rPr>
        <w:t>tching agent in metal finishing</w:t>
      </w:r>
      <w:r>
        <w:rPr>
          <w:rFonts w:cs="Arial"/>
          <w:color w:val="000000"/>
        </w:rPr>
        <w:t xml:space="preserve"> and is a l</w:t>
      </w:r>
      <w:r w:rsidRPr="003E4839">
        <w:rPr>
          <w:rFonts w:cs="Arial"/>
          <w:color w:val="000000"/>
        </w:rPr>
        <w:t>aboratory reagent</w:t>
      </w:r>
      <w:r>
        <w:rPr>
          <w:rFonts w:cs="Arial"/>
          <w:color w:val="000000"/>
        </w:rPr>
        <w:t>.</w:t>
      </w:r>
    </w:p>
    <w:p w14:paraId="7333692C" w14:textId="77777777" w:rsidR="00C9153C" w:rsidRPr="00C417B6" w:rsidRDefault="00C9153C" w:rsidP="00C9153C">
      <w:pPr>
        <w:pStyle w:val="Heading4"/>
      </w:pPr>
      <w:bookmarkStart w:id="95" w:name="_Toc209035976"/>
      <w:r w:rsidRPr="00C417B6">
        <w:t>Summary of applicant’s reasons for the proposal</w:t>
      </w:r>
      <w:bookmarkEnd w:id="95"/>
    </w:p>
    <w:p w14:paraId="1656B074" w14:textId="77777777" w:rsidR="00C9153C" w:rsidRDefault="00C9153C" w:rsidP="00384359">
      <w:r w:rsidRPr="00C316AF">
        <w:t xml:space="preserve">While oxalic acid is corrosive at higher concentrations, the proposed amendment applies only to </w:t>
      </w:r>
      <w:r>
        <w:t>products</w:t>
      </w:r>
      <w:r w:rsidRPr="00C316AF">
        <w:t xml:space="preserve"> with 9.5% or less oxalic acid</w:t>
      </w:r>
      <w:r>
        <w:t xml:space="preserve"> – </w:t>
      </w:r>
      <w:r w:rsidRPr="00A2629D">
        <w:t>levels</w:t>
      </w:r>
      <w:r>
        <w:t xml:space="preserve"> </w:t>
      </w:r>
      <w:r w:rsidRPr="00A2629D">
        <w:t>that are considered manageable with proper labelling and packaging</w:t>
      </w:r>
      <w:r>
        <w:t xml:space="preserve">. </w:t>
      </w:r>
      <w:r w:rsidRPr="003D503E">
        <w:t>Oxalic acid at concentrations up to 9.5% is permitted in household cleaning products in the USA, Canada, UK, and EU</w:t>
      </w:r>
      <w:r>
        <w:t>.</w:t>
      </w:r>
    </w:p>
    <w:p w14:paraId="16BC022C" w14:textId="77777777" w:rsidR="00C9153C" w:rsidRDefault="00C9153C" w:rsidP="00384359">
      <w:r w:rsidRPr="0034437B">
        <w:t xml:space="preserve">These products are </w:t>
      </w:r>
      <w:r>
        <w:t>intended to be used</w:t>
      </w:r>
      <w:r w:rsidRPr="0034437B">
        <w:t xml:space="preserve"> for low-exposure, routine cleaning applications</w:t>
      </w:r>
      <w:r>
        <w:t xml:space="preserve">. </w:t>
      </w:r>
      <w:r w:rsidRPr="00BF775A">
        <w:t>Products such as Bar Keepers Friend have a long history of safe use</w:t>
      </w:r>
      <w:r>
        <w:t xml:space="preserve"> and</w:t>
      </w:r>
      <w:r w:rsidRPr="00BF775A">
        <w:t xml:space="preserve"> </w:t>
      </w:r>
      <w:r w:rsidRPr="0013468D">
        <w:t xml:space="preserve">are </w:t>
      </w:r>
      <w:r>
        <w:t xml:space="preserve">certified by </w:t>
      </w:r>
      <w:r w:rsidRPr="00A666CE">
        <w:t xml:space="preserve">National Sanitation Foundation </w:t>
      </w:r>
      <w:r>
        <w:t>as meeting</w:t>
      </w:r>
      <w:r w:rsidRPr="00A666CE">
        <w:t xml:space="preserve"> the public health and safety standards </w:t>
      </w:r>
      <w:r>
        <w:t xml:space="preserve">for use in </w:t>
      </w:r>
      <w:r w:rsidRPr="0013468D">
        <w:t>domestic, commercial, and industrial kitchens</w:t>
      </w:r>
      <w:r>
        <w:t>.</w:t>
      </w:r>
    </w:p>
    <w:p w14:paraId="45AC1605" w14:textId="77777777" w:rsidR="00C9153C" w:rsidRDefault="00C9153C" w:rsidP="00384359">
      <w:r w:rsidRPr="004D020C">
        <w:t>Product formats include robust sealed containers, spray bottles, and sealed powders</w:t>
      </w:r>
      <w:r>
        <w:t xml:space="preserve">, </w:t>
      </w:r>
      <w:r w:rsidRPr="004D020C">
        <w:t>each labelled with explicit safety instructions. These presentations are consistent with international standards and appropriate for household use.</w:t>
      </w:r>
    </w:p>
    <w:p w14:paraId="75D594F4" w14:textId="77777777" w:rsidR="00C9153C" w:rsidRDefault="00C9153C" w:rsidP="00384359">
      <w:r w:rsidRPr="00B171A3">
        <w:lastRenderedPageBreak/>
        <w:t>There is minimal risk of abuse or misuse</w:t>
      </w:r>
      <w:r>
        <w:t xml:space="preserve">, and risk can be further </w:t>
      </w:r>
      <w:r w:rsidRPr="00B41D91">
        <w:t>reduced through robust packaging including child-resistant features where applicable, and prominent warning and safety labels</w:t>
      </w:r>
      <w:r>
        <w:t>.</w:t>
      </w:r>
    </w:p>
    <w:p w14:paraId="1DC05E5C" w14:textId="77777777" w:rsidR="00C9153C" w:rsidRPr="004749F1" w:rsidRDefault="00C9153C" w:rsidP="00384359">
      <w:r>
        <w:t xml:space="preserve">In Australia, oxalic acid containing cleaning products are classified as Poison (Schedule 6). Therefore, international manufacturers need to adjust the formula to contain citric acid </w:t>
      </w:r>
      <w:r w:rsidRPr="008447E0">
        <w:t>to maintain Australian standards.</w:t>
      </w:r>
      <w:r>
        <w:t xml:space="preserve"> </w:t>
      </w:r>
      <w:r w:rsidRPr="008E0F3A">
        <w:t xml:space="preserve">This amendment would harmonise Australia's regulations with </w:t>
      </w:r>
      <w:r>
        <w:t>international</w:t>
      </w:r>
      <w:r w:rsidRPr="008E0F3A">
        <w:t xml:space="preserve"> markets, ensuring consistent global formulations, streamlined supply chains, and reduced regulatory burden for international manufacturers</w:t>
      </w:r>
      <w:r>
        <w:t xml:space="preserve"> </w:t>
      </w:r>
      <w:r w:rsidRPr="008E0F3A">
        <w:t>without compromising health outcomes</w:t>
      </w:r>
      <w:r>
        <w:t>.</w:t>
      </w:r>
    </w:p>
    <w:p w14:paraId="77F0C3DD" w14:textId="77777777" w:rsidR="00C9153C" w:rsidRPr="00C417B6" w:rsidRDefault="00C9153C" w:rsidP="00C9153C">
      <w:pPr>
        <w:pStyle w:val="Heading4"/>
      </w:pPr>
      <w:bookmarkStart w:id="96" w:name="_Toc209035977"/>
      <w:r w:rsidRPr="00C417B6">
        <w:t xml:space="preserve">Key </w:t>
      </w:r>
      <w:r>
        <w:t>and</w:t>
      </w:r>
      <w:r w:rsidRPr="00C417B6">
        <w:t xml:space="preserve"> expected use</w:t>
      </w:r>
      <w:bookmarkEnd w:id="96"/>
    </w:p>
    <w:p w14:paraId="6A96EA52" w14:textId="77777777" w:rsidR="00C9153C" w:rsidRPr="00C417B6" w:rsidRDefault="00C9153C" w:rsidP="00C9153C">
      <w:r>
        <w:rPr>
          <w:rFonts w:cs="Arial"/>
          <w:color w:val="000000"/>
        </w:rPr>
        <w:t>In Australia, oxalic acid is mostly found as dry powder (</w:t>
      </w:r>
      <w:r w:rsidRPr="00317B22">
        <w:rPr>
          <w:rFonts w:cs="Arial"/>
          <w:color w:val="000000"/>
        </w:rPr>
        <w:t>Diggers Rust &amp; Stain Cleaner</w:t>
      </w:r>
      <w:r>
        <w:rPr>
          <w:rFonts w:cs="Arial"/>
          <w:color w:val="000000"/>
        </w:rPr>
        <w:t xml:space="preserve">) for use on kitchen </w:t>
      </w:r>
      <w:r w:rsidRPr="00317B22">
        <w:rPr>
          <w:rFonts w:cs="Arial"/>
          <w:color w:val="000000"/>
        </w:rPr>
        <w:t>appliances, plumbing fixtures</w:t>
      </w:r>
      <w:r>
        <w:rPr>
          <w:rFonts w:cs="Arial"/>
          <w:color w:val="000000"/>
        </w:rPr>
        <w:t>,</w:t>
      </w:r>
      <w:r w:rsidRPr="00317B22">
        <w:rPr>
          <w:rFonts w:cs="Arial"/>
          <w:color w:val="000000"/>
        </w:rPr>
        <w:t xml:space="preserve"> </w:t>
      </w:r>
      <w:r>
        <w:rPr>
          <w:rFonts w:cs="Arial"/>
          <w:color w:val="000000"/>
        </w:rPr>
        <w:t xml:space="preserve">cement surfaces, timbers and masonry or as 10% solution (deck cleaners). </w:t>
      </w:r>
      <w:r>
        <w:t>The applicant intends to market c</w:t>
      </w:r>
      <w:r w:rsidRPr="006E6122">
        <w:t>ommercial, household and domestic</w:t>
      </w:r>
      <w:r>
        <w:t xml:space="preserve"> cleaning products containing 9.5% or less oxalic acid.</w:t>
      </w:r>
    </w:p>
    <w:p w14:paraId="3AA84181" w14:textId="77777777" w:rsidR="00C9153C" w:rsidRPr="00C417B6" w:rsidRDefault="00C9153C" w:rsidP="00C9153C">
      <w:pPr>
        <w:pStyle w:val="Heading4"/>
      </w:pPr>
      <w:bookmarkStart w:id="97" w:name="_Toc209035978"/>
      <w:r>
        <w:t>Australian regulations</w:t>
      </w:r>
      <w:bookmarkEnd w:id="97"/>
    </w:p>
    <w:p w14:paraId="63E5B30D" w14:textId="77777777" w:rsidR="00C9153C" w:rsidRPr="00E517F4" w:rsidRDefault="00C9153C" w:rsidP="00F30896">
      <w:pPr>
        <w:pStyle w:val="ListBullet"/>
      </w:pPr>
      <w:r w:rsidRPr="00E517F4">
        <w:t xml:space="preserve">According to the </w:t>
      </w:r>
      <w:hyperlink r:id="rId85">
        <w:r w:rsidRPr="00503702">
          <w:rPr>
            <w:rStyle w:val="Hyperlink"/>
          </w:rPr>
          <w:t>TGA Ingredient Database</w:t>
        </w:r>
      </w:hyperlink>
      <w:r w:rsidRPr="00E517F4">
        <w:t>, oxalic acid is:</w:t>
      </w:r>
    </w:p>
    <w:p w14:paraId="7E12D49B" w14:textId="704EF5A1" w:rsidR="00C9153C" w:rsidRPr="00194B17" w:rsidRDefault="00503702" w:rsidP="00C9153C">
      <w:pPr>
        <w:pStyle w:val="ListBullet2"/>
        <w:rPr>
          <w:color w:val="auto"/>
        </w:rPr>
      </w:pPr>
      <w:r>
        <w:rPr>
          <w:color w:val="auto"/>
        </w:rPr>
        <w:t>a</w:t>
      </w:r>
      <w:r w:rsidR="00C9153C" w:rsidRPr="00194B17">
        <w:rPr>
          <w:color w:val="auto"/>
        </w:rPr>
        <w:t>vailable for use as an active ingredient in: Biologicals, Export Only, Listed Medicines, Over the Counter, and Prescription Medicines.</w:t>
      </w:r>
    </w:p>
    <w:p w14:paraId="33734B2D" w14:textId="3C82E939" w:rsidR="00C9153C" w:rsidRPr="00194B17" w:rsidRDefault="00503702" w:rsidP="00C9153C">
      <w:pPr>
        <w:pStyle w:val="ListBullet2"/>
        <w:rPr>
          <w:color w:val="auto"/>
        </w:rPr>
      </w:pPr>
      <w:r>
        <w:rPr>
          <w:color w:val="auto"/>
        </w:rPr>
        <w:t>a</w:t>
      </w:r>
      <w:r w:rsidR="00C9153C" w:rsidRPr="00194B17">
        <w:rPr>
          <w:color w:val="auto"/>
        </w:rPr>
        <w:t>vailable for use in Listed Medicines as a Homoeopathic Ingredient only up to a total concentration of 10 mg/kg or 10 mg/L or 0.001%.</w:t>
      </w:r>
    </w:p>
    <w:p w14:paraId="6917C367" w14:textId="1E22B652" w:rsidR="00C9153C" w:rsidRPr="00194B17" w:rsidRDefault="00503702" w:rsidP="00C9153C">
      <w:pPr>
        <w:pStyle w:val="ListBullet2"/>
        <w:rPr>
          <w:color w:val="auto"/>
        </w:rPr>
      </w:pPr>
      <w:r>
        <w:rPr>
          <w:color w:val="auto"/>
        </w:rPr>
        <w:t>a</w:t>
      </w:r>
      <w:r w:rsidR="00C9153C" w:rsidRPr="00194B17">
        <w:rPr>
          <w:color w:val="auto"/>
        </w:rPr>
        <w:t>vailable for use as an Excipient Ingredient in: Biologicals, Devices, Prescription Medicines</w:t>
      </w:r>
    </w:p>
    <w:p w14:paraId="4FB04040" w14:textId="3C2133D5" w:rsidR="00C9153C" w:rsidRPr="00194B17" w:rsidRDefault="00503702" w:rsidP="00C9153C">
      <w:pPr>
        <w:pStyle w:val="ListBullet2"/>
        <w:rPr>
          <w:color w:val="auto"/>
        </w:rPr>
      </w:pPr>
      <w:r>
        <w:rPr>
          <w:color w:val="auto"/>
        </w:rPr>
        <w:t>n</w:t>
      </w:r>
      <w:r w:rsidR="00C9153C" w:rsidRPr="00194B17">
        <w:rPr>
          <w:color w:val="auto"/>
        </w:rPr>
        <w:t>ot available as an Equivalent Ingredient in any application.</w:t>
      </w:r>
    </w:p>
    <w:p w14:paraId="379DBE6D" w14:textId="4699527C" w:rsidR="00C9153C" w:rsidRDefault="00C9153C" w:rsidP="00F30896">
      <w:pPr>
        <w:pStyle w:val="ListBullet"/>
      </w:pPr>
      <w:r>
        <w:t xml:space="preserve">As of </w:t>
      </w:r>
      <w:r w:rsidR="00205B7E">
        <w:t>15 September</w:t>
      </w:r>
      <w:r>
        <w:t xml:space="preserve"> 2025, there were no medicines currently active on the </w:t>
      </w:r>
      <w:hyperlink r:id="rId86">
        <w:r w:rsidRPr="42F62398">
          <w:rPr>
            <w:rStyle w:val="Hyperlink"/>
          </w:rPr>
          <w:t>Australian Register of Therapeutic Goods (ARTG)</w:t>
        </w:r>
      </w:hyperlink>
      <w:r>
        <w:t xml:space="preserve"> that contain oxalic acid as an active ingredient.</w:t>
      </w:r>
    </w:p>
    <w:p w14:paraId="399F3A02" w14:textId="5DE73693" w:rsidR="00C9153C" w:rsidRDefault="00C9153C" w:rsidP="00F30896">
      <w:pPr>
        <w:pStyle w:val="ListBullet"/>
      </w:pPr>
      <w:r>
        <w:t xml:space="preserve">According to the </w:t>
      </w:r>
      <w:hyperlink r:id="rId87">
        <w:r w:rsidRPr="42F62398">
          <w:rPr>
            <w:rStyle w:val="Hyperlink"/>
          </w:rPr>
          <w:t>Therapeutic Goods (Permissible Ingredients) Determination</w:t>
        </w:r>
      </w:hyperlink>
      <w:r>
        <w:t xml:space="preserve"> No. 2 of 2025, oxalic acid is permitted to be included in listed medicines as follows</w:t>
      </w:r>
      <w:r w:rsidR="00D10D16">
        <w:t>.</w:t>
      </w:r>
    </w:p>
    <w:tbl>
      <w:tblPr>
        <w:tblStyle w:val="TableTGAblue2023"/>
        <w:tblW w:w="9067" w:type="dxa"/>
        <w:tblLayout w:type="fixed"/>
        <w:tblLook w:val="04A0" w:firstRow="1" w:lastRow="0" w:firstColumn="1" w:lastColumn="0" w:noHBand="0" w:noVBand="1"/>
      </w:tblPr>
      <w:tblGrid>
        <w:gridCol w:w="1129"/>
        <w:gridCol w:w="2410"/>
        <w:gridCol w:w="1276"/>
        <w:gridCol w:w="4252"/>
      </w:tblGrid>
      <w:tr w:rsidR="00F213FB" w:rsidRPr="00040E16" w14:paraId="237F7EEF" w14:textId="77777777" w:rsidTr="008F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C813379" w14:textId="77777777" w:rsidR="00C9153C" w:rsidRPr="00040E16" w:rsidRDefault="00C9153C" w:rsidP="008F121F">
            <w:pPr>
              <w:rPr>
                <w:sz w:val="20"/>
                <w:szCs w:val="20"/>
              </w:rPr>
            </w:pPr>
            <w:r w:rsidRPr="00040E16">
              <w:rPr>
                <w:sz w:val="20"/>
                <w:szCs w:val="20"/>
              </w:rPr>
              <w:t>Item</w:t>
            </w:r>
          </w:p>
        </w:tc>
        <w:tc>
          <w:tcPr>
            <w:tcW w:w="2410" w:type="dxa"/>
          </w:tcPr>
          <w:p w14:paraId="73A06D24" w14:textId="77777777" w:rsidR="00C9153C" w:rsidRPr="00040E16" w:rsidRDefault="00C9153C" w:rsidP="008F121F">
            <w:pPr>
              <w:cnfStyle w:val="100000000000" w:firstRow="1" w:lastRow="0" w:firstColumn="0" w:lastColumn="0" w:oddVBand="0" w:evenVBand="0" w:oddHBand="0" w:evenHBand="0" w:firstRowFirstColumn="0" w:firstRowLastColumn="0" w:lastRowFirstColumn="0" w:lastRowLastColumn="0"/>
              <w:rPr>
                <w:sz w:val="20"/>
                <w:szCs w:val="20"/>
              </w:rPr>
            </w:pPr>
            <w:r w:rsidRPr="00040E16">
              <w:rPr>
                <w:sz w:val="20"/>
                <w:szCs w:val="20"/>
              </w:rPr>
              <w:t>Ingredient name</w:t>
            </w:r>
          </w:p>
        </w:tc>
        <w:tc>
          <w:tcPr>
            <w:tcW w:w="1276" w:type="dxa"/>
          </w:tcPr>
          <w:p w14:paraId="6C87E327" w14:textId="77777777" w:rsidR="00C9153C" w:rsidRPr="00040E16" w:rsidRDefault="00C9153C" w:rsidP="008F121F">
            <w:pPr>
              <w:cnfStyle w:val="100000000000" w:firstRow="1" w:lastRow="0" w:firstColumn="0" w:lastColumn="0" w:oddVBand="0" w:evenVBand="0" w:oddHBand="0" w:evenHBand="0" w:firstRowFirstColumn="0" w:firstRowLastColumn="0" w:lastRowFirstColumn="0" w:lastRowLastColumn="0"/>
              <w:rPr>
                <w:sz w:val="20"/>
                <w:szCs w:val="20"/>
              </w:rPr>
            </w:pPr>
            <w:r w:rsidRPr="00040E16">
              <w:rPr>
                <w:sz w:val="20"/>
                <w:szCs w:val="20"/>
              </w:rPr>
              <w:t>Purpose</w:t>
            </w:r>
          </w:p>
        </w:tc>
        <w:tc>
          <w:tcPr>
            <w:tcW w:w="4252" w:type="dxa"/>
          </w:tcPr>
          <w:p w14:paraId="342250B8" w14:textId="77777777" w:rsidR="00C9153C" w:rsidRPr="00040E16" w:rsidRDefault="00C9153C" w:rsidP="008F121F">
            <w:pPr>
              <w:cnfStyle w:val="100000000000" w:firstRow="1" w:lastRow="0" w:firstColumn="0" w:lastColumn="0" w:oddVBand="0" w:evenVBand="0" w:oddHBand="0" w:evenHBand="0" w:firstRowFirstColumn="0" w:firstRowLastColumn="0" w:lastRowFirstColumn="0" w:lastRowLastColumn="0"/>
              <w:rPr>
                <w:b w:val="0"/>
                <w:sz w:val="20"/>
                <w:szCs w:val="20"/>
              </w:rPr>
            </w:pPr>
            <w:r w:rsidRPr="00040E16">
              <w:rPr>
                <w:sz w:val="20"/>
                <w:szCs w:val="20"/>
              </w:rPr>
              <w:t>Specific requirements</w:t>
            </w:r>
          </w:p>
        </w:tc>
      </w:tr>
      <w:tr w:rsidR="00C9153C" w:rsidRPr="00040E16" w14:paraId="633FF9EA" w14:textId="77777777" w:rsidTr="008F121F">
        <w:tc>
          <w:tcPr>
            <w:cnfStyle w:val="001000000000" w:firstRow="0" w:lastRow="0" w:firstColumn="1" w:lastColumn="0" w:oddVBand="0" w:evenVBand="0" w:oddHBand="0" w:evenHBand="0" w:firstRowFirstColumn="0" w:firstRowLastColumn="0" w:lastRowFirstColumn="0" w:lastRowLastColumn="0"/>
            <w:tcW w:w="1129" w:type="dxa"/>
          </w:tcPr>
          <w:p w14:paraId="6D35535D" w14:textId="77777777" w:rsidR="00C9153C" w:rsidRPr="00040E16" w:rsidRDefault="00C9153C" w:rsidP="008F121F">
            <w:pPr>
              <w:rPr>
                <w:sz w:val="20"/>
                <w:szCs w:val="20"/>
              </w:rPr>
            </w:pPr>
            <w:r w:rsidRPr="00040E16">
              <w:rPr>
                <w:sz w:val="20"/>
                <w:szCs w:val="20"/>
              </w:rPr>
              <w:t>3633</w:t>
            </w:r>
          </w:p>
        </w:tc>
        <w:tc>
          <w:tcPr>
            <w:tcW w:w="2410" w:type="dxa"/>
          </w:tcPr>
          <w:p w14:paraId="31CC0DFF" w14:textId="77777777" w:rsidR="00C9153C" w:rsidRPr="00040E16"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040E16">
              <w:rPr>
                <w:sz w:val="20"/>
                <w:szCs w:val="20"/>
              </w:rPr>
              <w:t>Oxalic acid</w:t>
            </w:r>
          </w:p>
        </w:tc>
        <w:tc>
          <w:tcPr>
            <w:tcW w:w="1276" w:type="dxa"/>
          </w:tcPr>
          <w:p w14:paraId="7C41C92C" w14:textId="77777777" w:rsidR="00C9153C" w:rsidRPr="00040E16"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040E16">
              <w:rPr>
                <w:sz w:val="20"/>
                <w:szCs w:val="20"/>
              </w:rPr>
              <w:t>H</w:t>
            </w:r>
          </w:p>
        </w:tc>
        <w:tc>
          <w:tcPr>
            <w:tcW w:w="4252" w:type="dxa"/>
          </w:tcPr>
          <w:p w14:paraId="02CF9F83" w14:textId="77777777" w:rsidR="00C9153C" w:rsidRPr="00040E16"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040E16">
              <w:rPr>
                <w:sz w:val="20"/>
                <w:szCs w:val="20"/>
              </w:rPr>
              <w:t>Only for use as an active homoeopathic ingredient.</w:t>
            </w:r>
          </w:p>
          <w:p w14:paraId="7227283F" w14:textId="77777777" w:rsidR="00C9153C" w:rsidRPr="00040E16" w:rsidRDefault="00C9153C" w:rsidP="008F121F">
            <w:pPr>
              <w:cnfStyle w:val="000000000000" w:firstRow="0" w:lastRow="0" w:firstColumn="0" w:lastColumn="0" w:oddVBand="0" w:evenVBand="0" w:oddHBand="0" w:evenHBand="0" w:firstRowFirstColumn="0" w:firstRowLastColumn="0" w:lastRowFirstColumn="0" w:lastRowLastColumn="0"/>
              <w:rPr>
                <w:sz w:val="20"/>
                <w:szCs w:val="20"/>
              </w:rPr>
            </w:pPr>
            <w:r w:rsidRPr="00040E16">
              <w:rPr>
                <w:sz w:val="20"/>
                <w:szCs w:val="20"/>
              </w:rPr>
              <w:t>The total concentration of oxalic acid in the medicine must not be more than 10 mg/kg or 10 mg/L or 0.001%.</w:t>
            </w:r>
          </w:p>
        </w:tc>
      </w:tr>
      <w:tr w:rsidR="00C9153C" w:rsidRPr="00040E16" w14:paraId="0999FFE7" w14:textId="77777777" w:rsidTr="008F121F">
        <w:tc>
          <w:tcPr>
            <w:cnfStyle w:val="001000000000" w:firstRow="0" w:lastRow="0" w:firstColumn="1" w:lastColumn="0" w:oddVBand="0" w:evenVBand="0" w:oddHBand="0" w:evenHBand="0" w:firstRowFirstColumn="0" w:firstRowLastColumn="0" w:lastRowFirstColumn="0" w:lastRowLastColumn="0"/>
            <w:tcW w:w="9067" w:type="dxa"/>
            <w:gridSpan w:val="4"/>
          </w:tcPr>
          <w:p w14:paraId="28636EAF" w14:textId="77777777" w:rsidR="00C9153C" w:rsidRPr="00040E16" w:rsidRDefault="00C9153C" w:rsidP="008F121F">
            <w:pPr>
              <w:rPr>
                <w:sz w:val="20"/>
                <w:szCs w:val="20"/>
              </w:rPr>
            </w:pPr>
            <w:r w:rsidRPr="00040E16">
              <w:rPr>
                <w:sz w:val="20"/>
                <w:szCs w:val="20"/>
              </w:rPr>
              <w:t>H = homoeopathic preparation ingredient meaning an ingredient that is a constituent of a homoeopathic preparation</w:t>
            </w:r>
          </w:p>
        </w:tc>
      </w:tr>
    </w:tbl>
    <w:p w14:paraId="73FAE99A" w14:textId="77777777" w:rsidR="00C9153C" w:rsidRDefault="00C9153C" w:rsidP="00F30896">
      <w:pPr>
        <w:pStyle w:val="ListBullet"/>
      </w:pPr>
      <w:r>
        <w:t xml:space="preserve">The </w:t>
      </w:r>
      <w:hyperlink r:id="rId88">
        <w:r w:rsidRPr="5F9373C9">
          <w:rPr>
            <w:rStyle w:val="Hyperlink"/>
          </w:rPr>
          <w:t>TGA prescribing medicines in pregnancy database</w:t>
        </w:r>
      </w:hyperlink>
      <w:r>
        <w:t xml:space="preserve"> does not include oxalic acid.</w:t>
      </w:r>
    </w:p>
    <w:p w14:paraId="7BE0AAFC" w14:textId="77777777" w:rsidR="00C9153C" w:rsidRPr="00C417B6" w:rsidRDefault="00C9153C" w:rsidP="00F30896">
      <w:pPr>
        <w:pStyle w:val="ListBullet"/>
      </w:pPr>
      <w:r w:rsidRPr="42F62398">
        <w:t xml:space="preserve">There </w:t>
      </w:r>
      <w:r>
        <w:t xml:space="preserve">are no warning statements pertaining to oxalic acid in the </w:t>
      </w:r>
      <w:hyperlink r:id="rId89">
        <w:r w:rsidRPr="42F62398">
          <w:rPr>
            <w:rStyle w:val="Hyperlink"/>
          </w:rPr>
          <w:t>Therapeutic Goods (Medicines Advisory Statements) Specification 2021</w:t>
        </w:r>
      </w:hyperlink>
      <w:r w:rsidRPr="42F62398">
        <w:t>.</w:t>
      </w:r>
    </w:p>
    <w:p w14:paraId="750C7111" w14:textId="746FE6A6" w:rsidR="00C9153C" w:rsidRPr="00C417B6" w:rsidRDefault="00205B7E" w:rsidP="00F30896">
      <w:pPr>
        <w:pStyle w:val="ListBullet"/>
      </w:pPr>
      <w:r>
        <w:t>As of 15 September 2025</w:t>
      </w:r>
      <w:r w:rsidR="00C9153C">
        <w:t xml:space="preserve">, there were no reports of adverse events for products containing oxalic acid as an active ingredient on the </w:t>
      </w:r>
      <w:hyperlink r:id="rId90">
        <w:r w:rsidR="00C9153C" w:rsidRPr="42F62398">
          <w:rPr>
            <w:rStyle w:val="Hyperlink"/>
          </w:rPr>
          <w:t>Database of Adverse Event Notifications (DAEN)</w:t>
        </w:r>
      </w:hyperlink>
      <w:r w:rsidR="00C9153C">
        <w:t>.</w:t>
      </w:r>
    </w:p>
    <w:p w14:paraId="795A8C30" w14:textId="370642D8" w:rsidR="00C9153C" w:rsidRPr="00C417B6" w:rsidRDefault="00205B7E" w:rsidP="00F30896">
      <w:pPr>
        <w:pStyle w:val="ListBullet"/>
      </w:pPr>
      <w:r>
        <w:t>As of 15 September 2025</w:t>
      </w:r>
      <w:r w:rsidR="00C9153C">
        <w:t xml:space="preserve">, there were no products containing oxalic acid as an active ingredient/constituent or scheduled substance listed on the </w:t>
      </w:r>
      <w:hyperlink r:id="rId91">
        <w:r w:rsidR="00C9153C" w:rsidRPr="42F62398">
          <w:rPr>
            <w:rStyle w:val="Hyperlink"/>
          </w:rPr>
          <w:t>Public Chemical Registration Information System Search (PubCRIS)</w:t>
        </w:r>
      </w:hyperlink>
      <w:r w:rsidR="00C9153C">
        <w:t>.</w:t>
      </w:r>
    </w:p>
    <w:p w14:paraId="21C106C0" w14:textId="11FBF135" w:rsidR="00C9153C" w:rsidRDefault="00C9153C" w:rsidP="00F30896">
      <w:pPr>
        <w:pStyle w:val="ListBullet"/>
      </w:pPr>
      <w:r>
        <w:t xml:space="preserve">In 2009-2019, </w:t>
      </w:r>
      <w:r w:rsidRPr="5F9373C9">
        <w:rPr>
          <w:rFonts w:eastAsia="Arial"/>
        </w:rPr>
        <w:t xml:space="preserve">no adverse experiences were recorded for oxalic acid </w:t>
      </w:r>
      <w:r>
        <w:t xml:space="preserve">in the </w:t>
      </w:r>
      <w:hyperlink r:id="rId92">
        <w:r w:rsidRPr="5F9373C9">
          <w:rPr>
            <w:rStyle w:val="Hyperlink"/>
          </w:rPr>
          <w:t>APVMA Adverse Experience Reporting Program</w:t>
        </w:r>
      </w:hyperlink>
      <w:r>
        <w:t xml:space="preserve"> databas</w:t>
      </w:r>
      <w:r w:rsidR="00503702">
        <w:t>e</w:t>
      </w:r>
      <w:r>
        <w:t>.</w:t>
      </w:r>
    </w:p>
    <w:p w14:paraId="77126CB7" w14:textId="219E909F" w:rsidR="00E517F4" w:rsidRPr="00F30896" w:rsidRDefault="00F30896" w:rsidP="00F30896">
      <w:pPr>
        <w:pStyle w:val="ListBullet"/>
      </w:pPr>
      <w:r>
        <w:lastRenderedPageBreak/>
        <w:t xml:space="preserve">Oxalic acid is listed </w:t>
      </w:r>
      <w:r w:rsidRPr="00F30896">
        <w:t xml:space="preserve">on the </w:t>
      </w:r>
      <w:hyperlink r:id="rId93" w:history="1">
        <w:r w:rsidRPr="00F30896">
          <w:rPr>
            <w:rStyle w:val="Hyperlink"/>
          </w:rPr>
          <w:t>Australian Inventory of Industrial Chemicals</w:t>
        </w:r>
      </w:hyperlink>
      <w:r>
        <w:t xml:space="preserve"> and a </w:t>
      </w:r>
      <w:hyperlink r:id="rId94" w:history="1">
        <w:r w:rsidR="00D774BA">
          <w:rPr>
            <w:rStyle w:val="Hyperlink"/>
          </w:rPr>
          <w:t>H</w:t>
        </w:r>
        <w:r w:rsidRPr="00F30896">
          <w:rPr>
            <w:rStyle w:val="Hyperlink"/>
          </w:rPr>
          <w:t xml:space="preserve">uman </w:t>
        </w:r>
        <w:r w:rsidR="00D774BA">
          <w:rPr>
            <w:rStyle w:val="Hyperlink"/>
          </w:rPr>
          <w:t>H</w:t>
        </w:r>
        <w:r w:rsidRPr="00F30896">
          <w:rPr>
            <w:rStyle w:val="Hyperlink"/>
          </w:rPr>
          <w:t xml:space="preserve">ealth </w:t>
        </w:r>
        <w:r w:rsidR="00D774BA">
          <w:rPr>
            <w:rStyle w:val="Hyperlink"/>
          </w:rPr>
          <w:t>Tier II A</w:t>
        </w:r>
        <w:r w:rsidRPr="00F30896">
          <w:rPr>
            <w:rStyle w:val="Hyperlink"/>
          </w:rPr>
          <w:t xml:space="preserve">ssessment of </w:t>
        </w:r>
        <w:r w:rsidR="00D774BA">
          <w:rPr>
            <w:rStyle w:val="Hyperlink"/>
          </w:rPr>
          <w:t>O</w:t>
        </w:r>
        <w:r w:rsidRPr="00F30896">
          <w:rPr>
            <w:rStyle w:val="Hyperlink"/>
          </w:rPr>
          <w:t>xalic acid</w:t>
        </w:r>
      </w:hyperlink>
      <w:r>
        <w:t xml:space="preserve"> was </w:t>
      </w:r>
      <w:r w:rsidR="00D774BA">
        <w:t>published</w:t>
      </w:r>
      <w:r>
        <w:t xml:space="preserve"> by the </w:t>
      </w:r>
      <w:r w:rsidRPr="00F30896">
        <w:t>National Industrial Chemicals Notification and Assessment Scheme</w:t>
      </w:r>
      <w:r>
        <w:t xml:space="preserve"> (now Australian Industrial Chemicals Introduction Scheme) in</w:t>
      </w:r>
      <w:r w:rsidR="00D774BA">
        <w:t xml:space="preserve"> </w:t>
      </w:r>
      <w:r>
        <w:t>2014.</w:t>
      </w:r>
    </w:p>
    <w:p w14:paraId="052CAA3A" w14:textId="77777777" w:rsidR="00C9153C" w:rsidRPr="00C417B6" w:rsidRDefault="00C9153C" w:rsidP="00C9153C">
      <w:pPr>
        <w:pStyle w:val="Heading4"/>
      </w:pPr>
      <w:bookmarkStart w:id="98" w:name="_Toc209035979"/>
      <w:r>
        <w:t>International regulations</w:t>
      </w:r>
      <w:bookmarkEnd w:id="98"/>
    </w:p>
    <w:p w14:paraId="1D8B2892" w14:textId="77777777" w:rsidR="00C9153C" w:rsidRDefault="00C9153C" w:rsidP="00F30896">
      <w:pPr>
        <w:pStyle w:val="ListBullet"/>
      </w:pPr>
      <w:r>
        <w:t xml:space="preserve">In the </w:t>
      </w:r>
      <w:r w:rsidRPr="00091B17">
        <w:t xml:space="preserve">United States Environmental Protection Agency’s </w:t>
      </w:r>
      <w:hyperlink r:id="rId95">
        <w:r>
          <w:rPr>
            <w:rStyle w:val="Hyperlink"/>
          </w:rPr>
          <w:t>Office of Pesticide Programs Database</w:t>
        </w:r>
      </w:hyperlink>
      <w:r w:rsidRPr="42F62398">
        <w:t xml:space="preserve"> oxalic acid is registered, and its pesticide type is listed as conventional chemical pesticide.</w:t>
      </w:r>
    </w:p>
    <w:p w14:paraId="7EA03709" w14:textId="77777777" w:rsidR="00C9153C" w:rsidRDefault="00C9153C" w:rsidP="00F30896">
      <w:pPr>
        <w:pStyle w:val="ListBullet"/>
      </w:pPr>
      <w:r>
        <w:t xml:space="preserve">In Europe, oxalic acid is listed in </w:t>
      </w:r>
      <w:hyperlink r:id="rId96">
        <w:r w:rsidRPr="42F62398">
          <w:rPr>
            <w:rStyle w:val="Hyperlink"/>
          </w:rPr>
          <w:t>European Commission database for information on cosmetic substances and ingredients database (CosIng)</w:t>
        </w:r>
      </w:hyperlink>
      <w:r w:rsidRPr="42F62398">
        <w:t xml:space="preserve"> as a chelating substance.</w:t>
      </w:r>
    </w:p>
    <w:p w14:paraId="636C57D7" w14:textId="77777777" w:rsidR="00C9153C" w:rsidRDefault="00C9153C" w:rsidP="00F30896">
      <w:pPr>
        <w:pStyle w:val="ListBullet"/>
      </w:pPr>
      <w:r>
        <w:t xml:space="preserve">According to </w:t>
      </w:r>
      <w:hyperlink r:id="rId97">
        <w:r w:rsidRPr="5F9373C9">
          <w:rPr>
            <w:rStyle w:val="Hyperlink"/>
          </w:rPr>
          <w:t>European Chemical Agency (ECHA),</w:t>
        </w:r>
      </w:hyperlink>
      <w:r>
        <w:t xml:space="preserve"> oxalic acid is registered under the REACH (Registration, Evaluation, Authorisation, and Restriction of Chemicals) Regulation and is manufactured in and/or imported to the European Economic Area. The substance has widespread use including consumer products for </w:t>
      </w:r>
      <w:r w:rsidRPr="00445441">
        <w:t>coating, polishes</w:t>
      </w:r>
      <w:r>
        <w:t>,</w:t>
      </w:r>
      <w:r w:rsidRPr="00445441">
        <w:t xml:space="preserve"> waxes</w:t>
      </w:r>
      <w:r>
        <w:t xml:space="preserve">, </w:t>
      </w:r>
      <w:r w:rsidRPr="00445441">
        <w:t xml:space="preserve">washing </w:t>
      </w:r>
      <w:r>
        <w:t>and</w:t>
      </w:r>
      <w:r w:rsidRPr="00445441">
        <w:t xml:space="preserve"> cleaning</w:t>
      </w:r>
      <w:r>
        <w:t>. According to the harmonised classification and labelling (CLP00) approved by the European Union, this substance is harmful if swallowed and is harmful in contact with skin. Oxalic acid is also identified as a substance that can cause serious eye damage.</w:t>
      </w:r>
    </w:p>
    <w:p w14:paraId="4E72D1CF" w14:textId="77777777" w:rsidR="00C9153C" w:rsidRDefault="00C9153C" w:rsidP="00F30896">
      <w:pPr>
        <w:pStyle w:val="ListBullet"/>
      </w:pPr>
      <w:r>
        <w:t>In the EU and ASEAN countries and New Zealand, the use of o</w:t>
      </w:r>
      <w:r w:rsidRPr="5F9373C9">
        <w:t xml:space="preserve">xalic acid </w:t>
      </w:r>
      <w:r>
        <w:t xml:space="preserve">in </w:t>
      </w:r>
      <w:r w:rsidRPr="5F9373C9">
        <w:t>hair products</w:t>
      </w:r>
      <w:r w:rsidRPr="009C611E">
        <w:t xml:space="preserve"> </w:t>
      </w:r>
      <w:r>
        <w:t>is restricted to</w:t>
      </w:r>
      <w:r w:rsidRPr="5F9373C9">
        <w:t xml:space="preserve"> professional</w:t>
      </w:r>
      <w:r>
        <w:t xml:space="preserve"> use and </w:t>
      </w:r>
      <w:r w:rsidRPr="5F9373C9">
        <w:t>at a maximum concentration of 5%</w:t>
      </w:r>
      <w:r>
        <w:t xml:space="preserve"> through listing in the following:</w:t>
      </w:r>
    </w:p>
    <w:p w14:paraId="25E7D1F6" w14:textId="77777777" w:rsidR="00C9153C" w:rsidRDefault="00C9153C" w:rsidP="00C9153C">
      <w:pPr>
        <w:pStyle w:val="ListBullet2"/>
      </w:pPr>
      <w:hyperlink r:id="rId98">
        <w:r w:rsidRPr="5F9373C9">
          <w:rPr>
            <w:rStyle w:val="Hyperlink"/>
          </w:rPr>
          <w:t>ASEAN Cosmetic Directive Annex III – Part 1</w:t>
        </w:r>
      </w:hyperlink>
      <w:r w:rsidRPr="5F9373C9">
        <w:t xml:space="preserve"> </w:t>
      </w:r>
      <w:r w:rsidRPr="00194B17">
        <w:rPr>
          <w:color w:val="auto"/>
        </w:rPr>
        <w:t>(List of substances which cosmetic products must not contain except subject to restrictions and conditions laid down)</w:t>
      </w:r>
    </w:p>
    <w:p w14:paraId="496E8316" w14:textId="77777777" w:rsidR="00C9153C" w:rsidRDefault="00C9153C" w:rsidP="00C9153C">
      <w:pPr>
        <w:pStyle w:val="ListBullet2"/>
      </w:pPr>
      <w:hyperlink r:id="rId99">
        <w:r w:rsidRPr="5F9373C9">
          <w:rPr>
            <w:rStyle w:val="Hyperlink"/>
          </w:rPr>
          <w:t>EU Regulation (EC) No 1223/2009 Annex III</w:t>
        </w:r>
      </w:hyperlink>
      <w:r w:rsidRPr="5F9373C9">
        <w:t xml:space="preserve"> </w:t>
      </w:r>
      <w:r w:rsidRPr="00194B17">
        <w:rPr>
          <w:color w:val="auto"/>
        </w:rPr>
        <w:t>(List of substances which cosmetic products must not contain except subject to the restrictions laid down).</w:t>
      </w:r>
    </w:p>
    <w:p w14:paraId="3CE646B5" w14:textId="266B4346" w:rsidR="00C9153C" w:rsidRDefault="00C9153C" w:rsidP="00F30896">
      <w:pPr>
        <w:pStyle w:val="ListBullet"/>
      </w:pPr>
      <w:r>
        <w:t>In New Zealand, oxalic acid is not</w:t>
      </w:r>
      <w:r w:rsidRPr="5F9373C9">
        <w:rPr>
          <w:rFonts w:eastAsia="Arial"/>
          <w:color w:val="222222"/>
          <w:sz w:val="21"/>
          <w:szCs w:val="21"/>
        </w:rPr>
        <w:t xml:space="preserve"> individual</w:t>
      </w:r>
      <w:r>
        <w:rPr>
          <w:rFonts w:eastAsia="Arial"/>
          <w:color w:val="222222"/>
          <w:sz w:val="21"/>
          <w:szCs w:val="21"/>
        </w:rPr>
        <w:t>ly approved</w:t>
      </w:r>
      <w:r w:rsidRPr="5F9373C9">
        <w:rPr>
          <w:rFonts w:eastAsia="Arial"/>
          <w:color w:val="222222"/>
          <w:sz w:val="21"/>
          <w:szCs w:val="21"/>
        </w:rPr>
        <w:t xml:space="preserve"> but may be used under an appropriate group standard </w:t>
      </w:r>
      <w:r>
        <w:t>with similar GHS classification and toxicity data (</w:t>
      </w:r>
      <w:hyperlink r:id="rId100">
        <w:r w:rsidRPr="5F9373C9">
          <w:rPr>
            <w:rStyle w:val="Hyperlink"/>
          </w:rPr>
          <w:t>New Zealand Inventory of Chemicals (NZIoC) database</w:t>
        </w:r>
      </w:hyperlink>
      <w:r>
        <w:t xml:space="preserve">). New Zealand has also placed restrictions on oxalic acid in hair care products similar to EU and the ASEAN countries by placing it in the </w:t>
      </w:r>
      <w:hyperlink r:id="rId101">
        <w:r w:rsidRPr="5F9373C9">
          <w:rPr>
            <w:rStyle w:val="Hyperlink"/>
          </w:rPr>
          <w:t>New Zealand Cosmetic Products Group Standard</w:t>
        </w:r>
      </w:hyperlink>
      <w:r>
        <w:t xml:space="preserve"> (</w:t>
      </w:r>
      <w:r w:rsidRPr="5F9373C9">
        <w:t>Schedule 5—Table 1</w:t>
      </w:r>
      <w:r>
        <w:t xml:space="preserve">; </w:t>
      </w:r>
      <w:r w:rsidRPr="5F9373C9">
        <w:t>Components cosmetic products must not contain except subject to the restrictions and conditions laid down).</w:t>
      </w:r>
    </w:p>
    <w:p w14:paraId="402A8A40" w14:textId="4A256AA3" w:rsidR="00C9153C" w:rsidRDefault="00C9153C" w:rsidP="00F30896">
      <w:pPr>
        <w:pStyle w:val="ListBullet"/>
      </w:pPr>
      <w:r w:rsidRPr="5F9373C9">
        <w:rPr>
          <w:rFonts w:eastAsia="Arial"/>
          <w:color w:val="000000" w:themeColor="text1"/>
        </w:rPr>
        <w:t xml:space="preserve">As of 28 August 2025, oxalic acid is not listed in </w:t>
      </w:r>
      <w:hyperlink r:id="rId102">
        <w:r>
          <w:rPr>
            <w:rStyle w:val="Hyperlink"/>
            <w:rFonts w:eastAsia="Arial"/>
          </w:rPr>
          <w:t>European Commission Comitology Register</w:t>
        </w:r>
      </w:hyperlink>
      <w:r>
        <w:t xml:space="preserve">, </w:t>
      </w:r>
      <w:hyperlink r:id="rId103">
        <w:r w:rsidRPr="5F9373C9">
          <w:rPr>
            <w:rStyle w:val="Hyperlink"/>
          </w:rPr>
          <w:t>New Zealand Medicines and Medical Devices Safety Authority (MedSafe</w:t>
        </w:r>
      </w:hyperlink>
      <w:r w:rsidRPr="5F9373C9">
        <w:t xml:space="preserve">), </w:t>
      </w:r>
      <w:hyperlink r:id="rId104">
        <w:r w:rsidRPr="5F9373C9">
          <w:rPr>
            <w:rStyle w:val="Hyperlink"/>
          </w:rPr>
          <w:t>The Orange Book: Approved Drug Products with Therapeutic Equivalence Evaluations,</w:t>
        </w:r>
      </w:hyperlink>
      <w:r w:rsidRPr="5F9373C9">
        <w:t xml:space="preserve"> and </w:t>
      </w:r>
      <w:r w:rsidRPr="5F9373C9">
        <w:rPr>
          <w:rStyle w:val="Hyperlink"/>
        </w:rPr>
        <w:t>United States Food and Drug Administration Approved Drug Products Database (Drugs@FDA)</w:t>
      </w:r>
      <w:r w:rsidRPr="5F9373C9">
        <w:t>.</w:t>
      </w:r>
      <w:r w:rsidRPr="009845DD">
        <w:t xml:space="preserve"> </w:t>
      </w:r>
      <w:r>
        <w:t xml:space="preserve">In the </w:t>
      </w:r>
      <w:hyperlink r:id="rId105">
        <w:r w:rsidRPr="5F9373C9">
          <w:rPr>
            <w:rStyle w:val="Hyperlink"/>
          </w:rPr>
          <w:t>Health Canada Drug Product Database,</w:t>
        </w:r>
      </w:hyperlink>
      <w:r>
        <w:t xml:space="preserve"> oxalic acid is listed in 7 cancelled post-market homeopathic products.</w:t>
      </w:r>
      <w:bookmarkStart w:id="99" w:name="_Toc122614237"/>
      <w:bookmarkEnd w:id="85"/>
      <w:bookmarkEnd w:id="89"/>
    </w:p>
    <w:p w14:paraId="022EA2B5" w14:textId="1878D51F" w:rsidR="00685E72" w:rsidRPr="00C417B6" w:rsidRDefault="009C3C0E" w:rsidP="009C3C0E">
      <w:pPr>
        <w:pStyle w:val="Heading2"/>
      </w:pPr>
      <w:bookmarkStart w:id="100" w:name="_Toc209035980"/>
      <w:r>
        <w:t>3</w:t>
      </w:r>
      <w:r>
        <w:tab/>
      </w:r>
      <w:r w:rsidR="00685E72" w:rsidRPr="00C417B6">
        <w:t>Proposed amendments referred for scheduling advice to the</w:t>
      </w:r>
      <w:r w:rsidR="00F258A8" w:rsidRPr="00C417B6">
        <w:t> </w:t>
      </w:r>
      <w:r w:rsidR="00685E72" w:rsidRPr="00C417B6">
        <w:t>Joint</w:t>
      </w:r>
      <w:r w:rsidR="00F258A8" w:rsidRPr="00C417B6">
        <w:t> </w:t>
      </w:r>
      <w:r w:rsidR="00685E72" w:rsidRPr="00C417B6">
        <w:t>ACMS-ACCS</w:t>
      </w:r>
      <w:r w:rsidR="00F258A8" w:rsidRPr="00C417B6">
        <w:t> </w:t>
      </w:r>
      <w:r w:rsidR="00685E72" w:rsidRPr="00C417B6">
        <w:t>meeting</w:t>
      </w:r>
      <w:r w:rsidR="00F258A8" w:rsidRPr="00C417B6">
        <w:t> </w:t>
      </w:r>
      <w:r w:rsidR="00685E72" w:rsidRPr="00C417B6">
        <w:t>#</w:t>
      </w:r>
      <w:bookmarkEnd w:id="99"/>
      <w:r w:rsidR="005C43AF">
        <w:t>42</w:t>
      </w:r>
      <w:bookmarkEnd w:id="100"/>
    </w:p>
    <w:p w14:paraId="5224BB2A" w14:textId="48380274" w:rsidR="00685E72" w:rsidRPr="00C417B6" w:rsidRDefault="009C3C0E" w:rsidP="009C3C0E">
      <w:pPr>
        <w:pStyle w:val="Heading3"/>
      </w:pPr>
      <w:bookmarkStart w:id="101" w:name="_Toc122614238"/>
      <w:bookmarkStart w:id="102" w:name="_Toc209035981"/>
      <w:r w:rsidRPr="00DE4B79">
        <w:t xml:space="preserve">3.1 </w:t>
      </w:r>
      <w:bookmarkEnd w:id="101"/>
      <w:r w:rsidR="005C43AF" w:rsidRPr="00DE4B79">
        <w:t>Hydroquinone</w:t>
      </w:r>
      <w:bookmarkEnd w:id="102"/>
    </w:p>
    <w:p w14:paraId="662D2A0D" w14:textId="77777777" w:rsidR="00685E72" w:rsidRPr="00C417B6" w:rsidRDefault="00685E72" w:rsidP="009C3C0E">
      <w:pPr>
        <w:pStyle w:val="Heading4"/>
      </w:pPr>
      <w:bookmarkStart w:id="103" w:name="_Toc122614239"/>
      <w:bookmarkStart w:id="104" w:name="_Toc209035982"/>
      <w:r w:rsidRPr="00C417B6">
        <w:t>Proposal</w:t>
      </w:r>
      <w:bookmarkEnd w:id="103"/>
      <w:bookmarkEnd w:id="104"/>
    </w:p>
    <w:p w14:paraId="17BAF33B" w14:textId="57D1FDA0" w:rsidR="0012353B" w:rsidRPr="00BD4290" w:rsidRDefault="0012353B" w:rsidP="00C417B6">
      <w:pPr>
        <w:rPr>
          <w:rFonts w:cs="Arial"/>
        </w:rPr>
      </w:pPr>
      <w:r w:rsidRPr="00BD4290">
        <w:rPr>
          <w:rFonts w:cs="Arial"/>
        </w:rPr>
        <w:t xml:space="preserve">The Department of Health, Disability and Ageing has proposed </w:t>
      </w:r>
      <w:r w:rsidR="00BD4290" w:rsidRPr="00BD4290">
        <w:rPr>
          <w:rFonts w:cs="Arial"/>
        </w:rPr>
        <w:t>deleting</w:t>
      </w:r>
      <w:r w:rsidRPr="00BD4290">
        <w:rPr>
          <w:rFonts w:cs="Arial"/>
        </w:rPr>
        <w:t xml:space="preserve"> the </w:t>
      </w:r>
      <w:r w:rsidR="000143E8">
        <w:rPr>
          <w:rFonts w:cs="Arial"/>
        </w:rPr>
        <w:t>Pharmacy medicine (</w:t>
      </w:r>
      <w:r w:rsidRPr="00BD4290">
        <w:rPr>
          <w:rFonts w:cs="Arial"/>
        </w:rPr>
        <w:t>Schedule</w:t>
      </w:r>
      <w:r w:rsidR="000143E8">
        <w:rPr>
          <w:rFonts w:cs="Arial"/>
        </w:rPr>
        <w:t> </w:t>
      </w:r>
      <w:r w:rsidRPr="00BD4290">
        <w:rPr>
          <w:rFonts w:cs="Arial"/>
        </w:rPr>
        <w:t>2</w:t>
      </w:r>
      <w:r w:rsidR="000143E8">
        <w:rPr>
          <w:rFonts w:cs="Arial"/>
        </w:rPr>
        <w:t>)</w:t>
      </w:r>
      <w:r w:rsidRPr="00BD4290">
        <w:rPr>
          <w:rFonts w:cs="Arial"/>
        </w:rPr>
        <w:t xml:space="preserve"> entry in the current Poisons Standard for hydroquinone.</w:t>
      </w:r>
      <w:r w:rsidR="004D496F" w:rsidRPr="00BD4290">
        <w:rPr>
          <w:rFonts w:cs="Arial"/>
        </w:rPr>
        <w:t xml:space="preserve"> </w:t>
      </w:r>
      <w:r w:rsidR="00BD4290" w:rsidRPr="00BD4290">
        <w:rPr>
          <w:rFonts w:cs="Arial"/>
        </w:rPr>
        <w:t>Under the proposal a</w:t>
      </w:r>
      <w:r w:rsidR="008C1C71" w:rsidRPr="00BD4290">
        <w:rPr>
          <w:rFonts w:cs="Arial"/>
        </w:rPr>
        <w:t xml:space="preserve">ll </w:t>
      </w:r>
      <w:r w:rsidR="00DE4B79" w:rsidRPr="00BD4290">
        <w:rPr>
          <w:rFonts w:cs="Arial"/>
        </w:rPr>
        <w:t xml:space="preserve">human external therapeutic or </w:t>
      </w:r>
      <w:r w:rsidR="008C1C71" w:rsidRPr="00BD4290">
        <w:rPr>
          <w:rFonts w:cs="Arial"/>
        </w:rPr>
        <w:t xml:space="preserve">cosmetic </w:t>
      </w:r>
      <w:r w:rsidR="00DE4B79" w:rsidRPr="00BD4290">
        <w:rPr>
          <w:rFonts w:cs="Arial"/>
        </w:rPr>
        <w:t xml:space="preserve">use </w:t>
      </w:r>
      <w:r w:rsidR="008C1C71" w:rsidRPr="00BD4290">
        <w:rPr>
          <w:rFonts w:cs="Arial"/>
        </w:rPr>
        <w:t>preparations</w:t>
      </w:r>
      <w:r w:rsidR="00DE4B79" w:rsidRPr="00BD4290">
        <w:rPr>
          <w:rFonts w:cs="Arial"/>
        </w:rPr>
        <w:t xml:space="preserve"> </w:t>
      </w:r>
      <w:r w:rsidR="00B3099D" w:rsidRPr="00BD4290">
        <w:rPr>
          <w:rFonts w:cs="Arial"/>
        </w:rPr>
        <w:t xml:space="preserve">of hydroquinone </w:t>
      </w:r>
      <w:r w:rsidR="00DE4B79" w:rsidRPr="00BD4290">
        <w:rPr>
          <w:rFonts w:cs="Arial"/>
        </w:rPr>
        <w:t xml:space="preserve">would be captured under the </w:t>
      </w:r>
      <w:r w:rsidR="00DE4B79" w:rsidRPr="00BD4290">
        <w:rPr>
          <w:rFonts w:cs="Arial"/>
        </w:rPr>
        <w:lastRenderedPageBreak/>
        <w:t>existing Schedule 4 entry</w:t>
      </w:r>
      <w:r w:rsidR="00BB17A4">
        <w:rPr>
          <w:rFonts w:cs="Arial"/>
        </w:rPr>
        <w:t>. Cosmetic preparations for</w:t>
      </w:r>
      <w:r w:rsidR="00DE4B79" w:rsidRPr="00BD4290">
        <w:rPr>
          <w:rFonts w:cs="Arial"/>
        </w:rPr>
        <w:t xml:space="preserve"> hair (</w:t>
      </w:r>
      <w:r w:rsidR="00B3099D" w:rsidRPr="00BD4290">
        <w:rPr>
          <w:rFonts w:cs="Arial"/>
        </w:rPr>
        <w:t xml:space="preserve">containing </w:t>
      </w:r>
      <w:r w:rsidR="00DE4B79" w:rsidRPr="00BD4290">
        <w:rPr>
          <w:rFonts w:cs="Arial"/>
        </w:rPr>
        <w:t>0.3% or less hydroquinone) and nail (</w:t>
      </w:r>
      <w:r w:rsidR="00B3099D" w:rsidRPr="00BD4290">
        <w:rPr>
          <w:rFonts w:cs="Arial"/>
        </w:rPr>
        <w:t xml:space="preserve">containing </w:t>
      </w:r>
      <w:r w:rsidR="00DE4B79" w:rsidRPr="00BD4290">
        <w:rPr>
          <w:rFonts w:cs="Arial"/>
        </w:rPr>
        <w:t>0.02% or less hydroquinone)</w:t>
      </w:r>
      <w:r w:rsidR="00B3099D" w:rsidRPr="00BD4290">
        <w:rPr>
          <w:rFonts w:cs="Arial"/>
        </w:rPr>
        <w:t xml:space="preserve"> </w:t>
      </w:r>
      <w:r w:rsidR="00BB17A4">
        <w:rPr>
          <w:rFonts w:cs="Arial"/>
        </w:rPr>
        <w:t>will continue to be</w:t>
      </w:r>
      <w:r w:rsidR="00E517F4">
        <w:rPr>
          <w:rFonts w:cs="Arial"/>
        </w:rPr>
        <w:t xml:space="preserve"> exempted from scheduling</w:t>
      </w:r>
      <w:r w:rsidR="00DE4B79" w:rsidRPr="00BD4290">
        <w:rPr>
          <w:rFonts w:cs="Arial"/>
        </w:rPr>
        <w:t>.</w:t>
      </w:r>
    </w:p>
    <w:p w14:paraId="0CC073C4" w14:textId="2284B7F0" w:rsidR="00685E72" w:rsidRPr="00BD4290" w:rsidRDefault="00685E72" w:rsidP="009C3C0E">
      <w:pPr>
        <w:pStyle w:val="Heading4"/>
        <w:rPr>
          <w:rFonts w:cs="Arial"/>
        </w:rPr>
      </w:pPr>
      <w:bookmarkStart w:id="105" w:name="_Toc122614240"/>
      <w:bookmarkStart w:id="106" w:name="_Toc209035983"/>
      <w:r w:rsidRPr="00BD4290">
        <w:rPr>
          <w:rFonts w:cs="Arial"/>
        </w:rPr>
        <w:t>CAS Number</w:t>
      </w:r>
      <w:bookmarkEnd w:id="105"/>
      <w:bookmarkEnd w:id="106"/>
    </w:p>
    <w:p w14:paraId="4E25F002" w14:textId="3838289A" w:rsidR="00685E72" w:rsidRPr="00BD4290" w:rsidRDefault="00441D45" w:rsidP="00C417B6">
      <w:pPr>
        <w:rPr>
          <w:rFonts w:cs="Arial"/>
        </w:rPr>
      </w:pPr>
      <w:r w:rsidRPr="00BD4290">
        <w:rPr>
          <w:rFonts w:cs="Arial"/>
        </w:rPr>
        <w:t>123-31-9</w:t>
      </w:r>
    </w:p>
    <w:p w14:paraId="20755359" w14:textId="77777777" w:rsidR="00685E72" w:rsidRPr="00BD4290" w:rsidRDefault="00685E72" w:rsidP="009C3C0E">
      <w:pPr>
        <w:pStyle w:val="Heading4"/>
        <w:rPr>
          <w:rFonts w:cs="Arial"/>
        </w:rPr>
      </w:pPr>
      <w:bookmarkStart w:id="107" w:name="_Toc122614241"/>
      <w:bookmarkStart w:id="108" w:name="_Toc209035984"/>
      <w:r w:rsidRPr="00BD4290">
        <w:rPr>
          <w:rFonts w:cs="Arial"/>
        </w:rPr>
        <w:t>Alternative names</w:t>
      </w:r>
      <w:bookmarkEnd w:id="107"/>
      <w:bookmarkEnd w:id="108"/>
    </w:p>
    <w:p w14:paraId="3BCABBB7" w14:textId="32D3B836" w:rsidR="008F6897" w:rsidRPr="00BD4290" w:rsidRDefault="00441D45" w:rsidP="00C417B6">
      <w:pPr>
        <w:rPr>
          <w:rFonts w:cs="Arial"/>
        </w:rPr>
      </w:pPr>
      <w:bookmarkStart w:id="109" w:name="_Toc122614249"/>
      <w:r w:rsidRPr="00BD4290">
        <w:rPr>
          <w:rFonts w:cs="Arial"/>
        </w:rPr>
        <w:t>1,4-Benzoquinol</w:t>
      </w:r>
      <w:r w:rsidR="005E5A3B" w:rsidRPr="00BD4290">
        <w:rPr>
          <w:rFonts w:cs="Arial"/>
        </w:rPr>
        <w:t>;</w:t>
      </w:r>
      <w:r w:rsidRPr="00BD4290">
        <w:rPr>
          <w:rFonts w:cs="Arial"/>
        </w:rPr>
        <w:t xml:space="preserve"> p-dihydroxybenzene; hydroquinol; quinol</w:t>
      </w:r>
    </w:p>
    <w:p w14:paraId="6B902535" w14:textId="77777777" w:rsidR="008F6897" w:rsidRPr="00BD4290" w:rsidRDefault="008F6897" w:rsidP="009C3C0E">
      <w:pPr>
        <w:pStyle w:val="Heading4"/>
        <w:rPr>
          <w:rFonts w:cs="Arial"/>
        </w:rPr>
      </w:pPr>
      <w:bookmarkStart w:id="110" w:name="_Toc209035985"/>
      <w:r w:rsidRPr="00BD4290">
        <w:rPr>
          <w:rFonts w:cs="Arial"/>
        </w:rPr>
        <w:t>Proposed Scheduling</w:t>
      </w:r>
      <w:bookmarkEnd w:id="110"/>
    </w:p>
    <w:p w14:paraId="1F27DA7B" w14:textId="457FDAEB" w:rsidR="008F6897" w:rsidRPr="00BD4290" w:rsidRDefault="008329A3" w:rsidP="00C417B6">
      <w:pPr>
        <w:rPr>
          <w:rFonts w:cs="Arial"/>
        </w:rPr>
      </w:pPr>
      <w:r w:rsidRPr="00BD4290">
        <w:rPr>
          <w:rFonts w:cs="Arial"/>
        </w:rPr>
        <w:t>Hydroquinone</w:t>
      </w:r>
      <w:r w:rsidR="008F6897" w:rsidRPr="00BD4290">
        <w:rPr>
          <w:rFonts w:cs="Arial"/>
        </w:rPr>
        <w:t xml:space="preserve"> is currently listed in Schedules </w:t>
      </w:r>
      <w:r w:rsidRPr="00BD4290">
        <w:rPr>
          <w:rFonts w:cs="Arial"/>
        </w:rPr>
        <w:t>2, 4</w:t>
      </w:r>
      <w:r w:rsidR="008F6897" w:rsidRPr="00BD4290">
        <w:rPr>
          <w:rFonts w:cs="Arial"/>
        </w:rPr>
        <w:t xml:space="preserve"> and </w:t>
      </w:r>
      <w:r w:rsidRPr="00BD4290">
        <w:rPr>
          <w:rFonts w:cs="Arial"/>
        </w:rPr>
        <w:t>6</w:t>
      </w:r>
      <w:r w:rsidR="008F6897" w:rsidRPr="00BD4290">
        <w:rPr>
          <w:rFonts w:cs="Arial"/>
        </w:rPr>
        <w:t xml:space="preserve"> of the Poisons Standard as follows</w:t>
      </w:r>
      <w:r w:rsidR="000175F5">
        <w:rPr>
          <w:rFonts w:cs="Arial"/>
        </w:rPr>
        <w:t>:</w:t>
      </w:r>
    </w:p>
    <w:p w14:paraId="56F55E33" w14:textId="1EBFA445" w:rsidR="00C64BEA" w:rsidRPr="00BD4290" w:rsidRDefault="00C64BEA" w:rsidP="00C64BEA">
      <w:pPr>
        <w:ind w:left="426"/>
        <w:rPr>
          <w:rFonts w:cs="Arial"/>
          <w:b/>
          <w:bCs/>
        </w:rPr>
      </w:pPr>
      <w:bookmarkStart w:id="111" w:name="_Hlk208323924"/>
      <w:r w:rsidRPr="00BD4290">
        <w:rPr>
          <w:rFonts w:cs="Arial"/>
          <w:b/>
          <w:bCs/>
        </w:rPr>
        <w:t xml:space="preserve">Schedule </w:t>
      </w:r>
      <w:r w:rsidR="008329A3" w:rsidRPr="00BD4290">
        <w:rPr>
          <w:rFonts w:cs="Arial"/>
          <w:b/>
          <w:bCs/>
        </w:rPr>
        <w:t>2</w:t>
      </w:r>
    </w:p>
    <w:p w14:paraId="59FC72CD" w14:textId="77777777" w:rsidR="008329A3" w:rsidRPr="00BD4290" w:rsidRDefault="008329A3" w:rsidP="008329A3">
      <w:pPr>
        <w:ind w:left="709"/>
        <w:rPr>
          <w:rFonts w:cs="Arial"/>
        </w:rPr>
      </w:pPr>
      <w:r w:rsidRPr="00BD4290">
        <w:rPr>
          <w:rFonts w:cs="Arial"/>
        </w:rPr>
        <w:t xml:space="preserve">HYDROQUINONE (excluding monobenzone and alkyl ethers of hydroquinone included in Schedule 4) in preparations for human external therapeutic or cosmetic use containing 2% or less of hydroquinone </w:t>
      </w:r>
      <w:r w:rsidRPr="00BD4290">
        <w:rPr>
          <w:rFonts w:cs="Arial"/>
          <w:b/>
          <w:bCs/>
        </w:rPr>
        <w:t>except</w:t>
      </w:r>
      <w:r w:rsidRPr="00BD4290">
        <w:rPr>
          <w:rFonts w:cs="Arial"/>
        </w:rPr>
        <w:t>:</w:t>
      </w:r>
    </w:p>
    <w:p w14:paraId="2958E682" w14:textId="77777777" w:rsidR="008329A3" w:rsidRPr="00BD4290" w:rsidRDefault="008329A3" w:rsidP="00F213FB">
      <w:pPr>
        <w:pStyle w:val="ListParagraph"/>
        <w:numPr>
          <w:ilvl w:val="0"/>
          <w:numId w:val="41"/>
        </w:numPr>
      </w:pPr>
      <w:r w:rsidRPr="00BD4290">
        <w:t>in hair preparations containing 0.3% or less of hydroquinone; or</w:t>
      </w:r>
    </w:p>
    <w:p w14:paraId="735C39D3" w14:textId="1DCA8A20" w:rsidR="008329A3" w:rsidRPr="00BD4290" w:rsidRDefault="008329A3" w:rsidP="00F213FB">
      <w:pPr>
        <w:pStyle w:val="ListParagraph"/>
        <w:numPr>
          <w:ilvl w:val="0"/>
          <w:numId w:val="41"/>
        </w:numPr>
      </w:pPr>
      <w:r w:rsidRPr="00BD4290">
        <w:t>in cosmetic nail preparations containing 0.02% or less of hydroquinone.</w:t>
      </w:r>
      <w:bookmarkEnd w:id="111"/>
    </w:p>
    <w:p w14:paraId="7C918DBE" w14:textId="19207BEF" w:rsidR="008329A3" w:rsidRPr="00BD4290" w:rsidRDefault="008329A3" w:rsidP="008329A3">
      <w:pPr>
        <w:ind w:left="426"/>
        <w:rPr>
          <w:rFonts w:cs="Arial"/>
          <w:b/>
          <w:bCs/>
        </w:rPr>
      </w:pPr>
      <w:r w:rsidRPr="00BD4290">
        <w:rPr>
          <w:rFonts w:cs="Arial"/>
          <w:b/>
          <w:bCs/>
        </w:rPr>
        <w:t>Schedule 4</w:t>
      </w:r>
    </w:p>
    <w:p w14:paraId="4EA5776D" w14:textId="77777777" w:rsidR="00AF1BC8" w:rsidRPr="00BD4290" w:rsidRDefault="008329A3" w:rsidP="00AF1BC8">
      <w:pPr>
        <w:ind w:left="709"/>
        <w:rPr>
          <w:rFonts w:cs="Arial"/>
        </w:rPr>
      </w:pPr>
      <w:r w:rsidRPr="00BD4290">
        <w:rPr>
          <w:rFonts w:cs="Arial"/>
        </w:rPr>
        <w:t>HYDROQUINONE (other than its alkyl ethers separately specified in this Schedule) in</w:t>
      </w:r>
      <w:r w:rsidR="00AF1BC8" w:rsidRPr="00BD4290">
        <w:rPr>
          <w:rFonts w:cs="Arial"/>
        </w:rPr>
        <w:t xml:space="preserve"> </w:t>
      </w:r>
      <w:r w:rsidRPr="00BD4290">
        <w:rPr>
          <w:rFonts w:cs="Arial"/>
        </w:rPr>
        <w:t xml:space="preserve">preparations for human therapeutic or cosmetic use </w:t>
      </w:r>
      <w:r w:rsidRPr="00BD4290">
        <w:rPr>
          <w:rFonts w:cs="Arial"/>
          <w:b/>
          <w:bCs/>
        </w:rPr>
        <w:t>except</w:t>
      </w:r>
      <w:r w:rsidRPr="00BD4290">
        <w:rPr>
          <w:rFonts w:cs="Arial"/>
        </w:rPr>
        <w:t>:</w:t>
      </w:r>
    </w:p>
    <w:p w14:paraId="12AEA2D0" w14:textId="77777777" w:rsidR="00AF1BC8" w:rsidRPr="00BD4290" w:rsidRDefault="008329A3" w:rsidP="00F213FB">
      <w:pPr>
        <w:pStyle w:val="ListParagraph"/>
      </w:pPr>
      <w:r w:rsidRPr="00BD4290">
        <w:t>when included in Schedule 2; or</w:t>
      </w:r>
    </w:p>
    <w:p w14:paraId="156BCB11" w14:textId="77777777" w:rsidR="00AF1BC8" w:rsidRPr="00BD4290" w:rsidRDefault="008329A3" w:rsidP="00F213FB">
      <w:pPr>
        <w:pStyle w:val="ListParagraph"/>
      </w:pPr>
      <w:r w:rsidRPr="00BD4290">
        <w:t>in hair preparations containing 0.3% or less of hydroquinone; or</w:t>
      </w:r>
    </w:p>
    <w:p w14:paraId="29870564" w14:textId="40A85904" w:rsidR="008329A3" w:rsidRPr="00BD4290" w:rsidRDefault="008329A3" w:rsidP="00F213FB">
      <w:pPr>
        <w:pStyle w:val="ListParagraph"/>
      </w:pPr>
      <w:r w:rsidRPr="00BD4290">
        <w:t>in cosmetic nail preparations containing 0.02% or less of hydroquinone.</w:t>
      </w:r>
    </w:p>
    <w:p w14:paraId="525C3BCD" w14:textId="37DD13E2" w:rsidR="008329A3" w:rsidRPr="00BD4290" w:rsidRDefault="008329A3" w:rsidP="008329A3">
      <w:pPr>
        <w:ind w:left="426"/>
        <w:rPr>
          <w:rFonts w:cs="Arial"/>
          <w:b/>
          <w:bCs/>
        </w:rPr>
      </w:pPr>
      <w:r w:rsidRPr="00BD4290">
        <w:rPr>
          <w:rFonts w:cs="Arial"/>
          <w:b/>
          <w:bCs/>
        </w:rPr>
        <w:t>Schedule 6</w:t>
      </w:r>
    </w:p>
    <w:p w14:paraId="233FD0BC" w14:textId="60A6A54E" w:rsidR="00AF1BC8" w:rsidRPr="00BD4290" w:rsidRDefault="00AF1BC8" w:rsidP="00A04C7C">
      <w:pPr>
        <w:ind w:left="709"/>
        <w:rPr>
          <w:rFonts w:cs="Arial"/>
        </w:rPr>
      </w:pPr>
      <w:r w:rsidRPr="00BD4290">
        <w:rPr>
          <w:rFonts w:cs="Arial"/>
        </w:rPr>
        <w:t xml:space="preserve">HYDROQUINONE </w:t>
      </w:r>
      <w:r w:rsidRPr="00BD4290">
        <w:rPr>
          <w:rFonts w:cs="Arial"/>
          <w:b/>
          <w:bCs/>
        </w:rPr>
        <w:t>except</w:t>
      </w:r>
      <w:r w:rsidRPr="00BD4290">
        <w:rPr>
          <w:rFonts w:cs="Arial"/>
        </w:rPr>
        <w:t>:</w:t>
      </w:r>
    </w:p>
    <w:p w14:paraId="57B9589F" w14:textId="52B30602" w:rsidR="00AF1BC8" w:rsidRPr="00BD4290" w:rsidRDefault="00A04C7C" w:rsidP="00F213FB">
      <w:pPr>
        <w:pStyle w:val="ListParagraph"/>
        <w:numPr>
          <w:ilvl w:val="0"/>
          <w:numId w:val="187"/>
        </w:numPr>
      </w:pPr>
      <w:r w:rsidRPr="00BD4290">
        <w:t>when included in Schedule 2 or 4; or</w:t>
      </w:r>
    </w:p>
    <w:p w14:paraId="3D4B3E9E" w14:textId="6E52BE1B" w:rsidR="00C64BEA" w:rsidRPr="00BD4290" w:rsidRDefault="00A04C7C" w:rsidP="00F213FB">
      <w:pPr>
        <w:pStyle w:val="ListParagraph"/>
      </w:pPr>
      <w:r w:rsidRPr="00BD4290">
        <w:t>in preparations containing 10% or less of hydroquinone.</w:t>
      </w:r>
    </w:p>
    <w:p w14:paraId="505324F2" w14:textId="0BD4670D" w:rsidR="00DD2783" w:rsidRPr="00BD4290" w:rsidRDefault="00C64BEA" w:rsidP="001A4ACB">
      <w:pPr>
        <w:rPr>
          <w:rFonts w:cs="Arial"/>
        </w:rPr>
      </w:pPr>
      <w:r w:rsidRPr="00BD4290">
        <w:rPr>
          <w:rFonts w:cs="Arial"/>
        </w:rPr>
        <w:t>It is also include</w:t>
      </w:r>
      <w:r w:rsidR="00BD4290" w:rsidRPr="00BD4290">
        <w:rPr>
          <w:rFonts w:cs="Arial"/>
        </w:rPr>
        <w:t>d</w:t>
      </w:r>
      <w:r w:rsidRPr="00BD4290">
        <w:rPr>
          <w:rFonts w:cs="Arial"/>
        </w:rPr>
        <w:t xml:space="preserve"> under the entr</w:t>
      </w:r>
      <w:r w:rsidR="00B3099D" w:rsidRPr="00BD4290">
        <w:rPr>
          <w:rFonts w:cs="Arial"/>
        </w:rPr>
        <w:t>ies</w:t>
      </w:r>
      <w:r w:rsidRPr="00BD4290">
        <w:rPr>
          <w:rFonts w:cs="Arial"/>
        </w:rPr>
        <w:t xml:space="preserve"> </w:t>
      </w:r>
      <w:r w:rsidR="001A4ACB" w:rsidRPr="00BD4290">
        <w:rPr>
          <w:rFonts w:cs="Arial"/>
        </w:rPr>
        <w:t>HYDROQUINONE</w:t>
      </w:r>
      <w:r w:rsidRPr="00BD4290">
        <w:rPr>
          <w:rFonts w:cs="Arial"/>
        </w:rPr>
        <w:t xml:space="preserve"> in Appendix E</w:t>
      </w:r>
      <w:r w:rsidR="001A4ACB" w:rsidRPr="00BD4290">
        <w:rPr>
          <w:rFonts w:cs="Arial"/>
        </w:rPr>
        <w:t xml:space="preserve"> and </w:t>
      </w:r>
      <w:r w:rsidRPr="00BD4290">
        <w:rPr>
          <w:rFonts w:cs="Arial"/>
        </w:rPr>
        <w:t>F as follows:</w:t>
      </w:r>
    </w:p>
    <w:p w14:paraId="0954F320" w14:textId="77777777" w:rsidR="001A4ACB" w:rsidRPr="00205B7E" w:rsidRDefault="00DD2783" w:rsidP="001A4ACB">
      <w:pPr>
        <w:ind w:left="284"/>
        <w:rPr>
          <w:rFonts w:cs="Arial"/>
          <w:b/>
          <w:bCs/>
        </w:rPr>
      </w:pPr>
      <w:r w:rsidRPr="00BD4290">
        <w:rPr>
          <w:rFonts w:cs="Arial"/>
          <w:b/>
          <w:bCs/>
        </w:rPr>
        <w:t xml:space="preserve">Appendix E, Clause </w:t>
      </w:r>
      <w:r w:rsidR="001A4ACB" w:rsidRPr="00BD4290">
        <w:rPr>
          <w:rFonts w:cs="Arial"/>
          <w:b/>
          <w:bCs/>
        </w:rPr>
        <w:t xml:space="preserve">3 </w:t>
      </w:r>
      <w:r w:rsidR="001A4ACB" w:rsidRPr="00205B7E">
        <w:rPr>
          <w:rFonts w:cs="Arial"/>
          <w:b/>
          <w:bCs/>
        </w:rPr>
        <w:t>– Poisons that must be labelled with first aid instructions</w:t>
      </w:r>
    </w:p>
    <w:p w14:paraId="4EC4DDD4" w14:textId="77777777" w:rsidR="00205B7E" w:rsidRDefault="00E015B3" w:rsidP="001A4ACB">
      <w:pPr>
        <w:ind w:left="284"/>
        <w:rPr>
          <w:rFonts w:cs="Arial"/>
        </w:rPr>
      </w:pPr>
      <w:r>
        <w:rPr>
          <w:rFonts w:cs="Arial"/>
        </w:rPr>
        <w:t xml:space="preserve">All scheduled hydroquinone preparations must be labelled with the statement: </w:t>
      </w:r>
    </w:p>
    <w:p w14:paraId="6BC3CC2E" w14:textId="4BA97E87" w:rsidR="00E015B3" w:rsidRDefault="00E015B3" w:rsidP="00205B7E">
      <w:pPr>
        <w:ind w:left="709"/>
        <w:rPr>
          <w:rFonts w:eastAsia="Arial" w:cs="Arial"/>
        </w:rPr>
      </w:pPr>
      <w:r w:rsidRPr="001A4ACB">
        <w:rPr>
          <w:rFonts w:eastAsia="Arial" w:cs="Arial"/>
        </w:rPr>
        <w:t>For advice, contact a Poisons Information Centre (e.g. phone Australia 13 11 26; New Zealand 0800 764 766) or a doctor (at once)</w:t>
      </w:r>
      <w:r w:rsidR="00205B7E">
        <w:rPr>
          <w:rFonts w:eastAsia="Arial" w:cs="Arial"/>
        </w:rPr>
        <w:t>.</w:t>
      </w:r>
    </w:p>
    <w:p w14:paraId="591D38D6" w14:textId="0114D9F1" w:rsidR="00E015B3" w:rsidRDefault="00E015B3" w:rsidP="001A4ACB">
      <w:pPr>
        <w:ind w:left="284"/>
        <w:rPr>
          <w:rFonts w:cs="Arial"/>
        </w:rPr>
      </w:pPr>
      <w:r>
        <w:rPr>
          <w:rFonts w:cs="Arial"/>
        </w:rPr>
        <w:t>All Schedule 4 and Schedule 6 preparations are to be additionally labelled with the following statements.</w:t>
      </w:r>
    </w:p>
    <w:p w14:paraId="49F88588" w14:textId="768A6928" w:rsidR="00E015B3" w:rsidRDefault="00E015B3" w:rsidP="00205B7E">
      <w:pPr>
        <w:ind w:left="709"/>
        <w:rPr>
          <w:rFonts w:eastAsia="Arial" w:cs="Arial"/>
        </w:rPr>
      </w:pPr>
      <w:r w:rsidRPr="00BD4290">
        <w:rPr>
          <w:rFonts w:eastAsia="Arial" w:cs="Arial"/>
        </w:rPr>
        <w:t>If swallowed, give activated charcoal if instructed.</w:t>
      </w:r>
    </w:p>
    <w:p w14:paraId="0B085BDE" w14:textId="5BE652D9" w:rsidR="00E015B3" w:rsidRDefault="00E015B3" w:rsidP="00205B7E">
      <w:pPr>
        <w:ind w:left="709"/>
        <w:rPr>
          <w:rFonts w:eastAsia="Arial" w:cs="Arial"/>
        </w:rPr>
      </w:pPr>
      <w:r w:rsidRPr="001A4ACB">
        <w:rPr>
          <w:rFonts w:eastAsia="Arial" w:cs="Arial"/>
        </w:rPr>
        <w:t>If swallowed, do NOT induce vomiting.</w:t>
      </w:r>
    </w:p>
    <w:p w14:paraId="7B591AB4" w14:textId="51A320FC" w:rsidR="00E015B3" w:rsidRDefault="00E015B3" w:rsidP="00205B7E">
      <w:pPr>
        <w:ind w:left="709"/>
        <w:rPr>
          <w:rFonts w:eastAsia="Arial" w:cs="Arial"/>
        </w:rPr>
      </w:pPr>
      <w:r w:rsidRPr="001A4ACB">
        <w:rPr>
          <w:rFonts w:eastAsia="Arial" w:cs="Arial"/>
        </w:rPr>
        <w:t>If in eyes, hold eyelids apart and flush the eye continuously with running water. Continue flushing until advised to stop by a Poisons Information Centre (e.g. phone Australia 13 11 26; New Zealand 0800 764 766) or a doctor, or for at least 15 minutes.</w:t>
      </w:r>
    </w:p>
    <w:p w14:paraId="104794F4" w14:textId="2F1F8CBC" w:rsidR="00E015B3" w:rsidRDefault="00E015B3" w:rsidP="00205B7E">
      <w:pPr>
        <w:ind w:left="709"/>
        <w:rPr>
          <w:rFonts w:eastAsia="Arial" w:cs="Arial"/>
        </w:rPr>
      </w:pPr>
      <w:r w:rsidRPr="00BD4290">
        <w:rPr>
          <w:rFonts w:eastAsia="Arial" w:cs="Arial"/>
        </w:rPr>
        <w:t>If swallowed or inhaled, remove from contaminated area. Apply artificial respiration if not breathing. Do not give direct mouth-to-mouth resuscitation. To protect rescuer, use air-viva, oxy-viva or one-way mask. Resuscitate in a well-ventilated area.</w:t>
      </w:r>
    </w:p>
    <w:p w14:paraId="0B652D6A" w14:textId="75F0F819" w:rsidR="00E015B3" w:rsidRPr="00A40099" w:rsidRDefault="00E015B3" w:rsidP="00205B7E">
      <w:pPr>
        <w:ind w:left="709"/>
        <w:rPr>
          <w:rFonts w:eastAsia="Arial" w:cs="Arial"/>
        </w:rPr>
      </w:pPr>
      <w:r w:rsidRPr="001A4ACB">
        <w:rPr>
          <w:rFonts w:eastAsia="Arial" w:cs="Arial"/>
        </w:rPr>
        <w:lastRenderedPageBreak/>
        <w:t>If skin or hair contact occurs, remove contaminated clothing and flush skin and hair with running water.</w:t>
      </w:r>
    </w:p>
    <w:p w14:paraId="7070CC66" w14:textId="78E55DC6" w:rsidR="00DD2783" w:rsidRDefault="00DD2783" w:rsidP="001A4ACB">
      <w:pPr>
        <w:ind w:left="426"/>
        <w:rPr>
          <w:rFonts w:eastAsia="Arial" w:cs="Arial"/>
        </w:rPr>
      </w:pPr>
      <w:r w:rsidRPr="00BD4290">
        <w:rPr>
          <w:rFonts w:cs="Arial"/>
          <w:b/>
          <w:bCs/>
        </w:rPr>
        <w:t xml:space="preserve">Appendix F, Clause </w:t>
      </w:r>
      <w:r w:rsidR="001A4ACB" w:rsidRPr="00BD4290">
        <w:rPr>
          <w:rFonts w:cs="Arial"/>
          <w:b/>
          <w:bCs/>
        </w:rPr>
        <w:t>4</w:t>
      </w:r>
      <w:r w:rsidR="00426C50" w:rsidRPr="00BD4290">
        <w:rPr>
          <w:rFonts w:cs="Arial"/>
          <w:b/>
          <w:bCs/>
        </w:rPr>
        <w:t xml:space="preserve"> </w:t>
      </w:r>
      <w:r w:rsidR="00426C50" w:rsidRPr="00205B7E">
        <w:rPr>
          <w:rFonts w:eastAsia="Arial" w:cs="Arial"/>
          <w:b/>
          <w:bCs/>
        </w:rPr>
        <w:t>– Warning statements and general safety directions for poisons</w:t>
      </w:r>
    </w:p>
    <w:p w14:paraId="20E616FD" w14:textId="77777777" w:rsidR="00E015B3" w:rsidRDefault="00E015B3" w:rsidP="001A4ACB">
      <w:pPr>
        <w:ind w:left="426"/>
        <w:rPr>
          <w:rFonts w:cs="Arial"/>
        </w:rPr>
      </w:pPr>
      <w:r>
        <w:rPr>
          <w:rFonts w:cs="Arial"/>
        </w:rPr>
        <w:t>Schedule 2 preparations of hydroquinone must be labelled with the statements:</w:t>
      </w:r>
    </w:p>
    <w:p w14:paraId="3AE5B2A3" w14:textId="0BF3F2C9" w:rsidR="00E015B3" w:rsidRPr="00BD4290" w:rsidRDefault="00E015B3" w:rsidP="00A40099">
      <w:pPr>
        <w:ind w:left="720"/>
        <w:rPr>
          <w:rFonts w:eastAsia="Arial" w:cs="Arial"/>
        </w:rPr>
      </w:pPr>
      <w:r w:rsidRPr="00BD4290">
        <w:rPr>
          <w:rFonts w:eastAsia="Arial" w:cs="Arial"/>
        </w:rPr>
        <w:t>WARNING – If a pigmented spot or mole has recently become darker, changed colour, become enlarged or itchy, or bleeds, do not use this product, see your doctor immediately.</w:t>
      </w:r>
    </w:p>
    <w:p w14:paraId="58F4B691" w14:textId="1902EC30" w:rsidR="00E015B3" w:rsidRDefault="00E015B3" w:rsidP="00A40099">
      <w:pPr>
        <w:ind w:left="720"/>
        <w:rPr>
          <w:rFonts w:eastAsia="Arial" w:cs="Arial"/>
        </w:rPr>
      </w:pPr>
      <w:r w:rsidRPr="00BD4290">
        <w:rPr>
          <w:rFonts w:eastAsia="Arial" w:cs="Arial"/>
        </w:rPr>
        <w:t>Do not use on children. Do not use near the eyes. Mild irritation may occur; stop use if it becomes severe. If fading is not evident in three months, seek doctor’s advice.</w:t>
      </w:r>
    </w:p>
    <w:p w14:paraId="574245FF" w14:textId="11EB657F" w:rsidR="007D0298" w:rsidRDefault="007D0298" w:rsidP="00E015B3">
      <w:pPr>
        <w:ind w:left="426"/>
        <w:rPr>
          <w:rFonts w:cs="Arial"/>
        </w:rPr>
      </w:pPr>
      <w:r>
        <w:rPr>
          <w:rFonts w:cs="Arial"/>
        </w:rPr>
        <w:t>All hydroquinone preparations except ones included in Schedules 2 and 4, must be labelled with the following statements:</w:t>
      </w:r>
    </w:p>
    <w:p w14:paraId="51551B8B" w14:textId="6B6C05DD" w:rsidR="007D0298" w:rsidRDefault="007D0298" w:rsidP="00A40099">
      <w:pPr>
        <w:ind w:left="720"/>
        <w:rPr>
          <w:rFonts w:cs="Arial"/>
        </w:rPr>
      </w:pPr>
      <w:r w:rsidRPr="00426C50">
        <w:rPr>
          <w:rFonts w:cs="Arial"/>
        </w:rPr>
        <w:t>Avoid contact with eyes</w:t>
      </w:r>
    </w:p>
    <w:p w14:paraId="4EFD382E" w14:textId="386AD5B6" w:rsidR="00426C50" w:rsidRPr="00A40099" w:rsidRDefault="007D0298" w:rsidP="00A40099">
      <w:pPr>
        <w:ind w:left="720"/>
        <w:rPr>
          <w:rFonts w:cs="Arial"/>
        </w:rPr>
      </w:pPr>
      <w:r w:rsidRPr="00426C50">
        <w:rPr>
          <w:rFonts w:cs="Arial"/>
        </w:rPr>
        <w:t>Avoid contact with eyes</w:t>
      </w:r>
      <w:r>
        <w:rPr>
          <w:rFonts w:cs="Arial"/>
        </w:rPr>
        <w:t>.</w:t>
      </w:r>
    </w:p>
    <w:p w14:paraId="325E517A" w14:textId="1E2F89CC" w:rsidR="00C64BEA" w:rsidRPr="00BD4290" w:rsidRDefault="00C64BEA" w:rsidP="00C64BEA">
      <w:pPr>
        <w:rPr>
          <w:rFonts w:cs="Arial"/>
        </w:rPr>
      </w:pPr>
      <w:r w:rsidRPr="00BD4290">
        <w:rPr>
          <w:rFonts w:cs="Arial"/>
        </w:rPr>
        <w:t>The proposed amendments to the Poisons Standard are</w:t>
      </w:r>
      <w:r w:rsidRPr="00BD4290">
        <w:rPr>
          <w:rFonts w:cs="Arial"/>
          <w:vertAlign w:val="superscript"/>
        </w:rPr>
        <w:footnoteReference w:id="14"/>
      </w:r>
      <w:r w:rsidRPr="00BD4290">
        <w:rPr>
          <w:rFonts w:cs="Arial"/>
        </w:rPr>
        <w:t>:</w:t>
      </w:r>
    </w:p>
    <w:p w14:paraId="6DA17A67" w14:textId="261EE286" w:rsidR="000C77E6" w:rsidRPr="00BD4290" w:rsidRDefault="000C77E6" w:rsidP="000C77E6">
      <w:pPr>
        <w:ind w:left="426"/>
        <w:rPr>
          <w:rFonts w:cs="Arial"/>
          <w:b/>
          <w:bCs/>
        </w:rPr>
      </w:pPr>
      <w:r w:rsidRPr="00BD4290">
        <w:rPr>
          <w:rFonts w:cs="Arial"/>
          <w:b/>
          <w:bCs/>
        </w:rPr>
        <w:t xml:space="preserve">Schedule 2 – </w:t>
      </w:r>
      <w:r w:rsidR="00FF721E" w:rsidRPr="00BD4290">
        <w:rPr>
          <w:rFonts w:cs="Arial"/>
          <w:b/>
          <w:bCs/>
        </w:rPr>
        <w:t>Delete</w:t>
      </w:r>
      <w:r w:rsidRPr="00BD4290">
        <w:rPr>
          <w:rFonts w:cs="Arial"/>
          <w:b/>
          <w:bCs/>
        </w:rPr>
        <w:t xml:space="preserve"> entry</w:t>
      </w:r>
    </w:p>
    <w:p w14:paraId="66E1A6DE" w14:textId="332AE80F" w:rsidR="000C77E6" w:rsidRPr="00BD4290" w:rsidRDefault="000C77E6" w:rsidP="000C77E6">
      <w:pPr>
        <w:ind w:left="709"/>
        <w:rPr>
          <w:rFonts w:cs="Arial"/>
        </w:rPr>
      </w:pPr>
      <w:r w:rsidRPr="00BD4290">
        <w:rPr>
          <w:rFonts w:cs="Arial"/>
          <w:strike/>
          <w:color w:val="FF0000"/>
        </w:rPr>
        <w:t>HYDROQUINONE (excluding monobenzone and alkyl ethers of hydroquinone included in Schedule 4) in preparations for human external therapeutic</w:t>
      </w:r>
      <w:r w:rsidR="00B543AA" w:rsidRPr="00BD4290">
        <w:rPr>
          <w:rFonts w:cs="Arial"/>
          <w:strike/>
          <w:color w:val="FF0000"/>
        </w:rPr>
        <w:t xml:space="preserve"> or cosmetic</w:t>
      </w:r>
      <w:r w:rsidR="008D528A" w:rsidRPr="00BD4290">
        <w:rPr>
          <w:rFonts w:cs="Arial"/>
          <w:strike/>
          <w:color w:val="FF0000"/>
        </w:rPr>
        <w:t xml:space="preserve"> </w:t>
      </w:r>
      <w:r w:rsidRPr="00BD4290">
        <w:rPr>
          <w:rFonts w:cs="Arial"/>
          <w:strike/>
          <w:color w:val="FF0000"/>
        </w:rPr>
        <w:t xml:space="preserve">use containing 2% or less of hydroquinone </w:t>
      </w:r>
      <w:r w:rsidRPr="00BD4290">
        <w:rPr>
          <w:rFonts w:cs="Arial"/>
          <w:b/>
          <w:bCs/>
          <w:strike/>
          <w:color w:val="FF0000"/>
        </w:rPr>
        <w:t>except</w:t>
      </w:r>
      <w:r w:rsidRPr="00BD4290">
        <w:rPr>
          <w:rFonts w:cs="Arial"/>
          <w:strike/>
          <w:color w:val="FF0000"/>
        </w:rPr>
        <w:t>:</w:t>
      </w:r>
    </w:p>
    <w:p w14:paraId="13D254CE" w14:textId="77777777" w:rsidR="000C77E6" w:rsidRPr="00F213FB" w:rsidRDefault="000C77E6" w:rsidP="00F213FB">
      <w:pPr>
        <w:pStyle w:val="ListParagraph"/>
        <w:numPr>
          <w:ilvl w:val="0"/>
          <w:numId w:val="46"/>
        </w:numPr>
        <w:rPr>
          <w:strike/>
          <w:color w:val="FF0000"/>
        </w:rPr>
      </w:pPr>
      <w:r w:rsidRPr="00F213FB">
        <w:rPr>
          <w:strike/>
          <w:color w:val="FF0000"/>
        </w:rPr>
        <w:t>in hair preparations containing 0.3% or less of hydroquinone; or</w:t>
      </w:r>
    </w:p>
    <w:p w14:paraId="3169C807" w14:textId="67FCBC90" w:rsidR="00FF721E" w:rsidRPr="00CB15BE" w:rsidRDefault="000C77E6" w:rsidP="00F213FB">
      <w:pPr>
        <w:pStyle w:val="ListParagraph"/>
        <w:numPr>
          <w:ilvl w:val="0"/>
          <w:numId w:val="46"/>
        </w:numPr>
      </w:pPr>
      <w:r w:rsidRPr="00F213FB">
        <w:rPr>
          <w:strike/>
          <w:color w:val="FF0000"/>
        </w:rPr>
        <w:t>in cosmetic nail preparations containing 0.02% or less of hydroquinone.</w:t>
      </w:r>
    </w:p>
    <w:p w14:paraId="3939A991" w14:textId="09E4E348" w:rsidR="00FF721E" w:rsidRPr="00BD4290" w:rsidRDefault="00FF721E" w:rsidP="00FF721E">
      <w:pPr>
        <w:ind w:left="426"/>
        <w:rPr>
          <w:rFonts w:cs="Arial"/>
          <w:b/>
          <w:bCs/>
        </w:rPr>
      </w:pPr>
      <w:r w:rsidRPr="00BD4290">
        <w:rPr>
          <w:rFonts w:cs="Arial"/>
          <w:b/>
          <w:bCs/>
        </w:rPr>
        <w:t>Schedule 4 – Amend entry</w:t>
      </w:r>
    </w:p>
    <w:p w14:paraId="742AECC6" w14:textId="77777777" w:rsidR="00FF721E" w:rsidRPr="00BD4290" w:rsidRDefault="00FF721E" w:rsidP="00FF721E">
      <w:pPr>
        <w:ind w:left="709"/>
        <w:rPr>
          <w:rFonts w:cs="Arial"/>
        </w:rPr>
      </w:pPr>
      <w:r w:rsidRPr="00BD4290">
        <w:rPr>
          <w:rFonts w:cs="Arial"/>
        </w:rPr>
        <w:t xml:space="preserve">HYDROQUINONE (other than its alkyl ethers separately specified in this Schedule) in preparations for human therapeutic or cosmetic use </w:t>
      </w:r>
      <w:r w:rsidRPr="00BD4290">
        <w:rPr>
          <w:rFonts w:cs="Arial"/>
          <w:b/>
          <w:bCs/>
        </w:rPr>
        <w:t>except</w:t>
      </w:r>
      <w:r w:rsidRPr="00BD4290">
        <w:rPr>
          <w:rFonts w:cs="Arial"/>
        </w:rPr>
        <w:t>:</w:t>
      </w:r>
    </w:p>
    <w:p w14:paraId="2DCA649D" w14:textId="6E257BAB" w:rsidR="00FF721E" w:rsidRPr="00F213FB" w:rsidRDefault="00F213FB" w:rsidP="00F213FB">
      <w:pPr>
        <w:ind w:left="338" w:firstLine="720"/>
        <w:rPr>
          <w:strike/>
        </w:rPr>
      </w:pPr>
      <w:r w:rsidRPr="00F213FB">
        <w:rPr>
          <w:strike/>
          <w:color w:val="FF0000"/>
        </w:rPr>
        <w:t xml:space="preserve">(a) </w:t>
      </w:r>
      <w:r w:rsidR="00FF721E" w:rsidRPr="00F213FB">
        <w:rPr>
          <w:strike/>
          <w:color w:val="FF0000"/>
        </w:rPr>
        <w:t>when included in Schedule 2; or</w:t>
      </w:r>
    </w:p>
    <w:p w14:paraId="4B7E3114" w14:textId="6ECAB71C" w:rsidR="00FF721E" w:rsidRDefault="00653050" w:rsidP="00F213FB">
      <w:pPr>
        <w:ind w:left="1418" w:hanging="360"/>
      </w:pPr>
      <w:r>
        <w:t xml:space="preserve">(b) </w:t>
      </w:r>
      <w:r w:rsidR="00FF721E" w:rsidRPr="00BD4290">
        <w:t>in hair preparations containing 0.3% or less of hydroquinone; or</w:t>
      </w:r>
    </w:p>
    <w:p w14:paraId="566ECDED" w14:textId="443A0530" w:rsidR="00FF721E" w:rsidRPr="00BD4290" w:rsidRDefault="00653050" w:rsidP="00F213FB">
      <w:pPr>
        <w:ind w:left="1418" w:hanging="360"/>
      </w:pPr>
      <w:r>
        <w:t xml:space="preserve">(c) </w:t>
      </w:r>
      <w:r w:rsidR="00FF721E" w:rsidRPr="00BD4290">
        <w:t>in cosmetic nail preparations containing 0.02% or less of hydroquinone</w:t>
      </w:r>
      <w:r w:rsidR="00B3099D" w:rsidRPr="00BD4290">
        <w:t>.</w:t>
      </w:r>
    </w:p>
    <w:p w14:paraId="7E393F53" w14:textId="62C029CD" w:rsidR="00AF3F29" w:rsidRPr="00BD4290" w:rsidRDefault="00AF3F29" w:rsidP="00AF3F29">
      <w:pPr>
        <w:ind w:left="426"/>
        <w:rPr>
          <w:rFonts w:cs="Arial"/>
          <w:b/>
          <w:bCs/>
        </w:rPr>
      </w:pPr>
      <w:r w:rsidRPr="00BD4290">
        <w:rPr>
          <w:rFonts w:cs="Arial"/>
          <w:b/>
          <w:bCs/>
        </w:rPr>
        <w:t>Schedule 6 – Amend entry</w:t>
      </w:r>
    </w:p>
    <w:p w14:paraId="753F3F59" w14:textId="77777777" w:rsidR="00AF3F29" w:rsidRPr="00BD4290" w:rsidRDefault="00AF3F29" w:rsidP="00AF3F29">
      <w:pPr>
        <w:ind w:left="709"/>
        <w:rPr>
          <w:rFonts w:cs="Arial"/>
        </w:rPr>
      </w:pPr>
      <w:r w:rsidRPr="00BD4290">
        <w:rPr>
          <w:rFonts w:cs="Arial"/>
        </w:rPr>
        <w:t xml:space="preserve">HYDROQUINONE </w:t>
      </w:r>
      <w:r w:rsidRPr="00BD4290">
        <w:rPr>
          <w:rFonts w:cs="Arial"/>
          <w:b/>
          <w:bCs/>
        </w:rPr>
        <w:t>except</w:t>
      </w:r>
      <w:r w:rsidRPr="00BD4290">
        <w:rPr>
          <w:rFonts w:cs="Arial"/>
        </w:rPr>
        <w:t>:</w:t>
      </w:r>
    </w:p>
    <w:p w14:paraId="38134FBC" w14:textId="0C0092BC" w:rsidR="00AF3F29" w:rsidRPr="00BD4290" w:rsidRDefault="00AF3F29" w:rsidP="00F213FB">
      <w:pPr>
        <w:pStyle w:val="ListParagraph"/>
        <w:numPr>
          <w:ilvl w:val="0"/>
          <w:numId w:val="188"/>
        </w:numPr>
      </w:pPr>
      <w:r w:rsidRPr="00BD4290">
        <w:t xml:space="preserve">when included </w:t>
      </w:r>
      <w:r w:rsidR="0057675F" w:rsidRPr="00F213FB">
        <w:rPr>
          <w:color w:val="00B050"/>
          <w:u w:val="single"/>
        </w:rPr>
        <w:t xml:space="preserve">or expressly excluded from </w:t>
      </w:r>
      <w:r w:rsidRPr="00F213FB">
        <w:rPr>
          <w:strike/>
          <w:color w:val="FF0000"/>
        </w:rPr>
        <w:t xml:space="preserve">in </w:t>
      </w:r>
      <w:r w:rsidRPr="00BD4290">
        <w:t xml:space="preserve">Schedule </w:t>
      </w:r>
      <w:r w:rsidRPr="00F213FB">
        <w:rPr>
          <w:strike/>
          <w:color w:val="FF0000"/>
        </w:rPr>
        <w:t>2 or</w:t>
      </w:r>
      <w:r w:rsidRPr="00F213FB">
        <w:rPr>
          <w:color w:val="FF0000"/>
        </w:rPr>
        <w:t xml:space="preserve"> </w:t>
      </w:r>
      <w:r w:rsidRPr="00BD4290">
        <w:t>4; or</w:t>
      </w:r>
    </w:p>
    <w:p w14:paraId="0CF05546" w14:textId="1B6C2A05" w:rsidR="008E0E5F" w:rsidRPr="00BD4290" w:rsidRDefault="00AF3F29" w:rsidP="00F213FB">
      <w:pPr>
        <w:pStyle w:val="ListParagraph"/>
      </w:pPr>
      <w:r w:rsidRPr="00BD4290">
        <w:t>in preparations containing 10% or less of hydroquinone.</w:t>
      </w:r>
    </w:p>
    <w:p w14:paraId="6DE90A2F" w14:textId="318B01A5" w:rsidR="00EA50A7" w:rsidRPr="00A40099" w:rsidRDefault="00EA50A7" w:rsidP="008E0E5F">
      <w:pPr>
        <w:ind w:left="284"/>
        <w:rPr>
          <w:rFonts w:cs="Arial"/>
        </w:rPr>
      </w:pPr>
      <w:r w:rsidRPr="00A40099">
        <w:rPr>
          <w:rFonts w:cs="Arial"/>
        </w:rPr>
        <w:t xml:space="preserve">Appendix E, clause 3 and Appendix F, clause 4 will be amended to remove the </w:t>
      </w:r>
      <w:r>
        <w:rPr>
          <w:rFonts w:cs="Arial"/>
        </w:rPr>
        <w:t>references to</w:t>
      </w:r>
      <w:r w:rsidRPr="00A40099">
        <w:rPr>
          <w:rFonts w:cs="Arial"/>
        </w:rPr>
        <w:t xml:space="preserve"> Schedule 2 preparations</w:t>
      </w:r>
      <w:r>
        <w:rPr>
          <w:rFonts w:cs="Arial"/>
        </w:rPr>
        <w:t>. First aid instructions, warning statements and safety directions applicable to other schedule preparations will remain the same.</w:t>
      </w:r>
    </w:p>
    <w:p w14:paraId="031835AE" w14:textId="350A64B4" w:rsidR="008E0E5F" w:rsidRPr="00BD4290" w:rsidRDefault="008E0E5F" w:rsidP="008E0E5F">
      <w:pPr>
        <w:ind w:left="284"/>
        <w:rPr>
          <w:rFonts w:cs="Arial"/>
        </w:rPr>
      </w:pPr>
      <w:r w:rsidRPr="00BD4290">
        <w:rPr>
          <w:rFonts w:cs="Arial"/>
          <w:b/>
          <w:bCs/>
        </w:rPr>
        <w:t>Appendix E, Clause 3 –</w:t>
      </w:r>
      <w:r w:rsidR="00BD4290" w:rsidRPr="00BD4290">
        <w:rPr>
          <w:rFonts w:cs="Arial"/>
          <w:b/>
          <w:bCs/>
        </w:rPr>
        <w:t xml:space="preserve"> Amend entry</w:t>
      </w:r>
    </w:p>
    <w:tbl>
      <w:tblPr>
        <w:tblStyle w:val="TableGrid"/>
        <w:tblW w:w="8539"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5528"/>
        <w:gridCol w:w="2302"/>
      </w:tblGrid>
      <w:tr w:rsidR="008E0E5F" w:rsidRPr="00BD4290" w14:paraId="0F70B763" w14:textId="77777777" w:rsidTr="002C4E8F">
        <w:trPr>
          <w:tblHeader/>
        </w:trPr>
        <w:tc>
          <w:tcPr>
            <w:tcW w:w="8539" w:type="dxa"/>
            <w:gridSpan w:val="3"/>
            <w:tcBorders>
              <w:top w:val="single" w:sz="12" w:space="0" w:color="auto"/>
            </w:tcBorders>
            <w:shd w:val="clear" w:color="auto" w:fill="auto"/>
          </w:tcPr>
          <w:p w14:paraId="52CFF82D" w14:textId="77777777" w:rsidR="008E0E5F" w:rsidRPr="00BD4290" w:rsidRDefault="008E0E5F" w:rsidP="002C4E8F">
            <w:pPr>
              <w:rPr>
                <w:rFonts w:cs="Arial"/>
                <w:b/>
                <w:bCs/>
                <w:sz w:val="20"/>
                <w:szCs w:val="20"/>
              </w:rPr>
            </w:pPr>
            <w:r w:rsidRPr="00BD4290">
              <w:rPr>
                <w:rFonts w:cs="Arial"/>
                <w:b/>
                <w:bCs/>
                <w:sz w:val="20"/>
                <w:szCs w:val="20"/>
              </w:rPr>
              <w:t>Poisons that must be labelled with first aid instructions</w:t>
            </w:r>
          </w:p>
        </w:tc>
      </w:tr>
      <w:tr w:rsidR="008E0E5F" w:rsidRPr="00BD4290" w14:paraId="210C678F" w14:textId="77777777" w:rsidTr="002C4E8F">
        <w:trPr>
          <w:tblHeader/>
        </w:trPr>
        <w:tc>
          <w:tcPr>
            <w:tcW w:w="709" w:type="dxa"/>
            <w:tcBorders>
              <w:top w:val="nil"/>
              <w:bottom w:val="single" w:sz="12" w:space="0" w:color="auto"/>
            </w:tcBorders>
            <w:shd w:val="clear" w:color="auto" w:fill="auto"/>
          </w:tcPr>
          <w:p w14:paraId="7237FDB2" w14:textId="77777777" w:rsidR="008E0E5F" w:rsidRPr="00BD4290" w:rsidRDefault="008E0E5F" w:rsidP="002C4E8F">
            <w:pPr>
              <w:rPr>
                <w:rFonts w:cs="Arial"/>
                <w:sz w:val="20"/>
                <w:szCs w:val="20"/>
              </w:rPr>
            </w:pPr>
            <w:r w:rsidRPr="00BD4290">
              <w:rPr>
                <w:rFonts w:cs="Arial"/>
                <w:sz w:val="20"/>
                <w:szCs w:val="20"/>
              </w:rPr>
              <w:t>Item</w:t>
            </w:r>
          </w:p>
        </w:tc>
        <w:tc>
          <w:tcPr>
            <w:tcW w:w="5528" w:type="dxa"/>
            <w:tcBorders>
              <w:top w:val="nil"/>
              <w:bottom w:val="single" w:sz="12" w:space="0" w:color="auto"/>
            </w:tcBorders>
            <w:shd w:val="clear" w:color="auto" w:fill="auto"/>
          </w:tcPr>
          <w:p w14:paraId="690C805C" w14:textId="77777777" w:rsidR="008E0E5F" w:rsidRPr="00BD4290" w:rsidRDefault="008E0E5F" w:rsidP="002C4E8F">
            <w:pPr>
              <w:rPr>
                <w:rFonts w:cs="Arial"/>
                <w:b/>
                <w:bCs/>
                <w:sz w:val="20"/>
                <w:szCs w:val="20"/>
              </w:rPr>
            </w:pPr>
            <w:r w:rsidRPr="00BD4290">
              <w:rPr>
                <w:rFonts w:cs="Arial"/>
                <w:b/>
                <w:bCs/>
                <w:sz w:val="20"/>
                <w:szCs w:val="20"/>
              </w:rPr>
              <w:t>Column 1</w:t>
            </w:r>
            <w:r w:rsidRPr="00BD4290">
              <w:rPr>
                <w:rFonts w:cs="Arial"/>
                <w:b/>
                <w:bCs/>
                <w:sz w:val="20"/>
                <w:szCs w:val="20"/>
              </w:rPr>
              <w:br/>
              <w:t>Poison</w:t>
            </w:r>
          </w:p>
        </w:tc>
        <w:tc>
          <w:tcPr>
            <w:tcW w:w="2302" w:type="dxa"/>
            <w:tcBorders>
              <w:top w:val="nil"/>
              <w:bottom w:val="single" w:sz="12" w:space="0" w:color="auto"/>
            </w:tcBorders>
            <w:shd w:val="clear" w:color="auto" w:fill="auto"/>
          </w:tcPr>
          <w:p w14:paraId="1FA53C70" w14:textId="77777777" w:rsidR="008E0E5F" w:rsidRPr="00BD4290" w:rsidRDefault="008E0E5F" w:rsidP="002C4E8F">
            <w:pPr>
              <w:rPr>
                <w:rFonts w:cs="Arial"/>
                <w:b/>
                <w:bCs/>
                <w:sz w:val="20"/>
                <w:szCs w:val="20"/>
              </w:rPr>
            </w:pPr>
            <w:r w:rsidRPr="00BD4290">
              <w:rPr>
                <w:rFonts w:cs="Arial"/>
                <w:b/>
                <w:bCs/>
                <w:sz w:val="20"/>
                <w:szCs w:val="20"/>
              </w:rPr>
              <w:t>Column 2</w:t>
            </w:r>
            <w:r w:rsidRPr="00BD4290">
              <w:rPr>
                <w:rFonts w:cs="Arial"/>
                <w:b/>
                <w:bCs/>
                <w:sz w:val="20"/>
                <w:szCs w:val="20"/>
              </w:rPr>
              <w:br/>
              <w:t>Statement code</w:t>
            </w:r>
          </w:p>
        </w:tc>
      </w:tr>
      <w:tr w:rsidR="008E0E5F" w:rsidRPr="00BD4290" w14:paraId="6FE49E98" w14:textId="77777777" w:rsidTr="002C4E8F">
        <w:tc>
          <w:tcPr>
            <w:tcW w:w="709" w:type="dxa"/>
            <w:tcBorders>
              <w:top w:val="single" w:sz="12" w:space="0" w:color="auto"/>
              <w:bottom w:val="single" w:sz="4" w:space="0" w:color="auto"/>
            </w:tcBorders>
            <w:shd w:val="clear" w:color="auto" w:fill="auto"/>
          </w:tcPr>
          <w:p w14:paraId="73EDAEBD" w14:textId="77777777" w:rsidR="008E0E5F" w:rsidRPr="00BD4290" w:rsidRDefault="008E0E5F" w:rsidP="002C4E8F">
            <w:pPr>
              <w:rPr>
                <w:rFonts w:cs="Arial"/>
                <w:strike/>
                <w:color w:val="FF0000"/>
                <w:sz w:val="20"/>
                <w:szCs w:val="20"/>
              </w:rPr>
            </w:pPr>
            <w:r w:rsidRPr="00BD4290">
              <w:rPr>
                <w:rFonts w:cs="Arial"/>
                <w:strike/>
                <w:color w:val="FF0000"/>
                <w:sz w:val="20"/>
                <w:szCs w:val="20"/>
              </w:rPr>
              <w:t>152</w:t>
            </w:r>
          </w:p>
        </w:tc>
        <w:tc>
          <w:tcPr>
            <w:tcW w:w="5528" w:type="dxa"/>
            <w:tcBorders>
              <w:top w:val="single" w:sz="12" w:space="0" w:color="auto"/>
              <w:bottom w:val="single" w:sz="4" w:space="0" w:color="auto"/>
            </w:tcBorders>
            <w:shd w:val="clear" w:color="auto" w:fill="auto"/>
          </w:tcPr>
          <w:p w14:paraId="0055880B" w14:textId="77777777" w:rsidR="008E0E5F" w:rsidRPr="00BD4290" w:rsidRDefault="008E0E5F" w:rsidP="002C4E8F">
            <w:pPr>
              <w:rPr>
                <w:rFonts w:cs="Arial"/>
                <w:strike/>
                <w:color w:val="FF0000"/>
                <w:sz w:val="20"/>
                <w:szCs w:val="20"/>
              </w:rPr>
            </w:pPr>
            <w:r w:rsidRPr="00BD4290">
              <w:rPr>
                <w:rFonts w:cs="Arial"/>
                <w:strike/>
                <w:color w:val="FF0000"/>
                <w:sz w:val="20"/>
                <w:szCs w:val="20"/>
              </w:rPr>
              <w:t>HYDROQUINONE—when included in Schedule 2</w:t>
            </w:r>
          </w:p>
        </w:tc>
        <w:tc>
          <w:tcPr>
            <w:tcW w:w="2302" w:type="dxa"/>
            <w:tcBorders>
              <w:top w:val="single" w:sz="12" w:space="0" w:color="auto"/>
              <w:bottom w:val="single" w:sz="4" w:space="0" w:color="auto"/>
            </w:tcBorders>
            <w:shd w:val="clear" w:color="auto" w:fill="auto"/>
          </w:tcPr>
          <w:p w14:paraId="6C50B961" w14:textId="77777777" w:rsidR="008E0E5F" w:rsidRPr="00BD4290" w:rsidRDefault="008E0E5F" w:rsidP="002C4E8F">
            <w:pPr>
              <w:rPr>
                <w:rFonts w:cs="Arial"/>
                <w:strike/>
                <w:color w:val="FF0000"/>
                <w:sz w:val="20"/>
                <w:szCs w:val="20"/>
              </w:rPr>
            </w:pPr>
            <w:r w:rsidRPr="00BD4290">
              <w:rPr>
                <w:rFonts w:cs="Arial"/>
                <w:strike/>
                <w:color w:val="FF0000"/>
                <w:sz w:val="20"/>
                <w:szCs w:val="20"/>
              </w:rPr>
              <w:t>A</w:t>
            </w:r>
          </w:p>
        </w:tc>
      </w:tr>
      <w:tr w:rsidR="008E0E5F" w:rsidRPr="00BD4290" w14:paraId="07D044F4" w14:textId="77777777" w:rsidTr="002C4E8F">
        <w:tc>
          <w:tcPr>
            <w:tcW w:w="709" w:type="dxa"/>
            <w:tcBorders>
              <w:top w:val="single" w:sz="4" w:space="0" w:color="auto"/>
              <w:bottom w:val="single" w:sz="18" w:space="0" w:color="auto"/>
            </w:tcBorders>
            <w:shd w:val="clear" w:color="auto" w:fill="auto"/>
          </w:tcPr>
          <w:p w14:paraId="30A52C13" w14:textId="77777777" w:rsidR="008E0E5F" w:rsidRPr="00BD4290" w:rsidRDefault="008E0E5F" w:rsidP="002C4E8F">
            <w:pPr>
              <w:rPr>
                <w:rFonts w:cs="Arial"/>
                <w:sz w:val="20"/>
                <w:szCs w:val="20"/>
              </w:rPr>
            </w:pPr>
            <w:r w:rsidRPr="00BD4290">
              <w:rPr>
                <w:rFonts w:cs="Arial"/>
                <w:sz w:val="20"/>
                <w:szCs w:val="20"/>
              </w:rPr>
              <w:t>153</w:t>
            </w:r>
          </w:p>
        </w:tc>
        <w:tc>
          <w:tcPr>
            <w:tcW w:w="5528" w:type="dxa"/>
            <w:tcBorders>
              <w:top w:val="single" w:sz="4" w:space="0" w:color="auto"/>
              <w:bottom w:val="single" w:sz="18" w:space="0" w:color="auto"/>
            </w:tcBorders>
            <w:shd w:val="clear" w:color="auto" w:fill="auto"/>
          </w:tcPr>
          <w:p w14:paraId="4B989C4F" w14:textId="77777777" w:rsidR="008E0E5F" w:rsidRPr="00BD4290" w:rsidRDefault="008E0E5F" w:rsidP="002C4E8F">
            <w:pPr>
              <w:rPr>
                <w:rFonts w:cs="Arial"/>
                <w:sz w:val="20"/>
                <w:szCs w:val="20"/>
              </w:rPr>
            </w:pPr>
            <w:r w:rsidRPr="00BD4290">
              <w:rPr>
                <w:rFonts w:cs="Arial"/>
                <w:sz w:val="20"/>
                <w:szCs w:val="20"/>
              </w:rPr>
              <w:t>HYDROQUINONE—when included in Schedule 4 or 6</w:t>
            </w:r>
          </w:p>
        </w:tc>
        <w:tc>
          <w:tcPr>
            <w:tcW w:w="2302" w:type="dxa"/>
            <w:tcBorders>
              <w:top w:val="single" w:sz="4" w:space="0" w:color="auto"/>
              <w:bottom w:val="single" w:sz="18" w:space="0" w:color="auto"/>
            </w:tcBorders>
            <w:shd w:val="clear" w:color="auto" w:fill="auto"/>
          </w:tcPr>
          <w:p w14:paraId="38B16083" w14:textId="77777777" w:rsidR="008E0E5F" w:rsidRPr="00BD4290" w:rsidRDefault="008E0E5F" w:rsidP="002C4E8F">
            <w:pPr>
              <w:rPr>
                <w:rFonts w:cs="Arial"/>
                <w:sz w:val="20"/>
                <w:szCs w:val="20"/>
              </w:rPr>
            </w:pPr>
            <w:r w:rsidRPr="00BD4290">
              <w:rPr>
                <w:rFonts w:cs="Arial"/>
                <w:sz w:val="20"/>
                <w:szCs w:val="20"/>
              </w:rPr>
              <w:t>A, G2, G3, E2, R2, S1</w:t>
            </w:r>
          </w:p>
        </w:tc>
      </w:tr>
    </w:tbl>
    <w:p w14:paraId="2C8A8143" w14:textId="35AE5C5E" w:rsidR="00D10D16" w:rsidRDefault="00D10D16" w:rsidP="008E0E5F">
      <w:pPr>
        <w:rPr>
          <w:rFonts w:cs="Arial"/>
        </w:rPr>
      </w:pPr>
    </w:p>
    <w:p w14:paraId="7D1A56AA" w14:textId="77777777" w:rsidR="00D10D16" w:rsidRDefault="00D10D16">
      <w:pPr>
        <w:rPr>
          <w:rFonts w:cs="Arial"/>
        </w:rPr>
      </w:pPr>
      <w:r>
        <w:rPr>
          <w:rFonts w:cs="Arial"/>
        </w:rPr>
        <w:br w:type="page"/>
      </w:r>
    </w:p>
    <w:p w14:paraId="6C6A2B2B" w14:textId="4F37CFF7" w:rsidR="008E0E5F" w:rsidRPr="00BD4290" w:rsidRDefault="008E0E5F" w:rsidP="008E0E5F">
      <w:pPr>
        <w:ind w:left="426"/>
        <w:rPr>
          <w:rFonts w:cs="Arial"/>
          <w:b/>
          <w:bCs/>
        </w:rPr>
      </w:pPr>
      <w:r w:rsidRPr="00BD4290">
        <w:rPr>
          <w:rFonts w:cs="Arial"/>
          <w:b/>
          <w:bCs/>
        </w:rPr>
        <w:lastRenderedPageBreak/>
        <w:t xml:space="preserve">Appendix F, Clause 4 </w:t>
      </w:r>
      <w:r w:rsidR="00BD4290" w:rsidRPr="00BD4290">
        <w:rPr>
          <w:rFonts w:cs="Arial"/>
          <w:b/>
          <w:bCs/>
        </w:rPr>
        <w:t>– Amend entry</w:t>
      </w:r>
    </w:p>
    <w:tbl>
      <w:tblPr>
        <w:tblStyle w:val="TableGrid"/>
        <w:tblW w:w="8547" w:type="dxa"/>
        <w:tblInd w:w="66"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51"/>
        <w:gridCol w:w="4961"/>
        <w:gridCol w:w="1418"/>
        <w:gridCol w:w="1417"/>
      </w:tblGrid>
      <w:tr w:rsidR="008E0E5F" w:rsidRPr="00426C50" w14:paraId="699EC616" w14:textId="77777777" w:rsidTr="002C4E8F">
        <w:trPr>
          <w:tblHeader/>
        </w:trPr>
        <w:tc>
          <w:tcPr>
            <w:tcW w:w="8547" w:type="dxa"/>
            <w:gridSpan w:val="4"/>
            <w:tcBorders>
              <w:top w:val="single" w:sz="12" w:space="0" w:color="auto"/>
              <w:bottom w:val="single" w:sz="2" w:space="0" w:color="auto"/>
            </w:tcBorders>
            <w:shd w:val="clear" w:color="auto" w:fill="auto"/>
          </w:tcPr>
          <w:p w14:paraId="40070D87" w14:textId="77777777" w:rsidR="008E0E5F" w:rsidRPr="00426C50" w:rsidRDefault="008E0E5F" w:rsidP="002C4E8F">
            <w:pPr>
              <w:spacing w:after="120" w:line="259" w:lineRule="auto"/>
              <w:rPr>
                <w:rFonts w:eastAsia="Arial" w:cs="Arial"/>
                <w:b/>
                <w:bCs/>
                <w:sz w:val="20"/>
              </w:rPr>
            </w:pPr>
            <w:r w:rsidRPr="00426C50">
              <w:rPr>
                <w:rFonts w:eastAsia="Arial" w:cs="Arial"/>
                <w:b/>
                <w:bCs/>
                <w:sz w:val="20"/>
              </w:rPr>
              <w:t>Poisons that must be labelled with warning statements and safety directions</w:t>
            </w:r>
          </w:p>
        </w:tc>
      </w:tr>
      <w:tr w:rsidR="008E0E5F" w:rsidRPr="00426C50" w14:paraId="2CA358F6" w14:textId="77777777" w:rsidTr="002C4E8F">
        <w:trPr>
          <w:tblHeader/>
        </w:trPr>
        <w:tc>
          <w:tcPr>
            <w:tcW w:w="751" w:type="dxa"/>
            <w:tcBorders>
              <w:top w:val="single" w:sz="2" w:space="0" w:color="auto"/>
              <w:bottom w:val="single" w:sz="12" w:space="0" w:color="auto"/>
            </w:tcBorders>
          </w:tcPr>
          <w:p w14:paraId="0B22363A" w14:textId="77777777" w:rsidR="008E0E5F" w:rsidRPr="00426C50" w:rsidRDefault="008E0E5F" w:rsidP="002C4E8F">
            <w:pPr>
              <w:spacing w:after="120" w:line="259" w:lineRule="auto"/>
              <w:rPr>
                <w:rFonts w:eastAsia="Arial" w:cs="Arial"/>
                <w:sz w:val="20"/>
              </w:rPr>
            </w:pPr>
            <w:r w:rsidRPr="00426C50">
              <w:rPr>
                <w:rFonts w:eastAsia="Arial" w:cs="Arial"/>
                <w:sz w:val="20"/>
              </w:rPr>
              <w:t>Item</w:t>
            </w:r>
          </w:p>
        </w:tc>
        <w:tc>
          <w:tcPr>
            <w:tcW w:w="4961" w:type="dxa"/>
            <w:tcBorders>
              <w:top w:val="single" w:sz="2" w:space="0" w:color="auto"/>
              <w:bottom w:val="single" w:sz="12" w:space="0" w:color="auto"/>
            </w:tcBorders>
            <w:shd w:val="clear" w:color="auto" w:fill="auto"/>
          </w:tcPr>
          <w:p w14:paraId="3A8708B1" w14:textId="77777777" w:rsidR="008E0E5F" w:rsidRPr="00426C50" w:rsidRDefault="008E0E5F" w:rsidP="002C4E8F">
            <w:pPr>
              <w:spacing w:after="120" w:line="259" w:lineRule="auto"/>
              <w:rPr>
                <w:rFonts w:eastAsia="Arial" w:cs="Arial"/>
                <w:b/>
                <w:bCs/>
                <w:sz w:val="20"/>
              </w:rPr>
            </w:pPr>
            <w:r w:rsidRPr="00426C50">
              <w:rPr>
                <w:rFonts w:eastAsia="Arial" w:cs="Arial"/>
                <w:b/>
                <w:bCs/>
                <w:sz w:val="20"/>
              </w:rPr>
              <w:t>Column 1</w:t>
            </w:r>
            <w:r w:rsidRPr="00426C50">
              <w:rPr>
                <w:rFonts w:eastAsia="Arial" w:cs="Arial"/>
                <w:b/>
                <w:bCs/>
                <w:sz w:val="20"/>
              </w:rPr>
              <w:br/>
              <w:t>Poison</w:t>
            </w:r>
          </w:p>
        </w:tc>
        <w:tc>
          <w:tcPr>
            <w:tcW w:w="1418" w:type="dxa"/>
            <w:tcBorders>
              <w:top w:val="single" w:sz="2" w:space="0" w:color="auto"/>
              <w:bottom w:val="single" w:sz="12" w:space="0" w:color="auto"/>
            </w:tcBorders>
            <w:shd w:val="clear" w:color="auto" w:fill="auto"/>
          </w:tcPr>
          <w:p w14:paraId="69653BED" w14:textId="77777777" w:rsidR="008E0E5F" w:rsidRPr="00426C50" w:rsidRDefault="008E0E5F" w:rsidP="002C4E8F">
            <w:pPr>
              <w:spacing w:after="120" w:line="259" w:lineRule="auto"/>
              <w:rPr>
                <w:rFonts w:eastAsia="Arial" w:cs="Arial"/>
                <w:b/>
                <w:bCs/>
                <w:sz w:val="20"/>
              </w:rPr>
            </w:pPr>
            <w:r w:rsidRPr="00426C50">
              <w:rPr>
                <w:rFonts w:eastAsia="Arial" w:cs="Arial"/>
                <w:b/>
                <w:bCs/>
                <w:sz w:val="20"/>
              </w:rPr>
              <w:t>Column 2</w:t>
            </w:r>
            <w:r w:rsidRPr="00426C50">
              <w:rPr>
                <w:rFonts w:eastAsia="Arial" w:cs="Arial"/>
                <w:b/>
                <w:bCs/>
                <w:sz w:val="20"/>
              </w:rPr>
              <w:br/>
              <w:t>Warning statement item number</w:t>
            </w:r>
          </w:p>
        </w:tc>
        <w:tc>
          <w:tcPr>
            <w:tcW w:w="1417" w:type="dxa"/>
            <w:tcBorders>
              <w:top w:val="single" w:sz="2" w:space="0" w:color="auto"/>
              <w:bottom w:val="single" w:sz="12" w:space="0" w:color="auto"/>
            </w:tcBorders>
            <w:shd w:val="clear" w:color="auto" w:fill="auto"/>
          </w:tcPr>
          <w:p w14:paraId="6BB8D3D4" w14:textId="77777777" w:rsidR="008E0E5F" w:rsidRPr="00426C50" w:rsidRDefault="008E0E5F" w:rsidP="002C4E8F">
            <w:pPr>
              <w:spacing w:after="120" w:line="259" w:lineRule="auto"/>
              <w:rPr>
                <w:rFonts w:eastAsia="Arial" w:cs="Arial"/>
                <w:b/>
                <w:bCs/>
                <w:sz w:val="20"/>
              </w:rPr>
            </w:pPr>
            <w:r w:rsidRPr="00426C50">
              <w:rPr>
                <w:rFonts w:eastAsia="Arial" w:cs="Arial"/>
                <w:b/>
                <w:bCs/>
                <w:sz w:val="20"/>
              </w:rPr>
              <w:t>Column 3</w:t>
            </w:r>
            <w:r w:rsidRPr="00426C50">
              <w:rPr>
                <w:rFonts w:eastAsia="Arial" w:cs="Arial"/>
                <w:b/>
                <w:bCs/>
                <w:sz w:val="20"/>
              </w:rPr>
              <w:br/>
              <w:t>Safety direction item number</w:t>
            </w:r>
          </w:p>
        </w:tc>
      </w:tr>
      <w:tr w:rsidR="008E0E5F" w:rsidRPr="00426C50" w14:paraId="58C8C8A1" w14:textId="77777777" w:rsidTr="002C4E8F">
        <w:tc>
          <w:tcPr>
            <w:tcW w:w="751" w:type="dxa"/>
            <w:tcBorders>
              <w:top w:val="single" w:sz="12" w:space="0" w:color="auto"/>
              <w:bottom w:val="single" w:sz="4" w:space="0" w:color="auto"/>
            </w:tcBorders>
          </w:tcPr>
          <w:p w14:paraId="1198B368" w14:textId="77777777" w:rsidR="008E0E5F" w:rsidRPr="00426C50" w:rsidRDefault="008E0E5F" w:rsidP="002C4E8F">
            <w:pPr>
              <w:spacing w:after="120" w:line="259" w:lineRule="auto"/>
              <w:rPr>
                <w:rFonts w:eastAsia="Arial" w:cs="Arial"/>
                <w:strike/>
                <w:color w:val="FF0000"/>
                <w:sz w:val="20"/>
              </w:rPr>
            </w:pPr>
            <w:r w:rsidRPr="00BD4290">
              <w:rPr>
                <w:rFonts w:eastAsia="Arial" w:cs="Arial"/>
                <w:strike/>
                <w:color w:val="FF0000"/>
                <w:sz w:val="20"/>
              </w:rPr>
              <w:t>176</w:t>
            </w:r>
          </w:p>
        </w:tc>
        <w:tc>
          <w:tcPr>
            <w:tcW w:w="4961" w:type="dxa"/>
            <w:tcBorders>
              <w:top w:val="single" w:sz="12" w:space="0" w:color="auto"/>
              <w:bottom w:val="single" w:sz="4" w:space="0" w:color="auto"/>
            </w:tcBorders>
            <w:shd w:val="clear" w:color="auto" w:fill="auto"/>
            <w:vAlign w:val="center"/>
          </w:tcPr>
          <w:p w14:paraId="2A274EAF" w14:textId="77777777" w:rsidR="008E0E5F" w:rsidRPr="00426C50" w:rsidRDefault="008E0E5F" w:rsidP="002C4E8F">
            <w:pPr>
              <w:spacing w:after="120" w:line="259" w:lineRule="auto"/>
              <w:rPr>
                <w:rFonts w:eastAsia="Arial" w:cs="Arial"/>
                <w:strike/>
                <w:color w:val="FF0000"/>
                <w:sz w:val="20"/>
              </w:rPr>
            </w:pPr>
            <w:r w:rsidRPr="00BD4290">
              <w:rPr>
                <w:rFonts w:eastAsia="Arial" w:cs="Arial"/>
                <w:strike/>
                <w:color w:val="FF0000"/>
                <w:sz w:val="20"/>
              </w:rPr>
              <w:t>HYDROQUINONE—when included in Schedule 2</w:t>
            </w:r>
          </w:p>
        </w:tc>
        <w:tc>
          <w:tcPr>
            <w:tcW w:w="1418" w:type="dxa"/>
            <w:tcBorders>
              <w:top w:val="single" w:sz="12" w:space="0" w:color="auto"/>
              <w:bottom w:val="single" w:sz="4" w:space="0" w:color="auto"/>
            </w:tcBorders>
            <w:shd w:val="clear" w:color="auto" w:fill="auto"/>
          </w:tcPr>
          <w:p w14:paraId="4102685D" w14:textId="77777777" w:rsidR="008E0E5F" w:rsidRPr="00426C50" w:rsidRDefault="008E0E5F" w:rsidP="002C4E8F">
            <w:pPr>
              <w:spacing w:after="120" w:line="259" w:lineRule="auto"/>
              <w:rPr>
                <w:rFonts w:eastAsia="Arial" w:cs="Arial"/>
                <w:strike/>
                <w:color w:val="FF0000"/>
                <w:sz w:val="20"/>
              </w:rPr>
            </w:pPr>
            <w:r w:rsidRPr="00BD4290">
              <w:rPr>
                <w:rFonts w:eastAsia="Arial" w:cs="Arial"/>
                <w:strike/>
                <w:color w:val="FF0000"/>
                <w:sz w:val="20"/>
              </w:rPr>
              <w:t>45</w:t>
            </w:r>
          </w:p>
        </w:tc>
        <w:tc>
          <w:tcPr>
            <w:tcW w:w="1417" w:type="dxa"/>
            <w:tcBorders>
              <w:top w:val="single" w:sz="12" w:space="0" w:color="auto"/>
              <w:bottom w:val="single" w:sz="4" w:space="0" w:color="auto"/>
            </w:tcBorders>
            <w:shd w:val="clear" w:color="auto" w:fill="auto"/>
          </w:tcPr>
          <w:p w14:paraId="146A9AFE" w14:textId="77777777" w:rsidR="008E0E5F" w:rsidRPr="00426C50" w:rsidRDefault="008E0E5F" w:rsidP="002C4E8F">
            <w:pPr>
              <w:spacing w:after="120" w:line="259" w:lineRule="auto"/>
              <w:rPr>
                <w:rFonts w:eastAsia="Arial" w:cs="Arial"/>
                <w:strike/>
                <w:color w:val="FF0000"/>
                <w:sz w:val="20"/>
              </w:rPr>
            </w:pPr>
          </w:p>
        </w:tc>
      </w:tr>
      <w:tr w:rsidR="008E0E5F" w:rsidRPr="00426C50" w14:paraId="01CF1442" w14:textId="77777777" w:rsidTr="002C4E8F">
        <w:tc>
          <w:tcPr>
            <w:tcW w:w="751" w:type="dxa"/>
            <w:tcBorders>
              <w:top w:val="single" w:sz="4" w:space="0" w:color="auto"/>
              <w:bottom w:val="single" w:sz="12" w:space="0" w:color="auto"/>
            </w:tcBorders>
          </w:tcPr>
          <w:p w14:paraId="29C5B7D5" w14:textId="77777777" w:rsidR="008E0E5F" w:rsidRPr="00426C50" w:rsidRDefault="008E0E5F" w:rsidP="002C4E8F">
            <w:pPr>
              <w:spacing w:after="120" w:line="259" w:lineRule="auto"/>
              <w:rPr>
                <w:rFonts w:eastAsia="Arial" w:cs="Arial"/>
                <w:sz w:val="20"/>
              </w:rPr>
            </w:pPr>
            <w:r w:rsidRPr="00BD4290">
              <w:rPr>
                <w:rFonts w:eastAsia="Arial" w:cs="Arial"/>
                <w:sz w:val="20"/>
              </w:rPr>
              <w:t>177</w:t>
            </w:r>
          </w:p>
        </w:tc>
        <w:tc>
          <w:tcPr>
            <w:tcW w:w="4961" w:type="dxa"/>
            <w:tcBorders>
              <w:top w:val="single" w:sz="4" w:space="0" w:color="auto"/>
              <w:bottom w:val="single" w:sz="12" w:space="0" w:color="auto"/>
            </w:tcBorders>
            <w:shd w:val="clear" w:color="auto" w:fill="auto"/>
            <w:vAlign w:val="center"/>
          </w:tcPr>
          <w:p w14:paraId="212A3D13" w14:textId="77777777" w:rsidR="008E0E5F" w:rsidRPr="00426C50" w:rsidRDefault="008E0E5F" w:rsidP="002C4E8F">
            <w:pPr>
              <w:rPr>
                <w:rFonts w:eastAsia="Arial" w:cs="Arial"/>
                <w:sz w:val="20"/>
              </w:rPr>
            </w:pPr>
            <w:r w:rsidRPr="00BD4290">
              <w:rPr>
                <w:rFonts w:eastAsia="Arial" w:cs="Arial"/>
                <w:sz w:val="20"/>
              </w:rPr>
              <w:t xml:space="preserve">HYDROQUINONE—except when included in Schedule </w:t>
            </w:r>
            <w:r w:rsidRPr="00BD4290">
              <w:rPr>
                <w:rFonts w:eastAsia="Arial" w:cs="Arial"/>
                <w:strike/>
                <w:color w:val="FF0000"/>
                <w:sz w:val="20"/>
              </w:rPr>
              <w:t xml:space="preserve">2 or </w:t>
            </w:r>
            <w:r w:rsidRPr="00BD4290">
              <w:rPr>
                <w:rFonts w:eastAsia="Arial" w:cs="Arial"/>
                <w:sz w:val="20"/>
              </w:rPr>
              <w:t>4</w:t>
            </w:r>
          </w:p>
        </w:tc>
        <w:tc>
          <w:tcPr>
            <w:tcW w:w="1418" w:type="dxa"/>
            <w:tcBorders>
              <w:top w:val="single" w:sz="4" w:space="0" w:color="auto"/>
              <w:bottom w:val="single" w:sz="12" w:space="0" w:color="auto"/>
            </w:tcBorders>
            <w:shd w:val="clear" w:color="auto" w:fill="auto"/>
          </w:tcPr>
          <w:p w14:paraId="6C75BB72" w14:textId="77777777" w:rsidR="008E0E5F" w:rsidRPr="00426C50" w:rsidRDefault="008E0E5F" w:rsidP="002C4E8F">
            <w:pPr>
              <w:spacing w:after="120" w:line="259" w:lineRule="auto"/>
              <w:rPr>
                <w:rFonts w:eastAsia="Arial" w:cs="Arial"/>
                <w:sz w:val="20"/>
              </w:rPr>
            </w:pPr>
          </w:p>
        </w:tc>
        <w:tc>
          <w:tcPr>
            <w:tcW w:w="1417" w:type="dxa"/>
            <w:tcBorders>
              <w:top w:val="single" w:sz="4" w:space="0" w:color="auto"/>
              <w:bottom w:val="single" w:sz="12" w:space="0" w:color="auto"/>
            </w:tcBorders>
            <w:shd w:val="clear" w:color="auto" w:fill="auto"/>
          </w:tcPr>
          <w:p w14:paraId="7BA4F16E" w14:textId="77777777" w:rsidR="008E0E5F" w:rsidRPr="00426C50" w:rsidRDefault="008E0E5F" w:rsidP="002C4E8F">
            <w:pPr>
              <w:spacing w:after="120" w:line="259" w:lineRule="auto"/>
              <w:rPr>
                <w:rFonts w:eastAsia="Arial" w:cs="Arial"/>
                <w:sz w:val="20"/>
              </w:rPr>
            </w:pPr>
            <w:r w:rsidRPr="00BD4290">
              <w:rPr>
                <w:rFonts w:eastAsia="Arial" w:cs="Arial"/>
                <w:sz w:val="20"/>
              </w:rPr>
              <w:t>1, 4</w:t>
            </w:r>
          </w:p>
        </w:tc>
      </w:tr>
    </w:tbl>
    <w:p w14:paraId="78E8B949" w14:textId="77777777" w:rsidR="008F6897" w:rsidRPr="00BD4290" w:rsidRDefault="008F6897" w:rsidP="009C3C0E">
      <w:pPr>
        <w:pStyle w:val="Heading4"/>
        <w:rPr>
          <w:rFonts w:cs="Arial"/>
        </w:rPr>
      </w:pPr>
      <w:bookmarkStart w:id="112" w:name="_Toc209035986"/>
      <w:r w:rsidRPr="00BD4290">
        <w:rPr>
          <w:rFonts w:cs="Arial"/>
        </w:rPr>
        <w:t>Background</w:t>
      </w:r>
      <w:bookmarkEnd w:id="112"/>
    </w:p>
    <w:p w14:paraId="73ADF02A" w14:textId="66BDAD11" w:rsidR="008D528A" w:rsidRDefault="008D528A" w:rsidP="00485B42">
      <w:pPr>
        <w:rPr>
          <w:rFonts w:cs="Arial"/>
        </w:rPr>
      </w:pPr>
      <w:r w:rsidRPr="00BD4290">
        <w:rPr>
          <w:rFonts w:cs="Arial"/>
        </w:rPr>
        <w:t xml:space="preserve">Hydroquinone is a skin lightening agent that </w:t>
      </w:r>
      <w:r w:rsidR="00B3099D" w:rsidRPr="00BD4290">
        <w:rPr>
          <w:rFonts w:cs="Arial"/>
        </w:rPr>
        <w:t xml:space="preserve">acts by </w:t>
      </w:r>
      <w:r w:rsidRPr="00BD4290">
        <w:rPr>
          <w:rFonts w:cs="Arial"/>
        </w:rPr>
        <w:t>inhibit</w:t>
      </w:r>
      <w:r w:rsidR="00B3099D" w:rsidRPr="00BD4290">
        <w:rPr>
          <w:rFonts w:cs="Arial"/>
        </w:rPr>
        <w:t>ing</w:t>
      </w:r>
      <w:r w:rsidRPr="00BD4290">
        <w:rPr>
          <w:rFonts w:cs="Arial"/>
        </w:rPr>
        <w:t xml:space="preserve"> melanin productio</w:t>
      </w:r>
      <w:r w:rsidR="008C1C71" w:rsidRPr="00BD4290">
        <w:rPr>
          <w:rFonts w:cs="Arial"/>
        </w:rPr>
        <w:t>n</w:t>
      </w:r>
      <w:r w:rsidRPr="00BD4290">
        <w:rPr>
          <w:rFonts w:cs="Arial"/>
        </w:rPr>
        <w:t xml:space="preserve">. It </w:t>
      </w:r>
      <w:r w:rsidR="00E517F4">
        <w:rPr>
          <w:rFonts w:cs="Arial"/>
        </w:rPr>
        <w:t xml:space="preserve">can be </w:t>
      </w:r>
      <w:r w:rsidRPr="00BD4290">
        <w:rPr>
          <w:rFonts w:cs="Arial"/>
        </w:rPr>
        <w:t>used to treat</w:t>
      </w:r>
      <w:r w:rsidR="008C1C71" w:rsidRPr="00BD4290">
        <w:rPr>
          <w:rFonts w:cs="Arial"/>
        </w:rPr>
        <w:t xml:space="preserve"> skin</w:t>
      </w:r>
      <w:r w:rsidR="00485B42" w:rsidRPr="00BD4290">
        <w:rPr>
          <w:rFonts w:cs="Arial"/>
        </w:rPr>
        <w:t xml:space="preserve"> </w:t>
      </w:r>
      <w:r w:rsidR="008C1C71" w:rsidRPr="00BD4290">
        <w:rPr>
          <w:rFonts w:cs="Arial"/>
        </w:rPr>
        <w:t>and nail hyperpigmentation or discoloration.</w:t>
      </w:r>
      <w:r w:rsidR="00485B42" w:rsidRPr="00BD4290">
        <w:rPr>
          <w:rFonts w:cs="Arial"/>
        </w:rPr>
        <w:t xml:space="preserve"> </w:t>
      </w:r>
      <w:r w:rsidR="008C1C71" w:rsidRPr="00BD4290">
        <w:rPr>
          <w:rFonts w:cs="Arial"/>
        </w:rPr>
        <w:t xml:space="preserve">It </w:t>
      </w:r>
      <w:r w:rsidR="00B3099D" w:rsidRPr="00BD4290">
        <w:rPr>
          <w:rFonts w:cs="Arial"/>
        </w:rPr>
        <w:t xml:space="preserve">is </w:t>
      </w:r>
      <w:r w:rsidR="008C1C71" w:rsidRPr="00BD4290">
        <w:rPr>
          <w:rFonts w:cs="Arial"/>
        </w:rPr>
        <w:t>also use</w:t>
      </w:r>
      <w:r w:rsidR="00B3099D" w:rsidRPr="00BD4290">
        <w:rPr>
          <w:rFonts w:cs="Arial"/>
        </w:rPr>
        <w:t>d</w:t>
      </w:r>
      <w:r w:rsidR="008C1C71" w:rsidRPr="00BD4290">
        <w:rPr>
          <w:rFonts w:cs="Arial"/>
        </w:rPr>
        <w:t xml:space="preserve"> as a photographic developer, antioxidant, stabili</w:t>
      </w:r>
      <w:r w:rsidR="00E517F4">
        <w:rPr>
          <w:rFonts w:cs="Arial"/>
        </w:rPr>
        <w:t>s</w:t>
      </w:r>
      <w:r w:rsidR="008C1C71" w:rsidRPr="00BD4290">
        <w:rPr>
          <w:rFonts w:cs="Arial"/>
        </w:rPr>
        <w:t>er (in paints, fuels, oils and polymers), chemical intermediate and in pharmaceuticals.</w:t>
      </w:r>
    </w:p>
    <w:p w14:paraId="5A4E158A" w14:textId="06BAA558" w:rsidR="0057675F" w:rsidRPr="00BD4290" w:rsidRDefault="0057675F" w:rsidP="0057675F">
      <w:pPr>
        <w:rPr>
          <w:rFonts w:cs="Arial"/>
        </w:rPr>
      </w:pPr>
      <w:r>
        <w:rPr>
          <w:rFonts w:cs="Arial"/>
        </w:rPr>
        <w:t xml:space="preserve">The current exemptions in the Poisons Standard allow hydroquinone to be used in hair preparations at up to 0.3% and cosmetic nail preparations at up to 0.02%. </w:t>
      </w:r>
      <w:r w:rsidRPr="00BD4290">
        <w:rPr>
          <w:rFonts w:cs="Arial"/>
        </w:rPr>
        <w:t xml:space="preserve">In hair preparations </w:t>
      </w:r>
      <w:r>
        <w:rPr>
          <w:rFonts w:cs="Arial"/>
        </w:rPr>
        <w:t>hydroquinone</w:t>
      </w:r>
      <w:r w:rsidRPr="00BD4290">
        <w:rPr>
          <w:rFonts w:cs="Arial"/>
        </w:rPr>
        <w:t xml:space="preserve"> is used as a coupler agent to induce or enhance chemical processes which lead to the formation of oxidative hair dyes.</w:t>
      </w:r>
      <w:r>
        <w:rPr>
          <w:rFonts w:cs="Arial"/>
        </w:rPr>
        <w:t xml:space="preserve"> H</w:t>
      </w:r>
      <w:r w:rsidRPr="00E272A7">
        <w:t xml:space="preserve">ydroquinone </w:t>
      </w:r>
      <w:r>
        <w:t>is</w:t>
      </w:r>
      <w:r w:rsidRPr="00E272A7">
        <w:t xml:space="preserve"> used in cosmetic nail </w:t>
      </w:r>
      <w:r>
        <w:t>preparations</w:t>
      </w:r>
      <w:r w:rsidRPr="00E272A7">
        <w:t xml:space="preserve"> to inhibit </w:t>
      </w:r>
      <w:r>
        <w:t xml:space="preserve">the </w:t>
      </w:r>
      <w:r w:rsidRPr="00E272A7">
        <w:t>polymeris</w:t>
      </w:r>
      <w:r>
        <w:t>ation of c</w:t>
      </w:r>
      <w:r w:rsidRPr="00E272A7">
        <w:t>ertain monomers</w:t>
      </w:r>
      <w:r>
        <w:t>.</w:t>
      </w:r>
    </w:p>
    <w:p w14:paraId="1319105F" w14:textId="767BB3C3" w:rsidR="008F6897" w:rsidRPr="00BD4290" w:rsidRDefault="00CF286C" w:rsidP="00C417B6">
      <w:pPr>
        <w:rPr>
          <w:rFonts w:cs="Arial"/>
          <w:highlight w:val="cyan"/>
        </w:rPr>
      </w:pPr>
      <w:r>
        <w:rPr>
          <w:rFonts w:cs="Arial"/>
        </w:rPr>
        <w:t>In</w:t>
      </w:r>
      <w:r w:rsidR="008C1C71" w:rsidRPr="00BD4290">
        <w:rPr>
          <w:rFonts w:cs="Arial"/>
        </w:rPr>
        <w:t xml:space="preserve"> </w:t>
      </w:r>
      <w:r w:rsidR="00A40099">
        <w:rPr>
          <w:rFonts w:cs="Arial"/>
        </w:rPr>
        <w:t>February</w:t>
      </w:r>
      <w:r>
        <w:rPr>
          <w:rFonts w:cs="Arial"/>
        </w:rPr>
        <w:t xml:space="preserve"> </w:t>
      </w:r>
      <w:r w:rsidR="008C1C71" w:rsidRPr="00BD4290">
        <w:rPr>
          <w:rFonts w:cs="Arial"/>
        </w:rPr>
        <w:t>2009</w:t>
      </w:r>
      <w:r>
        <w:rPr>
          <w:rFonts w:cs="Arial"/>
        </w:rPr>
        <w:t>,</w:t>
      </w:r>
      <w:r w:rsidR="008C1C71" w:rsidRPr="00BD4290">
        <w:rPr>
          <w:rFonts w:cs="Arial"/>
        </w:rPr>
        <w:t xml:space="preserve"> the National Drugs and Poisons Schedule Committee (NDPSC) </w:t>
      </w:r>
      <w:r>
        <w:rPr>
          <w:rFonts w:cs="Arial"/>
        </w:rPr>
        <w:t>deferred</w:t>
      </w:r>
      <w:r w:rsidR="00213EC2" w:rsidRPr="00BD4290">
        <w:rPr>
          <w:rFonts w:cs="Arial"/>
        </w:rPr>
        <w:t xml:space="preserve"> the</w:t>
      </w:r>
      <w:r w:rsidR="008C1C71" w:rsidRPr="00BD4290">
        <w:rPr>
          <w:rFonts w:cs="Arial"/>
        </w:rPr>
        <w:t xml:space="preserve"> </w:t>
      </w:r>
      <w:r w:rsidRPr="00BD4290">
        <w:rPr>
          <w:rFonts w:cs="Arial"/>
        </w:rPr>
        <w:t>up scheduling</w:t>
      </w:r>
      <w:r w:rsidR="008C1C71" w:rsidRPr="00BD4290">
        <w:rPr>
          <w:rFonts w:cs="Arial"/>
        </w:rPr>
        <w:t xml:space="preserve"> of hydroquinone for human external use (excluding hair dyes)</w:t>
      </w:r>
      <w:r w:rsidR="00213EC2" w:rsidRPr="00BD4290">
        <w:rPr>
          <w:rFonts w:cs="Arial"/>
        </w:rPr>
        <w:t xml:space="preserve"> from Schedule 2</w:t>
      </w:r>
      <w:r w:rsidR="008C1C71" w:rsidRPr="00BD4290">
        <w:rPr>
          <w:rFonts w:cs="Arial"/>
        </w:rPr>
        <w:t xml:space="preserve"> to Schedule 3 </w:t>
      </w:r>
      <w:r>
        <w:rPr>
          <w:rFonts w:cs="Arial"/>
        </w:rPr>
        <w:t>pending</w:t>
      </w:r>
      <w:r w:rsidRPr="00BD4290">
        <w:rPr>
          <w:rFonts w:cs="Arial"/>
        </w:rPr>
        <w:t xml:space="preserve"> </w:t>
      </w:r>
      <w:r w:rsidR="008C1C71" w:rsidRPr="00BD4290">
        <w:rPr>
          <w:rFonts w:cs="Arial"/>
        </w:rPr>
        <w:t>the US Food and Drug Administration (FDA) review of hydroquinone. In September 2020</w:t>
      </w:r>
      <w:r>
        <w:rPr>
          <w:rFonts w:cs="Arial"/>
        </w:rPr>
        <w:t>,</w:t>
      </w:r>
      <w:r w:rsidR="00213EC2" w:rsidRPr="00BD4290">
        <w:rPr>
          <w:rFonts w:cs="Arial"/>
        </w:rPr>
        <w:t xml:space="preserve"> the Coronavirus Aid, Relief, and Economic Security Act (CARES Act) banned </w:t>
      </w:r>
      <w:r w:rsidR="008C1C71" w:rsidRPr="00BD4290">
        <w:rPr>
          <w:rFonts w:cs="Arial"/>
        </w:rPr>
        <w:t>the sale of over-the-counter hydroquinone in the US</w:t>
      </w:r>
      <w:r w:rsidR="00205B7E">
        <w:rPr>
          <w:rFonts w:cs="Arial"/>
        </w:rPr>
        <w:t>A</w:t>
      </w:r>
      <w:r w:rsidR="008C1C71" w:rsidRPr="00BD4290">
        <w:rPr>
          <w:rFonts w:cs="Arial"/>
        </w:rPr>
        <w:t xml:space="preserve"> </w:t>
      </w:r>
      <w:r>
        <w:rPr>
          <w:rFonts w:cs="Arial"/>
        </w:rPr>
        <w:t xml:space="preserve">unless approved by the </w:t>
      </w:r>
      <w:r w:rsidR="008C1C71" w:rsidRPr="00BD4290">
        <w:rPr>
          <w:rFonts w:cs="Arial"/>
        </w:rPr>
        <w:t>FDA.</w:t>
      </w:r>
      <w:r w:rsidR="008C1C71" w:rsidRPr="00BD4290">
        <w:rPr>
          <w:rStyle w:val="FootnoteReference"/>
          <w:rFonts w:cs="Arial"/>
        </w:rPr>
        <w:footnoteReference w:id="15"/>
      </w:r>
      <w:r w:rsidR="00AA098A">
        <w:rPr>
          <w:rFonts w:cs="Arial"/>
        </w:rPr>
        <w:t xml:space="preserve"> </w:t>
      </w:r>
      <w:r>
        <w:rPr>
          <w:rFonts w:cs="Arial"/>
        </w:rPr>
        <w:t xml:space="preserve">The FDA also advised </w:t>
      </w:r>
      <w:r w:rsidRPr="00CF286C">
        <w:rPr>
          <w:rFonts w:cs="Arial"/>
        </w:rPr>
        <w:t xml:space="preserve">consumers not to use these products due to the potential harm including </w:t>
      </w:r>
      <w:r>
        <w:rPr>
          <w:rFonts w:cs="Arial"/>
        </w:rPr>
        <w:t xml:space="preserve">permanent </w:t>
      </w:r>
      <w:r w:rsidRPr="00CF286C">
        <w:rPr>
          <w:rFonts w:cs="Arial"/>
        </w:rPr>
        <w:t xml:space="preserve">discoloration of skin </w:t>
      </w:r>
      <w:r w:rsidR="005D0A5F">
        <w:rPr>
          <w:rFonts w:cs="Arial"/>
        </w:rPr>
        <w:t>(</w:t>
      </w:r>
      <w:r w:rsidR="005D0A5F" w:rsidRPr="005D0A5F">
        <w:rPr>
          <w:rFonts w:cs="Arial"/>
        </w:rPr>
        <w:t>ochronosis</w:t>
      </w:r>
      <w:r w:rsidR="005D0A5F">
        <w:rPr>
          <w:rFonts w:cs="Arial"/>
        </w:rPr>
        <w:t xml:space="preserve">) </w:t>
      </w:r>
      <w:r w:rsidRPr="00CF286C">
        <w:rPr>
          <w:rFonts w:cs="Arial"/>
        </w:rPr>
        <w:t>the</w:t>
      </w:r>
      <w:r>
        <w:rPr>
          <w:rFonts w:cs="Arial"/>
        </w:rPr>
        <w:t>se products</w:t>
      </w:r>
      <w:r w:rsidRPr="00CF286C">
        <w:rPr>
          <w:rFonts w:cs="Arial"/>
        </w:rPr>
        <w:t xml:space="preserve"> may cause</w:t>
      </w:r>
      <w:r>
        <w:rPr>
          <w:rFonts w:cs="Arial"/>
        </w:rPr>
        <w:t>.</w:t>
      </w:r>
    </w:p>
    <w:p w14:paraId="4395C0E3" w14:textId="688927E1" w:rsidR="008F6897" w:rsidRPr="00BD4290" w:rsidRDefault="008F6897" w:rsidP="00764438">
      <w:pPr>
        <w:pStyle w:val="Heading4"/>
        <w:rPr>
          <w:rFonts w:cs="Arial"/>
        </w:rPr>
      </w:pPr>
      <w:bookmarkStart w:id="113" w:name="_Toc209035987"/>
      <w:r w:rsidRPr="00BD4290">
        <w:rPr>
          <w:rFonts w:cs="Arial"/>
        </w:rPr>
        <w:t xml:space="preserve">Summary of </w:t>
      </w:r>
      <w:r w:rsidR="00824095" w:rsidRPr="00BD4290">
        <w:rPr>
          <w:rFonts w:cs="Arial"/>
        </w:rPr>
        <w:t>the</w:t>
      </w:r>
      <w:r w:rsidRPr="00BD4290">
        <w:rPr>
          <w:rFonts w:cs="Arial"/>
        </w:rPr>
        <w:t xml:space="preserve"> reasons for the proposal</w:t>
      </w:r>
      <w:bookmarkEnd w:id="113"/>
    </w:p>
    <w:p w14:paraId="22E5581C" w14:textId="01F28760" w:rsidR="005D0A5F" w:rsidRPr="00205B7E" w:rsidRDefault="00824095" w:rsidP="00205B7E">
      <w:pPr>
        <w:rPr>
          <w:rFonts w:cs="Arial"/>
        </w:rPr>
      </w:pPr>
      <w:r w:rsidRPr="00205B7E">
        <w:rPr>
          <w:rFonts w:cs="Arial"/>
        </w:rPr>
        <w:t xml:space="preserve">Hydroquinone </w:t>
      </w:r>
      <w:r w:rsidR="00FE2417" w:rsidRPr="00205B7E">
        <w:rPr>
          <w:rFonts w:cs="Arial"/>
        </w:rPr>
        <w:t xml:space="preserve">is </w:t>
      </w:r>
      <w:r w:rsidRPr="00205B7E">
        <w:rPr>
          <w:rFonts w:cs="Arial"/>
        </w:rPr>
        <w:t xml:space="preserve">used in hair, </w:t>
      </w:r>
      <w:r w:rsidR="00FE2417" w:rsidRPr="00205B7E">
        <w:rPr>
          <w:rFonts w:cs="Arial"/>
        </w:rPr>
        <w:t xml:space="preserve">cosmetic </w:t>
      </w:r>
      <w:r w:rsidRPr="00205B7E">
        <w:rPr>
          <w:rFonts w:cs="Arial"/>
        </w:rPr>
        <w:t>nail and skin lightening preparations</w:t>
      </w:r>
      <w:r w:rsidR="00FE2417" w:rsidRPr="00205B7E">
        <w:rPr>
          <w:rFonts w:cs="Arial"/>
        </w:rPr>
        <w:t>.</w:t>
      </w:r>
      <w:r w:rsidR="00A40099" w:rsidRPr="00205B7E">
        <w:rPr>
          <w:rFonts w:cs="Arial"/>
        </w:rPr>
        <w:t xml:space="preserve"> Hydroquinone was first included in Schedule 4 of the Poisons Standard in 1969 due to concerns regarding promotion and availability of skin lightening creams targeted to</w:t>
      </w:r>
      <w:r w:rsidR="005D0A5F" w:rsidRPr="00205B7E">
        <w:rPr>
          <w:rFonts w:cs="Arial"/>
        </w:rPr>
        <w:t xml:space="preserve"> Papua New Guinean and Indigenous Australian populations.</w:t>
      </w:r>
    </w:p>
    <w:p w14:paraId="3746074E" w14:textId="02AC315C" w:rsidR="00824095" w:rsidRPr="00205B7E" w:rsidRDefault="00A40099" w:rsidP="00205B7E">
      <w:pPr>
        <w:rPr>
          <w:rFonts w:cs="Arial"/>
        </w:rPr>
      </w:pPr>
      <w:r w:rsidRPr="00205B7E">
        <w:rPr>
          <w:rFonts w:cs="Arial"/>
        </w:rPr>
        <w:t xml:space="preserve">Dermal use of 2-4% hydroquinone has been associated with side effects including rashes, facial swelling, and permanent skin discoloration. Topical hydroquinone may also cause transient erythema, mild burning sensation and occasional hypersensitivity. Higher concentrations preparations are more likely to be irritants and have a greater risk of ochronosis. </w:t>
      </w:r>
      <w:r w:rsidR="00824095" w:rsidRPr="00205B7E">
        <w:rPr>
          <w:rFonts w:cs="Arial"/>
        </w:rPr>
        <w:t xml:space="preserve">Animal studies have also reported carcinogenicity including hepatic adenomas, renal adenomas, and leukemia </w:t>
      </w:r>
      <w:r w:rsidR="00143E74" w:rsidRPr="00205B7E">
        <w:rPr>
          <w:rFonts w:cs="Arial"/>
        </w:rPr>
        <w:t>from</w:t>
      </w:r>
      <w:r w:rsidR="00824095" w:rsidRPr="00205B7E">
        <w:rPr>
          <w:rFonts w:cs="Arial"/>
        </w:rPr>
        <w:t xml:space="preserve"> extended exposure to large doses</w:t>
      </w:r>
      <w:r w:rsidR="00143E74" w:rsidRPr="00205B7E">
        <w:rPr>
          <w:rFonts w:cs="Arial"/>
        </w:rPr>
        <w:t xml:space="preserve"> of</w:t>
      </w:r>
      <w:r w:rsidRPr="00205B7E">
        <w:rPr>
          <w:rFonts w:cs="Arial"/>
        </w:rPr>
        <w:t xml:space="preserve"> oral</w:t>
      </w:r>
      <w:r w:rsidR="00143E74" w:rsidRPr="00205B7E">
        <w:rPr>
          <w:rFonts w:cs="Arial"/>
        </w:rPr>
        <w:t xml:space="preserve"> hydroquinone</w:t>
      </w:r>
      <w:r w:rsidR="00824095" w:rsidRPr="00205B7E">
        <w:rPr>
          <w:rFonts w:cs="Arial"/>
        </w:rPr>
        <w:t>.</w:t>
      </w:r>
      <w:r w:rsidR="00824095" w:rsidRPr="00BD4290">
        <w:rPr>
          <w:rStyle w:val="FootnoteReference"/>
          <w:rFonts w:cs="Arial"/>
        </w:rPr>
        <w:footnoteReference w:id="16"/>
      </w:r>
    </w:p>
    <w:p w14:paraId="63159D07" w14:textId="07D2CA44" w:rsidR="008F6897" w:rsidRPr="00205B7E" w:rsidRDefault="00485B42" w:rsidP="00205B7E">
      <w:pPr>
        <w:rPr>
          <w:rFonts w:cs="Arial"/>
        </w:rPr>
      </w:pPr>
      <w:r w:rsidRPr="00205B7E">
        <w:rPr>
          <w:rFonts w:cs="Arial"/>
        </w:rPr>
        <w:t>Internationally, the EU has banned hydroquinone use in cosmetic preparations for skin lightening, though it is still available as</w:t>
      </w:r>
      <w:r w:rsidR="0080750B" w:rsidRPr="00205B7E">
        <w:rPr>
          <w:rFonts w:cs="Arial"/>
        </w:rPr>
        <w:t xml:space="preserve"> a</w:t>
      </w:r>
      <w:r w:rsidRPr="00205B7E">
        <w:rPr>
          <w:rFonts w:cs="Arial"/>
        </w:rPr>
        <w:t xml:space="preserve"> prescription medicine. </w:t>
      </w:r>
      <w:r w:rsidR="005D0A5F" w:rsidRPr="00205B7E">
        <w:rPr>
          <w:rFonts w:cs="Arial"/>
        </w:rPr>
        <w:t>Similarly, t</w:t>
      </w:r>
      <w:r w:rsidRPr="00205B7E">
        <w:rPr>
          <w:rFonts w:cs="Arial"/>
        </w:rPr>
        <w:t>he US</w:t>
      </w:r>
      <w:r w:rsidR="005D0A5F" w:rsidRPr="00205B7E">
        <w:rPr>
          <w:rFonts w:cs="Arial"/>
        </w:rPr>
        <w:t xml:space="preserve"> </w:t>
      </w:r>
      <w:r w:rsidRPr="00205B7E">
        <w:rPr>
          <w:rFonts w:cs="Arial"/>
        </w:rPr>
        <w:t>FDA effectively banned the sale of over-the-counter hydroquinone products for skin lightening</w:t>
      </w:r>
      <w:r w:rsidR="005D0A5F" w:rsidRPr="00205B7E">
        <w:rPr>
          <w:rFonts w:cs="Arial"/>
        </w:rPr>
        <w:t xml:space="preserve"> in September 2020</w:t>
      </w:r>
      <w:r w:rsidRPr="00205B7E">
        <w:rPr>
          <w:rFonts w:cs="Arial"/>
        </w:rPr>
        <w:t>.</w:t>
      </w:r>
      <w:r w:rsidR="0080750B" w:rsidRPr="00205B7E">
        <w:rPr>
          <w:rFonts w:cs="Arial"/>
        </w:rPr>
        <w:t xml:space="preserve"> This proposal would align Australian regulations with the EU and US for skin lightening preparations.</w:t>
      </w:r>
    </w:p>
    <w:p w14:paraId="4F360A35" w14:textId="77777777" w:rsidR="008F6897" w:rsidRPr="00BD4290" w:rsidRDefault="008F6897" w:rsidP="00764438">
      <w:pPr>
        <w:pStyle w:val="Heading4"/>
        <w:rPr>
          <w:rFonts w:cs="Arial"/>
        </w:rPr>
      </w:pPr>
      <w:bookmarkStart w:id="114" w:name="_Toc209035988"/>
      <w:r w:rsidRPr="00BD4290">
        <w:rPr>
          <w:rFonts w:cs="Arial"/>
        </w:rPr>
        <w:lastRenderedPageBreak/>
        <w:t>Key uses / expected use</w:t>
      </w:r>
      <w:bookmarkEnd w:id="114"/>
    </w:p>
    <w:p w14:paraId="673265F9" w14:textId="733E24CD" w:rsidR="008F6897" w:rsidRPr="00BD4290" w:rsidRDefault="008F6897" w:rsidP="00C417B6">
      <w:pPr>
        <w:rPr>
          <w:rFonts w:cs="Arial"/>
        </w:rPr>
      </w:pPr>
      <w:r w:rsidRPr="00BD4290">
        <w:rPr>
          <w:rFonts w:cs="Arial"/>
        </w:rPr>
        <w:t>Medicines, cosmetic, industrial use</w:t>
      </w:r>
      <w:r w:rsidR="00785945" w:rsidRPr="00BD4290">
        <w:rPr>
          <w:rFonts w:cs="Arial"/>
        </w:rPr>
        <w:t>.</w:t>
      </w:r>
    </w:p>
    <w:p w14:paraId="73104672" w14:textId="77777777" w:rsidR="00F67AC1" w:rsidRPr="00BD4290" w:rsidRDefault="00F67AC1" w:rsidP="0002227D">
      <w:pPr>
        <w:pStyle w:val="Heading4"/>
        <w:rPr>
          <w:rFonts w:cs="Arial"/>
        </w:rPr>
      </w:pPr>
      <w:bookmarkStart w:id="115" w:name="_Toc209035989"/>
      <w:r w:rsidRPr="00BD4290">
        <w:rPr>
          <w:rFonts w:cs="Arial"/>
        </w:rPr>
        <w:t>Australian regulations</w:t>
      </w:r>
      <w:bookmarkEnd w:id="115"/>
    </w:p>
    <w:p w14:paraId="526B75D4" w14:textId="06BA19ED" w:rsidR="00F67AC1" w:rsidRPr="00BD4290" w:rsidRDefault="00F67AC1" w:rsidP="00F30896">
      <w:pPr>
        <w:pStyle w:val="ListBullet"/>
      </w:pPr>
      <w:r w:rsidRPr="00BD4290">
        <w:t xml:space="preserve">According to the </w:t>
      </w:r>
      <w:hyperlink r:id="rId106">
        <w:r w:rsidRPr="00BD4290">
          <w:rPr>
            <w:rStyle w:val="Hyperlink"/>
            <w:color w:val="auto"/>
          </w:rPr>
          <w:t>TGA Ingredient Database</w:t>
        </w:r>
      </w:hyperlink>
      <w:r w:rsidRPr="00BD4290">
        <w:t>, hydroquinone is:</w:t>
      </w:r>
    </w:p>
    <w:p w14:paraId="7F942DF0" w14:textId="77777777" w:rsidR="00F67AC1" w:rsidRPr="00BD4290" w:rsidRDefault="00F67AC1" w:rsidP="0002227D">
      <w:pPr>
        <w:pStyle w:val="ListBullet2"/>
        <w:rPr>
          <w:rFonts w:cs="Arial"/>
          <w:color w:val="auto"/>
        </w:rPr>
      </w:pPr>
      <w:r w:rsidRPr="00BD4290">
        <w:rPr>
          <w:rFonts w:cs="Arial"/>
          <w:color w:val="auto"/>
        </w:rPr>
        <w:t>Available for use as an active ingredient in Biologicals, Export Only, Over the Counter and Prescription Medicines.</w:t>
      </w:r>
    </w:p>
    <w:p w14:paraId="72B34DEA" w14:textId="77777777" w:rsidR="00F67AC1" w:rsidRPr="00BD4290" w:rsidRDefault="00F67AC1" w:rsidP="0002227D">
      <w:pPr>
        <w:pStyle w:val="ListBullet2"/>
        <w:rPr>
          <w:rFonts w:cs="Arial"/>
          <w:color w:val="auto"/>
        </w:rPr>
      </w:pPr>
      <w:r w:rsidRPr="00BD4290">
        <w:rPr>
          <w:rFonts w:cs="Arial"/>
          <w:color w:val="auto"/>
        </w:rPr>
        <w:t>Available for use as an Excipient Ingredient in Biologicals, Devices, Export Only, Over the Counter, and Prescription Medicines.</w:t>
      </w:r>
    </w:p>
    <w:p w14:paraId="63C1026A" w14:textId="77777777" w:rsidR="00F67AC1" w:rsidRPr="00BD4290" w:rsidRDefault="00F67AC1" w:rsidP="0002227D">
      <w:pPr>
        <w:pStyle w:val="ListBullet2"/>
        <w:rPr>
          <w:rFonts w:cs="Arial"/>
          <w:color w:val="auto"/>
        </w:rPr>
      </w:pPr>
      <w:r w:rsidRPr="00BD4290">
        <w:rPr>
          <w:rFonts w:cs="Arial"/>
          <w:color w:val="auto"/>
        </w:rPr>
        <w:t>Available for use as an Equivalent Ingredient in Listed Medicines.</w:t>
      </w:r>
    </w:p>
    <w:p w14:paraId="7E8698CF" w14:textId="50BE9D7B" w:rsidR="00F67AC1" w:rsidRPr="00BD4290" w:rsidRDefault="00F67AC1" w:rsidP="00F30896">
      <w:pPr>
        <w:pStyle w:val="ListBullet"/>
      </w:pPr>
      <w:r w:rsidRPr="00BD4290">
        <w:t xml:space="preserve">As of </w:t>
      </w:r>
      <w:r w:rsidR="00A053A1" w:rsidRPr="00A053A1">
        <w:t>1</w:t>
      </w:r>
      <w:r w:rsidR="00714C41">
        <w:t>1</w:t>
      </w:r>
      <w:r w:rsidRPr="00A053A1">
        <w:t xml:space="preserve"> </w:t>
      </w:r>
      <w:r w:rsidR="00A053A1" w:rsidRPr="00A053A1">
        <w:t>September</w:t>
      </w:r>
      <w:r w:rsidRPr="00A053A1">
        <w:t xml:space="preserve"> 202</w:t>
      </w:r>
      <w:r w:rsidR="00A053A1" w:rsidRPr="00A053A1">
        <w:t>5</w:t>
      </w:r>
      <w:r w:rsidRPr="00BD4290">
        <w:t xml:space="preserve">, there were 6 medicines currently active on the </w:t>
      </w:r>
      <w:hyperlink r:id="rId107">
        <w:r w:rsidRPr="00BD4290">
          <w:rPr>
            <w:rStyle w:val="Hyperlink"/>
            <w:color w:val="auto"/>
          </w:rPr>
          <w:t>Australian Register of Therapeutic Goods (ARTG)</w:t>
        </w:r>
      </w:hyperlink>
      <w:r w:rsidRPr="00BD4290">
        <w:t xml:space="preserve"> that contain hydroquinone as an active ingredient. These include 3 export-only medicines and 3 non-prescription medicines.</w:t>
      </w:r>
    </w:p>
    <w:p w14:paraId="0CA14A84" w14:textId="35FB0298" w:rsidR="00F67AC1" w:rsidRDefault="00F67AC1" w:rsidP="00F30896">
      <w:pPr>
        <w:pStyle w:val="ListBullet"/>
      </w:pPr>
      <w:r w:rsidRPr="00BD4290">
        <w:t xml:space="preserve">According to the </w:t>
      </w:r>
      <w:hyperlink r:id="rId108">
        <w:r w:rsidRPr="00BD4290">
          <w:rPr>
            <w:rStyle w:val="Hyperlink"/>
            <w:rFonts w:eastAsia="Arial"/>
          </w:rPr>
          <w:t>Therapeutic Goods (Permissible Ingredients) Determination</w:t>
        </w:r>
      </w:hyperlink>
      <w:r w:rsidRPr="00BD4290">
        <w:rPr>
          <w:rFonts w:eastAsia="Arial"/>
          <w:color w:val="000000" w:themeColor="text1"/>
        </w:rPr>
        <w:t xml:space="preserve"> No. 2 of 2025</w:t>
      </w:r>
      <w:r w:rsidRPr="00BD4290">
        <w:t xml:space="preserve">, hydroquinone is </w:t>
      </w:r>
      <w:r w:rsidR="006C0F41">
        <w:t xml:space="preserve">a mandatory component in the following ingredients which can only be used in dermal face products when the concentration of hydroquinone in dermal products does not exceed  </w:t>
      </w:r>
      <w:r w:rsidR="005935A6" w:rsidRPr="00BD4290">
        <w:rPr>
          <w:rFonts w:eastAsia="Calibri"/>
          <w:color w:val="000000" w:themeColor="text1"/>
          <w:szCs w:val="18"/>
        </w:rPr>
        <w:t>10 mg/kg or 10 mg/L or 0.001%</w:t>
      </w:r>
      <w:r w:rsidR="00F74440">
        <w:rPr>
          <w:rFonts w:eastAsia="Calibri"/>
          <w:color w:val="000000" w:themeColor="text1"/>
          <w:szCs w:val="18"/>
        </w:rPr>
        <w:t>.</w:t>
      </w:r>
    </w:p>
    <w:p w14:paraId="1204AC40" w14:textId="2BA9C1D1" w:rsidR="00714C41" w:rsidRPr="00A40099" w:rsidRDefault="005935A6" w:rsidP="009D48FC">
      <w:pPr>
        <w:pStyle w:val="ListBullet2"/>
        <w:rPr>
          <w:color w:val="auto"/>
        </w:rPr>
      </w:pPr>
      <w:r w:rsidRPr="00A40099">
        <w:rPr>
          <w:color w:val="auto"/>
        </w:rPr>
        <w:t>ACHILLEA MILLEFOLIUM</w:t>
      </w:r>
    </w:p>
    <w:p w14:paraId="550F5D12" w14:textId="77777777" w:rsidR="00714C41" w:rsidRPr="00A40099" w:rsidRDefault="00714C41" w:rsidP="009D48FC">
      <w:pPr>
        <w:pStyle w:val="ListBullet2"/>
        <w:rPr>
          <w:color w:val="auto"/>
        </w:rPr>
      </w:pPr>
      <w:r w:rsidRPr="00A40099">
        <w:rPr>
          <w:color w:val="auto"/>
        </w:rPr>
        <w:t>ARCTOSTAPHYLOS UVA-URSI</w:t>
      </w:r>
    </w:p>
    <w:p w14:paraId="3A5CA2FA" w14:textId="227ECCC1" w:rsidR="00714C41" w:rsidRPr="00A40099" w:rsidRDefault="009D48FC" w:rsidP="009D48FC">
      <w:pPr>
        <w:pStyle w:val="ListBullet2"/>
        <w:rPr>
          <w:color w:val="auto"/>
        </w:rPr>
      </w:pPr>
      <w:r w:rsidRPr="00A40099">
        <w:rPr>
          <w:color w:val="auto"/>
        </w:rPr>
        <w:t>CHIMAPHILA UMBELLATA</w:t>
      </w:r>
    </w:p>
    <w:p w14:paraId="617C7AD5" w14:textId="77D94E3D" w:rsidR="009D48FC" w:rsidRPr="00A40099" w:rsidRDefault="009D48FC" w:rsidP="009D48FC">
      <w:pPr>
        <w:pStyle w:val="ListBullet2"/>
        <w:rPr>
          <w:color w:val="auto"/>
        </w:rPr>
      </w:pPr>
      <w:r w:rsidRPr="00A40099">
        <w:rPr>
          <w:rFonts w:cs="Arial"/>
          <w:color w:val="auto"/>
        </w:rPr>
        <w:t>KALMIA LATIFOLIA</w:t>
      </w:r>
    </w:p>
    <w:p w14:paraId="15BC4A88" w14:textId="6C746143" w:rsidR="009D48FC" w:rsidRPr="00A40099" w:rsidRDefault="009D48FC" w:rsidP="009D48FC">
      <w:pPr>
        <w:pStyle w:val="ListBullet2"/>
        <w:rPr>
          <w:color w:val="auto"/>
        </w:rPr>
      </w:pPr>
      <w:r w:rsidRPr="00A40099">
        <w:rPr>
          <w:rFonts w:cs="Arial"/>
          <w:color w:val="auto"/>
        </w:rPr>
        <w:t>LEDUM PALUSTRE</w:t>
      </w:r>
    </w:p>
    <w:p w14:paraId="0B7E7DFC" w14:textId="7A6B6C31" w:rsidR="009D48FC" w:rsidRPr="00A40099" w:rsidRDefault="009D48FC" w:rsidP="009D48FC">
      <w:pPr>
        <w:pStyle w:val="ListBullet2"/>
        <w:rPr>
          <w:color w:val="auto"/>
        </w:rPr>
      </w:pPr>
      <w:r w:rsidRPr="00A40099">
        <w:rPr>
          <w:rFonts w:cs="Arial"/>
          <w:color w:val="auto"/>
        </w:rPr>
        <w:t>ORIGANUM MAJORANA</w:t>
      </w:r>
    </w:p>
    <w:p w14:paraId="5F2F929B" w14:textId="6DD6869F" w:rsidR="009D48FC" w:rsidRPr="00A40099" w:rsidRDefault="009D48FC" w:rsidP="009D48FC">
      <w:pPr>
        <w:pStyle w:val="ListBullet2"/>
        <w:rPr>
          <w:color w:val="auto"/>
        </w:rPr>
      </w:pPr>
      <w:r w:rsidRPr="00A40099">
        <w:rPr>
          <w:rFonts w:cs="Arial"/>
          <w:color w:val="auto"/>
        </w:rPr>
        <w:t>PYRUS COMMUNIS</w:t>
      </w:r>
    </w:p>
    <w:p w14:paraId="36BAE5D6" w14:textId="69998442" w:rsidR="009D48FC" w:rsidRPr="00A40099" w:rsidRDefault="009D48FC" w:rsidP="009D48FC">
      <w:pPr>
        <w:pStyle w:val="ListBullet2"/>
        <w:rPr>
          <w:color w:val="auto"/>
        </w:rPr>
      </w:pPr>
      <w:r w:rsidRPr="00A40099">
        <w:rPr>
          <w:rFonts w:cs="Arial"/>
          <w:color w:val="auto"/>
        </w:rPr>
        <w:t>PYRUS PYRIFOLIA</w:t>
      </w:r>
    </w:p>
    <w:p w14:paraId="511F9AD0" w14:textId="7FFBF40E" w:rsidR="009D48FC" w:rsidRPr="00A40099" w:rsidRDefault="009D48FC" w:rsidP="009D48FC">
      <w:pPr>
        <w:pStyle w:val="ListBullet2"/>
        <w:rPr>
          <w:color w:val="auto"/>
        </w:rPr>
      </w:pPr>
      <w:r w:rsidRPr="00A40099">
        <w:rPr>
          <w:rFonts w:cs="Arial"/>
          <w:color w:val="auto"/>
        </w:rPr>
        <w:t>RHODODENDRON FERRUGINEUM</w:t>
      </w:r>
    </w:p>
    <w:p w14:paraId="7EEFDB7F" w14:textId="60CA5BF9" w:rsidR="009D48FC" w:rsidRPr="00A40099" w:rsidRDefault="009D48FC" w:rsidP="009D48FC">
      <w:pPr>
        <w:pStyle w:val="ListBullet2"/>
        <w:rPr>
          <w:color w:val="auto"/>
        </w:rPr>
      </w:pPr>
      <w:r w:rsidRPr="00A40099">
        <w:rPr>
          <w:rFonts w:cs="Arial"/>
          <w:color w:val="auto"/>
        </w:rPr>
        <w:t>TURNERA DIFFUSA</w:t>
      </w:r>
    </w:p>
    <w:p w14:paraId="316576C0" w14:textId="3324306D" w:rsidR="005935A6" w:rsidRPr="00780F3D" w:rsidRDefault="009D48FC" w:rsidP="009D48FC">
      <w:pPr>
        <w:pStyle w:val="ListBullet2"/>
      </w:pPr>
      <w:r w:rsidRPr="00A40099">
        <w:rPr>
          <w:rFonts w:cs="Arial"/>
          <w:color w:val="auto"/>
        </w:rPr>
        <w:t>VACCINIUM VITIS-IDAEA</w:t>
      </w:r>
    </w:p>
    <w:p w14:paraId="4DC4C291" w14:textId="77777777" w:rsidR="00F67AC1" w:rsidRPr="00BD4290" w:rsidRDefault="00F67AC1" w:rsidP="00F30896">
      <w:pPr>
        <w:pStyle w:val="ListBullet"/>
      </w:pPr>
      <w:r w:rsidRPr="00BD4290">
        <w:t xml:space="preserve">The </w:t>
      </w:r>
      <w:hyperlink r:id="rId109">
        <w:r w:rsidRPr="00BD4290">
          <w:rPr>
            <w:rStyle w:val="Hyperlink"/>
          </w:rPr>
          <w:t>TGA prescribing medicines in pregnancy database</w:t>
        </w:r>
      </w:hyperlink>
      <w:r w:rsidRPr="00BD4290">
        <w:t xml:space="preserve"> does not include hydroquinone.</w:t>
      </w:r>
    </w:p>
    <w:p w14:paraId="1069267F" w14:textId="1F32E8DB" w:rsidR="00F67AC1" w:rsidRPr="00BD4290" w:rsidRDefault="00F67AC1" w:rsidP="00F30896">
      <w:pPr>
        <w:pStyle w:val="ListBullet"/>
      </w:pPr>
      <w:r w:rsidRPr="00BD4290">
        <w:t xml:space="preserve">The </w:t>
      </w:r>
      <w:hyperlink r:id="rId110">
        <w:r w:rsidRPr="00BD4290">
          <w:rPr>
            <w:rStyle w:val="Hyperlink"/>
          </w:rPr>
          <w:t>Therapeutic Goods (Medicines Advisory Statements) Specification 2021</w:t>
        </w:r>
      </w:hyperlink>
      <w:r w:rsidRPr="00BD4290">
        <w:t xml:space="preserve"> requires the following warning statements pertaining to hydroquinone to be included on the labelling</w:t>
      </w:r>
      <w:r w:rsidR="00D10D16">
        <w:t>.</w:t>
      </w:r>
    </w:p>
    <w:tbl>
      <w:tblPr>
        <w:tblStyle w:val="TableTGAblue2023"/>
        <w:tblW w:w="0" w:type="auto"/>
        <w:tblLook w:val="04A0" w:firstRow="1" w:lastRow="0" w:firstColumn="1" w:lastColumn="0" w:noHBand="0" w:noVBand="1"/>
      </w:tblPr>
      <w:tblGrid>
        <w:gridCol w:w="3020"/>
        <w:gridCol w:w="3020"/>
        <w:gridCol w:w="3020"/>
      </w:tblGrid>
      <w:tr w:rsidR="00F213FB" w:rsidRPr="00BD4290" w14:paraId="067D7A8C" w14:textId="77777777" w:rsidTr="000222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CF6863E" w14:textId="77777777" w:rsidR="00F67AC1" w:rsidRPr="00BD4290" w:rsidRDefault="00F67AC1" w:rsidP="0002227D">
            <w:pPr>
              <w:rPr>
                <w:rFonts w:cs="Arial"/>
              </w:rPr>
            </w:pPr>
            <w:r w:rsidRPr="00BD4290">
              <w:rPr>
                <w:rFonts w:cs="Arial"/>
              </w:rPr>
              <w:t>Substance</w:t>
            </w:r>
          </w:p>
        </w:tc>
        <w:tc>
          <w:tcPr>
            <w:tcW w:w="3020" w:type="dxa"/>
          </w:tcPr>
          <w:p w14:paraId="0888C388" w14:textId="77777777" w:rsidR="00F67AC1" w:rsidRPr="00BD4290" w:rsidRDefault="00F67AC1" w:rsidP="0002227D">
            <w:pPr>
              <w:cnfStyle w:val="100000000000" w:firstRow="1" w:lastRow="0" w:firstColumn="0" w:lastColumn="0" w:oddVBand="0" w:evenVBand="0" w:oddHBand="0" w:evenHBand="0" w:firstRowFirstColumn="0" w:firstRowLastColumn="0" w:lastRowFirstColumn="0" w:lastRowLastColumn="0"/>
              <w:rPr>
                <w:rFonts w:cs="Arial"/>
              </w:rPr>
            </w:pPr>
            <w:r w:rsidRPr="00BD4290">
              <w:rPr>
                <w:rFonts w:cs="Arial"/>
              </w:rPr>
              <w:t>Conditions</w:t>
            </w:r>
          </w:p>
        </w:tc>
        <w:tc>
          <w:tcPr>
            <w:tcW w:w="3020" w:type="dxa"/>
          </w:tcPr>
          <w:p w14:paraId="01C1E511" w14:textId="77777777" w:rsidR="00F67AC1" w:rsidRPr="00BD4290" w:rsidRDefault="00F67AC1" w:rsidP="0002227D">
            <w:pPr>
              <w:cnfStyle w:val="100000000000" w:firstRow="1" w:lastRow="0" w:firstColumn="0" w:lastColumn="0" w:oddVBand="0" w:evenVBand="0" w:oddHBand="0" w:evenHBand="0" w:firstRowFirstColumn="0" w:firstRowLastColumn="0" w:lastRowFirstColumn="0" w:lastRowLastColumn="0"/>
              <w:rPr>
                <w:rFonts w:cs="Arial"/>
              </w:rPr>
            </w:pPr>
            <w:r w:rsidRPr="00BD4290">
              <w:rPr>
                <w:rFonts w:cs="Arial"/>
              </w:rPr>
              <w:t>Required statements</w:t>
            </w:r>
          </w:p>
        </w:tc>
      </w:tr>
      <w:tr w:rsidR="00F67AC1" w:rsidRPr="00BD4290" w14:paraId="672D80F7" w14:textId="77777777" w:rsidTr="0002227D">
        <w:tc>
          <w:tcPr>
            <w:cnfStyle w:val="001000000000" w:firstRow="0" w:lastRow="0" w:firstColumn="1" w:lastColumn="0" w:oddVBand="0" w:evenVBand="0" w:oddHBand="0" w:evenHBand="0" w:firstRowFirstColumn="0" w:firstRowLastColumn="0" w:lastRowFirstColumn="0" w:lastRowLastColumn="0"/>
            <w:tcW w:w="3020" w:type="dxa"/>
          </w:tcPr>
          <w:p w14:paraId="16D2F746" w14:textId="77777777" w:rsidR="00F67AC1" w:rsidRPr="00501CF7" w:rsidRDefault="00F67AC1" w:rsidP="0002227D">
            <w:pPr>
              <w:rPr>
                <w:rFonts w:cs="Arial"/>
                <w:sz w:val="20"/>
                <w:szCs w:val="20"/>
              </w:rPr>
            </w:pPr>
            <w:r w:rsidRPr="00501CF7">
              <w:rPr>
                <w:rFonts w:cs="Arial"/>
                <w:sz w:val="20"/>
                <w:szCs w:val="20"/>
              </w:rPr>
              <w:t>Hydroquinone</w:t>
            </w:r>
          </w:p>
        </w:tc>
        <w:tc>
          <w:tcPr>
            <w:tcW w:w="3020" w:type="dxa"/>
          </w:tcPr>
          <w:p w14:paraId="3664FB8F" w14:textId="77777777" w:rsidR="00F67AC1" w:rsidRPr="00501CF7" w:rsidRDefault="00F67AC1" w:rsidP="0002227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01CF7">
              <w:rPr>
                <w:rFonts w:cs="Arial"/>
                <w:sz w:val="20"/>
                <w:szCs w:val="20"/>
              </w:rPr>
              <w:t>In Schedule 2 to the current Poisons Standard</w:t>
            </w:r>
          </w:p>
        </w:tc>
        <w:tc>
          <w:tcPr>
            <w:tcW w:w="3020" w:type="dxa"/>
          </w:tcPr>
          <w:p w14:paraId="5B135DF3" w14:textId="77777777" w:rsidR="00F67AC1" w:rsidRPr="00501CF7" w:rsidRDefault="00F67AC1" w:rsidP="00F213FB">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01CF7">
              <w:t>WARNING - If a pigmented spot or mole has recently become darker, changed colour, become enlarged or itchy, or bleeds, do not use this product, see your doctor immediately.</w:t>
            </w:r>
          </w:p>
          <w:p w14:paraId="11080FE4" w14:textId="77777777" w:rsidR="00F67AC1" w:rsidRPr="00501CF7" w:rsidRDefault="00F67AC1" w:rsidP="00F213FB">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01CF7">
              <w:t>Do not use on children.</w:t>
            </w:r>
          </w:p>
          <w:p w14:paraId="7D5664C8" w14:textId="77777777" w:rsidR="00F67AC1" w:rsidRPr="00501CF7" w:rsidRDefault="00F67AC1" w:rsidP="00F213FB">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01CF7">
              <w:t>Do not use near the eyes.</w:t>
            </w:r>
          </w:p>
          <w:p w14:paraId="76654D61" w14:textId="77777777" w:rsidR="00F67AC1" w:rsidRPr="00501CF7" w:rsidRDefault="00F67AC1" w:rsidP="00F213FB">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01CF7">
              <w:lastRenderedPageBreak/>
              <w:t>Mild irritation may occur; stop use if it becomes severe.</w:t>
            </w:r>
          </w:p>
          <w:p w14:paraId="275684D7" w14:textId="77777777" w:rsidR="00F67AC1" w:rsidRPr="00501CF7" w:rsidRDefault="00F67AC1" w:rsidP="00F213FB">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01CF7">
              <w:t>If fading is not evident in 3 months, seek doctor’s advice.</w:t>
            </w:r>
          </w:p>
          <w:p w14:paraId="3D32F6A9" w14:textId="77777777" w:rsidR="00F67AC1" w:rsidRPr="00501CF7" w:rsidRDefault="00F67AC1" w:rsidP="00F213FB">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01CF7">
              <w:t>Do not exceed recommended dose.  Excessive or prolonged use should be avoided because darkening of the skin can occur.</w:t>
            </w:r>
          </w:p>
        </w:tc>
      </w:tr>
    </w:tbl>
    <w:p w14:paraId="52A35C3C" w14:textId="1B141D85" w:rsidR="0057675F" w:rsidRDefault="0057675F" w:rsidP="00F30896">
      <w:pPr>
        <w:pStyle w:val="ListBullet"/>
      </w:pPr>
      <w:r>
        <w:lastRenderedPageBreak/>
        <w:t>The Specification would need to be amended should the scheduling proposal be implemented as the entry would no longer be applicable.</w:t>
      </w:r>
    </w:p>
    <w:p w14:paraId="2094F840" w14:textId="3D467280" w:rsidR="00F67AC1" w:rsidRPr="00BD4290" w:rsidRDefault="00F67AC1" w:rsidP="00F30896">
      <w:pPr>
        <w:pStyle w:val="ListBullet"/>
      </w:pPr>
      <w:r w:rsidRPr="00BD4290">
        <w:t xml:space="preserve">As of </w:t>
      </w:r>
      <w:r w:rsidR="00205B7E">
        <w:t>12 September 2025</w:t>
      </w:r>
      <w:r w:rsidRPr="00BD4290">
        <w:t xml:space="preserve">, there were 3 reports of adverse events for products containing hydroquinone as an active ingredient on the </w:t>
      </w:r>
      <w:hyperlink r:id="rId111" w:history="1">
        <w:r w:rsidRPr="00BD4290">
          <w:rPr>
            <w:rStyle w:val="Hyperlink"/>
          </w:rPr>
          <w:t>Database of Adverse Event Notifications (DAEN)</w:t>
        </w:r>
      </w:hyperlink>
      <w:r w:rsidRPr="00BD4290">
        <w:t>, with 1 report where hydroquinone was the single suspected medicine. There were no reports of deaths associated with hydroquinone use.</w:t>
      </w:r>
    </w:p>
    <w:p w14:paraId="02777FF7" w14:textId="2D9765CC" w:rsidR="00F67AC1" w:rsidRPr="00BD4290" w:rsidRDefault="00F67AC1" w:rsidP="00F30896">
      <w:pPr>
        <w:pStyle w:val="ListBullet"/>
      </w:pPr>
      <w:r w:rsidRPr="00BD4290">
        <w:t xml:space="preserve">As </w:t>
      </w:r>
      <w:r w:rsidRPr="003B0837">
        <w:t xml:space="preserve">of </w:t>
      </w:r>
      <w:r w:rsidR="003B0837" w:rsidRPr="003B0837">
        <w:t>12</w:t>
      </w:r>
      <w:r w:rsidRPr="003B0837">
        <w:t xml:space="preserve"> </w:t>
      </w:r>
      <w:r w:rsidR="003B0837" w:rsidRPr="003B0837">
        <w:t>September</w:t>
      </w:r>
      <w:r w:rsidRPr="003B0837">
        <w:t xml:space="preserve"> 2025</w:t>
      </w:r>
      <w:r w:rsidRPr="00BD4290">
        <w:t xml:space="preserve">, there were no products containing hydroquinone as an active ingredient/constituent or scheduled substance listed on the </w:t>
      </w:r>
      <w:hyperlink r:id="rId112">
        <w:r w:rsidRPr="00BD4290">
          <w:rPr>
            <w:rStyle w:val="Hyperlink"/>
          </w:rPr>
          <w:t>Public Chemical Registration Information System Search (PubCRIS)</w:t>
        </w:r>
      </w:hyperlink>
      <w:r w:rsidRPr="00BD4290">
        <w:t>.</w:t>
      </w:r>
    </w:p>
    <w:p w14:paraId="3D74E7FE" w14:textId="7F1BED53" w:rsidR="00F67AC1" w:rsidRPr="00194B17" w:rsidRDefault="00F67AC1" w:rsidP="00F30896">
      <w:pPr>
        <w:pStyle w:val="ListBullet"/>
      </w:pPr>
      <w:r w:rsidRPr="00BD4290">
        <w:t xml:space="preserve">In 2009-2019, no adverse experiences were recorded for hydroquinone in the </w:t>
      </w:r>
      <w:hyperlink r:id="rId113">
        <w:r w:rsidRPr="00BD4290">
          <w:rPr>
            <w:rStyle w:val="Hyperlink"/>
            <w:rFonts w:eastAsia="Arial"/>
          </w:rPr>
          <w:t>APVMA Adverse Experience Reporting Program</w:t>
        </w:r>
      </w:hyperlink>
      <w:r w:rsidRPr="00BD4290">
        <w:t xml:space="preserve"> database.</w:t>
      </w:r>
    </w:p>
    <w:p w14:paraId="7B5C7FDB" w14:textId="6460BE75" w:rsidR="0057675F" w:rsidRPr="003C6946" w:rsidRDefault="003C6946" w:rsidP="00F30896">
      <w:pPr>
        <w:pStyle w:val="ListBullet"/>
      </w:pPr>
      <w:r>
        <w:t xml:space="preserve">Hydroquinone is listed on the </w:t>
      </w:r>
      <w:hyperlink r:id="rId114" w:history="1">
        <w:r w:rsidR="00194B17">
          <w:rPr>
            <w:rStyle w:val="Hyperlink"/>
          </w:rPr>
          <w:t>Australian Inventory of Industrial Chemicals</w:t>
        </w:r>
      </w:hyperlink>
      <w:r>
        <w:t xml:space="preserve"> with an </w:t>
      </w:r>
      <w:hyperlink r:id="rId115" w:history="1">
        <w:r w:rsidRPr="003C6946">
          <w:rPr>
            <w:rStyle w:val="Hyperlink"/>
          </w:rPr>
          <w:t>evaluation statement</w:t>
        </w:r>
      </w:hyperlink>
      <w:r>
        <w:t xml:space="preserve"> published in December 2022 noting potential environmental hazards.</w:t>
      </w:r>
    </w:p>
    <w:p w14:paraId="48F4DD22" w14:textId="77777777" w:rsidR="00F67AC1" w:rsidRPr="00BD4290" w:rsidRDefault="00F67AC1" w:rsidP="0002227D">
      <w:pPr>
        <w:pStyle w:val="Heading4"/>
        <w:rPr>
          <w:rFonts w:cs="Arial"/>
        </w:rPr>
      </w:pPr>
      <w:bookmarkStart w:id="116" w:name="_Toc209035990"/>
      <w:r w:rsidRPr="00BD4290">
        <w:rPr>
          <w:rFonts w:cs="Arial"/>
        </w:rPr>
        <w:t>International regulations</w:t>
      </w:r>
      <w:bookmarkEnd w:id="116"/>
    </w:p>
    <w:p w14:paraId="732B7FB8" w14:textId="77777777" w:rsidR="00873B7B" w:rsidRDefault="00F67AC1" w:rsidP="00F30896">
      <w:pPr>
        <w:pStyle w:val="ListBullet"/>
      </w:pPr>
      <w:r w:rsidRPr="00BD4290">
        <w:t xml:space="preserve">In the United States (US), the </w:t>
      </w:r>
      <w:hyperlink r:id="rId116" w:history="1">
        <w:r w:rsidRPr="00BD4290">
          <w:rPr>
            <w:rStyle w:val="Hyperlink"/>
          </w:rPr>
          <w:t>Orange Book: Approved Drug Products with Therapeutic Equivalence Evaluations</w:t>
        </w:r>
      </w:hyperlink>
      <w:r w:rsidRPr="00BD4290">
        <w:t xml:space="preserve"> and </w:t>
      </w:r>
      <w:hyperlink r:id="rId117" w:history="1">
        <w:r w:rsidRPr="00BD4290">
          <w:rPr>
            <w:rStyle w:val="Hyperlink"/>
          </w:rPr>
          <w:t>Drugs@FDA: FDA-Approved Drugs</w:t>
        </w:r>
      </w:hyperlink>
      <w:r w:rsidRPr="00BD4290">
        <w:t xml:space="preserve"> include 1 approved prescription</w:t>
      </w:r>
      <w:r w:rsidR="00465349" w:rsidRPr="00BD4290">
        <w:t xml:space="preserve"> </w:t>
      </w:r>
      <w:r w:rsidR="00CB73F7" w:rsidRPr="00BD4290">
        <w:t xml:space="preserve">only topical preparation </w:t>
      </w:r>
      <w:r w:rsidRPr="00BD4290">
        <w:t>(</w:t>
      </w:r>
      <w:r w:rsidR="00CB73F7" w:rsidRPr="00BD4290">
        <w:t xml:space="preserve">product </w:t>
      </w:r>
      <w:r w:rsidRPr="00BD4290">
        <w:t>name: TRI-LUMA) containing 4% hydroquinone.</w:t>
      </w:r>
      <w:r w:rsidR="00DE4B79" w:rsidRPr="00BD4290">
        <w:t xml:space="preserve"> </w:t>
      </w:r>
      <w:r w:rsidR="005935A6">
        <w:t>No OTC skin lightening products containing hydroquinone can be marketed unless approved by the FDA.</w:t>
      </w:r>
    </w:p>
    <w:p w14:paraId="68AA1484" w14:textId="784B74E3" w:rsidR="00E20252" w:rsidRPr="00873B7B" w:rsidRDefault="00E20252" w:rsidP="00F30896">
      <w:pPr>
        <w:pStyle w:val="ListBullet"/>
      </w:pPr>
      <w:r w:rsidRPr="00873B7B">
        <w:t xml:space="preserve">According to </w:t>
      </w:r>
      <w:hyperlink r:id="rId118" w:history="1">
        <w:r w:rsidRPr="00873B7B">
          <w:rPr>
            <w:rStyle w:val="Hyperlink"/>
          </w:rPr>
          <w:t>European Chemical Agency (ECHA)</w:t>
        </w:r>
      </w:hyperlink>
      <w:r w:rsidRPr="00873B7B">
        <w:t>, hydroquinone is very toxic to aquatic life; causes serious eye damage; is harmful if swallowed; is suspected of causing genetic defects and cancer; and may cause an allergic skin reaction.</w:t>
      </w:r>
    </w:p>
    <w:p w14:paraId="0BEA043F" w14:textId="505504E8" w:rsidR="00F67AC1" w:rsidRPr="00BD4290" w:rsidRDefault="006604DB" w:rsidP="00F30896">
      <w:pPr>
        <w:pStyle w:val="ListBullet"/>
      </w:pPr>
      <w:r w:rsidRPr="00BD4290">
        <w:t xml:space="preserve">Under the </w:t>
      </w:r>
      <w:hyperlink r:id="rId119" w:history="1">
        <w:r w:rsidRPr="00BD4290">
          <w:rPr>
            <w:rStyle w:val="Hyperlink"/>
          </w:rPr>
          <w:t>Cosmetic Products Regulation, Annex II</w:t>
        </w:r>
      </w:hyperlink>
      <w:r w:rsidRPr="00BD4290">
        <w:t xml:space="preserve"> (Prohibited Substances) Hydroquinone in cosmetic products is not permitted in the EU except for use as an oxidising colouring agent in hair dyes at up to 0.3%.</w:t>
      </w:r>
    </w:p>
    <w:p w14:paraId="2BB18F5F" w14:textId="395E329F" w:rsidR="00F67AC1" w:rsidRPr="00BD4290" w:rsidRDefault="00F67AC1" w:rsidP="00F30896">
      <w:pPr>
        <w:pStyle w:val="ListBullet"/>
      </w:pPr>
      <w:r w:rsidRPr="00BD4290">
        <w:t xml:space="preserve">Hydroquinone is listed in </w:t>
      </w:r>
      <w:hyperlink r:id="rId120">
        <w:r w:rsidRPr="00BD4290">
          <w:rPr>
            <w:rStyle w:val="Hyperlink"/>
          </w:rPr>
          <w:t>European Commission database for information on cosmetic substances and ingredients database (CosIng)</w:t>
        </w:r>
      </w:hyperlink>
      <w:r w:rsidRPr="00BD4290">
        <w:t xml:space="preserve"> with functions including antioxidant, b</w:t>
      </w:r>
      <w:r w:rsidR="00E578F1" w:rsidRPr="00BD4290">
        <w:t>l</w:t>
      </w:r>
      <w:r w:rsidRPr="00BD4290">
        <w:t>eaching, hair dyeing, fragrance, and reducing.</w:t>
      </w:r>
    </w:p>
    <w:p w14:paraId="55D608FA" w14:textId="01D02C1E" w:rsidR="00F67AC1" w:rsidRPr="00BD4290" w:rsidRDefault="00F67AC1" w:rsidP="00F30896">
      <w:pPr>
        <w:pStyle w:val="ListBullet"/>
        <w:rPr>
          <w:rFonts w:eastAsia="Arial"/>
        </w:rPr>
      </w:pPr>
      <w:r w:rsidRPr="00BD4290">
        <w:rPr>
          <w:rFonts w:eastAsia="Arial"/>
          <w:color w:val="000000" w:themeColor="text1"/>
        </w:rPr>
        <w:t xml:space="preserve">In </w:t>
      </w:r>
      <w:hyperlink r:id="rId121">
        <w:r w:rsidRPr="00BD4290">
          <w:rPr>
            <w:rStyle w:val="Hyperlink"/>
            <w:rFonts w:eastAsia="Arial"/>
          </w:rPr>
          <w:t>New Zealand Inventory of Chemicals (NZIoC) database,</w:t>
        </w:r>
      </w:hyperlink>
      <w:r w:rsidRPr="00BD4290">
        <w:rPr>
          <w:rFonts w:eastAsia="Arial"/>
        </w:rPr>
        <w:t xml:space="preserve"> hydroquinone is listed as approved with controls.</w:t>
      </w:r>
    </w:p>
    <w:p w14:paraId="6F89A0FA" w14:textId="77777777" w:rsidR="00D10D16" w:rsidRDefault="00D10D16">
      <w:pPr>
        <w:rPr>
          <w:rFonts w:eastAsia="Cambria" w:cs="Arial"/>
          <w:color w:val="000000" w:themeColor="text1"/>
        </w:rPr>
      </w:pPr>
      <w:r>
        <w:rPr>
          <w:color w:val="000000" w:themeColor="text1"/>
        </w:rPr>
        <w:br w:type="page"/>
      </w:r>
    </w:p>
    <w:p w14:paraId="625DA916" w14:textId="38E3E61C" w:rsidR="00F67AC1" w:rsidRPr="00BD4290" w:rsidRDefault="00F67AC1" w:rsidP="00F30896">
      <w:pPr>
        <w:pStyle w:val="ListBullet"/>
        <w:rPr>
          <w:color w:val="000000" w:themeColor="text1"/>
        </w:rPr>
      </w:pPr>
      <w:r w:rsidRPr="00BD4290">
        <w:rPr>
          <w:color w:val="000000" w:themeColor="text1"/>
        </w:rPr>
        <w:lastRenderedPageBreak/>
        <w:t xml:space="preserve">The </w:t>
      </w:r>
      <w:hyperlink r:id="rId122">
        <w:r w:rsidRPr="00BD4290">
          <w:rPr>
            <w:rStyle w:val="Hyperlink"/>
            <w:rFonts w:eastAsia="Arial"/>
          </w:rPr>
          <w:t>New Zealand Medsafe Medicines Classification Database</w:t>
        </w:r>
      </w:hyperlink>
      <w:r w:rsidRPr="00BD4290">
        <w:rPr>
          <w:color w:val="000000" w:themeColor="text1"/>
        </w:rPr>
        <w:t xml:space="preserve"> listed hydroquinone as follows</w:t>
      </w:r>
      <w:r w:rsidR="000175F5">
        <w:rPr>
          <w:color w:val="000000" w:themeColor="text1"/>
        </w:rPr>
        <w:t>.</w:t>
      </w:r>
    </w:p>
    <w:tbl>
      <w:tblPr>
        <w:tblStyle w:val="TableTGAblue2023"/>
        <w:tblW w:w="0" w:type="auto"/>
        <w:tblLook w:val="04A0" w:firstRow="1" w:lastRow="0" w:firstColumn="1" w:lastColumn="0" w:noHBand="0" w:noVBand="1"/>
      </w:tblPr>
      <w:tblGrid>
        <w:gridCol w:w="3020"/>
        <w:gridCol w:w="3020"/>
        <w:gridCol w:w="3020"/>
      </w:tblGrid>
      <w:tr w:rsidR="00F213FB" w:rsidRPr="00BD4290" w14:paraId="3C224807" w14:textId="77777777" w:rsidTr="000222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E2CA7C1" w14:textId="77777777" w:rsidR="00F67AC1" w:rsidRPr="00BD4290" w:rsidRDefault="00F67AC1" w:rsidP="0002227D">
            <w:pPr>
              <w:rPr>
                <w:rFonts w:cs="Arial"/>
              </w:rPr>
            </w:pPr>
            <w:r w:rsidRPr="00BD4290">
              <w:rPr>
                <w:rFonts w:cs="Arial"/>
              </w:rPr>
              <w:t>Substance</w:t>
            </w:r>
          </w:p>
        </w:tc>
        <w:tc>
          <w:tcPr>
            <w:tcW w:w="3020" w:type="dxa"/>
          </w:tcPr>
          <w:p w14:paraId="522C6D21" w14:textId="77777777" w:rsidR="00F67AC1" w:rsidRPr="00BD4290" w:rsidRDefault="00F67AC1" w:rsidP="0002227D">
            <w:pPr>
              <w:cnfStyle w:val="100000000000" w:firstRow="1" w:lastRow="0" w:firstColumn="0" w:lastColumn="0" w:oddVBand="0" w:evenVBand="0" w:oddHBand="0" w:evenHBand="0" w:firstRowFirstColumn="0" w:firstRowLastColumn="0" w:lastRowFirstColumn="0" w:lastRowLastColumn="0"/>
              <w:rPr>
                <w:rFonts w:cs="Arial"/>
              </w:rPr>
            </w:pPr>
            <w:r w:rsidRPr="00BD4290">
              <w:rPr>
                <w:rFonts w:cs="Arial"/>
              </w:rPr>
              <w:t>Conditions (if any)</w:t>
            </w:r>
          </w:p>
        </w:tc>
        <w:tc>
          <w:tcPr>
            <w:tcW w:w="3020" w:type="dxa"/>
          </w:tcPr>
          <w:p w14:paraId="0D6378E9" w14:textId="77777777" w:rsidR="00F67AC1" w:rsidRPr="00BD4290" w:rsidRDefault="00F67AC1" w:rsidP="0002227D">
            <w:pPr>
              <w:cnfStyle w:val="100000000000" w:firstRow="1" w:lastRow="0" w:firstColumn="0" w:lastColumn="0" w:oddVBand="0" w:evenVBand="0" w:oddHBand="0" w:evenHBand="0" w:firstRowFirstColumn="0" w:firstRowLastColumn="0" w:lastRowFirstColumn="0" w:lastRowLastColumn="0"/>
              <w:rPr>
                <w:rFonts w:cs="Arial"/>
              </w:rPr>
            </w:pPr>
            <w:r w:rsidRPr="00BD4290">
              <w:rPr>
                <w:rFonts w:cs="Arial"/>
              </w:rPr>
              <w:t>Classifications</w:t>
            </w:r>
          </w:p>
        </w:tc>
      </w:tr>
      <w:tr w:rsidR="00F67AC1" w:rsidRPr="00BD4290" w14:paraId="68514A57" w14:textId="77777777" w:rsidTr="0002227D">
        <w:tc>
          <w:tcPr>
            <w:cnfStyle w:val="001000000000" w:firstRow="0" w:lastRow="0" w:firstColumn="1" w:lastColumn="0" w:oddVBand="0" w:evenVBand="0" w:oddHBand="0" w:evenHBand="0" w:firstRowFirstColumn="0" w:firstRowLastColumn="0" w:lastRowFirstColumn="0" w:lastRowLastColumn="0"/>
            <w:tcW w:w="3020" w:type="dxa"/>
          </w:tcPr>
          <w:p w14:paraId="3E83CA15" w14:textId="1879CA23" w:rsidR="00F67AC1" w:rsidRPr="00503702" w:rsidRDefault="00F67AC1" w:rsidP="00780F3D">
            <w:pPr>
              <w:rPr>
                <w:rFonts w:cs="Arial"/>
                <w:sz w:val="20"/>
                <w:szCs w:val="20"/>
              </w:rPr>
            </w:pPr>
            <w:r w:rsidRPr="00503702">
              <w:rPr>
                <w:rFonts w:cs="Arial"/>
                <w:sz w:val="20"/>
                <w:szCs w:val="20"/>
              </w:rPr>
              <w:t>Hydroquinone</w:t>
            </w:r>
          </w:p>
        </w:tc>
        <w:tc>
          <w:tcPr>
            <w:tcW w:w="3020" w:type="dxa"/>
          </w:tcPr>
          <w:p w14:paraId="60EC62AA" w14:textId="77777777" w:rsidR="00F67AC1" w:rsidRPr="00503702" w:rsidRDefault="00F67AC1" w:rsidP="0002227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03702">
              <w:rPr>
                <w:rFonts w:cs="Arial"/>
                <w:b/>
                <w:bCs/>
                <w:sz w:val="20"/>
                <w:szCs w:val="20"/>
              </w:rPr>
              <w:t>except</w:t>
            </w:r>
            <w:r w:rsidRPr="00503702">
              <w:rPr>
                <w:rFonts w:cs="Arial"/>
                <w:sz w:val="20"/>
                <w:szCs w:val="20"/>
              </w:rPr>
              <w:t xml:space="preserve"> in medicines for external use containing 2% or less</w:t>
            </w:r>
          </w:p>
        </w:tc>
        <w:tc>
          <w:tcPr>
            <w:tcW w:w="3020" w:type="dxa"/>
          </w:tcPr>
          <w:p w14:paraId="67920832" w14:textId="77777777" w:rsidR="00F67AC1" w:rsidRPr="00503702" w:rsidRDefault="00F67AC1" w:rsidP="0002227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03702">
              <w:rPr>
                <w:rFonts w:cs="Arial"/>
                <w:sz w:val="20"/>
                <w:szCs w:val="20"/>
              </w:rPr>
              <w:t>Prescription</w:t>
            </w:r>
          </w:p>
        </w:tc>
      </w:tr>
      <w:tr w:rsidR="00F67AC1" w:rsidRPr="00BD4290" w14:paraId="6468C2D5" w14:textId="77777777" w:rsidTr="0002227D">
        <w:trPr>
          <w:trHeight w:val="300"/>
        </w:trPr>
        <w:tc>
          <w:tcPr>
            <w:cnfStyle w:val="001000000000" w:firstRow="0" w:lastRow="0" w:firstColumn="1" w:lastColumn="0" w:oddVBand="0" w:evenVBand="0" w:oddHBand="0" w:evenHBand="0" w:firstRowFirstColumn="0" w:firstRowLastColumn="0" w:lastRowFirstColumn="0" w:lastRowLastColumn="0"/>
            <w:tcW w:w="3020" w:type="dxa"/>
          </w:tcPr>
          <w:p w14:paraId="119DE631" w14:textId="77777777" w:rsidR="00F67AC1" w:rsidRPr="00503702" w:rsidRDefault="00F67AC1" w:rsidP="0002227D">
            <w:pPr>
              <w:rPr>
                <w:rFonts w:cs="Arial"/>
                <w:sz w:val="20"/>
                <w:szCs w:val="20"/>
              </w:rPr>
            </w:pPr>
            <w:r w:rsidRPr="00503702">
              <w:rPr>
                <w:rFonts w:cs="Arial"/>
                <w:sz w:val="20"/>
                <w:szCs w:val="20"/>
              </w:rPr>
              <w:t>Hydroquinone</w:t>
            </w:r>
          </w:p>
        </w:tc>
        <w:tc>
          <w:tcPr>
            <w:tcW w:w="3020" w:type="dxa"/>
          </w:tcPr>
          <w:p w14:paraId="71949F91" w14:textId="77777777" w:rsidR="00F67AC1" w:rsidRPr="00503702" w:rsidRDefault="00F67AC1" w:rsidP="0002227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03702">
              <w:rPr>
                <w:rFonts w:cs="Arial"/>
                <w:sz w:val="20"/>
                <w:szCs w:val="20"/>
              </w:rPr>
              <w:t>for external use in medicines containing 2% or less except in hair preparations containing 1% or less</w:t>
            </w:r>
          </w:p>
        </w:tc>
        <w:tc>
          <w:tcPr>
            <w:tcW w:w="3020" w:type="dxa"/>
          </w:tcPr>
          <w:p w14:paraId="26BE0F96" w14:textId="179D91C1" w:rsidR="00F67AC1" w:rsidRPr="00503702" w:rsidRDefault="00F67AC1" w:rsidP="00780F3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03702">
              <w:rPr>
                <w:rFonts w:cs="Arial"/>
                <w:sz w:val="20"/>
                <w:szCs w:val="20"/>
              </w:rPr>
              <w:t>Pharmacy Only</w:t>
            </w:r>
          </w:p>
        </w:tc>
      </w:tr>
      <w:tr w:rsidR="00F67AC1" w:rsidRPr="00BD4290" w14:paraId="417FC3F4" w14:textId="77777777" w:rsidTr="0002227D">
        <w:trPr>
          <w:trHeight w:val="300"/>
        </w:trPr>
        <w:tc>
          <w:tcPr>
            <w:cnfStyle w:val="001000000000" w:firstRow="0" w:lastRow="0" w:firstColumn="1" w:lastColumn="0" w:oddVBand="0" w:evenVBand="0" w:oddHBand="0" w:evenHBand="0" w:firstRowFirstColumn="0" w:firstRowLastColumn="0" w:lastRowFirstColumn="0" w:lastRowLastColumn="0"/>
            <w:tcW w:w="3020" w:type="dxa"/>
          </w:tcPr>
          <w:p w14:paraId="22076150" w14:textId="77777777" w:rsidR="00F67AC1" w:rsidRPr="00503702" w:rsidRDefault="00F67AC1" w:rsidP="0002227D">
            <w:pPr>
              <w:rPr>
                <w:rFonts w:cs="Arial"/>
                <w:sz w:val="20"/>
                <w:szCs w:val="20"/>
              </w:rPr>
            </w:pPr>
            <w:r w:rsidRPr="00503702">
              <w:rPr>
                <w:rFonts w:cs="Arial"/>
                <w:sz w:val="20"/>
                <w:szCs w:val="20"/>
              </w:rPr>
              <w:t>Hydroquinone</w:t>
            </w:r>
          </w:p>
        </w:tc>
        <w:tc>
          <w:tcPr>
            <w:tcW w:w="3020" w:type="dxa"/>
          </w:tcPr>
          <w:p w14:paraId="102CFE2D" w14:textId="77777777" w:rsidR="00F67AC1" w:rsidRPr="00503702" w:rsidRDefault="00F67AC1" w:rsidP="0002227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03702">
              <w:rPr>
                <w:rFonts w:cs="Arial"/>
                <w:sz w:val="20"/>
                <w:szCs w:val="20"/>
              </w:rPr>
              <w:t>for external use in hair preparations containing 1% or less</w:t>
            </w:r>
          </w:p>
        </w:tc>
        <w:tc>
          <w:tcPr>
            <w:tcW w:w="3020" w:type="dxa"/>
          </w:tcPr>
          <w:p w14:paraId="291FBC19" w14:textId="77777777" w:rsidR="00F67AC1" w:rsidRPr="00503702" w:rsidRDefault="00F67AC1" w:rsidP="0002227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03702">
              <w:rPr>
                <w:rFonts w:cs="Arial"/>
                <w:sz w:val="20"/>
                <w:szCs w:val="20"/>
              </w:rPr>
              <w:t>General Sale</w:t>
            </w:r>
          </w:p>
        </w:tc>
      </w:tr>
    </w:tbl>
    <w:p w14:paraId="5301F157" w14:textId="056D10FC" w:rsidR="00F67AC1" w:rsidRPr="00F4489D" w:rsidRDefault="00F67AC1" w:rsidP="00F30896">
      <w:pPr>
        <w:pStyle w:val="ListBullet"/>
      </w:pPr>
      <w:r w:rsidRPr="00BD4290">
        <w:t>As of 1</w:t>
      </w:r>
      <w:r w:rsidR="00205B7E">
        <w:t>2</w:t>
      </w:r>
      <w:r w:rsidRPr="00BD4290">
        <w:t xml:space="preserve"> September 2025, the </w:t>
      </w:r>
      <w:hyperlink r:id="rId123">
        <w:r w:rsidRPr="00BD4290">
          <w:rPr>
            <w:rStyle w:val="Hyperlink"/>
          </w:rPr>
          <w:t>Health Canada Drug Product Database</w:t>
        </w:r>
      </w:hyperlink>
      <w:r w:rsidRPr="00BD4290">
        <w:t xml:space="preserve"> listed hydroquinone in relation to 67 cancelled drug products and 1 marketed prescription product for human.</w:t>
      </w:r>
    </w:p>
    <w:p w14:paraId="4C084317" w14:textId="77777777" w:rsidR="001F568E" w:rsidRDefault="001F568E">
      <w:pPr>
        <w:rPr>
          <w:rFonts w:eastAsia="Times New Roman" w:cs="Arial"/>
          <w:b/>
          <w:bCs/>
          <w:color w:val="001871"/>
          <w:sz w:val="38"/>
          <w:szCs w:val="38"/>
        </w:rPr>
      </w:pPr>
      <w:r>
        <w:rPr>
          <w:rFonts w:cs="Arial"/>
        </w:rPr>
        <w:br w:type="page"/>
      </w:r>
    </w:p>
    <w:p w14:paraId="5E603A9E" w14:textId="3D9D0652" w:rsidR="00685E72" w:rsidRPr="00BD4290" w:rsidRDefault="00685E72" w:rsidP="00E578F1">
      <w:pPr>
        <w:pStyle w:val="Heading2"/>
        <w:rPr>
          <w:rFonts w:cs="Arial"/>
        </w:rPr>
      </w:pPr>
      <w:bookmarkStart w:id="117" w:name="_Toc209035991"/>
      <w:r w:rsidRPr="00BD4290">
        <w:rPr>
          <w:rFonts w:cs="Arial"/>
        </w:rPr>
        <w:lastRenderedPageBreak/>
        <w:t xml:space="preserve">How to </w:t>
      </w:r>
      <w:r w:rsidRPr="00BD4290">
        <w:rPr>
          <w:rFonts w:eastAsia="Cambria" w:cs="Arial"/>
        </w:rPr>
        <w:t>respond</w:t>
      </w:r>
      <w:bookmarkEnd w:id="109"/>
      <w:bookmarkEnd w:id="117"/>
    </w:p>
    <w:p w14:paraId="2CB5A8D3" w14:textId="1AEAF6D8" w:rsidR="00685E72" w:rsidRPr="00BD4290" w:rsidRDefault="00685E72" w:rsidP="00C417B6">
      <w:pPr>
        <w:rPr>
          <w:rFonts w:cs="Arial"/>
        </w:rPr>
      </w:pPr>
      <w:r w:rsidRPr="00BD4290">
        <w:rPr>
          <w:rFonts w:cs="Arial"/>
        </w:rPr>
        <w:t xml:space="preserve">Submissions must be provided by the closing date of </w:t>
      </w:r>
      <w:r w:rsidR="00205B7E" w:rsidRPr="00071991">
        <w:rPr>
          <w:rFonts w:cs="Arial"/>
        </w:rPr>
        <w:t>17</w:t>
      </w:r>
      <w:r w:rsidR="00205B7E" w:rsidRPr="00006BEE">
        <w:rPr>
          <w:rFonts w:cs="Arial"/>
        </w:rPr>
        <w:t xml:space="preserve"> October</w:t>
      </w:r>
      <w:r w:rsidR="00006BEE" w:rsidRPr="00006BEE">
        <w:rPr>
          <w:rFonts w:cs="Arial"/>
        </w:rPr>
        <w:t xml:space="preserve"> 2025</w:t>
      </w:r>
      <w:r w:rsidRPr="00006BEE">
        <w:rPr>
          <w:rFonts w:cs="Arial"/>
        </w:rPr>
        <w:t xml:space="preserve"> </w:t>
      </w:r>
      <w:r w:rsidRPr="00BD4290">
        <w:rPr>
          <w:rFonts w:cs="Arial"/>
        </w:rPr>
        <w:t>through our </w:t>
      </w:r>
      <w:hyperlink r:id="rId124" w:history="1">
        <w:r w:rsidR="00006BEE">
          <w:rPr>
            <w:rStyle w:val="Hyperlink"/>
            <w:rFonts w:cs="Arial"/>
          </w:rPr>
          <w:t>consultation hub</w:t>
        </w:r>
      </w:hyperlink>
      <w:r w:rsidRPr="00BD4290">
        <w:rPr>
          <w:rFonts w:cs="Arial"/>
        </w:rPr>
        <w:t>. Any submission about any of the proposals to amend the Poisons Standard will be considered at the next meeting of the </w:t>
      </w:r>
      <w:hyperlink r:id="rId125" w:history="1">
        <w:r w:rsidRPr="00BD4290">
          <w:rPr>
            <w:rStyle w:val="Hyperlink"/>
            <w:rFonts w:cs="Arial"/>
          </w:rPr>
          <w:t>Advisory Committee on Medicines Scheduling (ACMS)</w:t>
        </w:r>
      </w:hyperlink>
      <w:r w:rsidRPr="00BD4290">
        <w:rPr>
          <w:rFonts w:cs="Arial"/>
        </w:rPr>
        <w:t>, meeting of the </w:t>
      </w:r>
      <w:hyperlink r:id="rId126" w:history="1">
        <w:r w:rsidRPr="00BD4290">
          <w:rPr>
            <w:rStyle w:val="Hyperlink"/>
            <w:rFonts w:cs="Arial"/>
          </w:rPr>
          <w:t>Advisory Committee on Chemicals Scheduling (ACCS)</w:t>
        </w:r>
      </w:hyperlink>
      <w:r w:rsidRPr="00BD4290">
        <w:rPr>
          <w:rFonts w:cs="Arial"/>
        </w:rPr>
        <w:t>, or a joint meeting of these two committees.</w:t>
      </w:r>
    </w:p>
    <w:p w14:paraId="501A6FEE" w14:textId="77777777" w:rsidR="00685E72" w:rsidRPr="00BD4290" w:rsidRDefault="00685E72" w:rsidP="00E74709">
      <w:pPr>
        <w:pStyle w:val="Heading2"/>
        <w:rPr>
          <w:rFonts w:cs="Arial"/>
        </w:rPr>
      </w:pPr>
      <w:bookmarkStart w:id="118" w:name="_Toc122614250"/>
      <w:bookmarkStart w:id="119" w:name="_Toc209035992"/>
      <w:r w:rsidRPr="00BD4290">
        <w:rPr>
          <w:rFonts w:cs="Arial"/>
        </w:rPr>
        <w:t>What will happen</w:t>
      </w:r>
      <w:bookmarkEnd w:id="118"/>
      <w:bookmarkEnd w:id="119"/>
    </w:p>
    <w:p w14:paraId="2144F007" w14:textId="77777777" w:rsidR="00685E72" w:rsidRPr="00C417B6" w:rsidRDefault="00685E72" w:rsidP="00C417B6">
      <w:r w:rsidRPr="00BD4290">
        <w:rPr>
          <w:rFonts w:cs="Arial"/>
        </w:rPr>
        <w:t xml:space="preserve">All public submissions will be published on the TGA website at </w:t>
      </w:r>
      <w:hyperlink r:id="rId127" w:history="1">
        <w:r w:rsidRPr="00BD4290">
          <w:rPr>
            <w:rStyle w:val="Hyperlink"/>
            <w:rFonts w:cs="Arial"/>
          </w:rPr>
          <w:t>Public submissions on scheduling matters</w:t>
        </w:r>
      </w:hyperlink>
      <w:r w:rsidRPr="00BD4290">
        <w:rPr>
          <w:rFonts w:cs="Arial"/>
        </w:rPr>
        <w:t>, unless marked confid</w:t>
      </w:r>
      <w:r w:rsidRPr="00C417B6">
        <w:t xml:space="preserve">ential or indicated otherwise in the submission coversheet (see </w:t>
      </w:r>
      <w:hyperlink r:id="rId128" w:history="1">
        <w:r w:rsidRPr="00C417B6">
          <w:rPr>
            <w:rStyle w:val="Hyperlink"/>
          </w:rPr>
          <w:t>Privacy</w:t>
        </w:r>
        <w:r w:rsidR="00B90A0A" w:rsidRPr="00C417B6">
          <w:rPr>
            <w:rStyle w:val="Hyperlink"/>
          </w:rPr>
          <w:t> </w:t>
        </w:r>
        <w:r w:rsidRPr="00C417B6">
          <w:rPr>
            <w:rStyle w:val="Hyperlink"/>
          </w:rPr>
          <w:t>information</w:t>
        </w:r>
      </w:hyperlink>
      <w:r w:rsidRPr="00C417B6">
        <w:t>).</w:t>
      </w:r>
    </w:p>
    <w:p w14:paraId="6CB90BF7" w14:textId="4FD7E6CA" w:rsidR="00F02AEC" w:rsidRPr="00C417B6" w:rsidRDefault="00685E72" w:rsidP="00C417B6">
      <w:pPr>
        <w:sectPr w:rsidR="00F02AEC" w:rsidRPr="00C417B6" w:rsidSect="00AE7C6A">
          <w:headerReference w:type="default" r:id="rId129"/>
          <w:footerReference w:type="default" r:id="rId130"/>
          <w:pgSz w:w="11906" w:h="16838" w:code="9"/>
          <w:pgMar w:top="1134" w:right="1418" w:bottom="1361" w:left="1418" w:header="573" w:footer="567" w:gutter="0"/>
          <w:cols w:space="708"/>
          <w:docGrid w:linePitch="360"/>
        </w:sectPr>
      </w:pPr>
      <w:r w:rsidRPr="00C417B6">
        <w:t xml:space="preserve">Following consideration of public submissions received before the closing date and advice from the expert advisory committee/s, decisions on the proposed amendments will be published as interim decisions on the TGA website </w:t>
      </w:r>
      <w:hyperlink r:id="rId131" w:history="1">
        <w:r w:rsidR="00006BEE" w:rsidRPr="00006BEE">
          <w:rPr>
            <w:rStyle w:val="Hyperlink"/>
          </w:rPr>
          <w:t>Scheduling decisions (interim)</w:t>
        </w:r>
      </w:hyperlink>
      <w:r w:rsidRPr="00C417B6">
        <w:t xml:space="preserve"> </w:t>
      </w:r>
      <w:r w:rsidR="00006BEE">
        <w:t>in February 2026</w:t>
      </w:r>
      <w:r w:rsidRPr="00C417B6">
        <w:t>.</w:t>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C417B6" w14:paraId="158FFB18" w14:textId="77777777" w:rsidTr="00564BBE">
        <w:trPr>
          <w:trHeight w:hRule="exact" w:val="565"/>
          <w:jc w:val="center"/>
        </w:trPr>
        <w:tc>
          <w:tcPr>
            <w:tcW w:w="9145" w:type="dxa"/>
          </w:tcPr>
          <w:p w14:paraId="120CF141" w14:textId="77777777" w:rsidR="00F02AEC" w:rsidRPr="00C417B6" w:rsidRDefault="00F02AEC" w:rsidP="00E74709">
            <w:pPr>
              <w:pStyle w:val="TGASignoff"/>
            </w:pPr>
            <w:r w:rsidRPr="00C417B6">
              <w:lastRenderedPageBreak/>
              <w:t>Therapeutic Goods Administration</w:t>
            </w:r>
          </w:p>
        </w:tc>
      </w:tr>
      <w:tr w:rsidR="00F02AEC" w:rsidRPr="00C417B6" w14:paraId="175C59B8" w14:textId="77777777" w:rsidTr="00564BBE">
        <w:trPr>
          <w:trHeight w:val="963"/>
          <w:jc w:val="center"/>
        </w:trPr>
        <w:tc>
          <w:tcPr>
            <w:tcW w:w="9145" w:type="dxa"/>
            <w:tcMar>
              <w:top w:w="28" w:type="dxa"/>
            </w:tcMar>
          </w:tcPr>
          <w:p w14:paraId="4FA08F33" w14:textId="77777777" w:rsidR="00F02AEC" w:rsidRPr="00C417B6" w:rsidRDefault="00F02AEC" w:rsidP="00E74709">
            <w:pPr>
              <w:pStyle w:val="Address"/>
              <w:jc w:val="center"/>
            </w:pPr>
            <w:r w:rsidRPr="00C417B6">
              <w:t>PO Box 100 Woden ACT 2606 Australia</w:t>
            </w:r>
          </w:p>
          <w:p w14:paraId="5DA27C4E" w14:textId="77777777" w:rsidR="00F02AEC" w:rsidRPr="00C417B6" w:rsidRDefault="00F02AEC" w:rsidP="00E74709">
            <w:pPr>
              <w:pStyle w:val="Address"/>
              <w:jc w:val="center"/>
            </w:pPr>
            <w:r w:rsidRPr="00C417B6">
              <w:t xml:space="preserve">Email: </w:t>
            </w:r>
            <w:hyperlink r:id="rId132" w:history="1">
              <w:r w:rsidRPr="00C417B6">
                <w:rPr>
                  <w:rStyle w:val="Hyperlink"/>
                </w:rPr>
                <w:t>info@tga.gov.au</w:t>
              </w:r>
            </w:hyperlink>
            <w:r w:rsidRPr="00C417B6">
              <w:t xml:space="preserve">  Phone: 1800 020 653  Fax: 02 6203 1605</w:t>
            </w:r>
          </w:p>
          <w:p w14:paraId="3D87A1F0" w14:textId="77777777" w:rsidR="00F02AEC" w:rsidRPr="00C417B6" w:rsidRDefault="00F02AEC" w:rsidP="00E74709">
            <w:pPr>
              <w:pStyle w:val="Address"/>
              <w:jc w:val="center"/>
            </w:pPr>
            <w:hyperlink r:id="rId133" w:history="1">
              <w:r w:rsidRPr="00C417B6">
                <w:rPr>
                  <w:rStyle w:val="Hyperlink"/>
                </w:rPr>
                <w:t>https://www.tga.gov.au</w:t>
              </w:r>
            </w:hyperlink>
          </w:p>
        </w:tc>
      </w:tr>
      <w:tr w:rsidR="00F02AEC" w:rsidRPr="00C417B6" w14:paraId="600A8250" w14:textId="77777777" w:rsidTr="00564BBE">
        <w:trPr>
          <w:trHeight w:val="251"/>
          <w:jc w:val="center"/>
        </w:trPr>
        <w:tc>
          <w:tcPr>
            <w:tcW w:w="9145" w:type="dxa"/>
            <w:tcMar>
              <w:top w:w="28" w:type="dxa"/>
            </w:tcMar>
          </w:tcPr>
          <w:p w14:paraId="4CEAA00A" w14:textId="77777777" w:rsidR="00F02AEC" w:rsidRPr="00C417B6" w:rsidRDefault="00F02AEC" w:rsidP="00C417B6"/>
        </w:tc>
      </w:tr>
      <w:bookmarkEnd w:id="0"/>
    </w:tbl>
    <w:p w14:paraId="0E36195F" w14:textId="77777777" w:rsidR="009506FA" w:rsidRPr="00C417B6" w:rsidRDefault="009506FA" w:rsidP="00C417B6"/>
    <w:sectPr w:rsidR="009506FA" w:rsidRPr="00C417B6" w:rsidSect="00AE7C6A">
      <w:headerReference w:type="first" r:id="rId134"/>
      <w:footerReference w:type="first" r:id="rId13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7C2C" w14:textId="77777777" w:rsidR="00B448B7" w:rsidRDefault="00B448B7" w:rsidP="00F02AEC">
      <w:pPr>
        <w:spacing w:after="0" w:line="240" w:lineRule="auto"/>
      </w:pPr>
      <w:r>
        <w:separator/>
      </w:r>
    </w:p>
  </w:endnote>
  <w:endnote w:type="continuationSeparator" w:id="0">
    <w:p w14:paraId="51981CBE" w14:textId="77777777" w:rsidR="00B448B7" w:rsidRDefault="00B448B7"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E907" w14:textId="76380D6C" w:rsidR="00F67AC1" w:rsidRDefault="00F67AC1">
    <w:pPr>
      <w:pStyle w:val="Footer"/>
    </w:pPr>
    <w:r>
      <w:rPr>
        <w:noProof/>
      </w:rPr>
      <mc:AlternateContent>
        <mc:Choice Requires="wps">
          <w:drawing>
            <wp:anchor distT="0" distB="0" distL="0" distR="0" simplePos="0" relativeHeight="251681792" behindDoc="0" locked="0" layoutInCell="1" allowOverlap="1" wp14:anchorId="5F67DA33" wp14:editId="3E23AE15">
              <wp:simplePos x="635" y="635"/>
              <wp:positionH relativeFrom="page">
                <wp:align>center</wp:align>
              </wp:positionH>
              <wp:positionV relativeFrom="page">
                <wp:align>bottom</wp:align>
              </wp:positionV>
              <wp:extent cx="551815" cy="391160"/>
              <wp:effectExtent l="0" t="0" r="635" b="0"/>
              <wp:wrapNone/>
              <wp:docPr id="123113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0BF2927" w14:textId="309A9A3B" w:rsidR="00F67AC1" w:rsidRPr="00F67AC1" w:rsidRDefault="00F67AC1" w:rsidP="00F67AC1">
                          <w:pPr>
                            <w:spacing w:after="0"/>
                            <w:rPr>
                              <w:rFonts w:ascii="Calibri" w:eastAsia="Calibri" w:hAnsi="Calibri" w:cs="Calibri"/>
                              <w:noProof/>
                              <w:color w:val="FF0000"/>
                              <w:sz w:val="24"/>
                              <w:szCs w:val="24"/>
                            </w:rPr>
                          </w:pPr>
                          <w:r w:rsidRPr="00F67AC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67DA33" id="_x0000_t202" coordsize="21600,21600" o:spt="202" path="m,l,21600r21600,l21600,xe">
              <v:stroke joinstyle="miter"/>
              <v:path gradientshapeok="t" o:connecttype="rect"/>
            </v:shapetype>
            <v:shape id="Text Box 7" o:spid="_x0000_s1029" type="#_x0000_t202" alt="OFFICIAL" style="position:absolute;margin-left:0;margin-top:0;width:43.45pt;height:30.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0BF2927" w14:textId="309A9A3B" w:rsidR="00F67AC1" w:rsidRPr="00F67AC1" w:rsidRDefault="00F67AC1" w:rsidP="00F67AC1">
                    <w:pPr>
                      <w:spacing w:after="0"/>
                      <w:rPr>
                        <w:rFonts w:ascii="Calibri" w:eastAsia="Calibri" w:hAnsi="Calibri" w:cs="Calibri"/>
                        <w:noProof/>
                        <w:color w:val="FF0000"/>
                        <w:sz w:val="24"/>
                        <w:szCs w:val="24"/>
                      </w:rPr>
                    </w:pPr>
                    <w:r w:rsidRPr="00F67AC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1ECEE2C2" w14:textId="77777777" w:rsidTr="000B30E5">
      <w:trPr>
        <w:trHeight w:val="423"/>
      </w:trPr>
      <w:tc>
        <w:tcPr>
          <w:tcW w:w="4360" w:type="dxa"/>
          <w:tcBorders>
            <w:top w:val="single" w:sz="4" w:space="0" w:color="auto"/>
          </w:tcBorders>
        </w:tcPr>
        <w:p w14:paraId="2FD7481C" w14:textId="43FA05FD" w:rsidR="00F02AEC" w:rsidRDefault="00F67AC1" w:rsidP="000B30E5">
          <w:pPr>
            <w:pStyle w:val="Footer"/>
          </w:pPr>
          <w:r>
            <w:rPr>
              <w:noProof/>
            </w:rPr>
            <mc:AlternateContent>
              <mc:Choice Requires="wps">
                <w:drawing>
                  <wp:anchor distT="0" distB="0" distL="0" distR="0" simplePos="0" relativeHeight="251682816" behindDoc="0" locked="0" layoutInCell="1" allowOverlap="1" wp14:anchorId="69C4993E" wp14:editId="1CCBBA3C">
                    <wp:simplePos x="635" y="635"/>
                    <wp:positionH relativeFrom="page">
                      <wp:align>center</wp:align>
                    </wp:positionH>
                    <wp:positionV relativeFrom="page">
                      <wp:align>bottom</wp:align>
                    </wp:positionV>
                    <wp:extent cx="551815" cy="391160"/>
                    <wp:effectExtent l="0" t="0" r="635" b="0"/>
                    <wp:wrapNone/>
                    <wp:docPr id="154202516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B5CEF84" w14:textId="175D7997" w:rsidR="00F67AC1" w:rsidRPr="00F67AC1" w:rsidRDefault="00F67AC1" w:rsidP="00F67AC1">
                                <w:pPr>
                                  <w:spacing w:after="0"/>
                                  <w:rPr>
                                    <w:rFonts w:ascii="Calibri" w:eastAsia="Calibri" w:hAnsi="Calibri" w:cs="Calibri"/>
                                    <w:noProof/>
                                    <w:color w:val="FF0000"/>
                                    <w:sz w:val="24"/>
                                    <w:szCs w:val="24"/>
                                  </w:rPr>
                                </w:pPr>
                                <w:r w:rsidRPr="00F67AC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4993E" id="_x0000_t202" coordsize="21600,21600" o:spt="202" path="m,l,21600r21600,l21600,xe">
                    <v:stroke joinstyle="miter"/>
                    <v:path gradientshapeok="t" o:connecttype="rect"/>
                  </v:shapetype>
                  <v:shape id="Text Box 8" o:spid="_x0000_s1030" type="#_x0000_t202" alt="OFFICIAL" style="position:absolute;margin-left:0;margin-top:0;width:43.45pt;height:30.8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B5CEF84" w14:textId="175D7997" w:rsidR="00F67AC1" w:rsidRPr="00F67AC1" w:rsidRDefault="00F67AC1" w:rsidP="00F67AC1">
                          <w:pPr>
                            <w:spacing w:after="0"/>
                            <w:rPr>
                              <w:rFonts w:ascii="Calibri" w:eastAsia="Calibri" w:hAnsi="Calibri" w:cs="Calibri"/>
                              <w:noProof/>
                              <w:color w:val="FF0000"/>
                              <w:sz w:val="24"/>
                              <w:szCs w:val="24"/>
                            </w:rPr>
                          </w:pPr>
                          <w:r w:rsidRPr="00F67AC1">
                            <w:rPr>
                              <w:rFonts w:ascii="Calibri" w:eastAsia="Calibri" w:hAnsi="Calibri" w:cs="Calibri"/>
                              <w:noProof/>
                              <w:color w:val="FF0000"/>
                              <w:sz w:val="24"/>
                              <w:szCs w:val="24"/>
                            </w:rPr>
                            <w:t>OFFICIAL</w:t>
                          </w:r>
                        </w:p>
                      </w:txbxContent>
                    </v:textbox>
                    <w10:wrap anchorx="page" anchory="page"/>
                  </v:shape>
                </w:pict>
              </mc:Fallback>
            </mc:AlternateContent>
          </w:r>
        </w:p>
        <w:p w14:paraId="70F63834"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30D72185" w14:textId="77777777" w:rsidR="00F02AEC" w:rsidRDefault="00F02AEC" w:rsidP="000B30E5">
              <w:pPr>
                <w:pStyle w:val="Footer"/>
                <w:jc w:val="right"/>
              </w:pPr>
            </w:p>
            <w:p w14:paraId="482DC442"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217B43EE" w14:textId="77777777" w:rsidTr="000B30E5">
      <w:trPr>
        <w:trHeight w:val="263"/>
      </w:trPr>
      <w:tc>
        <w:tcPr>
          <w:tcW w:w="4360" w:type="dxa"/>
        </w:tcPr>
        <w:p w14:paraId="01DDEA99"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397D92F3" w14:textId="77777777" w:rsidR="00F02AEC" w:rsidRPr="00257138" w:rsidRDefault="00F02AEC" w:rsidP="000B30E5">
          <w:pPr>
            <w:pStyle w:val="Footer"/>
            <w:jc w:val="right"/>
          </w:pPr>
        </w:p>
      </w:tc>
    </w:tr>
  </w:tbl>
  <w:p w14:paraId="10E9CF2A"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B9F2" w14:textId="1EEA5D56" w:rsidR="00F02AEC" w:rsidRDefault="00F02AEC"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0CD5" w14:paraId="531A07B1" w14:textId="77777777" w:rsidTr="00030D34">
      <w:trPr>
        <w:trHeight w:val="423"/>
      </w:trPr>
      <w:tc>
        <w:tcPr>
          <w:tcW w:w="7338" w:type="dxa"/>
          <w:tcBorders>
            <w:top w:val="single" w:sz="4" w:space="0" w:color="auto"/>
          </w:tcBorders>
        </w:tcPr>
        <w:p w14:paraId="0501AE5A" w14:textId="77BEE644" w:rsidR="00F02AEC" w:rsidRPr="00F41EC8" w:rsidRDefault="00F41EC8" w:rsidP="00F41EC8">
          <w:pPr>
            <w:pStyle w:val="Footer"/>
          </w:pPr>
          <w:r w:rsidRPr="00F41EC8">
            <w:t xml:space="preserve">Consultation: Proposed amendments to the Poisons </w:t>
          </w:r>
          <w:r w:rsidRPr="005C43AF">
            <w:t>Standard – ACMS #</w:t>
          </w:r>
          <w:r w:rsidR="005C43AF" w:rsidRPr="005C43AF">
            <w:t>48</w:t>
          </w:r>
          <w:r w:rsidRPr="005C43AF">
            <w:t>, ACCS #</w:t>
          </w:r>
          <w:r w:rsidR="005C43AF" w:rsidRPr="005C43AF">
            <w:t>41</w:t>
          </w:r>
          <w:r w:rsidRPr="005C43AF">
            <w:t xml:space="preserve"> and Joint ACMS-ACCS #</w:t>
          </w:r>
          <w:r w:rsidR="005C43AF" w:rsidRPr="005C43AF">
            <w:t>42</w:t>
          </w:r>
          <w:r w:rsidRPr="005C43AF">
            <w:t xml:space="preserve"> meetings, </w:t>
          </w:r>
          <w:r w:rsidR="005C43AF" w:rsidRPr="005C43AF">
            <w:t>November</w:t>
          </w:r>
          <w:r w:rsidRPr="005C43AF">
            <w:t xml:space="preserve"> 20</w:t>
          </w:r>
          <w:r w:rsidR="005C43AF" w:rsidRPr="005C43AF">
            <w:t>25</w:t>
          </w:r>
          <w:r w:rsidR="00F02AEC" w:rsidRPr="00F41EC8">
            <w:t xml:space="preserve"> </w:t>
          </w:r>
          <w:r w:rsidR="00F02AEC" w:rsidRPr="00F41EC8">
            <w:br/>
          </w:r>
        </w:p>
      </w:tc>
      <w:tc>
        <w:tcPr>
          <w:tcW w:w="1734" w:type="dxa"/>
          <w:tcBorders>
            <w:top w:val="single" w:sz="4" w:space="0" w:color="auto"/>
          </w:tcBorders>
        </w:tcPr>
        <w:sdt>
          <w:sdtPr>
            <w:id w:val="11571659"/>
            <w:docPartObj>
              <w:docPartGallery w:val="Page Numbers (Top of Page)"/>
              <w:docPartUnique/>
            </w:docPartObj>
          </w:sdtPr>
          <w:sdtContent>
            <w:p w14:paraId="2C8A5CE2" w14:textId="77777777" w:rsidR="00F02AEC" w:rsidRPr="003575C3" w:rsidRDefault="00F02AEC" w:rsidP="00455705">
              <w:pPr>
                <w:pStyle w:val="Footer"/>
              </w:pPr>
              <w:r w:rsidRPr="003575C3">
                <w:t xml:space="preserve">Page </w:t>
              </w:r>
              <w:r w:rsidRPr="003575C3">
                <w:fldChar w:fldCharType="begin"/>
              </w:r>
              <w:r w:rsidRPr="003575C3">
                <w:instrText xml:space="preserve"> PAGE </w:instrText>
              </w:r>
              <w:r w:rsidRPr="003575C3">
                <w:fldChar w:fldCharType="separate"/>
              </w:r>
              <w:r w:rsidRPr="003575C3">
                <w:t>6</w:t>
              </w:r>
              <w:r w:rsidRPr="003575C3">
                <w:fldChar w:fldCharType="end"/>
              </w:r>
              <w:r w:rsidRPr="003575C3">
                <w:t xml:space="preserve"> of </w:t>
              </w:r>
              <w:r>
                <w:fldChar w:fldCharType="begin"/>
              </w:r>
              <w:r>
                <w:instrText xml:space="preserve"> NUMPAGES  </w:instrText>
              </w:r>
              <w:r>
                <w:fldChar w:fldCharType="separate"/>
              </w:r>
              <w:r w:rsidRPr="003575C3">
                <w:t>7</w:t>
              </w:r>
              <w:r>
                <w:fldChar w:fldCharType="end"/>
              </w:r>
            </w:p>
          </w:sdtContent>
        </w:sdt>
      </w:tc>
    </w:tr>
  </w:tbl>
  <w:p w14:paraId="28A5F6FB" w14:textId="3B49788C" w:rsidR="00F02AEC" w:rsidRPr="00B90A0A" w:rsidRDefault="00F02AEC" w:rsidP="004A3084">
    <w:pPr>
      <w:pStyle w:val="Footer"/>
      <w:tabs>
        <w:tab w:val="left" w:pos="7620"/>
        <w:tab w:val="right" w:pos="8504"/>
      </w:tabs>
      <w:rPr>
        <w:rFonts w:asciiTheme="minorHAnsi" w:hAnsiTheme="minorHAnsi" w:cstheme="minorHAnsi"/>
        <w:sz w:val="18"/>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C677" w14:textId="2C137637" w:rsidR="009506FA" w:rsidRPr="008E3C43" w:rsidRDefault="009506FA"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9E8A" w14:textId="77777777" w:rsidR="00B448B7" w:rsidRDefault="00B448B7" w:rsidP="00F02AEC">
      <w:pPr>
        <w:spacing w:after="0" w:line="240" w:lineRule="auto"/>
      </w:pPr>
      <w:r>
        <w:separator/>
      </w:r>
    </w:p>
  </w:footnote>
  <w:footnote w:type="continuationSeparator" w:id="0">
    <w:p w14:paraId="13EAF095" w14:textId="77777777" w:rsidR="00B448B7" w:rsidRDefault="00B448B7" w:rsidP="00F02AEC">
      <w:pPr>
        <w:spacing w:after="0" w:line="240" w:lineRule="auto"/>
      </w:pPr>
      <w:r>
        <w:continuationSeparator/>
      </w:r>
    </w:p>
  </w:footnote>
  <w:footnote w:id="1">
    <w:p w14:paraId="43C33739" w14:textId="77777777" w:rsidR="00685E72" w:rsidRPr="008007EB" w:rsidRDefault="00685E72" w:rsidP="00F5245E">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2">
    <w:p w14:paraId="72079BA8" w14:textId="4FF6ABA9" w:rsidR="00985BD7" w:rsidRDefault="00985BD7" w:rsidP="00985BD7">
      <w:pPr>
        <w:pStyle w:val="FootnoteText"/>
        <w:spacing w:line="240" w:lineRule="auto"/>
      </w:pPr>
      <w:r>
        <w:rPr>
          <w:rStyle w:val="FootnoteReference"/>
        </w:rPr>
        <w:footnoteRef/>
      </w:r>
      <w:r>
        <w:t xml:space="preserve"> </w:t>
      </w:r>
      <w:r w:rsidRPr="00985BD7">
        <w:t>Proposed additions are shown in green underlined font, proposed deletions are shown in red strikethrough font, and text without this formatting represents the current text in the Poisons Standard.</w:t>
      </w:r>
    </w:p>
  </w:footnote>
  <w:footnote w:id="3">
    <w:p w14:paraId="36A1078B" w14:textId="1D1A1956" w:rsidR="00C50D13" w:rsidRPr="00106125" w:rsidRDefault="00C50D13" w:rsidP="00AB7E0B">
      <w:pPr>
        <w:pStyle w:val="FootnoteText"/>
        <w:spacing w:before="120" w:after="120" w:line="240" w:lineRule="auto"/>
        <w:rPr>
          <w:rFonts w:cs="Arial"/>
          <w:szCs w:val="16"/>
        </w:rPr>
      </w:pPr>
      <w:r w:rsidRPr="00106125">
        <w:rPr>
          <w:rStyle w:val="FootnoteReference"/>
          <w:rFonts w:cs="Arial"/>
          <w:szCs w:val="16"/>
        </w:rPr>
        <w:footnoteRef/>
      </w:r>
      <w:r w:rsidRPr="00106125">
        <w:rPr>
          <w:rFonts w:cs="Arial"/>
          <w:szCs w:val="16"/>
        </w:rPr>
        <w:t xml:space="preserve"> </w:t>
      </w:r>
      <w:hyperlink r:id="rId1" w:history="1">
        <w:r w:rsidR="00AB7E0B">
          <w:rPr>
            <w:rFonts w:eastAsiaTheme="minorHAnsi" w:cs="Arial"/>
            <w:color w:val="0000FF"/>
            <w:szCs w:val="16"/>
            <w:u w:val="single"/>
          </w:rPr>
          <w:t>Isotretinoin (oral formulations): List of nationally authorised medicinal products - PSUSA-00010488-202405</w:t>
        </w:r>
      </w:hyperlink>
      <w:r w:rsidRPr="00106125">
        <w:rPr>
          <w:rFonts w:cs="Arial"/>
          <w:szCs w:val="16"/>
        </w:rPr>
        <w:t>; accessed 12 September 2025</w:t>
      </w:r>
    </w:p>
  </w:footnote>
  <w:footnote w:id="4">
    <w:p w14:paraId="75E2CC3C" w14:textId="0551C234" w:rsidR="00106125" w:rsidRPr="00C50D13" w:rsidRDefault="00C50D13" w:rsidP="00AB7E0B">
      <w:pPr>
        <w:spacing w:before="120" w:line="240" w:lineRule="auto"/>
        <w:rPr>
          <w:sz w:val="16"/>
          <w:szCs w:val="16"/>
        </w:rPr>
      </w:pPr>
      <w:r w:rsidRPr="00C50D13">
        <w:rPr>
          <w:sz w:val="16"/>
          <w:szCs w:val="16"/>
          <w:vertAlign w:val="superscript"/>
        </w:rPr>
        <w:t>3</w:t>
      </w:r>
      <w:r>
        <w:rPr>
          <w:sz w:val="16"/>
          <w:szCs w:val="16"/>
          <w:vertAlign w:val="superscript"/>
        </w:rPr>
        <w:t xml:space="preserve"> </w:t>
      </w:r>
      <w:r w:rsidRPr="00C50D13">
        <w:rPr>
          <w:sz w:val="16"/>
          <w:szCs w:val="16"/>
        </w:rPr>
        <w:t xml:space="preserve">Layton AM (2014). Prescribing Oral Isotretinoin: The European Approach. In: Zouboulis, C., Katsambas, A., Kligman, A. (eds) Pathogenesis and Treatment of Acne and Rosacea. Springer, Berlin, Heidelberg. </w:t>
      </w:r>
      <w:r w:rsidR="00AB7E0B">
        <w:rPr>
          <w:sz w:val="16"/>
          <w:szCs w:val="16"/>
        </w:rPr>
        <w:t xml:space="preserve">DOI: </w:t>
      </w:r>
      <w:hyperlink r:id="rId2" w:tgtFrame="_blank" w:history="1">
        <w:r w:rsidR="00AB7E0B" w:rsidRPr="00AB7E0B">
          <w:rPr>
            <w:rStyle w:val="Hyperlink"/>
            <w:sz w:val="16"/>
            <w:szCs w:val="16"/>
          </w:rPr>
          <w:t>10.1007/978-3-540-69375-8_62</w:t>
        </w:r>
      </w:hyperlink>
      <w:r w:rsidR="00AB7E0B">
        <w:rPr>
          <w:sz w:val="16"/>
          <w:szCs w:val="16"/>
        </w:rPr>
        <w:t xml:space="preserve"> </w:t>
      </w:r>
    </w:p>
  </w:footnote>
  <w:footnote w:id="5">
    <w:p w14:paraId="68E809B2" w14:textId="4D69590A" w:rsidR="00106125" w:rsidRPr="00106125" w:rsidRDefault="00106125" w:rsidP="00AB7E0B">
      <w:pPr>
        <w:pStyle w:val="FootnoteText"/>
        <w:spacing w:before="120" w:after="120" w:line="240" w:lineRule="auto"/>
        <w:rPr>
          <w:rFonts w:eastAsia="Arial Nova" w:cs="Arial"/>
          <w:color w:val="222222"/>
          <w:szCs w:val="16"/>
        </w:rPr>
      </w:pPr>
      <w:r w:rsidRPr="00106125">
        <w:rPr>
          <w:rStyle w:val="FootnoteReference"/>
          <w:rFonts w:cs="Arial"/>
          <w:szCs w:val="16"/>
        </w:rPr>
        <w:footnoteRef/>
      </w:r>
      <w:r w:rsidRPr="00106125">
        <w:rPr>
          <w:rFonts w:cs="Arial"/>
          <w:szCs w:val="16"/>
        </w:rPr>
        <w:t xml:space="preserve"> </w:t>
      </w:r>
      <w:r w:rsidR="00AB7E0B" w:rsidRPr="00AB7E0B">
        <w:rPr>
          <w:rFonts w:cs="Arial"/>
          <w:szCs w:val="16"/>
        </w:rPr>
        <w:t>Layton AM, Dreno B, Gollnick HP, Zouboulis CC</w:t>
      </w:r>
      <w:r w:rsidR="00AB7E0B">
        <w:rPr>
          <w:rFonts w:cs="Arial"/>
          <w:szCs w:val="16"/>
        </w:rPr>
        <w:t xml:space="preserve"> (2006)</w:t>
      </w:r>
      <w:r w:rsidR="00AB7E0B" w:rsidRPr="00AB7E0B">
        <w:rPr>
          <w:rFonts w:cs="Arial"/>
          <w:szCs w:val="16"/>
        </w:rPr>
        <w:t>. A review of the European Directive for prescribing systemic isotretinoin for acne vulgaris. J Eur</w:t>
      </w:r>
      <w:r w:rsidR="00AB7E0B">
        <w:rPr>
          <w:rFonts w:cs="Arial"/>
          <w:szCs w:val="16"/>
        </w:rPr>
        <w:t>.</w:t>
      </w:r>
      <w:r w:rsidR="00AB7E0B" w:rsidRPr="00AB7E0B">
        <w:rPr>
          <w:rFonts w:cs="Arial"/>
          <w:szCs w:val="16"/>
        </w:rPr>
        <w:t xml:space="preserve"> Acad</w:t>
      </w:r>
      <w:r w:rsidR="00AB7E0B">
        <w:rPr>
          <w:rFonts w:cs="Arial"/>
          <w:szCs w:val="16"/>
        </w:rPr>
        <w:t>.</w:t>
      </w:r>
      <w:r w:rsidR="00AB7E0B" w:rsidRPr="00AB7E0B">
        <w:rPr>
          <w:rFonts w:cs="Arial"/>
          <w:szCs w:val="16"/>
        </w:rPr>
        <w:t xml:space="preserve"> Dermatol</w:t>
      </w:r>
      <w:r w:rsidR="00AB7E0B">
        <w:rPr>
          <w:rFonts w:cs="Arial"/>
          <w:szCs w:val="16"/>
        </w:rPr>
        <w:t>.</w:t>
      </w:r>
      <w:r w:rsidR="00AB7E0B" w:rsidRPr="00AB7E0B">
        <w:rPr>
          <w:rFonts w:cs="Arial"/>
          <w:szCs w:val="16"/>
        </w:rPr>
        <w:t xml:space="preserve"> Venereol. 20(7):773-6. </w:t>
      </w:r>
      <w:r w:rsidR="00AB7E0B">
        <w:rPr>
          <w:rFonts w:cs="Arial"/>
          <w:szCs w:val="16"/>
        </w:rPr>
        <w:t xml:space="preserve">DOI: </w:t>
      </w:r>
      <w:hyperlink r:id="rId3" w:history="1">
        <w:r w:rsidR="00AB7E0B">
          <w:rPr>
            <w:rStyle w:val="Hyperlink"/>
            <w:rFonts w:cs="Arial"/>
            <w:szCs w:val="16"/>
          </w:rPr>
          <w:t>10.1111/j.1468-3083.2006.01671.x</w:t>
        </w:r>
      </w:hyperlink>
    </w:p>
  </w:footnote>
  <w:footnote w:id="6">
    <w:p w14:paraId="66F7A9BA" w14:textId="77777777" w:rsidR="002E147C" w:rsidRDefault="002E147C" w:rsidP="002E147C">
      <w:pPr>
        <w:pStyle w:val="FootnoteText"/>
      </w:pPr>
      <w:r>
        <w:rPr>
          <w:rStyle w:val="FootnoteReference"/>
        </w:rPr>
        <w:footnoteRef/>
      </w:r>
      <w:r>
        <w:t xml:space="preserve"> </w:t>
      </w:r>
      <w:hyperlink r:id="rId4" w:history="1">
        <w:r w:rsidRPr="007D7FF9">
          <w:rPr>
            <w:rFonts w:eastAsiaTheme="minorHAnsi" w:cstheme="minorBidi"/>
            <w:color w:val="0000FF"/>
            <w:szCs w:val="16"/>
            <w:u w:val="single"/>
          </w:rPr>
          <w:t>Isotretinoin for severe acne: who should prescribe it - GOV.UK</w:t>
        </w:r>
      </w:hyperlink>
    </w:p>
  </w:footnote>
  <w:footnote w:id="7">
    <w:p w14:paraId="1AB6B512" w14:textId="77777777" w:rsidR="00D83811" w:rsidRPr="008007EB" w:rsidRDefault="00D83811" w:rsidP="00D83811">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8">
    <w:p w14:paraId="1807C6D6" w14:textId="77777777" w:rsidR="00C9153C" w:rsidRDefault="00C9153C" w:rsidP="00C9153C">
      <w:pPr>
        <w:pStyle w:val="FootnoteText"/>
        <w:spacing w:before="120" w:after="120" w:line="120" w:lineRule="atLeast"/>
      </w:pPr>
      <w:r w:rsidRPr="6F81EA6D">
        <w:rPr>
          <w:rStyle w:val="FootnoteReference"/>
          <w:rFonts w:asciiTheme="majorHAnsi" w:hAnsiTheme="majorHAnsi" w:cstheme="majorBidi"/>
          <w:sz w:val="17"/>
          <w:szCs w:val="17"/>
        </w:rPr>
        <w:footnoteRef/>
      </w:r>
      <w:r>
        <w:t xml:space="preserve"> Proposed additions are shown in green underlined font, proposed deletions are shown in red strikethrough font, and text without this formatting represents the current text in the Poisons Standard.</w:t>
      </w:r>
    </w:p>
  </w:footnote>
  <w:footnote w:id="9">
    <w:p w14:paraId="7D63CBB7" w14:textId="2636095F" w:rsidR="00C9153C" w:rsidRPr="00424F3B" w:rsidRDefault="00C9153C" w:rsidP="00C9153C">
      <w:pPr>
        <w:spacing w:before="120" w:line="120" w:lineRule="atLeast"/>
        <w:rPr>
          <w:rFonts w:eastAsia="Cambria" w:cs="Times New Roman"/>
          <w:color w:val="333F48"/>
          <w:sz w:val="16"/>
        </w:rPr>
      </w:pPr>
      <w:r w:rsidRPr="00424F3B">
        <w:rPr>
          <w:rStyle w:val="FootnoteReference"/>
          <w:sz w:val="16"/>
          <w:szCs w:val="16"/>
        </w:rPr>
        <w:footnoteRef/>
      </w:r>
      <w:r w:rsidRPr="00424F3B">
        <w:rPr>
          <w:sz w:val="16"/>
          <w:szCs w:val="16"/>
        </w:rPr>
        <w:t xml:space="preserve"> </w:t>
      </w:r>
      <w:r w:rsidRPr="00424F3B">
        <w:rPr>
          <w:rFonts w:eastAsia="Cambria" w:cs="Times New Roman"/>
          <w:color w:val="333F48"/>
          <w:sz w:val="16"/>
        </w:rPr>
        <w:t>Roger et al., (2025) Non-Inferiority of Subcutaneous Efepoetin Alfa Compared to Methoxy Polyethylene Glycol-Epoetin Beta in Stage 3 or 4 CKD Patients: Insights From</w:t>
      </w:r>
      <w:r>
        <w:rPr>
          <w:rFonts w:eastAsia="Cambria" w:cs="Times New Roman"/>
          <w:color w:val="333F48"/>
          <w:sz w:val="16"/>
        </w:rPr>
        <w:t xml:space="preserve"> </w:t>
      </w:r>
      <w:r w:rsidRPr="00424F3B">
        <w:rPr>
          <w:rFonts w:eastAsia="Cambria" w:cs="Times New Roman"/>
          <w:color w:val="333F48"/>
          <w:sz w:val="16"/>
        </w:rPr>
        <w:t xml:space="preserve">a Phase 3 Trial. Nephrology (Carlton). 30(5):e70046. </w:t>
      </w:r>
      <w:r>
        <w:rPr>
          <w:rFonts w:eastAsia="Cambria" w:cs="Times New Roman"/>
          <w:color w:val="333F48"/>
          <w:sz w:val="16"/>
        </w:rPr>
        <w:t xml:space="preserve">DOI: </w:t>
      </w:r>
      <w:hyperlink r:id="rId5" w:history="1">
        <w:r>
          <w:rPr>
            <w:rStyle w:val="Hyperlink"/>
            <w:rFonts w:eastAsia="Cambria" w:cs="Times New Roman"/>
            <w:sz w:val="16"/>
          </w:rPr>
          <w:t>10.1111/nep.70046</w:t>
        </w:r>
      </w:hyperlink>
      <w:r w:rsidRPr="00424F3B">
        <w:rPr>
          <w:rFonts w:eastAsia="Cambria" w:cs="Times New Roman"/>
          <w:color w:val="333F48"/>
          <w:sz w:val="16"/>
        </w:rPr>
        <w:t>.</w:t>
      </w:r>
    </w:p>
  </w:footnote>
  <w:footnote w:id="10">
    <w:p w14:paraId="788B32B9" w14:textId="47A03870" w:rsidR="00C9153C" w:rsidRDefault="00C9153C" w:rsidP="00C9153C">
      <w:pPr>
        <w:pStyle w:val="FootnoteText"/>
        <w:spacing w:before="120" w:after="120" w:line="240" w:lineRule="auto"/>
      </w:pPr>
      <w:r>
        <w:rPr>
          <w:rStyle w:val="FootnoteReference"/>
        </w:rPr>
        <w:footnoteRef/>
      </w:r>
      <w:r>
        <w:t xml:space="preserve"> Genexine (2023) </w:t>
      </w:r>
      <w:hyperlink r:id="rId6" w:history="1">
        <w:r w:rsidRPr="00695200">
          <w:rPr>
            <w:rStyle w:val="Hyperlink"/>
          </w:rPr>
          <w:t>Genexine and KGbio received the first market approval for novel long-acting Erythropoietin, Efepoetin alfa, from The Indonesian Food and Drug Authority (BPOM)</w:t>
        </w:r>
      </w:hyperlink>
      <w:r>
        <w:t xml:space="preserve">; accessed 15 September 2025. </w:t>
      </w:r>
    </w:p>
  </w:footnote>
  <w:footnote w:id="11">
    <w:p w14:paraId="0F25DE2B" w14:textId="4E421DF1" w:rsidR="00C9153C" w:rsidRDefault="00C9153C" w:rsidP="00C9153C">
      <w:pPr>
        <w:pStyle w:val="FootnoteText"/>
        <w:spacing w:before="120" w:after="120" w:line="240" w:lineRule="auto"/>
      </w:pPr>
      <w:r>
        <w:rPr>
          <w:rStyle w:val="FootnoteReference"/>
        </w:rPr>
        <w:footnoteRef/>
      </w:r>
      <w:r>
        <w:t xml:space="preserve"> NIH (2024) </w:t>
      </w:r>
      <w:hyperlink r:id="rId7" w:history="1">
        <w:r w:rsidRPr="004E27E2">
          <w:rPr>
            <w:rStyle w:val="Hyperlink"/>
          </w:rPr>
          <w:t>A Phase 3 Study of Efepoetin Alfa for Treatment of Anemia in Patients With Chronic Kidney Disease on Dialysis</w:t>
        </w:r>
      </w:hyperlink>
      <w:r>
        <w:t>; accessed 15 September 2025.</w:t>
      </w:r>
    </w:p>
  </w:footnote>
  <w:footnote w:id="12">
    <w:p w14:paraId="3AC8CDF2" w14:textId="5B447628" w:rsidR="00C9153C" w:rsidRDefault="00C9153C" w:rsidP="00C9153C">
      <w:pPr>
        <w:pStyle w:val="FootnoteText"/>
        <w:spacing w:before="120" w:after="120" w:line="240" w:lineRule="auto"/>
      </w:pPr>
      <w:r>
        <w:rPr>
          <w:rStyle w:val="FootnoteReference"/>
        </w:rPr>
        <w:footnoteRef/>
      </w:r>
      <w:r>
        <w:t xml:space="preserve"> </w:t>
      </w:r>
      <w:r w:rsidRPr="00EA78C7">
        <w:t>European Clinical Trials</w:t>
      </w:r>
      <w:r>
        <w:t xml:space="preserve"> (n.d.) </w:t>
      </w:r>
      <w:hyperlink r:id="rId8" w:history="1">
        <w:r w:rsidRPr="001A0450">
          <w:rPr>
            <w:rStyle w:val="Hyperlink"/>
          </w:rPr>
          <w:t>Study on Efepoetin Alfa and Darbepoetin Alfa for Treating Anemia in Patients with Chronic Kidney Disease on Dialysis</w:t>
        </w:r>
      </w:hyperlink>
      <w:r>
        <w:t>; accessed 15 September 2025.</w:t>
      </w:r>
    </w:p>
  </w:footnote>
  <w:footnote w:id="13">
    <w:p w14:paraId="578C5F03" w14:textId="77777777" w:rsidR="00C9153C" w:rsidRPr="008007EB" w:rsidRDefault="00C9153C" w:rsidP="00C9153C">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14">
    <w:p w14:paraId="7DB137BB" w14:textId="77777777" w:rsidR="00C64BEA" w:rsidRPr="008007EB" w:rsidRDefault="00C64BEA" w:rsidP="00C64BEA">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15">
    <w:p w14:paraId="5A2F7509" w14:textId="77777777" w:rsidR="008C1C71" w:rsidRPr="00077000" w:rsidRDefault="008C1C71" w:rsidP="008C1C71">
      <w:pPr>
        <w:pStyle w:val="FootnoteText"/>
        <w:rPr>
          <w:szCs w:val="16"/>
        </w:rPr>
      </w:pPr>
      <w:r w:rsidRPr="00077000">
        <w:rPr>
          <w:rStyle w:val="FootnoteReference"/>
          <w:szCs w:val="16"/>
        </w:rPr>
        <w:footnoteRef/>
      </w:r>
      <w:r w:rsidRPr="00077000">
        <w:rPr>
          <w:szCs w:val="16"/>
        </w:rPr>
        <w:t xml:space="preserve"> FDA (2022) </w:t>
      </w:r>
      <w:hyperlink r:id="rId9" w:history="1">
        <w:r w:rsidRPr="00077000">
          <w:rPr>
            <w:rStyle w:val="Hyperlink"/>
            <w:szCs w:val="16"/>
          </w:rPr>
          <w:t>FDA works to protect consumers from potentially harmful OTC skin lightening products</w:t>
        </w:r>
      </w:hyperlink>
    </w:p>
  </w:footnote>
  <w:footnote w:id="16">
    <w:p w14:paraId="4E2A672B" w14:textId="08350E60" w:rsidR="00824095" w:rsidRPr="00824095" w:rsidRDefault="00824095">
      <w:pPr>
        <w:pStyle w:val="FootnoteText"/>
      </w:pPr>
      <w:r>
        <w:rPr>
          <w:rStyle w:val="FootnoteReference"/>
        </w:rPr>
        <w:footnoteRef/>
      </w:r>
      <w:r>
        <w:t xml:space="preserve"> Levitt (2007) </w:t>
      </w:r>
      <w:r w:rsidRPr="00824095">
        <w:t xml:space="preserve">The safety of hydroquinone: A dermatologist's response to the 2006 </w:t>
      </w:r>
      <w:r w:rsidRPr="00824095">
        <w:rPr>
          <w:i/>
          <w:iCs/>
        </w:rPr>
        <w:t>Federal Register</w:t>
      </w:r>
      <w:r>
        <w:t xml:space="preserve">. </w:t>
      </w:r>
      <w:r w:rsidRPr="00824095">
        <w:t>Volume 57, Issue 5, 854 - 872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A7E7" w14:textId="638D584D" w:rsidR="00F67AC1" w:rsidRDefault="00F67AC1">
    <w:pPr>
      <w:pStyle w:val="Header"/>
    </w:pPr>
    <w:r>
      <w:rPr>
        <w:noProof/>
      </w:rPr>
      <mc:AlternateContent>
        <mc:Choice Requires="wps">
          <w:drawing>
            <wp:anchor distT="0" distB="0" distL="0" distR="0" simplePos="0" relativeHeight="251676672" behindDoc="0" locked="0" layoutInCell="1" allowOverlap="1" wp14:anchorId="408179DC" wp14:editId="36C6CE9D">
              <wp:simplePos x="635" y="635"/>
              <wp:positionH relativeFrom="page">
                <wp:align>center</wp:align>
              </wp:positionH>
              <wp:positionV relativeFrom="page">
                <wp:align>top</wp:align>
              </wp:positionV>
              <wp:extent cx="551815" cy="391160"/>
              <wp:effectExtent l="0" t="0" r="635" b="8890"/>
              <wp:wrapNone/>
              <wp:docPr id="14058347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6827F9" w14:textId="19D24E7B" w:rsidR="00F67AC1" w:rsidRPr="00F67AC1" w:rsidRDefault="00F67AC1" w:rsidP="00F67AC1">
                          <w:pPr>
                            <w:spacing w:after="0"/>
                            <w:rPr>
                              <w:rFonts w:ascii="Calibri" w:eastAsia="Calibri" w:hAnsi="Calibri" w:cs="Calibri"/>
                              <w:noProof/>
                              <w:color w:val="FF0000"/>
                              <w:sz w:val="24"/>
                              <w:szCs w:val="24"/>
                            </w:rPr>
                          </w:pPr>
                          <w:r w:rsidRPr="00F67A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179DC" id="_x0000_t202" coordsize="21600,21600" o:spt="202" path="m,l,21600r21600,l21600,xe">
              <v:stroke joinstyle="miter"/>
              <v:path gradientshapeok="t" o:connecttype="rect"/>
            </v:shapetype>
            <v:shape id="Text Box 2" o:spid="_x0000_s1027" type="#_x0000_t202" alt="OFFICIAL" style="position:absolute;left:0;text-align:left;margin-left:0;margin-top:0;width:43.45pt;height:30.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F6827F9" w14:textId="19D24E7B" w:rsidR="00F67AC1" w:rsidRPr="00F67AC1" w:rsidRDefault="00F67AC1" w:rsidP="00F67AC1">
                    <w:pPr>
                      <w:spacing w:after="0"/>
                      <w:rPr>
                        <w:rFonts w:ascii="Calibri" w:eastAsia="Calibri" w:hAnsi="Calibri" w:cs="Calibri"/>
                        <w:noProof/>
                        <w:color w:val="FF0000"/>
                        <w:sz w:val="24"/>
                        <w:szCs w:val="24"/>
                      </w:rPr>
                    </w:pPr>
                    <w:r w:rsidRPr="00F67AC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F87B" w14:textId="55B0D99E" w:rsidR="00F02AEC" w:rsidRPr="00CB0550" w:rsidRDefault="00F67AC1" w:rsidP="00CB0550">
    <w:pPr>
      <w:pStyle w:val="Header"/>
      <w:jc w:val="left"/>
    </w:pPr>
    <w:r>
      <w:rPr>
        <w:noProof/>
      </w:rPr>
      <mc:AlternateContent>
        <mc:Choice Requires="wps">
          <w:drawing>
            <wp:anchor distT="0" distB="0" distL="0" distR="0" simplePos="0" relativeHeight="251677696" behindDoc="0" locked="0" layoutInCell="1" allowOverlap="1" wp14:anchorId="7C996B85" wp14:editId="56F4BFB4">
              <wp:simplePos x="635" y="635"/>
              <wp:positionH relativeFrom="page">
                <wp:align>center</wp:align>
              </wp:positionH>
              <wp:positionV relativeFrom="page">
                <wp:align>top</wp:align>
              </wp:positionV>
              <wp:extent cx="551815" cy="391160"/>
              <wp:effectExtent l="0" t="0" r="635" b="8890"/>
              <wp:wrapNone/>
              <wp:docPr id="9410800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5859E6" w14:textId="107D9A8F" w:rsidR="00F67AC1" w:rsidRPr="00F67AC1" w:rsidRDefault="00F67AC1" w:rsidP="00F67AC1">
                          <w:pPr>
                            <w:spacing w:after="0"/>
                            <w:rPr>
                              <w:rFonts w:ascii="Calibri" w:eastAsia="Calibri" w:hAnsi="Calibri" w:cs="Calibri"/>
                              <w:noProof/>
                              <w:color w:val="FF0000"/>
                              <w:sz w:val="24"/>
                              <w:szCs w:val="24"/>
                            </w:rPr>
                          </w:pPr>
                          <w:r w:rsidRPr="00F67A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996B85" id="_x0000_t202" coordsize="21600,21600" o:spt="202" path="m,l,21600r21600,l21600,xe">
              <v:stroke joinstyle="miter"/>
              <v:path gradientshapeok="t" o:connecttype="rect"/>
            </v:shapetype>
            <v:shape id="Text Box 3" o:spid="_x0000_s1028" type="#_x0000_t202" alt="OFFICIAL" style="position:absolute;margin-left:0;margin-top:0;width:43.45pt;height:30.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185859E6" w14:textId="107D9A8F" w:rsidR="00F67AC1" w:rsidRPr="00F67AC1" w:rsidRDefault="00F67AC1" w:rsidP="00F67AC1">
                    <w:pPr>
                      <w:spacing w:after="0"/>
                      <w:rPr>
                        <w:rFonts w:ascii="Calibri" w:eastAsia="Calibri" w:hAnsi="Calibri" w:cs="Calibri"/>
                        <w:noProof/>
                        <w:color w:val="FF0000"/>
                        <w:sz w:val="24"/>
                        <w:szCs w:val="24"/>
                      </w:rPr>
                    </w:pPr>
                    <w:r w:rsidRPr="00F67AC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243EEB55" w14:textId="77777777" w:rsidTr="00F71E1E">
      <w:trPr>
        <w:trHeight w:hRule="exact" w:val="8845"/>
      </w:trPr>
      <w:tc>
        <w:tcPr>
          <w:tcW w:w="11964" w:type="dxa"/>
          <w:vAlign w:val="center"/>
        </w:tcPr>
        <w:p w14:paraId="1B3D930C" w14:textId="6FFC40A9" w:rsidR="00F02AEC" w:rsidRPr="002B29B2" w:rsidRDefault="00F02AEC" w:rsidP="006A2426">
          <w:pPr>
            <w:ind w:left="-57"/>
            <w:rPr>
              <w:noProof/>
            </w:rPr>
          </w:pPr>
        </w:p>
      </w:tc>
    </w:tr>
  </w:tbl>
  <w:p w14:paraId="1CD6E9A8" w14:textId="78524FA3" w:rsidR="00F02AEC" w:rsidRDefault="005C43AF" w:rsidP="005C43AF">
    <w:pPr>
      <w:jc w:val="both"/>
      <w:rPr>
        <w:noProof/>
      </w:rPr>
    </w:pPr>
    <w:r>
      <w:rPr>
        <w:noProof/>
        <w:lang w:eastAsia="en-AU"/>
      </w:rPr>
      <w:drawing>
        <wp:inline distT="0" distB="0" distL="0" distR="0" wp14:anchorId="2BEBC54A" wp14:editId="4CC9E490">
          <wp:extent cx="2676376" cy="554784"/>
          <wp:effectExtent l="0" t="0" r="0" b="0"/>
          <wp:docPr id="131454509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1679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76376" cy="554784"/>
                  </a:xfrm>
                  <a:prstGeom prst="rect">
                    <a:avLst/>
                  </a:prstGeom>
                </pic:spPr>
              </pic:pic>
            </a:graphicData>
          </a:graphic>
        </wp:inline>
      </w:drawing>
    </w:r>
    <w:r w:rsidR="00F02AEC" w:rsidRPr="002B29B2">
      <w:rPr>
        <w:noProof/>
        <w:lang w:eastAsia="en-AU"/>
      </w:rPr>
      <w:drawing>
        <wp:anchor distT="0" distB="0" distL="114300" distR="114300" simplePos="0" relativeHeight="251657216" behindDoc="0" locked="0" layoutInCell="0" allowOverlap="1" wp14:anchorId="42B6E3A3" wp14:editId="51A43ABD">
          <wp:simplePos x="0" y="0"/>
          <wp:positionH relativeFrom="page">
            <wp:align>left</wp:align>
          </wp:positionH>
          <wp:positionV relativeFrom="page">
            <wp:posOffset>3239495</wp:posOffset>
          </wp:positionV>
          <wp:extent cx="7663815" cy="4323091"/>
          <wp:effectExtent l="0" t="0" r="0" b="1270"/>
          <wp:wrapNone/>
          <wp:docPr id="950095888" name="Picture 95009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7F82" w14:textId="6DC2C33D" w:rsidR="00F02AEC" w:rsidRPr="003575C3" w:rsidRDefault="00E517F4" w:rsidP="003D48E4">
    <w:pPr>
      <w:pStyle w:val="Header"/>
    </w:pPr>
    <w:bookmarkStart w:id="120" w:name="_Hlk139891503"/>
    <w:bookmarkStart w:id="121" w:name="_Hlk139891504"/>
    <w:bookmarkStart w:id="122" w:name="_Hlk139891507"/>
    <w:bookmarkStart w:id="123" w:name="_Hlk139891508"/>
    <w:bookmarkStart w:id="124" w:name="_Hlk139891512"/>
    <w:bookmarkStart w:id="125" w:name="_Hlk139891513"/>
    <w:bookmarkStart w:id="126" w:name="_Hlk139891537"/>
    <w:bookmarkStart w:id="127" w:name="_Hlk139891538"/>
    <w:r>
      <w:t>OFFICIAL</w:t>
    </w:r>
    <w:r>
      <w:tab/>
    </w:r>
    <w:r>
      <w:tab/>
    </w:r>
    <w:r w:rsidR="00F02AEC" w:rsidRPr="003575C3">
      <w:t>Therapeutic Goods Administration</w:t>
    </w:r>
    <w:bookmarkEnd w:id="120"/>
    <w:bookmarkEnd w:id="121"/>
    <w:bookmarkEnd w:id="122"/>
    <w:bookmarkEnd w:id="123"/>
    <w:bookmarkEnd w:id="124"/>
    <w:bookmarkEnd w:id="125"/>
    <w:bookmarkEnd w:id="126"/>
    <w:bookmarkEnd w:id="12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1ADD" w14:textId="7FF83C18" w:rsidR="009506FA" w:rsidRPr="00FE501F" w:rsidRDefault="009506FA"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D4AF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AA12ED"/>
    <w:multiLevelType w:val="hybridMultilevel"/>
    <w:tmpl w:val="93745144"/>
    <w:lvl w:ilvl="0" w:tplc="146024BE">
      <w:start w:val="1"/>
      <w:numFmt w:val="bullet"/>
      <w:lvlText w:val=""/>
      <w:lvlJc w:val="left"/>
      <w:pPr>
        <w:ind w:left="720" w:hanging="360"/>
      </w:pPr>
      <w:rPr>
        <w:rFonts w:ascii="Symbol" w:hAnsi="Symbol"/>
      </w:rPr>
    </w:lvl>
    <w:lvl w:ilvl="1" w:tplc="D800F328">
      <w:start w:val="1"/>
      <w:numFmt w:val="bullet"/>
      <w:lvlText w:val=""/>
      <w:lvlJc w:val="left"/>
      <w:pPr>
        <w:ind w:left="720" w:hanging="360"/>
      </w:pPr>
      <w:rPr>
        <w:rFonts w:ascii="Symbol" w:hAnsi="Symbol"/>
      </w:rPr>
    </w:lvl>
    <w:lvl w:ilvl="2" w:tplc="F47254FE">
      <w:start w:val="1"/>
      <w:numFmt w:val="bullet"/>
      <w:lvlText w:val=""/>
      <w:lvlJc w:val="left"/>
      <w:pPr>
        <w:ind w:left="720" w:hanging="360"/>
      </w:pPr>
      <w:rPr>
        <w:rFonts w:ascii="Symbol" w:hAnsi="Symbol"/>
      </w:rPr>
    </w:lvl>
    <w:lvl w:ilvl="3" w:tplc="F3B4D4DE">
      <w:start w:val="1"/>
      <w:numFmt w:val="bullet"/>
      <w:lvlText w:val=""/>
      <w:lvlJc w:val="left"/>
      <w:pPr>
        <w:ind w:left="720" w:hanging="360"/>
      </w:pPr>
      <w:rPr>
        <w:rFonts w:ascii="Symbol" w:hAnsi="Symbol"/>
      </w:rPr>
    </w:lvl>
    <w:lvl w:ilvl="4" w:tplc="C9822BF4">
      <w:start w:val="1"/>
      <w:numFmt w:val="bullet"/>
      <w:lvlText w:val=""/>
      <w:lvlJc w:val="left"/>
      <w:pPr>
        <w:ind w:left="720" w:hanging="360"/>
      </w:pPr>
      <w:rPr>
        <w:rFonts w:ascii="Symbol" w:hAnsi="Symbol"/>
      </w:rPr>
    </w:lvl>
    <w:lvl w:ilvl="5" w:tplc="85C6A0DE">
      <w:start w:val="1"/>
      <w:numFmt w:val="bullet"/>
      <w:lvlText w:val=""/>
      <w:lvlJc w:val="left"/>
      <w:pPr>
        <w:ind w:left="720" w:hanging="360"/>
      </w:pPr>
      <w:rPr>
        <w:rFonts w:ascii="Symbol" w:hAnsi="Symbol"/>
      </w:rPr>
    </w:lvl>
    <w:lvl w:ilvl="6" w:tplc="D8FA8A2C">
      <w:start w:val="1"/>
      <w:numFmt w:val="bullet"/>
      <w:lvlText w:val=""/>
      <w:lvlJc w:val="left"/>
      <w:pPr>
        <w:ind w:left="720" w:hanging="360"/>
      </w:pPr>
      <w:rPr>
        <w:rFonts w:ascii="Symbol" w:hAnsi="Symbol"/>
      </w:rPr>
    </w:lvl>
    <w:lvl w:ilvl="7" w:tplc="2C1CB020">
      <w:start w:val="1"/>
      <w:numFmt w:val="bullet"/>
      <w:lvlText w:val=""/>
      <w:lvlJc w:val="left"/>
      <w:pPr>
        <w:ind w:left="720" w:hanging="360"/>
      </w:pPr>
      <w:rPr>
        <w:rFonts w:ascii="Symbol" w:hAnsi="Symbol"/>
      </w:rPr>
    </w:lvl>
    <w:lvl w:ilvl="8" w:tplc="6B46F768">
      <w:start w:val="1"/>
      <w:numFmt w:val="bullet"/>
      <w:lvlText w:val=""/>
      <w:lvlJc w:val="left"/>
      <w:pPr>
        <w:ind w:left="720" w:hanging="360"/>
      </w:pPr>
      <w:rPr>
        <w:rFonts w:ascii="Symbol" w:hAnsi="Symbol"/>
      </w:rPr>
    </w:lvl>
  </w:abstractNum>
  <w:abstractNum w:abstractNumId="3" w15:restartNumberingAfterBreak="0">
    <w:nsid w:val="066759E6"/>
    <w:multiLevelType w:val="hybridMultilevel"/>
    <w:tmpl w:val="3B3E31F6"/>
    <w:lvl w:ilvl="0" w:tplc="01A2221C">
      <w:start w:val="1"/>
      <w:numFmt w:val="bullet"/>
      <w:lvlText w:val=""/>
      <w:lvlJc w:val="left"/>
      <w:pPr>
        <w:ind w:left="720" w:hanging="360"/>
      </w:pPr>
      <w:rPr>
        <w:rFonts w:ascii="Symbol" w:hAnsi="Symbol"/>
      </w:rPr>
    </w:lvl>
    <w:lvl w:ilvl="1" w:tplc="D690DDD8">
      <w:start w:val="1"/>
      <w:numFmt w:val="bullet"/>
      <w:lvlText w:val=""/>
      <w:lvlJc w:val="left"/>
      <w:pPr>
        <w:ind w:left="720" w:hanging="360"/>
      </w:pPr>
      <w:rPr>
        <w:rFonts w:ascii="Symbol" w:hAnsi="Symbol"/>
      </w:rPr>
    </w:lvl>
    <w:lvl w:ilvl="2" w:tplc="39B68528">
      <w:start w:val="1"/>
      <w:numFmt w:val="bullet"/>
      <w:lvlText w:val=""/>
      <w:lvlJc w:val="left"/>
      <w:pPr>
        <w:ind w:left="720" w:hanging="360"/>
      </w:pPr>
      <w:rPr>
        <w:rFonts w:ascii="Symbol" w:hAnsi="Symbol"/>
      </w:rPr>
    </w:lvl>
    <w:lvl w:ilvl="3" w:tplc="EC20412E">
      <w:start w:val="1"/>
      <w:numFmt w:val="bullet"/>
      <w:lvlText w:val=""/>
      <w:lvlJc w:val="left"/>
      <w:pPr>
        <w:ind w:left="720" w:hanging="360"/>
      </w:pPr>
      <w:rPr>
        <w:rFonts w:ascii="Symbol" w:hAnsi="Symbol"/>
      </w:rPr>
    </w:lvl>
    <w:lvl w:ilvl="4" w:tplc="DA300C0C">
      <w:start w:val="1"/>
      <w:numFmt w:val="bullet"/>
      <w:lvlText w:val=""/>
      <w:lvlJc w:val="left"/>
      <w:pPr>
        <w:ind w:left="720" w:hanging="360"/>
      </w:pPr>
      <w:rPr>
        <w:rFonts w:ascii="Symbol" w:hAnsi="Symbol"/>
      </w:rPr>
    </w:lvl>
    <w:lvl w:ilvl="5" w:tplc="7DB89B24">
      <w:start w:val="1"/>
      <w:numFmt w:val="bullet"/>
      <w:lvlText w:val=""/>
      <w:lvlJc w:val="left"/>
      <w:pPr>
        <w:ind w:left="720" w:hanging="360"/>
      </w:pPr>
      <w:rPr>
        <w:rFonts w:ascii="Symbol" w:hAnsi="Symbol"/>
      </w:rPr>
    </w:lvl>
    <w:lvl w:ilvl="6" w:tplc="39E682B0">
      <w:start w:val="1"/>
      <w:numFmt w:val="bullet"/>
      <w:lvlText w:val=""/>
      <w:lvlJc w:val="left"/>
      <w:pPr>
        <w:ind w:left="720" w:hanging="360"/>
      </w:pPr>
      <w:rPr>
        <w:rFonts w:ascii="Symbol" w:hAnsi="Symbol"/>
      </w:rPr>
    </w:lvl>
    <w:lvl w:ilvl="7" w:tplc="235AB908">
      <w:start w:val="1"/>
      <w:numFmt w:val="bullet"/>
      <w:lvlText w:val=""/>
      <w:lvlJc w:val="left"/>
      <w:pPr>
        <w:ind w:left="720" w:hanging="360"/>
      </w:pPr>
      <w:rPr>
        <w:rFonts w:ascii="Symbol" w:hAnsi="Symbol"/>
      </w:rPr>
    </w:lvl>
    <w:lvl w:ilvl="8" w:tplc="DCA0A522">
      <w:start w:val="1"/>
      <w:numFmt w:val="bullet"/>
      <w:lvlText w:val=""/>
      <w:lvlJc w:val="left"/>
      <w:pPr>
        <w:ind w:left="720" w:hanging="360"/>
      </w:pPr>
      <w:rPr>
        <w:rFonts w:ascii="Symbol" w:hAnsi="Symbol"/>
      </w:rPr>
    </w:lvl>
  </w:abstractNum>
  <w:abstractNum w:abstractNumId="4" w15:restartNumberingAfterBreak="0">
    <w:nsid w:val="06EE78C6"/>
    <w:multiLevelType w:val="hybridMultilevel"/>
    <w:tmpl w:val="407AE5A0"/>
    <w:lvl w:ilvl="0" w:tplc="DE20084A">
      <w:start w:val="1"/>
      <w:numFmt w:val="bullet"/>
      <w:lvlText w:val=""/>
      <w:lvlJc w:val="left"/>
      <w:pPr>
        <w:ind w:left="720" w:hanging="360"/>
      </w:pPr>
      <w:rPr>
        <w:rFonts w:ascii="Symbol" w:hAnsi="Symbol"/>
      </w:rPr>
    </w:lvl>
    <w:lvl w:ilvl="1" w:tplc="3B0CCB90">
      <w:start w:val="1"/>
      <w:numFmt w:val="bullet"/>
      <w:lvlText w:val=""/>
      <w:lvlJc w:val="left"/>
      <w:pPr>
        <w:ind w:left="720" w:hanging="360"/>
      </w:pPr>
      <w:rPr>
        <w:rFonts w:ascii="Symbol" w:hAnsi="Symbol"/>
      </w:rPr>
    </w:lvl>
    <w:lvl w:ilvl="2" w:tplc="0CDE1A02">
      <w:start w:val="1"/>
      <w:numFmt w:val="bullet"/>
      <w:lvlText w:val=""/>
      <w:lvlJc w:val="left"/>
      <w:pPr>
        <w:ind w:left="720" w:hanging="360"/>
      </w:pPr>
      <w:rPr>
        <w:rFonts w:ascii="Symbol" w:hAnsi="Symbol"/>
      </w:rPr>
    </w:lvl>
    <w:lvl w:ilvl="3" w:tplc="2E90D470">
      <w:start w:val="1"/>
      <w:numFmt w:val="bullet"/>
      <w:lvlText w:val=""/>
      <w:lvlJc w:val="left"/>
      <w:pPr>
        <w:ind w:left="720" w:hanging="360"/>
      </w:pPr>
      <w:rPr>
        <w:rFonts w:ascii="Symbol" w:hAnsi="Symbol"/>
      </w:rPr>
    </w:lvl>
    <w:lvl w:ilvl="4" w:tplc="7EDA1032">
      <w:start w:val="1"/>
      <w:numFmt w:val="bullet"/>
      <w:lvlText w:val=""/>
      <w:lvlJc w:val="left"/>
      <w:pPr>
        <w:ind w:left="720" w:hanging="360"/>
      </w:pPr>
      <w:rPr>
        <w:rFonts w:ascii="Symbol" w:hAnsi="Symbol"/>
      </w:rPr>
    </w:lvl>
    <w:lvl w:ilvl="5" w:tplc="936AB5EA">
      <w:start w:val="1"/>
      <w:numFmt w:val="bullet"/>
      <w:lvlText w:val=""/>
      <w:lvlJc w:val="left"/>
      <w:pPr>
        <w:ind w:left="720" w:hanging="360"/>
      </w:pPr>
      <w:rPr>
        <w:rFonts w:ascii="Symbol" w:hAnsi="Symbol"/>
      </w:rPr>
    </w:lvl>
    <w:lvl w:ilvl="6" w:tplc="631CC2CA">
      <w:start w:val="1"/>
      <w:numFmt w:val="bullet"/>
      <w:lvlText w:val=""/>
      <w:lvlJc w:val="left"/>
      <w:pPr>
        <w:ind w:left="720" w:hanging="360"/>
      </w:pPr>
      <w:rPr>
        <w:rFonts w:ascii="Symbol" w:hAnsi="Symbol"/>
      </w:rPr>
    </w:lvl>
    <w:lvl w:ilvl="7" w:tplc="53E6056A">
      <w:start w:val="1"/>
      <w:numFmt w:val="bullet"/>
      <w:lvlText w:val=""/>
      <w:lvlJc w:val="left"/>
      <w:pPr>
        <w:ind w:left="720" w:hanging="360"/>
      </w:pPr>
      <w:rPr>
        <w:rFonts w:ascii="Symbol" w:hAnsi="Symbol"/>
      </w:rPr>
    </w:lvl>
    <w:lvl w:ilvl="8" w:tplc="2BC80C16">
      <w:start w:val="1"/>
      <w:numFmt w:val="bullet"/>
      <w:lvlText w:val=""/>
      <w:lvlJc w:val="left"/>
      <w:pPr>
        <w:ind w:left="720" w:hanging="360"/>
      </w:pPr>
      <w:rPr>
        <w:rFonts w:ascii="Symbol" w:hAnsi="Symbol"/>
      </w:rPr>
    </w:lvl>
  </w:abstractNum>
  <w:abstractNum w:abstractNumId="5" w15:restartNumberingAfterBreak="0">
    <w:nsid w:val="09FF3859"/>
    <w:multiLevelType w:val="hybridMultilevel"/>
    <w:tmpl w:val="034CBE5C"/>
    <w:lvl w:ilvl="0" w:tplc="5D0854F2">
      <w:start w:val="1"/>
      <w:numFmt w:val="lowerLetter"/>
      <w:lvlText w:val="(%1)"/>
      <w:lvlJc w:val="left"/>
      <w:pPr>
        <w:ind w:left="1428" w:hanging="435"/>
      </w:pPr>
      <w:rPr>
        <w:rFonts w:hint="default"/>
        <w:color w:val="auto"/>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15:restartNumberingAfterBreak="0">
    <w:nsid w:val="0AC12CD6"/>
    <w:multiLevelType w:val="hybridMultilevel"/>
    <w:tmpl w:val="94C841F2"/>
    <w:lvl w:ilvl="0" w:tplc="6D527776">
      <w:start w:val="1"/>
      <w:numFmt w:val="lowerLetter"/>
      <w:pStyle w:val="ListParagraph"/>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0ED84510"/>
    <w:multiLevelType w:val="hybridMultilevel"/>
    <w:tmpl w:val="E940B9CA"/>
    <w:lvl w:ilvl="0" w:tplc="2DBE61CC">
      <w:start w:val="1"/>
      <w:numFmt w:val="bullet"/>
      <w:lvlText w:val="-"/>
      <w:lvlJc w:val="left"/>
      <w:pPr>
        <w:ind w:left="720" w:hanging="360"/>
      </w:pPr>
      <w:rPr>
        <w:rFonts w:ascii="Aptos" w:hAnsi="Aptos" w:hint="default"/>
      </w:rPr>
    </w:lvl>
    <w:lvl w:ilvl="1" w:tplc="3BE2D280">
      <w:start w:val="1"/>
      <w:numFmt w:val="bullet"/>
      <w:lvlText w:val="o"/>
      <w:lvlJc w:val="left"/>
      <w:pPr>
        <w:ind w:left="1440" w:hanging="360"/>
      </w:pPr>
      <w:rPr>
        <w:rFonts w:ascii="Courier New" w:hAnsi="Courier New" w:hint="default"/>
      </w:rPr>
    </w:lvl>
    <w:lvl w:ilvl="2" w:tplc="003664B2">
      <w:start w:val="1"/>
      <w:numFmt w:val="bullet"/>
      <w:lvlText w:val=""/>
      <w:lvlJc w:val="left"/>
      <w:pPr>
        <w:ind w:left="2160" w:hanging="360"/>
      </w:pPr>
      <w:rPr>
        <w:rFonts w:ascii="Wingdings" w:hAnsi="Wingdings" w:hint="default"/>
      </w:rPr>
    </w:lvl>
    <w:lvl w:ilvl="3" w:tplc="77E2A52E">
      <w:start w:val="1"/>
      <w:numFmt w:val="bullet"/>
      <w:lvlText w:val=""/>
      <w:lvlJc w:val="left"/>
      <w:pPr>
        <w:ind w:left="2880" w:hanging="360"/>
      </w:pPr>
      <w:rPr>
        <w:rFonts w:ascii="Symbol" w:hAnsi="Symbol" w:hint="default"/>
      </w:rPr>
    </w:lvl>
    <w:lvl w:ilvl="4" w:tplc="4A4222CA">
      <w:start w:val="1"/>
      <w:numFmt w:val="bullet"/>
      <w:lvlText w:val="o"/>
      <w:lvlJc w:val="left"/>
      <w:pPr>
        <w:ind w:left="3600" w:hanging="360"/>
      </w:pPr>
      <w:rPr>
        <w:rFonts w:ascii="Courier New" w:hAnsi="Courier New" w:hint="default"/>
      </w:rPr>
    </w:lvl>
    <w:lvl w:ilvl="5" w:tplc="1792943A">
      <w:start w:val="1"/>
      <w:numFmt w:val="bullet"/>
      <w:lvlText w:val=""/>
      <w:lvlJc w:val="left"/>
      <w:pPr>
        <w:ind w:left="4320" w:hanging="360"/>
      </w:pPr>
      <w:rPr>
        <w:rFonts w:ascii="Wingdings" w:hAnsi="Wingdings" w:hint="default"/>
      </w:rPr>
    </w:lvl>
    <w:lvl w:ilvl="6" w:tplc="16B2316E">
      <w:start w:val="1"/>
      <w:numFmt w:val="bullet"/>
      <w:lvlText w:val=""/>
      <w:lvlJc w:val="left"/>
      <w:pPr>
        <w:ind w:left="5040" w:hanging="360"/>
      </w:pPr>
      <w:rPr>
        <w:rFonts w:ascii="Symbol" w:hAnsi="Symbol" w:hint="default"/>
      </w:rPr>
    </w:lvl>
    <w:lvl w:ilvl="7" w:tplc="9FA4E150">
      <w:start w:val="1"/>
      <w:numFmt w:val="bullet"/>
      <w:lvlText w:val="o"/>
      <w:lvlJc w:val="left"/>
      <w:pPr>
        <w:ind w:left="5760" w:hanging="360"/>
      </w:pPr>
      <w:rPr>
        <w:rFonts w:ascii="Courier New" w:hAnsi="Courier New" w:hint="default"/>
      </w:rPr>
    </w:lvl>
    <w:lvl w:ilvl="8" w:tplc="67B887A6">
      <w:start w:val="1"/>
      <w:numFmt w:val="bullet"/>
      <w:lvlText w:val=""/>
      <w:lvlJc w:val="left"/>
      <w:pPr>
        <w:ind w:left="6480" w:hanging="360"/>
      </w:pPr>
      <w:rPr>
        <w:rFonts w:ascii="Wingdings" w:hAnsi="Wingdings" w:hint="default"/>
      </w:rPr>
    </w:lvl>
  </w:abstractNum>
  <w:abstractNum w:abstractNumId="8"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0D60D5B"/>
    <w:multiLevelType w:val="hybridMultilevel"/>
    <w:tmpl w:val="17962574"/>
    <w:lvl w:ilvl="0" w:tplc="4D342CF8">
      <w:start w:val="1"/>
      <w:numFmt w:val="bullet"/>
      <w:lvlText w:val=""/>
      <w:lvlJc w:val="left"/>
      <w:pPr>
        <w:ind w:left="720" w:hanging="360"/>
      </w:pPr>
      <w:rPr>
        <w:rFonts w:ascii="Symbol" w:hAnsi="Symbol"/>
      </w:rPr>
    </w:lvl>
    <w:lvl w:ilvl="1" w:tplc="983E2D0C">
      <w:start w:val="1"/>
      <w:numFmt w:val="bullet"/>
      <w:lvlText w:val=""/>
      <w:lvlJc w:val="left"/>
      <w:pPr>
        <w:ind w:left="720" w:hanging="360"/>
      </w:pPr>
      <w:rPr>
        <w:rFonts w:ascii="Symbol" w:hAnsi="Symbol"/>
      </w:rPr>
    </w:lvl>
    <w:lvl w:ilvl="2" w:tplc="815897B8">
      <w:start w:val="1"/>
      <w:numFmt w:val="bullet"/>
      <w:lvlText w:val=""/>
      <w:lvlJc w:val="left"/>
      <w:pPr>
        <w:ind w:left="720" w:hanging="360"/>
      </w:pPr>
      <w:rPr>
        <w:rFonts w:ascii="Symbol" w:hAnsi="Symbol"/>
      </w:rPr>
    </w:lvl>
    <w:lvl w:ilvl="3" w:tplc="D28843C0">
      <w:start w:val="1"/>
      <w:numFmt w:val="bullet"/>
      <w:lvlText w:val=""/>
      <w:lvlJc w:val="left"/>
      <w:pPr>
        <w:ind w:left="720" w:hanging="360"/>
      </w:pPr>
      <w:rPr>
        <w:rFonts w:ascii="Symbol" w:hAnsi="Symbol"/>
      </w:rPr>
    </w:lvl>
    <w:lvl w:ilvl="4" w:tplc="694E725C">
      <w:start w:val="1"/>
      <w:numFmt w:val="bullet"/>
      <w:lvlText w:val=""/>
      <w:lvlJc w:val="left"/>
      <w:pPr>
        <w:ind w:left="720" w:hanging="360"/>
      </w:pPr>
      <w:rPr>
        <w:rFonts w:ascii="Symbol" w:hAnsi="Symbol"/>
      </w:rPr>
    </w:lvl>
    <w:lvl w:ilvl="5" w:tplc="92B8103A">
      <w:start w:val="1"/>
      <w:numFmt w:val="bullet"/>
      <w:lvlText w:val=""/>
      <w:lvlJc w:val="left"/>
      <w:pPr>
        <w:ind w:left="720" w:hanging="360"/>
      </w:pPr>
      <w:rPr>
        <w:rFonts w:ascii="Symbol" w:hAnsi="Symbol"/>
      </w:rPr>
    </w:lvl>
    <w:lvl w:ilvl="6" w:tplc="E2346C80">
      <w:start w:val="1"/>
      <w:numFmt w:val="bullet"/>
      <w:lvlText w:val=""/>
      <w:lvlJc w:val="left"/>
      <w:pPr>
        <w:ind w:left="720" w:hanging="360"/>
      </w:pPr>
      <w:rPr>
        <w:rFonts w:ascii="Symbol" w:hAnsi="Symbol"/>
      </w:rPr>
    </w:lvl>
    <w:lvl w:ilvl="7" w:tplc="0046B590">
      <w:start w:val="1"/>
      <w:numFmt w:val="bullet"/>
      <w:lvlText w:val=""/>
      <w:lvlJc w:val="left"/>
      <w:pPr>
        <w:ind w:left="720" w:hanging="360"/>
      </w:pPr>
      <w:rPr>
        <w:rFonts w:ascii="Symbol" w:hAnsi="Symbol"/>
      </w:rPr>
    </w:lvl>
    <w:lvl w:ilvl="8" w:tplc="DA4E9B2E">
      <w:start w:val="1"/>
      <w:numFmt w:val="bullet"/>
      <w:lvlText w:val=""/>
      <w:lvlJc w:val="left"/>
      <w:pPr>
        <w:ind w:left="720" w:hanging="360"/>
      </w:pPr>
      <w:rPr>
        <w:rFonts w:ascii="Symbol" w:hAnsi="Symbol"/>
      </w:rPr>
    </w:lvl>
  </w:abstractNum>
  <w:abstractNum w:abstractNumId="10" w15:restartNumberingAfterBreak="0">
    <w:nsid w:val="11175BA0"/>
    <w:multiLevelType w:val="hybridMultilevel"/>
    <w:tmpl w:val="A7C4BB38"/>
    <w:lvl w:ilvl="0" w:tplc="CDDE792E">
      <w:start w:val="1"/>
      <w:numFmt w:val="bullet"/>
      <w:lvlText w:val=""/>
      <w:lvlJc w:val="left"/>
      <w:pPr>
        <w:ind w:left="720" w:hanging="360"/>
      </w:pPr>
      <w:rPr>
        <w:rFonts w:ascii="Symbol" w:hAnsi="Symbol"/>
      </w:rPr>
    </w:lvl>
    <w:lvl w:ilvl="1" w:tplc="46FEE236">
      <w:start w:val="1"/>
      <w:numFmt w:val="bullet"/>
      <w:lvlText w:val=""/>
      <w:lvlJc w:val="left"/>
      <w:pPr>
        <w:ind w:left="720" w:hanging="360"/>
      </w:pPr>
      <w:rPr>
        <w:rFonts w:ascii="Symbol" w:hAnsi="Symbol"/>
      </w:rPr>
    </w:lvl>
    <w:lvl w:ilvl="2" w:tplc="B492B254">
      <w:start w:val="1"/>
      <w:numFmt w:val="bullet"/>
      <w:lvlText w:val=""/>
      <w:lvlJc w:val="left"/>
      <w:pPr>
        <w:ind w:left="720" w:hanging="360"/>
      </w:pPr>
      <w:rPr>
        <w:rFonts w:ascii="Symbol" w:hAnsi="Symbol"/>
      </w:rPr>
    </w:lvl>
    <w:lvl w:ilvl="3" w:tplc="F3B04604">
      <w:start w:val="1"/>
      <w:numFmt w:val="bullet"/>
      <w:lvlText w:val=""/>
      <w:lvlJc w:val="left"/>
      <w:pPr>
        <w:ind w:left="720" w:hanging="360"/>
      </w:pPr>
      <w:rPr>
        <w:rFonts w:ascii="Symbol" w:hAnsi="Symbol"/>
      </w:rPr>
    </w:lvl>
    <w:lvl w:ilvl="4" w:tplc="5D920230">
      <w:start w:val="1"/>
      <w:numFmt w:val="bullet"/>
      <w:lvlText w:val=""/>
      <w:lvlJc w:val="left"/>
      <w:pPr>
        <w:ind w:left="720" w:hanging="360"/>
      </w:pPr>
      <w:rPr>
        <w:rFonts w:ascii="Symbol" w:hAnsi="Symbol"/>
      </w:rPr>
    </w:lvl>
    <w:lvl w:ilvl="5" w:tplc="6BCE3B40">
      <w:start w:val="1"/>
      <w:numFmt w:val="bullet"/>
      <w:lvlText w:val=""/>
      <w:lvlJc w:val="left"/>
      <w:pPr>
        <w:ind w:left="720" w:hanging="360"/>
      </w:pPr>
      <w:rPr>
        <w:rFonts w:ascii="Symbol" w:hAnsi="Symbol"/>
      </w:rPr>
    </w:lvl>
    <w:lvl w:ilvl="6" w:tplc="71D463BE">
      <w:start w:val="1"/>
      <w:numFmt w:val="bullet"/>
      <w:lvlText w:val=""/>
      <w:lvlJc w:val="left"/>
      <w:pPr>
        <w:ind w:left="720" w:hanging="360"/>
      </w:pPr>
      <w:rPr>
        <w:rFonts w:ascii="Symbol" w:hAnsi="Symbol"/>
      </w:rPr>
    </w:lvl>
    <w:lvl w:ilvl="7" w:tplc="DECA9D60">
      <w:start w:val="1"/>
      <w:numFmt w:val="bullet"/>
      <w:lvlText w:val=""/>
      <w:lvlJc w:val="left"/>
      <w:pPr>
        <w:ind w:left="720" w:hanging="360"/>
      </w:pPr>
      <w:rPr>
        <w:rFonts w:ascii="Symbol" w:hAnsi="Symbol"/>
      </w:rPr>
    </w:lvl>
    <w:lvl w:ilvl="8" w:tplc="19680E5C">
      <w:start w:val="1"/>
      <w:numFmt w:val="bullet"/>
      <w:lvlText w:val=""/>
      <w:lvlJc w:val="left"/>
      <w:pPr>
        <w:ind w:left="720" w:hanging="360"/>
      </w:pPr>
      <w:rPr>
        <w:rFonts w:ascii="Symbol" w:hAnsi="Symbol"/>
      </w:rPr>
    </w:lvl>
  </w:abstractNum>
  <w:abstractNum w:abstractNumId="11" w15:restartNumberingAfterBreak="0">
    <w:nsid w:val="12E918F3"/>
    <w:multiLevelType w:val="hybridMultilevel"/>
    <w:tmpl w:val="CA4A0A2A"/>
    <w:lvl w:ilvl="0" w:tplc="C92C43AC">
      <w:start w:val="1"/>
      <w:numFmt w:val="bullet"/>
      <w:lvlText w:val="–"/>
      <w:lvlJc w:val="left"/>
      <w:pPr>
        <w:ind w:left="1145" w:hanging="360"/>
      </w:pPr>
      <w:rPr>
        <w:rFonts w:ascii="Arial" w:hAnsi="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13DB7BF8"/>
    <w:multiLevelType w:val="hybridMultilevel"/>
    <w:tmpl w:val="647E8F2E"/>
    <w:lvl w:ilvl="0" w:tplc="4328CFE8">
      <w:start w:val="1"/>
      <w:numFmt w:val="bullet"/>
      <w:lvlText w:val=""/>
      <w:lvlJc w:val="left"/>
      <w:pPr>
        <w:ind w:left="720" w:hanging="360"/>
      </w:pPr>
      <w:rPr>
        <w:rFonts w:ascii="Symbol" w:hAnsi="Symbol"/>
      </w:rPr>
    </w:lvl>
    <w:lvl w:ilvl="1" w:tplc="6F0C884A">
      <w:start w:val="1"/>
      <w:numFmt w:val="bullet"/>
      <w:lvlText w:val=""/>
      <w:lvlJc w:val="left"/>
      <w:pPr>
        <w:ind w:left="720" w:hanging="360"/>
      </w:pPr>
      <w:rPr>
        <w:rFonts w:ascii="Symbol" w:hAnsi="Symbol"/>
      </w:rPr>
    </w:lvl>
    <w:lvl w:ilvl="2" w:tplc="09AAFF02">
      <w:start w:val="1"/>
      <w:numFmt w:val="bullet"/>
      <w:lvlText w:val=""/>
      <w:lvlJc w:val="left"/>
      <w:pPr>
        <w:ind w:left="720" w:hanging="360"/>
      </w:pPr>
      <w:rPr>
        <w:rFonts w:ascii="Symbol" w:hAnsi="Symbol"/>
      </w:rPr>
    </w:lvl>
    <w:lvl w:ilvl="3" w:tplc="A7F4C77A">
      <w:start w:val="1"/>
      <w:numFmt w:val="bullet"/>
      <w:lvlText w:val=""/>
      <w:lvlJc w:val="left"/>
      <w:pPr>
        <w:ind w:left="720" w:hanging="360"/>
      </w:pPr>
      <w:rPr>
        <w:rFonts w:ascii="Symbol" w:hAnsi="Symbol"/>
      </w:rPr>
    </w:lvl>
    <w:lvl w:ilvl="4" w:tplc="469AEF9A">
      <w:start w:val="1"/>
      <w:numFmt w:val="bullet"/>
      <w:lvlText w:val=""/>
      <w:lvlJc w:val="left"/>
      <w:pPr>
        <w:ind w:left="720" w:hanging="360"/>
      </w:pPr>
      <w:rPr>
        <w:rFonts w:ascii="Symbol" w:hAnsi="Symbol"/>
      </w:rPr>
    </w:lvl>
    <w:lvl w:ilvl="5" w:tplc="85C455E0">
      <w:start w:val="1"/>
      <w:numFmt w:val="bullet"/>
      <w:lvlText w:val=""/>
      <w:lvlJc w:val="left"/>
      <w:pPr>
        <w:ind w:left="720" w:hanging="360"/>
      </w:pPr>
      <w:rPr>
        <w:rFonts w:ascii="Symbol" w:hAnsi="Symbol"/>
      </w:rPr>
    </w:lvl>
    <w:lvl w:ilvl="6" w:tplc="075C8D88">
      <w:start w:val="1"/>
      <w:numFmt w:val="bullet"/>
      <w:lvlText w:val=""/>
      <w:lvlJc w:val="left"/>
      <w:pPr>
        <w:ind w:left="720" w:hanging="360"/>
      </w:pPr>
      <w:rPr>
        <w:rFonts w:ascii="Symbol" w:hAnsi="Symbol"/>
      </w:rPr>
    </w:lvl>
    <w:lvl w:ilvl="7" w:tplc="404880B6">
      <w:start w:val="1"/>
      <w:numFmt w:val="bullet"/>
      <w:lvlText w:val=""/>
      <w:lvlJc w:val="left"/>
      <w:pPr>
        <w:ind w:left="720" w:hanging="360"/>
      </w:pPr>
      <w:rPr>
        <w:rFonts w:ascii="Symbol" w:hAnsi="Symbol"/>
      </w:rPr>
    </w:lvl>
    <w:lvl w:ilvl="8" w:tplc="5A086AE0">
      <w:start w:val="1"/>
      <w:numFmt w:val="bullet"/>
      <w:lvlText w:val=""/>
      <w:lvlJc w:val="left"/>
      <w:pPr>
        <w:ind w:left="720" w:hanging="360"/>
      </w:pPr>
      <w:rPr>
        <w:rFonts w:ascii="Symbol" w:hAnsi="Symbol"/>
      </w:rPr>
    </w:lvl>
  </w:abstractNum>
  <w:abstractNum w:abstractNumId="1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168F13E9"/>
    <w:multiLevelType w:val="multilevel"/>
    <w:tmpl w:val="07000F6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17183448"/>
    <w:multiLevelType w:val="hybridMultilevel"/>
    <w:tmpl w:val="FC305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1B7B7968"/>
    <w:multiLevelType w:val="hybridMultilevel"/>
    <w:tmpl w:val="C5CE109A"/>
    <w:lvl w:ilvl="0" w:tplc="3704ECDA">
      <w:start w:val="1"/>
      <w:numFmt w:val="bullet"/>
      <w:lvlText w:val=""/>
      <w:lvlJc w:val="left"/>
      <w:pPr>
        <w:ind w:left="720" w:hanging="360"/>
      </w:pPr>
      <w:rPr>
        <w:rFonts w:ascii="Symbol" w:hAnsi="Symbol"/>
      </w:rPr>
    </w:lvl>
    <w:lvl w:ilvl="1" w:tplc="E824347A">
      <w:start w:val="1"/>
      <w:numFmt w:val="bullet"/>
      <w:lvlText w:val=""/>
      <w:lvlJc w:val="left"/>
      <w:pPr>
        <w:ind w:left="720" w:hanging="360"/>
      </w:pPr>
      <w:rPr>
        <w:rFonts w:ascii="Symbol" w:hAnsi="Symbol"/>
      </w:rPr>
    </w:lvl>
    <w:lvl w:ilvl="2" w:tplc="924849DE">
      <w:start w:val="1"/>
      <w:numFmt w:val="bullet"/>
      <w:lvlText w:val=""/>
      <w:lvlJc w:val="left"/>
      <w:pPr>
        <w:ind w:left="720" w:hanging="360"/>
      </w:pPr>
      <w:rPr>
        <w:rFonts w:ascii="Symbol" w:hAnsi="Symbol"/>
      </w:rPr>
    </w:lvl>
    <w:lvl w:ilvl="3" w:tplc="5E76356C">
      <w:start w:val="1"/>
      <w:numFmt w:val="bullet"/>
      <w:lvlText w:val=""/>
      <w:lvlJc w:val="left"/>
      <w:pPr>
        <w:ind w:left="720" w:hanging="360"/>
      </w:pPr>
      <w:rPr>
        <w:rFonts w:ascii="Symbol" w:hAnsi="Symbol"/>
      </w:rPr>
    </w:lvl>
    <w:lvl w:ilvl="4" w:tplc="D97868D0">
      <w:start w:val="1"/>
      <w:numFmt w:val="bullet"/>
      <w:lvlText w:val=""/>
      <w:lvlJc w:val="left"/>
      <w:pPr>
        <w:ind w:left="720" w:hanging="360"/>
      </w:pPr>
      <w:rPr>
        <w:rFonts w:ascii="Symbol" w:hAnsi="Symbol"/>
      </w:rPr>
    </w:lvl>
    <w:lvl w:ilvl="5" w:tplc="6472F708">
      <w:start w:val="1"/>
      <w:numFmt w:val="bullet"/>
      <w:lvlText w:val=""/>
      <w:lvlJc w:val="left"/>
      <w:pPr>
        <w:ind w:left="720" w:hanging="360"/>
      </w:pPr>
      <w:rPr>
        <w:rFonts w:ascii="Symbol" w:hAnsi="Symbol"/>
      </w:rPr>
    </w:lvl>
    <w:lvl w:ilvl="6" w:tplc="AAAAC6F0">
      <w:start w:val="1"/>
      <w:numFmt w:val="bullet"/>
      <w:lvlText w:val=""/>
      <w:lvlJc w:val="left"/>
      <w:pPr>
        <w:ind w:left="720" w:hanging="360"/>
      </w:pPr>
      <w:rPr>
        <w:rFonts w:ascii="Symbol" w:hAnsi="Symbol"/>
      </w:rPr>
    </w:lvl>
    <w:lvl w:ilvl="7" w:tplc="9D3CA482">
      <w:start w:val="1"/>
      <w:numFmt w:val="bullet"/>
      <w:lvlText w:val=""/>
      <w:lvlJc w:val="left"/>
      <w:pPr>
        <w:ind w:left="720" w:hanging="360"/>
      </w:pPr>
      <w:rPr>
        <w:rFonts w:ascii="Symbol" w:hAnsi="Symbol"/>
      </w:rPr>
    </w:lvl>
    <w:lvl w:ilvl="8" w:tplc="9F9EEDFA">
      <w:start w:val="1"/>
      <w:numFmt w:val="bullet"/>
      <w:lvlText w:val=""/>
      <w:lvlJc w:val="left"/>
      <w:pPr>
        <w:ind w:left="720" w:hanging="360"/>
      </w:pPr>
      <w:rPr>
        <w:rFonts w:ascii="Symbol" w:hAnsi="Symbol"/>
      </w:rPr>
    </w:lvl>
  </w:abstractNum>
  <w:abstractNum w:abstractNumId="18" w15:restartNumberingAfterBreak="0">
    <w:nsid w:val="1D0468E0"/>
    <w:multiLevelType w:val="hybridMultilevel"/>
    <w:tmpl w:val="38AEE1D4"/>
    <w:lvl w:ilvl="0" w:tplc="1D1AD068">
      <w:start w:val="1"/>
      <w:numFmt w:val="bullet"/>
      <w:lvlText w:val=""/>
      <w:lvlJc w:val="left"/>
      <w:pPr>
        <w:ind w:left="720" w:hanging="360"/>
      </w:pPr>
      <w:rPr>
        <w:rFonts w:ascii="Symbol" w:hAnsi="Symbol"/>
      </w:rPr>
    </w:lvl>
    <w:lvl w:ilvl="1" w:tplc="D1BCAD4A">
      <w:start w:val="1"/>
      <w:numFmt w:val="bullet"/>
      <w:lvlText w:val=""/>
      <w:lvlJc w:val="left"/>
      <w:pPr>
        <w:ind w:left="720" w:hanging="360"/>
      </w:pPr>
      <w:rPr>
        <w:rFonts w:ascii="Symbol" w:hAnsi="Symbol"/>
      </w:rPr>
    </w:lvl>
    <w:lvl w:ilvl="2" w:tplc="9802F720">
      <w:start w:val="1"/>
      <w:numFmt w:val="bullet"/>
      <w:lvlText w:val=""/>
      <w:lvlJc w:val="left"/>
      <w:pPr>
        <w:ind w:left="720" w:hanging="360"/>
      </w:pPr>
      <w:rPr>
        <w:rFonts w:ascii="Symbol" w:hAnsi="Symbol"/>
      </w:rPr>
    </w:lvl>
    <w:lvl w:ilvl="3" w:tplc="416C4710">
      <w:start w:val="1"/>
      <w:numFmt w:val="bullet"/>
      <w:lvlText w:val=""/>
      <w:lvlJc w:val="left"/>
      <w:pPr>
        <w:ind w:left="720" w:hanging="360"/>
      </w:pPr>
      <w:rPr>
        <w:rFonts w:ascii="Symbol" w:hAnsi="Symbol"/>
      </w:rPr>
    </w:lvl>
    <w:lvl w:ilvl="4" w:tplc="C00C113E">
      <w:start w:val="1"/>
      <w:numFmt w:val="bullet"/>
      <w:lvlText w:val=""/>
      <w:lvlJc w:val="left"/>
      <w:pPr>
        <w:ind w:left="720" w:hanging="360"/>
      </w:pPr>
      <w:rPr>
        <w:rFonts w:ascii="Symbol" w:hAnsi="Symbol"/>
      </w:rPr>
    </w:lvl>
    <w:lvl w:ilvl="5" w:tplc="DA800346">
      <w:start w:val="1"/>
      <w:numFmt w:val="bullet"/>
      <w:lvlText w:val=""/>
      <w:lvlJc w:val="left"/>
      <w:pPr>
        <w:ind w:left="720" w:hanging="360"/>
      </w:pPr>
      <w:rPr>
        <w:rFonts w:ascii="Symbol" w:hAnsi="Symbol"/>
      </w:rPr>
    </w:lvl>
    <w:lvl w:ilvl="6" w:tplc="EB363582">
      <w:start w:val="1"/>
      <w:numFmt w:val="bullet"/>
      <w:lvlText w:val=""/>
      <w:lvlJc w:val="left"/>
      <w:pPr>
        <w:ind w:left="720" w:hanging="360"/>
      </w:pPr>
      <w:rPr>
        <w:rFonts w:ascii="Symbol" w:hAnsi="Symbol"/>
      </w:rPr>
    </w:lvl>
    <w:lvl w:ilvl="7" w:tplc="27D2098A">
      <w:start w:val="1"/>
      <w:numFmt w:val="bullet"/>
      <w:lvlText w:val=""/>
      <w:lvlJc w:val="left"/>
      <w:pPr>
        <w:ind w:left="720" w:hanging="360"/>
      </w:pPr>
      <w:rPr>
        <w:rFonts w:ascii="Symbol" w:hAnsi="Symbol"/>
      </w:rPr>
    </w:lvl>
    <w:lvl w:ilvl="8" w:tplc="33F4A8D8">
      <w:start w:val="1"/>
      <w:numFmt w:val="bullet"/>
      <w:lvlText w:val=""/>
      <w:lvlJc w:val="left"/>
      <w:pPr>
        <w:ind w:left="720" w:hanging="360"/>
      </w:pPr>
      <w:rPr>
        <w:rFonts w:ascii="Symbol" w:hAnsi="Symbol"/>
      </w:rPr>
    </w:lvl>
  </w:abstractNum>
  <w:abstractNum w:abstractNumId="19" w15:restartNumberingAfterBreak="0">
    <w:nsid w:val="23B336E1"/>
    <w:multiLevelType w:val="hybridMultilevel"/>
    <w:tmpl w:val="0E9482AE"/>
    <w:lvl w:ilvl="0" w:tplc="B798CFB2">
      <w:start w:val="1"/>
      <w:numFmt w:val="bullet"/>
      <w:lvlText w:val=""/>
      <w:lvlJc w:val="left"/>
      <w:pPr>
        <w:ind w:left="720" w:hanging="360"/>
      </w:pPr>
      <w:rPr>
        <w:rFonts w:ascii="Symbol" w:hAnsi="Symbol"/>
      </w:rPr>
    </w:lvl>
    <w:lvl w:ilvl="1" w:tplc="654A312C">
      <w:start w:val="1"/>
      <w:numFmt w:val="bullet"/>
      <w:lvlText w:val=""/>
      <w:lvlJc w:val="left"/>
      <w:pPr>
        <w:ind w:left="720" w:hanging="360"/>
      </w:pPr>
      <w:rPr>
        <w:rFonts w:ascii="Symbol" w:hAnsi="Symbol"/>
      </w:rPr>
    </w:lvl>
    <w:lvl w:ilvl="2" w:tplc="EC04E74C">
      <w:start w:val="1"/>
      <w:numFmt w:val="bullet"/>
      <w:lvlText w:val=""/>
      <w:lvlJc w:val="left"/>
      <w:pPr>
        <w:ind w:left="720" w:hanging="360"/>
      </w:pPr>
      <w:rPr>
        <w:rFonts w:ascii="Symbol" w:hAnsi="Symbol"/>
      </w:rPr>
    </w:lvl>
    <w:lvl w:ilvl="3" w:tplc="E1CE2100">
      <w:start w:val="1"/>
      <w:numFmt w:val="bullet"/>
      <w:lvlText w:val=""/>
      <w:lvlJc w:val="left"/>
      <w:pPr>
        <w:ind w:left="720" w:hanging="360"/>
      </w:pPr>
      <w:rPr>
        <w:rFonts w:ascii="Symbol" w:hAnsi="Symbol"/>
      </w:rPr>
    </w:lvl>
    <w:lvl w:ilvl="4" w:tplc="762E2198">
      <w:start w:val="1"/>
      <w:numFmt w:val="bullet"/>
      <w:lvlText w:val=""/>
      <w:lvlJc w:val="left"/>
      <w:pPr>
        <w:ind w:left="720" w:hanging="360"/>
      </w:pPr>
      <w:rPr>
        <w:rFonts w:ascii="Symbol" w:hAnsi="Symbol"/>
      </w:rPr>
    </w:lvl>
    <w:lvl w:ilvl="5" w:tplc="114E6216">
      <w:start w:val="1"/>
      <w:numFmt w:val="bullet"/>
      <w:lvlText w:val=""/>
      <w:lvlJc w:val="left"/>
      <w:pPr>
        <w:ind w:left="720" w:hanging="360"/>
      </w:pPr>
      <w:rPr>
        <w:rFonts w:ascii="Symbol" w:hAnsi="Symbol"/>
      </w:rPr>
    </w:lvl>
    <w:lvl w:ilvl="6" w:tplc="52F88312">
      <w:start w:val="1"/>
      <w:numFmt w:val="bullet"/>
      <w:lvlText w:val=""/>
      <w:lvlJc w:val="left"/>
      <w:pPr>
        <w:ind w:left="720" w:hanging="360"/>
      </w:pPr>
      <w:rPr>
        <w:rFonts w:ascii="Symbol" w:hAnsi="Symbol"/>
      </w:rPr>
    </w:lvl>
    <w:lvl w:ilvl="7" w:tplc="B70E4284">
      <w:start w:val="1"/>
      <w:numFmt w:val="bullet"/>
      <w:lvlText w:val=""/>
      <w:lvlJc w:val="left"/>
      <w:pPr>
        <w:ind w:left="720" w:hanging="360"/>
      </w:pPr>
      <w:rPr>
        <w:rFonts w:ascii="Symbol" w:hAnsi="Symbol"/>
      </w:rPr>
    </w:lvl>
    <w:lvl w:ilvl="8" w:tplc="2B8CFA1E">
      <w:start w:val="1"/>
      <w:numFmt w:val="bullet"/>
      <w:lvlText w:val=""/>
      <w:lvlJc w:val="left"/>
      <w:pPr>
        <w:ind w:left="720" w:hanging="360"/>
      </w:pPr>
      <w:rPr>
        <w:rFonts w:ascii="Symbol" w:hAnsi="Symbol"/>
      </w:rPr>
    </w:lvl>
  </w:abstractNum>
  <w:abstractNum w:abstractNumId="20" w15:restartNumberingAfterBreak="0">
    <w:nsid w:val="25D87E20"/>
    <w:multiLevelType w:val="hybridMultilevel"/>
    <w:tmpl w:val="E1DEAC74"/>
    <w:lvl w:ilvl="0" w:tplc="971C990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27E959E4"/>
    <w:multiLevelType w:val="hybridMultilevel"/>
    <w:tmpl w:val="70A4CB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286E3721"/>
    <w:multiLevelType w:val="hybridMultilevel"/>
    <w:tmpl w:val="5304519C"/>
    <w:lvl w:ilvl="0" w:tplc="3C48184C">
      <w:start w:val="1"/>
      <w:numFmt w:val="bullet"/>
      <w:lvlText w:val=""/>
      <w:lvlJc w:val="left"/>
      <w:pPr>
        <w:ind w:left="720" w:hanging="360"/>
      </w:pPr>
      <w:rPr>
        <w:rFonts w:ascii="Symbol" w:hAnsi="Symbol"/>
      </w:rPr>
    </w:lvl>
    <w:lvl w:ilvl="1" w:tplc="A094FEB2">
      <w:start w:val="1"/>
      <w:numFmt w:val="bullet"/>
      <w:lvlText w:val=""/>
      <w:lvlJc w:val="left"/>
      <w:pPr>
        <w:ind w:left="720" w:hanging="360"/>
      </w:pPr>
      <w:rPr>
        <w:rFonts w:ascii="Symbol" w:hAnsi="Symbol"/>
      </w:rPr>
    </w:lvl>
    <w:lvl w:ilvl="2" w:tplc="BC9887C4">
      <w:start w:val="1"/>
      <w:numFmt w:val="bullet"/>
      <w:lvlText w:val=""/>
      <w:lvlJc w:val="left"/>
      <w:pPr>
        <w:ind w:left="720" w:hanging="360"/>
      </w:pPr>
      <w:rPr>
        <w:rFonts w:ascii="Symbol" w:hAnsi="Symbol"/>
      </w:rPr>
    </w:lvl>
    <w:lvl w:ilvl="3" w:tplc="D414C4CC">
      <w:start w:val="1"/>
      <w:numFmt w:val="bullet"/>
      <w:lvlText w:val=""/>
      <w:lvlJc w:val="left"/>
      <w:pPr>
        <w:ind w:left="720" w:hanging="360"/>
      </w:pPr>
      <w:rPr>
        <w:rFonts w:ascii="Symbol" w:hAnsi="Symbol"/>
      </w:rPr>
    </w:lvl>
    <w:lvl w:ilvl="4" w:tplc="56C2BF26">
      <w:start w:val="1"/>
      <w:numFmt w:val="bullet"/>
      <w:lvlText w:val=""/>
      <w:lvlJc w:val="left"/>
      <w:pPr>
        <w:ind w:left="720" w:hanging="360"/>
      </w:pPr>
      <w:rPr>
        <w:rFonts w:ascii="Symbol" w:hAnsi="Symbol"/>
      </w:rPr>
    </w:lvl>
    <w:lvl w:ilvl="5" w:tplc="CBBEE3B0">
      <w:start w:val="1"/>
      <w:numFmt w:val="bullet"/>
      <w:lvlText w:val=""/>
      <w:lvlJc w:val="left"/>
      <w:pPr>
        <w:ind w:left="720" w:hanging="360"/>
      </w:pPr>
      <w:rPr>
        <w:rFonts w:ascii="Symbol" w:hAnsi="Symbol"/>
      </w:rPr>
    </w:lvl>
    <w:lvl w:ilvl="6" w:tplc="56428CDE">
      <w:start w:val="1"/>
      <w:numFmt w:val="bullet"/>
      <w:lvlText w:val=""/>
      <w:lvlJc w:val="left"/>
      <w:pPr>
        <w:ind w:left="720" w:hanging="360"/>
      </w:pPr>
      <w:rPr>
        <w:rFonts w:ascii="Symbol" w:hAnsi="Symbol"/>
      </w:rPr>
    </w:lvl>
    <w:lvl w:ilvl="7" w:tplc="CB90F778">
      <w:start w:val="1"/>
      <w:numFmt w:val="bullet"/>
      <w:lvlText w:val=""/>
      <w:lvlJc w:val="left"/>
      <w:pPr>
        <w:ind w:left="720" w:hanging="360"/>
      </w:pPr>
      <w:rPr>
        <w:rFonts w:ascii="Symbol" w:hAnsi="Symbol"/>
      </w:rPr>
    </w:lvl>
    <w:lvl w:ilvl="8" w:tplc="6D9465C6">
      <w:start w:val="1"/>
      <w:numFmt w:val="bullet"/>
      <w:lvlText w:val=""/>
      <w:lvlJc w:val="left"/>
      <w:pPr>
        <w:ind w:left="720" w:hanging="360"/>
      </w:pPr>
      <w:rPr>
        <w:rFonts w:ascii="Symbol" w:hAnsi="Symbol"/>
      </w:rPr>
    </w:lvl>
  </w:abstractNum>
  <w:abstractNum w:abstractNumId="23" w15:restartNumberingAfterBreak="0">
    <w:nsid w:val="2C224855"/>
    <w:multiLevelType w:val="hybridMultilevel"/>
    <w:tmpl w:val="691EFBF8"/>
    <w:lvl w:ilvl="0" w:tplc="971C990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4"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30921C10"/>
    <w:multiLevelType w:val="hybridMultilevel"/>
    <w:tmpl w:val="ABF4243C"/>
    <w:lvl w:ilvl="0" w:tplc="8000F866">
      <w:start w:val="1"/>
      <w:numFmt w:val="bullet"/>
      <w:lvlText w:val=""/>
      <w:lvlJc w:val="left"/>
      <w:pPr>
        <w:ind w:left="720" w:hanging="360"/>
      </w:pPr>
      <w:rPr>
        <w:rFonts w:ascii="Symbol" w:hAnsi="Symbol"/>
      </w:rPr>
    </w:lvl>
    <w:lvl w:ilvl="1" w:tplc="ED626854">
      <w:start w:val="1"/>
      <w:numFmt w:val="bullet"/>
      <w:lvlText w:val=""/>
      <w:lvlJc w:val="left"/>
      <w:pPr>
        <w:ind w:left="720" w:hanging="360"/>
      </w:pPr>
      <w:rPr>
        <w:rFonts w:ascii="Symbol" w:hAnsi="Symbol"/>
      </w:rPr>
    </w:lvl>
    <w:lvl w:ilvl="2" w:tplc="BEF675D2">
      <w:start w:val="1"/>
      <w:numFmt w:val="bullet"/>
      <w:lvlText w:val=""/>
      <w:lvlJc w:val="left"/>
      <w:pPr>
        <w:ind w:left="720" w:hanging="360"/>
      </w:pPr>
      <w:rPr>
        <w:rFonts w:ascii="Symbol" w:hAnsi="Symbol"/>
      </w:rPr>
    </w:lvl>
    <w:lvl w:ilvl="3" w:tplc="86E69764">
      <w:start w:val="1"/>
      <w:numFmt w:val="bullet"/>
      <w:lvlText w:val=""/>
      <w:lvlJc w:val="left"/>
      <w:pPr>
        <w:ind w:left="720" w:hanging="360"/>
      </w:pPr>
      <w:rPr>
        <w:rFonts w:ascii="Symbol" w:hAnsi="Symbol"/>
      </w:rPr>
    </w:lvl>
    <w:lvl w:ilvl="4" w:tplc="3EF46C78">
      <w:start w:val="1"/>
      <w:numFmt w:val="bullet"/>
      <w:lvlText w:val=""/>
      <w:lvlJc w:val="left"/>
      <w:pPr>
        <w:ind w:left="720" w:hanging="360"/>
      </w:pPr>
      <w:rPr>
        <w:rFonts w:ascii="Symbol" w:hAnsi="Symbol"/>
      </w:rPr>
    </w:lvl>
    <w:lvl w:ilvl="5" w:tplc="AC32A850">
      <w:start w:val="1"/>
      <w:numFmt w:val="bullet"/>
      <w:lvlText w:val=""/>
      <w:lvlJc w:val="left"/>
      <w:pPr>
        <w:ind w:left="720" w:hanging="360"/>
      </w:pPr>
      <w:rPr>
        <w:rFonts w:ascii="Symbol" w:hAnsi="Symbol"/>
      </w:rPr>
    </w:lvl>
    <w:lvl w:ilvl="6" w:tplc="70D89BBC">
      <w:start w:val="1"/>
      <w:numFmt w:val="bullet"/>
      <w:lvlText w:val=""/>
      <w:lvlJc w:val="left"/>
      <w:pPr>
        <w:ind w:left="720" w:hanging="360"/>
      </w:pPr>
      <w:rPr>
        <w:rFonts w:ascii="Symbol" w:hAnsi="Symbol"/>
      </w:rPr>
    </w:lvl>
    <w:lvl w:ilvl="7" w:tplc="F1B2D838">
      <w:start w:val="1"/>
      <w:numFmt w:val="bullet"/>
      <w:lvlText w:val=""/>
      <w:lvlJc w:val="left"/>
      <w:pPr>
        <w:ind w:left="720" w:hanging="360"/>
      </w:pPr>
      <w:rPr>
        <w:rFonts w:ascii="Symbol" w:hAnsi="Symbol"/>
      </w:rPr>
    </w:lvl>
    <w:lvl w:ilvl="8" w:tplc="8B025F4A">
      <w:start w:val="1"/>
      <w:numFmt w:val="bullet"/>
      <w:lvlText w:val=""/>
      <w:lvlJc w:val="left"/>
      <w:pPr>
        <w:ind w:left="720" w:hanging="360"/>
      </w:pPr>
      <w:rPr>
        <w:rFonts w:ascii="Symbol" w:hAnsi="Symbol"/>
      </w:rPr>
    </w:lvl>
  </w:abstractNum>
  <w:abstractNum w:abstractNumId="26" w15:restartNumberingAfterBreak="0">
    <w:nsid w:val="334E64D9"/>
    <w:multiLevelType w:val="hybridMultilevel"/>
    <w:tmpl w:val="3FA4FFB0"/>
    <w:lvl w:ilvl="0" w:tplc="C8E45002">
      <w:start w:val="1"/>
      <w:numFmt w:val="bullet"/>
      <w:lvlText w:val=""/>
      <w:lvlJc w:val="left"/>
      <w:pPr>
        <w:ind w:left="720" w:hanging="360"/>
      </w:pPr>
      <w:rPr>
        <w:rFonts w:ascii="Symbol" w:hAnsi="Symbol"/>
      </w:rPr>
    </w:lvl>
    <w:lvl w:ilvl="1" w:tplc="EA0EC7BA">
      <w:start w:val="1"/>
      <w:numFmt w:val="bullet"/>
      <w:lvlText w:val=""/>
      <w:lvlJc w:val="left"/>
      <w:pPr>
        <w:ind w:left="720" w:hanging="360"/>
      </w:pPr>
      <w:rPr>
        <w:rFonts w:ascii="Symbol" w:hAnsi="Symbol"/>
      </w:rPr>
    </w:lvl>
    <w:lvl w:ilvl="2" w:tplc="A09C2202">
      <w:start w:val="1"/>
      <w:numFmt w:val="bullet"/>
      <w:lvlText w:val=""/>
      <w:lvlJc w:val="left"/>
      <w:pPr>
        <w:ind w:left="720" w:hanging="360"/>
      </w:pPr>
      <w:rPr>
        <w:rFonts w:ascii="Symbol" w:hAnsi="Symbol"/>
      </w:rPr>
    </w:lvl>
    <w:lvl w:ilvl="3" w:tplc="223E20CA">
      <w:start w:val="1"/>
      <w:numFmt w:val="bullet"/>
      <w:lvlText w:val=""/>
      <w:lvlJc w:val="left"/>
      <w:pPr>
        <w:ind w:left="720" w:hanging="360"/>
      </w:pPr>
      <w:rPr>
        <w:rFonts w:ascii="Symbol" w:hAnsi="Symbol"/>
      </w:rPr>
    </w:lvl>
    <w:lvl w:ilvl="4" w:tplc="46E8BC8A">
      <w:start w:val="1"/>
      <w:numFmt w:val="bullet"/>
      <w:lvlText w:val=""/>
      <w:lvlJc w:val="left"/>
      <w:pPr>
        <w:ind w:left="720" w:hanging="360"/>
      </w:pPr>
      <w:rPr>
        <w:rFonts w:ascii="Symbol" w:hAnsi="Symbol"/>
      </w:rPr>
    </w:lvl>
    <w:lvl w:ilvl="5" w:tplc="9AB0E1E8">
      <w:start w:val="1"/>
      <w:numFmt w:val="bullet"/>
      <w:lvlText w:val=""/>
      <w:lvlJc w:val="left"/>
      <w:pPr>
        <w:ind w:left="720" w:hanging="360"/>
      </w:pPr>
      <w:rPr>
        <w:rFonts w:ascii="Symbol" w:hAnsi="Symbol"/>
      </w:rPr>
    </w:lvl>
    <w:lvl w:ilvl="6" w:tplc="3830F67A">
      <w:start w:val="1"/>
      <w:numFmt w:val="bullet"/>
      <w:lvlText w:val=""/>
      <w:lvlJc w:val="left"/>
      <w:pPr>
        <w:ind w:left="720" w:hanging="360"/>
      </w:pPr>
      <w:rPr>
        <w:rFonts w:ascii="Symbol" w:hAnsi="Symbol"/>
      </w:rPr>
    </w:lvl>
    <w:lvl w:ilvl="7" w:tplc="3410DB5E">
      <w:start w:val="1"/>
      <w:numFmt w:val="bullet"/>
      <w:lvlText w:val=""/>
      <w:lvlJc w:val="left"/>
      <w:pPr>
        <w:ind w:left="720" w:hanging="360"/>
      </w:pPr>
      <w:rPr>
        <w:rFonts w:ascii="Symbol" w:hAnsi="Symbol"/>
      </w:rPr>
    </w:lvl>
    <w:lvl w:ilvl="8" w:tplc="5ED20668">
      <w:start w:val="1"/>
      <w:numFmt w:val="bullet"/>
      <w:lvlText w:val=""/>
      <w:lvlJc w:val="left"/>
      <w:pPr>
        <w:ind w:left="720" w:hanging="360"/>
      </w:pPr>
      <w:rPr>
        <w:rFonts w:ascii="Symbol" w:hAnsi="Symbol"/>
      </w:rPr>
    </w:lvl>
  </w:abstractNum>
  <w:abstractNum w:abstractNumId="27" w15:restartNumberingAfterBreak="0">
    <w:nsid w:val="35941F7A"/>
    <w:multiLevelType w:val="hybridMultilevel"/>
    <w:tmpl w:val="720EE978"/>
    <w:lvl w:ilvl="0" w:tplc="3A461014">
      <w:start w:val="1"/>
      <w:numFmt w:val="bullet"/>
      <w:lvlText w:val=""/>
      <w:lvlJc w:val="left"/>
      <w:pPr>
        <w:ind w:left="720" w:hanging="360"/>
      </w:pPr>
      <w:rPr>
        <w:rFonts w:ascii="Symbol" w:hAnsi="Symbol"/>
      </w:rPr>
    </w:lvl>
    <w:lvl w:ilvl="1" w:tplc="1A6E5920">
      <w:start w:val="1"/>
      <w:numFmt w:val="bullet"/>
      <w:lvlText w:val=""/>
      <w:lvlJc w:val="left"/>
      <w:pPr>
        <w:ind w:left="720" w:hanging="360"/>
      </w:pPr>
      <w:rPr>
        <w:rFonts w:ascii="Symbol" w:hAnsi="Symbol"/>
      </w:rPr>
    </w:lvl>
    <w:lvl w:ilvl="2" w:tplc="911682B2">
      <w:start w:val="1"/>
      <w:numFmt w:val="bullet"/>
      <w:lvlText w:val=""/>
      <w:lvlJc w:val="left"/>
      <w:pPr>
        <w:ind w:left="720" w:hanging="360"/>
      </w:pPr>
      <w:rPr>
        <w:rFonts w:ascii="Symbol" w:hAnsi="Symbol"/>
      </w:rPr>
    </w:lvl>
    <w:lvl w:ilvl="3" w:tplc="6382D9D8">
      <w:start w:val="1"/>
      <w:numFmt w:val="bullet"/>
      <w:lvlText w:val=""/>
      <w:lvlJc w:val="left"/>
      <w:pPr>
        <w:ind w:left="720" w:hanging="360"/>
      </w:pPr>
      <w:rPr>
        <w:rFonts w:ascii="Symbol" w:hAnsi="Symbol"/>
      </w:rPr>
    </w:lvl>
    <w:lvl w:ilvl="4" w:tplc="EEC47F00">
      <w:start w:val="1"/>
      <w:numFmt w:val="bullet"/>
      <w:lvlText w:val=""/>
      <w:lvlJc w:val="left"/>
      <w:pPr>
        <w:ind w:left="720" w:hanging="360"/>
      </w:pPr>
      <w:rPr>
        <w:rFonts w:ascii="Symbol" w:hAnsi="Symbol"/>
      </w:rPr>
    </w:lvl>
    <w:lvl w:ilvl="5" w:tplc="C3D08162">
      <w:start w:val="1"/>
      <w:numFmt w:val="bullet"/>
      <w:lvlText w:val=""/>
      <w:lvlJc w:val="left"/>
      <w:pPr>
        <w:ind w:left="720" w:hanging="360"/>
      </w:pPr>
      <w:rPr>
        <w:rFonts w:ascii="Symbol" w:hAnsi="Symbol"/>
      </w:rPr>
    </w:lvl>
    <w:lvl w:ilvl="6" w:tplc="17A09F68">
      <w:start w:val="1"/>
      <w:numFmt w:val="bullet"/>
      <w:lvlText w:val=""/>
      <w:lvlJc w:val="left"/>
      <w:pPr>
        <w:ind w:left="720" w:hanging="360"/>
      </w:pPr>
      <w:rPr>
        <w:rFonts w:ascii="Symbol" w:hAnsi="Symbol"/>
      </w:rPr>
    </w:lvl>
    <w:lvl w:ilvl="7" w:tplc="CF4C5640">
      <w:start w:val="1"/>
      <w:numFmt w:val="bullet"/>
      <w:lvlText w:val=""/>
      <w:lvlJc w:val="left"/>
      <w:pPr>
        <w:ind w:left="720" w:hanging="360"/>
      </w:pPr>
      <w:rPr>
        <w:rFonts w:ascii="Symbol" w:hAnsi="Symbol"/>
      </w:rPr>
    </w:lvl>
    <w:lvl w:ilvl="8" w:tplc="40160772">
      <w:start w:val="1"/>
      <w:numFmt w:val="bullet"/>
      <w:lvlText w:val=""/>
      <w:lvlJc w:val="left"/>
      <w:pPr>
        <w:ind w:left="720" w:hanging="360"/>
      </w:pPr>
      <w:rPr>
        <w:rFonts w:ascii="Symbol" w:hAnsi="Symbol"/>
      </w:rPr>
    </w:lvl>
  </w:abstractNum>
  <w:abstractNum w:abstractNumId="28" w15:restartNumberingAfterBreak="0">
    <w:nsid w:val="35EC5112"/>
    <w:multiLevelType w:val="hybridMultilevel"/>
    <w:tmpl w:val="AFFCED10"/>
    <w:lvl w:ilvl="0" w:tplc="31BEAFA4">
      <w:start w:val="1"/>
      <w:numFmt w:val="bullet"/>
      <w:lvlText w:val=""/>
      <w:lvlJc w:val="left"/>
      <w:pPr>
        <w:ind w:left="720" w:hanging="360"/>
      </w:pPr>
      <w:rPr>
        <w:rFonts w:ascii="Symbol" w:hAnsi="Symbol"/>
      </w:rPr>
    </w:lvl>
    <w:lvl w:ilvl="1" w:tplc="A97A16FC">
      <w:start w:val="1"/>
      <w:numFmt w:val="bullet"/>
      <w:lvlText w:val=""/>
      <w:lvlJc w:val="left"/>
      <w:pPr>
        <w:ind w:left="720" w:hanging="360"/>
      </w:pPr>
      <w:rPr>
        <w:rFonts w:ascii="Symbol" w:hAnsi="Symbol"/>
      </w:rPr>
    </w:lvl>
    <w:lvl w:ilvl="2" w:tplc="2160D792">
      <w:start w:val="1"/>
      <w:numFmt w:val="bullet"/>
      <w:lvlText w:val=""/>
      <w:lvlJc w:val="left"/>
      <w:pPr>
        <w:ind w:left="720" w:hanging="360"/>
      </w:pPr>
      <w:rPr>
        <w:rFonts w:ascii="Symbol" w:hAnsi="Symbol"/>
      </w:rPr>
    </w:lvl>
    <w:lvl w:ilvl="3" w:tplc="7CA66D96">
      <w:start w:val="1"/>
      <w:numFmt w:val="bullet"/>
      <w:lvlText w:val=""/>
      <w:lvlJc w:val="left"/>
      <w:pPr>
        <w:ind w:left="720" w:hanging="360"/>
      </w:pPr>
      <w:rPr>
        <w:rFonts w:ascii="Symbol" w:hAnsi="Symbol"/>
      </w:rPr>
    </w:lvl>
    <w:lvl w:ilvl="4" w:tplc="A7F0373A">
      <w:start w:val="1"/>
      <w:numFmt w:val="bullet"/>
      <w:lvlText w:val=""/>
      <w:lvlJc w:val="left"/>
      <w:pPr>
        <w:ind w:left="720" w:hanging="360"/>
      </w:pPr>
      <w:rPr>
        <w:rFonts w:ascii="Symbol" w:hAnsi="Symbol"/>
      </w:rPr>
    </w:lvl>
    <w:lvl w:ilvl="5" w:tplc="2D903FF0">
      <w:start w:val="1"/>
      <w:numFmt w:val="bullet"/>
      <w:lvlText w:val=""/>
      <w:lvlJc w:val="left"/>
      <w:pPr>
        <w:ind w:left="720" w:hanging="360"/>
      </w:pPr>
      <w:rPr>
        <w:rFonts w:ascii="Symbol" w:hAnsi="Symbol"/>
      </w:rPr>
    </w:lvl>
    <w:lvl w:ilvl="6" w:tplc="35FC6CF8">
      <w:start w:val="1"/>
      <w:numFmt w:val="bullet"/>
      <w:lvlText w:val=""/>
      <w:lvlJc w:val="left"/>
      <w:pPr>
        <w:ind w:left="720" w:hanging="360"/>
      </w:pPr>
      <w:rPr>
        <w:rFonts w:ascii="Symbol" w:hAnsi="Symbol"/>
      </w:rPr>
    </w:lvl>
    <w:lvl w:ilvl="7" w:tplc="D03C3B4A">
      <w:start w:val="1"/>
      <w:numFmt w:val="bullet"/>
      <w:lvlText w:val=""/>
      <w:lvlJc w:val="left"/>
      <w:pPr>
        <w:ind w:left="720" w:hanging="360"/>
      </w:pPr>
      <w:rPr>
        <w:rFonts w:ascii="Symbol" w:hAnsi="Symbol"/>
      </w:rPr>
    </w:lvl>
    <w:lvl w:ilvl="8" w:tplc="04A8EF7E">
      <w:start w:val="1"/>
      <w:numFmt w:val="bullet"/>
      <w:lvlText w:val=""/>
      <w:lvlJc w:val="left"/>
      <w:pPr>
        <w:ind w:left="720" w:hanging="360"/>
      </w:pPr>
      <w:rPr>
        <w:rFonts w:ascii="Symbol" w:hAnsi="Symbol"/>
      </w:rPr>
    </w:lvl>
  </w:abstractNum>
  <w:abstractNum w:abstractNumId="29" w15:restartNumberingAfterBreak="0">
    <w:nsid w:val="37D40FE4"/>
    <w:multiLevelType w:val="hybridMultilevel"/>
    <w:tmpl w:val="565EA5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85D16DB"/>
    <w:multiLevelType w:val="hybridMultilevel"/>
    <w:tmpl w:val="02D87574"/>
    <w:lvl w:ilvl="0" w:tplc="4378DFB4">
      <w:start w:val="1"/>
      <w:numFmt w:val="bullet"/>
      <w:lvlText w:val=""/>
      <w:lvlJc w:val="left"/>
      <w:pPr>
        <w:ind w:left="720" w:hanging="360"/>
      </w:pPr>
      <w:rPr>
        <w:rFonts w:ascii="Symbol" w:hAnsi="Symbol"/>
      </w:rPr>
    </w:lvl>
    <w:lvl w:ilvl="1" w:tplc="84A05C42">
      <w:start w:val="1"/>
      <w:numFmt w:val="bullet"/>
      <w:lvlText w:val=""/>
      <w:lvlJc w:val="left"/>
      <w:pPr>
        <w:ind w:left="720" w:hanging="360"/>
      </w:pPr>
      <w:rPr>
        <w:rFonts w:ascii="Symbol" w:hAnsi="Symbol"/>
      </w:rPr>
    </w:lvl>
    <w:lvl w:ilvl="2" w:tplc="A9AA5F92">
      <w:start w:val="1"/>
      <w:numFmt w:val="bullet"/>
      <w:lvlText w:val=""/>
      <w:lvlJc w:val="left"/>
      <w:pPr>
        <w:ind w:left="720" w:hanging="360"/>
      </w:pPr>
      <w:rPr>
        <w:rFonts w:ascii="Symbol" w:hAnsi="Symbol"/>
      </w:rPr>
    </w:lvl>
    <w:lvl w:ilvl="3" w:tplc="CBE24A28">
      <w:start w:val="1"/>
      <w:numFmt w:val="bullet"/>
      <w:lvlText w:val=""/>
      <w:lvlJc w:val="left"/>
      <w:pPr>
        <w:ind w:left="720" w:hanging="360"/>
      </w:pPr>
      <w:rPr>
        <w:rFonts w:ascii="Symbol" w:hAnsi="Symbol"/>
      </w:rPr>
    </w:lvl>
    <w:lvl w:ilvl="4" w:tplc="5BA89CBC">
      <w:start w:val="1"/>
      <w:numFmt w:val="bullet"/>
      <w:lvlText w:val=""/>
      <w:lvlJc w:val="left"/>
      <w:pPr>
        <w:ind w:left="720" w:hanging="360"/>
      </w:pPr>
      <w:rPr>
        <w:rFonts w:ascii="Symbol" w:hAnsi="Symbol"/>
      </w:rPr>
    </w:lvl>
    <w:lvl w:ilvl="5" w:tplc="89F88398">
      <w:start w:val="1"/>
      <w:numFmt w:val="bullet"/>
      <w:lvlText w:val=""/>
      <w:lvlJc w:val="left"/>
      <w:pPr>
        <w:ind w:left="720" w:hanging="360"/>
      </w:pPr>
      <w:rPr>
        <w:rFonts w:ascii="Symbol" w:hAnsi="Symbol"/>
      </w:rPr>
    </w:lvl>
    <w:lvl w:ilvl="6" w:tplc="F7C4AA64">
      <w:start w:val="1"/>
      <w:numFmt w:val="bullet"/>
      <w:lvlText w:val=""/>
      <w:lvlJc w:val="left"/>
      <w:pPr>
        <w:ind w:left="720" w:hanging="360"/>
      </w:pPr>
      <w:rPr>
        <w:rFonts w:ascii="Symbol" w:hAnsi="Symbol"/>
      </w:rPr>
    </w:lvl>
    <w:lvl w:ilvl="7" w:tplc="4270517E">
      <w:start w:val="1"/>
      <w:numFmt w:val="bullet"/>
      <w:lvlText w:val=""/>
      <w:lvlJc w:val="left"/>
      <w:pPr>
        <w:ind w:left="720" w:hanging="360"/>
      </w:pPr>
      <w:rPr>
        <w:rFonts w:ascii="Symbol" w:hAnsi="Symbol"/>
      </w:rPr>
    </w:lvl>
    <w:lvl w:ilvl="8" w:tplc="C2909C94">
      <w:start w:val="1"/>
      <w:numFmt w:val="bullet"/>
      <w:lvlText w:val=""/>
      <w:lvlJc w:val="left"/>
      <w:pPr>
        <w:ind w:left="720" w:hanging="360"/>
      </w:pPr>
      <w:rPr>
        <w:rFonts w:ascii="Symbol" w:hAnsi="Symbol"/>
      </w:rPr>
    </w:lvl>
  </w:abstractNum>
  <w:abstractNum w:abstractNumId="31" w15:restartNumberingAfterBreak="0">
    <w:nsid w:val="394C5EF3"/>
    <w:multiLevelType w:val="hybridMultilevel"/>
    <w:tmpl w:val="B5B8FC92"/>
    <w:lvl w:ilvl="0" w:tplc="02E6AD1C">
      <w:start w:val="1"/>
      <w:numFmt w:val="bullet"/>
      <w:lvlText w:val=""/>
      <w:lvlJc w:val="left"/>
      <w:pPr>
        <w:ind w:left="720" w:hanging="360"/>
      </w:pPr>
      <w:rPr>
        <w:rFonts w:ascii="Symbol" w:hAnsi="Symbol"/>
      </w:rPr>
    </w:lvl>
    <w:lvl w:ilvl="1" w:tplc="ACBC3290">
      <w:start w:val="1"/>
      <w:numFmt w:val="bullet"/>
      <w:lvlText w:val=""/>
      <w:lvlJc w:val="left"/>
      <w:pPr>
        <w:ind w:left="720" w:hanging="360"/>
      </w:pPr>
      <w:rPr>
        <w:rFonts w:ascii="Symbol" w:hAnsi="Symbol"/>
      </w:rPr>
    </w:lvl>
    <w:lvl w:ilvl="2" w:tplc="0D40AF20">
      <w:start w:val="1"/>
      <w:numFmt w:val="bullet"/>
      <w:lvlText w:val=""/>
      <w:lvlJc w:val="left"/>
      <w:pPr>
        <w:ind w:left="720" w:hanging="360"/>
      </w:pPr>
      <w:rPr>
        <w:rFonts w:ascii="Symbol" w:hAnsi="Symbol"/>
      </w:rPr>
    </w:lvl>
    <w:lvl w:ilvl="3" w:tplc="084CA1D0">
      <w:start w:val="1"/>
      <w:numFmt w:val="bullet"/>
      <w:lvlText w:val=""/>
      <w:lvlJc w:val="left"/>
      <w:pPr>
        <w:ind w:left="720" w:hanging="360"/>
      </w:pPr>
      <w:rPr>
        <w:rFonts w:ascii="Symbol" w:hAnsi="Symbol"/>
      </w:rPr>
    </w:lvl>
    <w:lvl w:ilvl="4" w:tplc="179625E0">
      <w:start w:val="1"/>
      <w:numFmt w:val="bullet"/>
      <w:lvlText w:val=""/>
      <w:lvlJc w:val="left"/>
      <w:pPr>
        <w:ind w:left="720" w:hanging="360"/>
      </w:pPr>
      <w:rPr>
        <w:rFonts w:ascii="Symbol" w:hAnsi="Symbol"/>
      </w:rPr>
    </w:lvl>
    <w:lvl w:ilvl="5" w:tplc="6BDA1372">
      <w:start w:val="1"/>
      <w:numFmt w:val="bullet"/>
      <w:lvlText w:val=""/>
      <w:lvlJc w:val="left"/>
      <w:pPr>
        <w:ind w:left="720" w:hanging="360"/>
      </w:pPr>
      <w:rPr>
        <w:rFonts w:ascii="Symbol" w:hAnsi="Symbol"/>
      </w:rPr>
    </w:lvl>
    <w:lvl w:ilvl="6" w:tplc="6054CE4C">
      <w:start w:val="1"/>
      <w:numFmt w:val="bullet"/>
      <w:lvlText w:val=""/>
      <w:lvlJc w:val="left"/>
      <w:pPr>
        <w:ind w:left="720" w:hanging="360"/>
      </w:pPr>
      <w:rPr>
        <w:rFonts w:ascii="Symbol" w:hAnsi="Symbol"/>
      </w:rPr>
    </w:lvl>
    <w:lvl w:ilvl="7" w:tplc="D8B4E97A">
      <w:start w:val="1"/>
      <w:numFmt w:val="bullet"/>
      <w:lvlText w:val=""/>
      <w:lvlJc w:val="left"/>
      <w:pPr>
        <w:ind w:left="720" w:hanging="360"/>
      </w:pPr>
      <w:rPr>
        <w:rFonts w:ascii="Symbol" w:hAnsi="Symbol"/>
      </w:rPr>
    </w:lvl>
    <w:lvl w:ilvl="8" w:tplc="6E66D886">
      <w:start w:val="1"/>
      <w:numFmt w:val="bullet"/>
      <w:lvlText w:val=""/>
      <w:lvlJc w:val="left"/>
      <w:pPr>
        <w:ind w:left="720" w:hanging="360"/>
      </w:pPr>
      <w:rPr>
        <w:rFonts w:ascii="Symbol" w:hAnsi="Symbol"/>
      </w:rPr>
    </w:lvl>
  </w:abstractNum>
  <w:abstractNum w:abstractNumId="32" w15:restartNumberingAfterBreak="0">
    <w:nsid w:val="3CD32DF2"/>
    <w:multiLevelType w:val="hybridMultilevel"/>
    <w:tmpl w:val="A7C6D28C"/>
    <w:lvl w:ilvl="0" w:tplc="F112CFBE">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3" w15:restartNumberingAfterBreak="0">
    <w:nsid w:val="3E3F2F2C"/>
    <w:multiLevelType w:val="hybridMultilevel"/>
    <w:tmpl w:val="E8883A54"/>
    <w:lvl w:ilvl="0" w:tplc="2E6A118A">
      <w:start w:val="1"/>
      <w:numFmt w:val="bullet"/>
      <w:lvlText w:val=""/>
      <w:lvlJc w:val="left"/>
      <w:pPr>
        <w:ind w:left="720" w:hanging="360"/>
      </w:pPr>
      <w:rPr>
        <w:rFonts w:ascii="Symbol" w:hAnsi="Symbol"/>
      </w:rPr>
    </w:lvl>
    <w:lvl w:ilvl="1" w:tplc="61185F66">
      <w:start w:val="1"/>
      <w:numFmt w:val="bullet"/>
      <w:lvlText w:val=""/>
      <w:lvlJc w:val="left"/>
      <w:pPr>
        <w:ind w:left="720" w:hanging="360"/>
      </w:pPr>
      <w:rPr>
        <w:rFonts w:ascii="Symbol" w:hAnsi="Symbol"/>
      </w:rPr>
    </w:lvl>
    <w:lvl w:ilvl="2" w:tplc="30D82A22">
      <w:start w:val="1"/>
      <w:numFmt w:val="bullet"/>
      <w:lvlText w:val=""/>
      <w:lvlJc w:val="left"/>
      <w:pPr>
        <w:ind w:left="720" w:hanging="360"/>
      </w:pPr>
      <w:rPr>
        <w:rFonts w:ascii="Symbol" w:hAnsi="Symbol"/>
      </w:rPr>
    </w:lvl>
    <w:lvl w:ilvl="3" w:tplc="DAD84B32">
      <w:start w:val="1"/>
      <w:numFmt w:val="bullet"/>
      <w:lvlText w:val=""/>
      <w:lvlJc w:val="left"/>
      <w:pPr>
        <w:ind w:left="720" w:hanging="360"/>
      </w:pPr>
      <w:rPr>
        <w:rFonts w:ascii="Symbol" w:hAnsi="Symbol"/>
      </w:rPr>
    </w:lvl>
    <w:lvl w:ilvl="4" w:tplc="4F783E48">
      <w:start w:val="1"/>
      <w:numFmt w:val="bullet"/>
      <w:lvlText w:val=""/>
      <w:lvlJc w:val="left"/>
      <w:pPr>
        <w:ind w:left="720" w:hanging="360"/>
      </w:pPr>
      <w:rPr>
        <w:rFonts w:ascii="Symbol" w:hAnsi="Symbol"/>
      </w:rPr>
    </w:lvl>
    <w:lvl w:ilvl="5" w:tplc="A5009E9E">
      <w:start w:val="1"/>
      <w:numFmt w:val="bullet"/>
      <w:lvlText w:val=""/>
      <w:lvlJc w:val="left"/>
      <w:pPr>
        <w:ind w:left="720" w:hanging="360"/>
      </w:pPr>
      <w:rPr>
        <w:rFonts w:ascii="Symbol" w:hAnsi="Symbol"/>
      </w:rPr>
    </w:lvl>
    <w:lvl w:ilvl="6" w:tplc="8D36E1DE">
      <w:start w:val="1"/>
      <w:numFmt w:val="bullet"/>
      <w:lvlText w:val=""/>
      <w:lvlJc w:val="left"/>
      <w:pPr>
        <w:ind w:left="720" w:hanging="360"/>
      </w:pPr>
      <w:rPr>
        <w:rFonts w:ascii="Symbol" w:hAnsi="Symbol"/>
      </w:rPr>
    </w:lvl>
    <w:lvl w:ilvl="7" w:tplc="C682060E">
      <w:start w:val="1"/>
      <w:numFmt w:val="bullet"/>
      <w:lvlText w:val=""/>
      <w:lvlJc w:val="left"/>
      <w:pPr>
        <w:ind w:left="720" w:hanging="360"/>
      </w:pPr>
      <w:rPr>
        <w:rFonts w:ascii="Symbol" w:hAnsi="Symbol"/>
      </w:rPr>
    </w:lvl>
    <w:lvl w:ilvl="8" w:tplc="9EEC6C42">
      <w:start w:val="1"/>
      <w:numFmt w:val="bullet"/>
      <w:lvlText w:val=""/>
      <w:lvlJc w:val="left"/>
      <w:pPr>
        <w:ind w:left="720" w:hanging="360"/>
      </w:pPr>
      <w:rPr>
        <w:rFonts w:ascii="Symbol" w:hAnsi="Symbol"/>
      </w:rPr>
    </w:lvl>
  </w:abstractNum>
  <w:abstractNum w:abstractNumId="34" w15:restartNumberingAfterBreak="0">
    <w:nsid w:val="3E7F4834"/>
    <w:multiLevelType w:val="hybridMultilevel"/>
    <w:tmpl w:val="5D0614D2"/>
    <w:lvl w:ilvl="0" w:tplc="0150A116">
      <w:start w:val="1"/>
      <w:numFmt w:val="bullet"/>
      <w:lvlText w:val=""/>
      <w:lvlJc w:val="left"/>
      <w:pPr>
        <w:ind w:left="720" w:hanging="360"/>
      </w:pPr>
      <w:rPr>
        <w:rFonts w:ascii="Symbol" w:hAnsi="Symbol"/>
      </w:rPr>
    </w:lvl>
    <w:lvl w:ilvl="1" w:tplc="65340CE6">
      <w:start w:val="1"/>
      <w:numFmt w:val="bullet"/>
      <w:lvlText w:val=""/>
      <w:lvlJc w:val="left"/>
      <w:pPr>
        <w:ind w:left="720" w:hanging="360"/>
      </w:pPr>
      <w:rPr>
        <w:rFonts w:ascii="Symbol" w:hAnsi="Symbol"/>
      </w:rPr>
    </w:lvl>
    <w:lvl w:ilvl="2" w:tplc="24CE4188">
      <w:start w:val="1"/>
      <w:numFmt w:val="bullet"/>
      <w:lvlText w:val=""/>
      <w:lvlJc w:val="left"/>
      <w:pPr>
        <w:ind w:left="720" w:hanging="360"/>
      </w:pPr>
      <w:rPr>
        <w:rFonts w:ascii="Symbol" w:hAnsi="Symbol"/>
      </w:rPr>
    </w:lvl>
    <w:lvl w:ilvl="3" w:tplc="75C8D322">
      <w:start w:val="1"/>
      <w:numFmt w:val="bullet"/>
      <w:lvlText w:val=""/>
      <w:lvlJc w:val="left"/>
      <w:pPr>
        <w:ind w:left="720" w:hanging="360"/>
      </w:pPr>
      <w:rPr>
        <w:rFonts w:ascii="Symbol" w:hAnsi="Symbol"/>
      </w:rPr>
    </w:lvl>
    <w:lvl w:ilvl="4" w:tplc="689CBC04">
      <w:start w:val="1"/>
      <w:numFmt w:val="bullet"/>
      <w:lvlText w:val=""/>
      <w:lvlJc w:val="left"/>
      <w:pPr>
        <w:ind w:left="720" w:hanging="360"/>
      </w:pPr>
      <w:rPr>
        <w:rFonts w:ascii="Symbol" w:hAnsi="Symbol"/>
      </w:rPr>
    </w:lvl>
    <w:lvl w:ilvl="5" w:tplc="8C46BB7E">
      <w:start w:val="1"/>
      <w:numFmt w:val="bullet"/>
      <w:lvlText w:val=""/>
      <w:lvlJc w:val="left"/>
      <w:pPr>
        <w:ind w:left="720" w:hanging="360"/>
      </w:pPr>
      <w:rPr>
        <w:rFonts w:ascii="Symbol" w:hAnsi="Symbol"/>
      </w:rPr>
    </w:lvl>
    <w:lvl w:ilvl="6" w:tplc="4732CB3A">
      <w:start w:val="1"/>
      <w:numFmt w:val="bullet"/>
      <w:lvlText w:val=""/>
      <w:lvlJc w:val="left"/>
      <w:pPr>
        <w:ind w:left="720" w:hanging="360"/>
      </w:pPr>
      <w:rPr>
        <w:rFonts w:ascii="Symbol" w:hAnsi="Symbol"/>
      </w:rPr>
    </w:lvl>
    <w:lvl w:ilvl="7" w:tplc="1250C31E">
      <w:start w:val="1"/>
      <w:numFmt w:val="bullet"/>
      <w:lvlText w:val=""/>
      <w:lvlJc w:val="left"/>
      <w:pPr>
        <w:ind w:left="720" w:hanging="360"/>
      </w:pPr>
      <w:rPr>
        <w:rFonts w:ascii="Symbol" w:hAnsi="Symbol"/>
      </w:rPr>
    </w:lvl>
    <w:lvl w:ilvl="8" w:tplc="08CCB7A6">
      <w:start w:val="1"/>
      <w:numFmt w:val="bullet"/>
      <w:lvlText w:val=""/>
      <w:lvlJc w:val="left"/>
      <w:pPr>
        <w:ind w:left="720" w:hanging="360"/>
      </w:pPr>
      <w:rPr>
        <w:rFonts w:ascii="Symbol" w:hAnsi="Symbol"/>
      </w:rPr>
    </w:lvl>
  </w:abstractNum>
  <w:abstractNum w:abstractNumId="35" w15:restartNumberingAfterBreak="0">
    <w:nsid w:val="42C82C76"/>
    <w:multiLevelType w:val="hybridMultilevel"/>
    <w:tmpl w:val="5B9C0DEA"/>
    <w:lvl w:ilvl="0" w:tplc="C874BAE4">
      <w:start w:val="1"/>
      <w:numFmt w:val="lowerLetter"/>
      <w:lvlText w:val="(%1)"/>
      <w:lvlJc w:val="left"/>
      <w:pPr>
        <w:ind w:left="141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6" w15:restartNumberingAfterBreak="0">
    <w:nsid w:val="477B74C4"/>
    <w:multiLevelType w:val="hybridMultilevel"/>
    <w:tmpl w:val="A9747058"/>
    <w:lvl w:ilvl="0" w:tplc="6DDE3DDA">
      <w:start w:val="1"/>
      <w:numFmt w:val="bullet"/>
      <w:lvlText w:val=""/>
      <w:lvlJc w:val="left"/>
      <w:pPr>
        <w:ind w:left="720" w:hanging="360"/>
      </w:pPr>
      <w:rPr>
        <w:rFonts w:ascii="Symbol" w:hAnsi="Symbol"/>
      </w:rPr>
    </w:lvl>
    <w:lvl w:ilvl="1" w:tplc="34E6DF92">
      <w:start w:val="1"/>
      <w:numFmt w:val="bullet"/>
      <w:lvlText w:val=""/>
      <w:lvlJc w:val="left"/>
      <w:pPr>
        <w:ind w:left="720" w:hanging="360"/>
      </w:pPr>
      <w:rPr>
        <w:rFonts w:ascii="Symbol" w:hAnsi="Symbol"/>
      </w:rPr>
    </w:lvl>
    <w:lvl w:ilvl="2" w:tplc="84345E84">
      <w:start w:val="1"/>
      <w:numFmt w:val="bullet"/>
      <w:lvlText w:val=""/>
      <w:lvlJc w:val="left"/>
      <w:pPr>
        <w:ind w:left="720" w:hanging="360"/>
      </w:pPr>
      <w:rPr>
        <w:rFonts w:ascii="Symbol" w:hAnsi="Symbol"/>
      </w:rPr>
    </w:lvl>
    <w:lvl w:ilvl="3" w:tplc="841CCA38">
      <w:start w:val="1"/>
      <w:numFmt w:val="bullet"/>
      <w:lvlText w:val=""/>
      <w:lvlJc w:val="left"/>
      <w:pPr>
        <w:ind w:left="720" w:hanging="360"/>
      </w:pPr>
      <w:rPr>
        <w:rFonts w:ascii="Symbol" w:hAnsi="Symbol"/>
      </w:rPr>
    </w:lvl>
    <w:lvl w:ilvl="4" w:tplc="7B304300">
      <w:start w:val="1"/>
      <w:numFmt w:val="bullet"/>
      <w:lvlText w:val=""/>
      <w:lvlJc w:val="left"/>
      <w:pPr>
        <w:ind w:left="720" w:hanging="360"/>
      </w:pPr>
      <w:rPr>
        <w:rFonts w:ascii="Symbol" w:hAnsi="Symbol"/>
      </w:rPr>
    </w:lvl>
    <w:lvl w:ilvl="5" w:tplc="E684FC36">
      <w:start w:val="1"/>
      <w:numFmt w:val="bullet"/>
      <w:lvlText w:val=""/>
      <w:lvlJc w:val="left"/>
      <w:pPr>
        <w:ind w:left="720" w:hanging="360"/>
      </w:pPr>
      <w:rPr>
        <w:rFonts w:ascii="Symbol" w:hAnsi="Symbol"/>
      </w:rPr>
    </w:lvl>
    <w:lvl w:ilvl="6" w:tplc="35A8C34A">
      <w:start w:val="1"/>
      <w:numFmt w:val="bullet"/>
      <w:lvlText w:val=""/>
      <w:lvlJc w:val="left"/>
      <w:pPr>
        <w:ind w:left="720" w:hanging="360"/>
      </w:pPr>
      <w:rPr>
        <w:rFonts w:ascii="Symbol" w:hAnsi="Symbol"/>
      </w:rPr>
    </w:lvl>
    <w:lvl w:ilvl="7" w:tplc="7C286F6E">
      <w:start w:val="1"/>
      <w:numFmt w:val="bullet"/>
      <w:lvlText w:val=""/>
      <w:lvlJc w:val="left"/>
      <w:pPr>
        <w:ind w:left="720" w:hanging="360"/>
      </w:pPr>
      <w:rPr>
        <w:rFonts w:ascii="Symbol" w:hAnsi="Symbol"/>
      </w:rPr>
    </w:lvl>
    <w:lvl w:ilvl="8" w:tplc="466CF45C">
      <w:start w:val="1"/>
      <w:numFmt w:val="bullet"/>
      <w:lvlText w:val=""/>
      <w:lvlJc w:val="left"/>
      <w:pPr>
        <w:ind w:left="720" w:hanging="360"/>
      </w:pPr>
      <w:rPr>
        <w:rFonts w:ascii="Symbol" w:hAnsi="Symbol"/>
      </w:rPr>
    </w:lvl>
  </w:abstractNum>
  <w:abstractNum w:abstractNumId="37" w15:restartNumberingAfterBreak="0">
    <w:nsid w:val="49B73346"/>
    <w:multiLevelType w:val="hybridMultilevel"/>
    <w:tmpl w:val="01927F5C"/>
    <w:lvl w:ilvl="0" w:tplc="88361924">
      <w:start w:val="1"/>
      <w:numFmt w:val="lowerLetter"/>
      <w:lvlText w:val="(%1)"/>
      <w:lvlJc w:val="left"/>
      <w:pPr>
        <w:ind w:left="1429" w:hanging="360"/>
      </w:pPr>
      <w:rPr>
        <w:rFonts w:hint="default"/>
        <w:strike/>
        <w:color w:val="FF000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0853B72"/>
    <w:multiLevelType w:val="hybridMultilevel"/>
    <w:tmpl w:val="863AEF5E"/>
    <w:lvl w:ilvl="0" w:tplc="9448068E">
      <w:start w:val="1"/>
      <w:numFmt w:val="bullet"/>
      <w:lvlText w:val=""/>
      <w:lvlJc w:val="left"/>
      <w:pPr>
        <w:ind w:left="720" w:hanging="360"/>
      </w:pPr>
      <w:rPr>
        <w:rFonts w:ascii="Symbol" w:hAnsi="Symbol"/>
      </w:rPr>
    </w:lvl>
    <w:lvl w:ilvl="1" w:tplc="EBE8C2A0">
      <w:start w:val="1"/>
      <w:numFmt w:val="bullet"/>
      <w:lvlText w:val=""/>
      <w:lvlJc w:val="left"/>
      <w:pPr>
        <w:ind w:left="720" w:hanging="360"/>
      </w:pPr>
      <w:rPr>
        <w:rFonts w:ascii="Symbol" w:hAnsi="Symbol"/>
      </w:rPr>
    </w:lvl>
    <w:lvl w:ilvl="2" w:tplc="056EAACE">
      <w:start w:val="1"/>
      <w:numFmt w:val="bullet"/>
      <w:lvlText w:val=""/>
      <w:lvlJc w:val="left"/>
      <w:pPr>
        <w:ind w:left="720" w:hanging="360"/>
      </w:pPr>
      <w:rPr>
        <w:rFonts w:ascii="Symbol" w:hAnsi="Symbol"/>
      </w:rPr>
    </w:lvl>
    <w:lvl w:ilvl="3" w:tplc="4622EA58">
      <w:start w:val="1"/>
      <w:numFmt w:val="bullet"/>
      <w:lvlText w:val=""/>
      <w:lvlJc w:val="left"/>
      <w:pPr>
        <w:ind w:left="720" w:hanging="360"/>
      </w:pPr>
      <w:rPr>
        <w:rFonts w:ascii="Symbol" w:hAnsi="Symbol"/>
      </w:rPr>
    </w:lvl>
    <w:lvl w:ilvl="4" w:tplc="CE063168">
      <w:start w:val="1"/>
      <w:numFmt w:val="bullet"/>
      <w:lvlText w:val=""/>
      <w:lvlJc w:val="left"/>
      <w:pPr>
        <w:ind w:left="720" w:hanging="360"/>
      </w:pPr>
      <w:rPr>
        <w:rFonts w:ascii="Symbol" w:hAnsi="Symbol"/>
      </w:rPr>
    </w:lvl>
    <w:lvl w:ilvl="5" w:tplc="C556FC78">
      <w:start w:val="1"/>
      <w:numFmt w:val="bullet"/>
      <w:lvlText w:val=""/>
      <w:lvlJc w:val="left"/>
      <w:pPr>
        <w:ind w:left="720" w:hanging="360"/>
      </w:pPr>
      <w:rPr>
        <w:rFonts w:ascii="Symbol" w:hAnsi="Symbol"/>
      </w:rPr>
    </w:lvl>
    <w:lvl w:ilvl="6" w:tplc="555C1D00">
      <w:start w:val="1"/>
      <w:numFmt w:val="bullet"/>
      <w:lvlText w:val=""/>
      <w:lvlJc w:val="left"/>
      <w:pPr>
        <w:ind w:left="720" w:hanging="360"/>
      </w:pPr>
      <w:rPr>
        <w:rFonts w:ascii="Symbol" w:hAnsi="Symbol"/>
      </w:rPr>
    </w:lvl>
    <w:lvl w:ilvl="7" w:tplc="DC46EE4C">
      <w:start w:val="1"/>
      <w:numFmt w:val="bullet"/>
      <w:lvlText w:val=""/>
      <w:lvlJc w:val="left"/>
      <w:pPr>
        <w:ind w:left="720" w:hanging="360"/>
      </w:pPr>
      <w:rPr>
        <w:rFonts w:ascii="Symbol" w:hAnsi="Symbol"/>
      </w:rPr>
    </w:lvl>
    <w:lvl w:ilvl="8" w:tplc="8A6843AA">
      <w:start w:val="1"/>
      <w:numFmt w:val="bullet"/>
      <w:lvlText w:val=""/>
      <w:lvlJc w:val="left"/>
      <w:pPr>
        <w:ind w:left="720" w:hanging="360"/>
      </w:pPr>
      <w:rPr>
        <w:rFonts w:ascii="Symbol" w:hAnsi="Symbol"/>
      </w:rPr>
    </w:lvl>
  </w:abstractNum>
  <w:abstractNum w:abstractNumId="40" w15:restartNumberingAfterBreak="0">
    <w:nsid w:val="55113885"/>
    <w:multiLevelType w:val="hybridMultilevel"/>
    <w:tmpl w:val="F7CE218E"/>
    <w:lvl w:ilvl="0" w:tplc="94D09322">
      <w:start w:val="1"/>
      <w:numFmt w:val="bullet"/>
      <w:lvlText w:val=""/>
      <w:lvlJc w:val="left"/>
      <w:pPr>
        <w:ind w:left="720" w:hanging="360"/>
      </w:pPr>
      <w:rPr>
        <w:rFonts w:ascii="Symbol" w:hAnsi="Symbol"/>
      </w:rPr>
    </w:lvl>
    <w:lvl w:ilvl="1" w:tplc="228A48C8">
      <w:start w:val="1"/>
      <w:numFmt w:val="bullet"/>
      <w:lvlText w:val=""/>
      <w:lvlJc w:val="left"/>
      <w:pPr>
        <w:ind w:left="720" w:hanging="360"/>
      </w:pPr>
      <w:rPr>
        <w:rFonts w:ascii="Symbol" w:hAnsi="Symbol"/>
      </w:rPr>
    </w:lvl>
    <w:lvl w:ilvl="2" w:tplc="A7889522">
      <w:start w:val="1"/>
      <w:numFmt w:val="bullet"/>
      <w:lvlText w:val=""/>
      <w:lvlJc w:val="left"/>
      <w:pPr>
        <w:ind w:left="720" w:hanging="360"/>
      </w:pPr>
      <w:rPr>
        <w:rFonts w:ascii="Symbol" w:hAnsi="Symbol"/>
      </w:rPr>
    </w:lvl>
    <w:lvl w:ilvl="3" w:tplc="CAA009EE">
      <w:start w:val="1"/>
      <w:numFmt w:val="bullet"/>
      <w:lvlText w:val=""/>
      <w:lvlJc w:val="left"/>
      <w:pPr>
        <w:ind w:left="720" w:hanging="360"/>
      </w:pPr>
      <w:rPr>
        <w:rFonts w:ascii="Symbol" w:hAnsi="Symbol"/>
      </w:rPr>
    </w:lvl>
    <w:lvl w:ilvl="4" w:tplc="634CAF4E">
      <w:start w:val="1"/>
      <w:numFmt w:val="bullet"/>
      <w:lvlText w:val=""/>
      <w:lvlJc w:val="left"/>
      <w:pPr>
        <w:ind w:left="720" w:hanging="360"/>
      </w:pPr>
      <w:rPr>
        <w:rFonts w:ascii="Symbol" w:hAnsi="Symbol"/>
      </w:rPr>
    </w:lvl>
    <w:lvl w:ilvl="5" w:tplc="CE8EB95C">
      <w:start w:val="1"/>
      <w:numFmt w:val="bullet"/>
      <w:lvlText w:val=""/>
      <w:lvlJc w:val="left"/>
      <w:pPr>
        <w:ind w:left="720" w:hanging="360"/>
      </w:pPr>
      <w:rPr>
        <w:rFonts w:ascii="Symbol" w:hAnsi="Symbol"/>
      </w:rPr>
    </w:lvl>
    <w:lvl w:ilvl="6" w:tplc="9C981FBE">
      <w:start w:val="1"/>
      <w:numFmt w:val="bullet"/>
      <w:lvlText w:val=""/>
      <w:lvlJc w:val="left"/>
      <w:pPr>
        <w:ind w:left="720" w:hanging="360"/>
      </w:pPr>
      <w:rPr>
        <w:rFonts w:ascii="Symbol" w:hAnsi="Symbol"/>
      </w:rPr>
    </w:lvl>
    <w:lvl w:ilvl="7" w:tplc="15D2663C">
      <w:start w:val="1"/>
      <w:numFmt w:val="bullet"/>
      <w:lvlText w:val=""/>
      <w:lvlJc w:val="left"/>
      <w:pPr>
        <w:ind w:left="720" w:hanging="360"/>
      </w:pPr>
      <w:rPr>
        <w:rFonts w:ascii="Symbol" w:hAnsi="Symbol"/>
      </w:rPr>
    </w:lvl>
    <w:lvl w:ilvl="8" w:tplc="A3CEBD18">
      <w:start w:val="1"/>
      <w:numFmt w:val="bullet"/>
      <w:lvlText w:val=""/>
      <w:lvlJc w:val="left"/>
      <w:pPr>
        <w:ind w:left="720" w:hanging="360"/>
      </w:pPr>
      <w:rPr>
        <w:rFonts w:ascii="Symbol" w:hAnsi="Symbol"/>
      </w:rPr>
    </w:lvl>
  </w:abstractNum>
  <w:abstractNum w:abstractNumId="41" w15:restartNumberingAfterBreak="0">
    <w:nsid w:val="5AB46751"/>
    <w:multiLevelType w:val="hybridMultilevel"/>
    <w:tmpl w:val="CF8A6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F563C3"/>
    <w:multiLevelType w:val="hybridMultilevel"/>
    <w:tmpl w:val="1B563ADC"/>
    <w:lvl w:ilvl="0" w:tplc="8C18060A">
      <w:start w:val="1"/>
      <w:numFmt w:val="bullet"/>
      <w:lvlText w:val=""/>
      <w:lvlJc w:val="left"/>
      <w:pPr>
        <w:ind w:left="720" w:hanging="360"/>
      </w:pPr>
      <w:rPr>
        <w:rFonts w:ascii="Symbol" w:hAnsi="Symbol"/>
      </w:rPr>
    </w:lvl>
    <w:lvl w:ilvl="1" w:tplc="03EA6AF8">
      <w:start w:val="1"/>
      <w:numFmt w:val="bullet"/>
      <w:lvlText w:val=""/>
      <w:lvlJc w:val="left"/>
      <w:pPr>
        <w:ind w:left="720" w:hanging="360"/>
      </w:pPr>
      <w:rPr>
        <w:rFonts w:ascii="Symbol" w:hAnsi="Symbol"/>
      </w:rPr>
    </w:lvl>
    <w:lvl w:ilvl="2" w:tplc="0E38D4CE">
      <w:start w:val="1"/>
      <w:numFmt w:val="bullet"/>
      <w:lvlText w:val=""/>
      <w:lvlJc w:val="left"/>
      <w:pPr>
        <w:ind w:left="720" w:hanging="360"/>
      </w:pPr>
      <w:rPr>
        <w:rFonts w:ascii="Symbol" w:hAnsi="Symbol"/>
      </w:rPr>
    </w:lvl>
    <w:lvl w:ilvl="3" w:tplc="9618B776">
      <w:start w:val="1"/>
      <w:numFmt w:val="bullet"/>
      <w:lvlText w:val=""/>
      <w:lvlJc w:val="left"/>
      <w:pPr>
        <w:ind w:left="720" w:hanging="360"/>
      </w:pPr>
      <w:rPr>
        <w:rFonts w:ascii="Symbol" w:hAnsi="Symbol"/>
      </w:rPr>
    </w:lvl>
    <w:lvl w:ilvl="4" w:tplc="C14E86C8">
      <w:start w:val="1"/>
      <w:numFmt w:val="bullet"/>
      <w:lvlText w:val=""/>
      <w:lvlJc w:val="left"/>
      <w:pPr>
        <w:ind w:left="720" w:hanging="360"/>
      </w:pPr>
      <w:rPr>
        <w:rFonts w:ascii="Symbol" w:hAnsi="Symbol"/>
      </w:rPr>
    </w:lvl>
    <w:lvl w:ilvl="5" w:tplc="14F44760">
      <w:start w:val="1"/>
      <w:numFmt w:val="bullet"/>
      <w:lvlText w:val=""/>
      <w:lvlJc w:val="left"/>
      <w:pPr>
        <w:ind w:left="720" w:hanging="360"/>
      </w:pPr>
      <w:rPr>
        <w:rFonts w:ascii="Symbol" w:hAnsi="Symbol"/>
      </w:rPr>
    </w:lvl>
    <w:lvl w:ilvl="6" w:tplc="BD5017E4">
      <w:start w:val="1"/>
      <w:numFmt w:val="bullet"/>
      <w:lvlText w:val=""/>
      <w:lvlJc w:val="left"/>
      <w:pPr>
        <w:ind w:left="720" w:hanging="360"/>
      </w:pPr>
      <w:rPr>
        <w:rFonts w:ascii="Symbol" w:hAnsi="Symbol"/>
      </w:rPr>
    </w:lvl>
    <w:lvl w:ilvl="7" w:tplc="D01675D6">
      <w:start w:val="1"/>
      <w:numFmt w:val="bullet"/>
      <w:lvlText w:val=""/>
      <w:lvlJc w:val="left"/>
      <w:pPr>
        <w:ind w:left="720" w:hanging="360"/>
      </w:pPr>
      <w:rPr>
        <w:rFonts w:ascii="Symbol" w:hAnsi="Symbol"/>
      </w:rPr>
    </w:lvl>
    <w:lvl w:ilvl="8" w:tplc="064E4066">
      <w:start w:val="1"/>
      <w:numFmt w:val="bullet"/>
      <w:lvlText w:val=""/>
      <w:lvlJc w:val="left"/>
      <w:pPr>
        <w:ind w:left="720" w:hanging="360"/>
      </w:pPr>
      <w:rPr>
        <w:rFonts w:ascii="Symbol" w:hAnsi="Symbol"/>
      </w:rPr>
    </w:lvl>
  </w:abstractNum>
  <w:abstractNum w:abstractNumId="43" w15:restartNumberingAfterBreak="0">
    <w:nsid w:val="6141387D"/>
    <w:multiLevelType w:val="hybridMultilevel"/>
    <w:tmpl w:val="9D2C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5D4B93"/>
    <w:multiLevelType w:val="hybridMultilevel"/>
    <w:tmpl w:val="0B2020C4"/>
    <w:lvl w:ilvl="0" w:tplc="853022B6">
      <w:start w:val="1"/>
      <w:numFmt w:val="bullet"/>
      <w:lvlText w:val=""/>
      <w:lvlJc w:val="left"/>
      <w:pPr>
        <w:ind w:left="720" w:hanging="360"/>
      </w:pPr>
      <w:rPr>
        <w:rFonts w:ascii="Symbol" w:hAnsi="Symbol"/>
      </w:rPr>
    </w:lvl>
    <w:lvl w:ilvl="1" w:tplc="1CFAF548">
      <w:start w:val="1"/>
      <w:numFmt w:val="bullet"/>
      <w:lvlText w:val=""/>
      <w:lvlJc w:val="left"/>
      <w:pPr>
        <w:ind w:left="720" w:hanging="360"/>
      </w:pPr>
      <w:rPr>
        <w:rFonts w:ascii="Symbol" w:hAnsi="Symbol"/>
      </w:rPr>
    </w:lvl>
    <w:lvl w:ilvl="2" w:tplc="6B868878">
      <w:start w:val="1"/>
      <w:numFmt w:val="bullet"/>
      <w:lvlText w:val=""/>
      <w:lvlJc w:val="left"/>
      <w:pPr>
        <w:ind w:left="720" w:hanging="360"/>
      </w:pPr>
      <w:rPr>
        <w:rFonts w:ascii="Symbol" w:hAnsi="Symbol"/>
      </w:rPr>
    </w:lvl>
    <w:lvl w:ilvl="3" w:tplc="E60050B8">
      <w:start w:val="1"/>
      <w:numFmt w:val="bullet"/>
      <w:lvlText w:val=""/>
      <w:lvlJc w:val="left"/>
      <w:pPr>
        <w:ind w:left="720" w:hanging="360"/>
      </w:pPr>
      <w:rPr>
        <w:rFonts w:ascii="Symbol" w:hAnsi="Symbol"/>
      </w:rPr>
    </w:lvl>
    <w:lvl w:ilvl="4" w:tplc="3B023C0C">
      <w:start w:val="1"/>
      <w:numFmt w:val="bullet"/>
      <w:lvlText w:val=""/>
      <w:lvlJc w:val="left"/>
      <w:pPr>
        <w:ind w:left="720" w:hanging="360"/>
      </w:pPr>
      <w:rPr>
        <w:rFonts w:ascii="Symbol" w:hAnsi="Symbol"/>
      </w:rPr>
    </w:lvl>
    <w:lvl w:ilvl="5" w:tplc="F4D085BE">
      <w:start w:val="1"/>
      <w:numFmt w:val="bullet"/>
      <w:lvlText w:val=""/>
      <w:lvlJc w:val="left"/>
      <w:pPr>
        <w:ind w:left="720" w:hanging="360"/>
      </w:pPr>
      <w:rPr>
        <w:rFonts w:ascii="Symbol" w:hAnsi="Symbol"/>
      </w:rPr>
    </w:lvl>
    <w:lvl w:ilvl="6" w:tplc="3F1459F6">
      <w:start w:val="1"/>
      <w:numFmt w:val="bullet"/>
      <w:lvlText w:val=""/>
      <w:lvlJc w:val="left"/>
      <w:pPr>
        <w:ind w:left="720" w:hanging="360"/>
      </w:pPr>
      <w:rPr>
        <w:rFonts w:ascii="Symbol" w:hAnsi="Symbol"/>
      </w:rPr>
    </w:lvl>
    <w:lvl w:ilvl="7" w:tplc="93F6DE68">
      <w:start w:val="1"/>
      <w:numFmt w:val="bullet"/>
      <w:lvlText w:val=""/>
      <w:lvlJc w:val="left"/>
      <w:pPr>
        <w:ind w:left="720" w:hanging="360"/>
      </w:pPr>
      <w:rPr>
        <w:rFonts w:ascii="Symbol" w:hAnsi="Symbol"/>
      </w:rPr>
    </w:lvl>
    <w:lvl w:ilvl="8" w:tplc="BE80AA70">
      <w:start w:val="1"/>
      <w:numFmt w:val="bullet"/>
      <w:lvlText w:val=""/>
      <w:lvlJc w:val="left"/>
      <w:pPr>
        <w:ind w:left="720" w:hanging="360"/>
      </w:pPr>
      <w:rPr>
        <w:rFonts w:ascii="Symbol" w:hAnsi="Symbol"/>
      </w:rPr>
    </w:lvl>
  </w:abstractNum>
  <w:abstractNum w:abstractNumId="45" w15:restartNumberingAfterBreak="0">
    <w:nsid w:val="6834636A"/>
    <w:multiLevelType w:val="hybridMultilevel"/>
    <w:tmpl w:val="2CD06C3E"/>
    <w:lvl w:ilvl="0" w:tplc="28D4A748">
      <w:start w:val="1"/>
      <w:numFmt w:val="bullet"/>
      <w:lvlText w:val=""/>
      <w:lvlJc w:val="left"/>
      <w:pPr>
        <w:ind w:left="720" w:hanging="360"/>
      </w:pPr>
      <w:rPr>
        <w:rFonts w:ascii="Symbol" w:hAnsi="Symbol"/>
      </w:rPr>
    </w:lvl>
    <w:lvl w:ilvl="1" w:tplc="15D4B5AC">
      <w:start w:val="1"/>
      <w:numFmt w:val="bullet"/>
      <w:lvlText w:val=""/>
      <w:lvlJc w:val="left"/>
      <w:pPr>
        <w:ind w:left="720" w:hanging="360"/>
      </w:pPr>
      <w:rPr>
        <w:rFonts w:ascii="Symbol" w:hAnsi="Symbol"/>
      </w:rPr>
    </w:lvl>
    <w:lvl w:ilvl="2" w:tplc="12CEC29E">
      <w:start w:val="1"/>
      <w:numFmt w:val="bullet"/>
      <w:lvlText w:val=""/>
      <w:lvlJc w:val="left"/>
      <w:pPr>
        <w:ind w:left="720" w:hanging="360"/>
      </w:pPr>
      <w:rPr>
        <w:rFonts w:ascii="Symbol" w:hAnsi="Symbol"/>
      </w:rPr>
    </w:lvl>
    <w:lvl w:ilvl="3" w:tplc="9934DAF8">
      <w:start w:val="1"/>
      <w:numFmt w:val="bullet"/>
      <w:lvlText w:val=""/>
      <w:lvlJc w:val="left"/>
      <w:pPr>
        <w:ind w:left="720" w:hanging="360"/>
      </w:pPr>
      <w:rPr>
        <w:rFonts w:ascii="Symbol" w:hAnsi="Symbol"/>
      </w:rPr>
    </w:lvl>
    <w:lvl w:ilvl="4" w:tplc="D5B2A616">
      <w:start w:val="1"/>
      <w:numFmt w:val="bullet"/>
      <w:lvlText w:val=""/>
      <w:lvlJc w:val="left"/>
      <w:pPr>
        <w:ind w:left="720" w:hanging="360"/>
      </w:pPr>
      <w:rPr>
        <w:rFonts w:ascii="Symbol" w:hAnsi="Symbol"/>
      </w:rPr>
    </w:lvl>
    <w:lvl w:ilvl="5" w:tplc="3D928CCC">
      <w:start w:val="1"/>
      <w:numFmt w:val="bullet"/>
      <w:lvlText w:val=""/>
      <w:lvlJc w:val="left"/>
      <w:pPr>
        <w:ind w:left="720" w:hanging="360"/>
      </w:pPr>
      <w:rPr>
        <w:rFonts w:ascii="Symbol" w:hAnsi="Symbol"/>
      </w:rPr>
    </w:lvl>
    <w:lvl w:ilvl="6" w:tplc="1884C1FA">
      <w:start w:val="1"/>
      <w:numFmt w:val="bullet"/>
      <w:lvlText w:val=""/>
      <w:lvlJc w:val="left"/>
      <w:pPr>
        <w:ind w:left="720" w:hanging="360"/>
      </w:pPr>
      <w:rPr>
        <w:rFonts w:ascii="Symbol" w:hAnsi="Symbol"/>
      </w:rPr>
    </w:lvl>
    <w:lvl w:ilvl="7" w:tplc="262852BA">
      <w:start w:val="1"/>
      <w:numFmt w:val="bullet"/>
      <w:lvlText w:val=""/>
      <w:lvlJc w:val="left"/>
      <w:pPr>
        <w:ind w:left="720" w:hanging="360"/>
      </w:pPr>
      <w:rPr>
        <w:rFonts w:ascii="Symbol" w:hAnsi="Symbol"/>
      </w:rPr>
    </w:lvl>
    <w:lvl w:ilvl="8" w:tplc="3C864FF0">
      <w:start w:val="1"/>
      <w:numFmt w:val="bullet"/>
      <w:lvlText w:val=""/>
      <w:lvlJc w:val="left"/>
      <w:pPr>
        <w:ind w:left="720" w:hanging="360"/>
      </w:pPr>
      <w:rPr>
        <w:rFonts w:ascii="Symbol" w:hAnsi="Symbol"/>
      </w:rPr>
    </w:lvl>
  </w:abstractNum>
  <w:abstractNum w:abstractNumId="46" w15:restartNumberingAfterBreak="0">
    <w:nsid w:val="71BD4248"/>
    <w:multiLevelType w:val="hybridMultilevel"/>
    <w:tmpl w:val="F25EC6BC"/>
    <w:lvl w:ilvl="0" w:tplc="C2FCC84A">
      <w:start w:val="1"/>
      <w:numFmt w:val="bullet"/>
      <w:lvlText w:val=""/>
      <w:lvlJc w:val="left"/>
      <w:pPr>
        <w:ind w:left="720" w:hanging="360"/>
      </w:pPr>
      <w:rPr>
        <w:rFonts w:ascii="Symbol" w:hAnsi="Symbol"/>
      </w:rPr>
    </w:lvl>
    <w:lvl w:ilvl="1" w:tplc="446C410A">
      <w:start w:val="1"/>
      <w:numFmt w:val="bullet"/>
      <w:lvlText w:val=""/>
      <w:lvlJc w:val="left"/>
      <w:pPr>
        <w:ind w:left="720" w:hanging="360"/>
      </w:pPr>
      <w:rPr>
        <w:rFonts w:ascii="Symbol" w:hAnsi="Symbol"/>
      </w:rPr>
    </w:lvl>
    <w:lvl w:ilvl="2" w:tplc="A33A77D8">
      <w:start w:val="1"/>
      <w:numFmt w:val="bullet"/>
      <w:lvlText w:val=""/>
      <w:lvlJc w:val="left"/>
      <w:pPr>
        <w:ind w:left="720" w:hanging="360"/>
      </w:pPr>
      <w:rPr>
        <w:rFonts w:ascii="Symbol" w:hAnsi="Symbol"/>
      </w:rPr>
    </w:lvl>
    <w:lvl w:ilvl="3" w:tplc="02A825E8">
      <w:start w:val="1"/>
      <w:numFmt w:val="bullet"/>
      <w:lvlText w:val=""/>
      <w:lvlJc w:val="left"/>
      <w:pPr>
        <w:ind w:left="720" w:hanging="360"/>
      </w:pPr>
      <w:rPr>
        <w:rFonts w:ascii="Symbol" w:hAnsi="Symbol"/>
      </w:rPr>
    </w:lvl>
    <w:lvl w:ilvl="4" w:tplc="AF0CEF70">
      <w:start w:val="1"/>
      <w:numFmt w:val="bullet"/>
      <w:lvlText w:val=""/>
      <w:lvlJc w:val="left"/>
      <w:pPr>
        <w:ind w:left="720" w:hanging="360"/>
      </w:pPr>
      <w:rPr>
        <w:rFonts w:ascii="Symbol" w:hAnsi="Symbol"/>
      </w:rPr>
    </w:lvl>
    <w:lvl w:ilvl="5" w:tplc="349EF0D6">
      <w:start w:val="1"/>
      <w:numFmt w:val="bullet"/>
      <w:lvlText w:val=""/>
      <w:lvlJc w:val="left"/>
      <w:pPr>
        <w:ind w:left="720" w:hanging="360"/>
      </w:pPr>
      <w:rPr>
        <w:rFonts w:ascii="Symbol" w:hAnsi="Symbol"/>
      </w:rPr>
    </w:lvl>
    <w:lvl w:ilvl="6" w:tplc="FB92B22E">
      <w:start w:val="1"/>
      <w:numFmt w:val="bullet"/>
      <w:lvlText w:val=""/>
      <w:lvlJc w:val="left"/>
      <w:pPr>
        <w:ind w:left="720" w:hanging="360"/>
      </w:pPr>
      <w:rPr>
        <w:rFonts w:ascii="Symbol" w:hAnsi="Symbol"/>
      </w:rPr>
    </w:lvl>
    <w:lvl w:ilvl="7" w:tplc="02421C50">
      <w:start w:val="1"/>
      <w:numFmt w:val="bullet"/>
      <w:lvlText w:val=""/>
      <w:lvlJc w:val="left"/>
      <w:pPr>
        <w:ind w:left="720" w:hanging="360"/>
      </w:pPr>
      <w:rPr>
        <w:rFonts w:ascii="Symbol" w:hAnsi="Symbol"/>
      </w:rPr>
    </w:lvl>
    <w:lvl w:ilvl="8" w:tplc="AE8A5F3E">
      <w:start w:val="1"/>
      <w:numFmt w:val="bullet"/>
      <w:lvlText w:val=""/>
      <w:lvlJc w:val="left"/>
      <w:pPr>
        <w:ind w:left="720" w:hanging="360"/>
      </w:pPr>
      <w:rPr>
        <w:rFonts w:ascii="Symbol" w:hAnsi="Symbol"/>
      </w:rPr>
    </w:lvl>
  </w:abstractNum>
  <w:abstractNum w:abstractNumId="47" w15:restartNumberingAfterBreak="0">
    <w:nsid w:val="74CE9362"/>
    <w:multiLevelType w:val="hybridMultilevel"/>
    <w:tmpl w:val="FFFFFFFF"/>
    <w:lvl w:ilvl="0" w:tplc="281886B4">
      <w:start w:val="1"/>
      <w:numFmt w:val="bullet"/>
      <w:lvlText w:val=""/>
      <w:lvlJc w:val="left"/>
      <w:pPr>
        <w:ind w:left="473" w:hanging="360"/>
      </w:pPr>
      <w:rPr>
        <w:rFonts w:ascii="Symbol" w:hAnsi="Symbol" w:hint="default"/>
      </w:rPr>
    </w:lvl>
    <w:lvl w:ilvl="1" w:tplc="4EB26DC6">
      <w:start w:val="1"/>
      <w:numFmt w:val="bullet"/>
      <w:lvlText w:val="o"/>
      <w:lvlJc w:val="left"/>
      <w:pPr>
        <w:ind w:left="1193" w:hanging="360"/>
      </w:pPr>
      <w:rPr>
        <w:rFonts w:ascii="Courier New" w:hAnsi="Courier New" w:hint="default"/>
      </w:rPr>
    </w:lvl>
    <w:lvl w:ilvl="2" w:tplc="AAD68920">
      <w:start w:val="1"/>
      <w:numFmt w:val="bullet"/>
      <w:lvlText w:val=""/>
      <w:lvlJc w:val="left"/>
      <w:pPr>
        <w:ind w:left="1913" w:hanging="360"/>
      </w:pPr>
      <w:rPr>
        <w:rFonts w:ascii="Wingdings" w:hAnsi="Wingdings" w:hint="default"/>
      </w:rPr>
    </w:lvl>
    <w:lvl w:ilvl="3" w:tplc="14266206">
      <w:start w:val="1"/>
      <w:numFmt w:val="bullet"/>
      <w:lvlText w:val=""/>
      <w:lvlJc w:val="left"/>
      <w:pPr>
        <w:ind w:left="2633" w:hanging="360"/>
      </w:pPr>
      <w:rPr>
        <w:rFonts w:ascii="Symbol" w:hAnsi="Symbol" w:hint="default"/>
      </w:rPr>
    </w:lvl>
    <w:lvl w:ilvl="4" w:tplc="0F08E744">
      <w:start w:val="1"/>
      <w:numFmt w:val="bullet"/>
      <w:lvlText w:val="o"/>
      <w:lvlJc w:val="left"/>
      <w:pPr>
        <w:ind w:left="3353" w:hanging="360"/>
      </w:pPr>
      <w:rPr>
        <w:rFonts w:ascii="Courier New" w:hAnsi="Courier New" w:hint="default"/>
      </w:rPr>
    </w:lvl>
    <w:lvl w:ilvl="5" w:tplc="AC26E41C">
      <w:start w:val="1"/>
      <w:numFmt w:val="bullet"/>
      <w:lvlText w:val=""/>
      <w:lvlJc w:val="left"/>
      <w:pPr>
        <w:ind w:left="4073" w:hanging="360"/>
      </w:pPr>
      <w:rPr>
        <w:rFonts w:ascii="Wingdings" w:hAnsi="Wingdings" w:hint="default"/>
      </w:rPr>
    </w:lvl>
    <w:lvl w:ilvl="6" w:tplc="97DEA01A">
      <w:start w:val="1"/>
      <w:numFmt w:val="bullet"/>
      <w:lvlText w:val=""/>
      <w:lvlJc w:val="left"/>
      <w:pPr>
        <w:ind w:left="4793" w:hanging="360"/>
      </w:pPr>
      <w:rPr>
        <w:rFonts w:ascii="Symbol" w:hAnsi="Symbol" w:hint="default"/>
      </w:rPr>
    </w:lvl>
    <w:lvl w:ilvl="7" w:tplc="88023EDC">
      <w:start w:val="1"/>
      <w:numFmt w:val="bullet"/>
      <w:lvlText w:val="o"/>
      <w:lvlJc w:val="left"/>
      <w:pPr>
        <w:ind w:left="5513" w:hanging="360"/>
      </w:pPr>
      <w:rPr>
        <w:rFonts w:ascii="Courier New" w:hAnsi="Courier New" w:hint="default"/>
      </w:rPr>
    </w:lvl>
    <w:lvl w:ilvl="8" w:tplc="DCC8723C">
      <w:start w:val="1"/>
      <w:numFmt w:val="bullet"/>
      <w:lvlText w:val=""/>
      <w:lvlJc w:val="left"/>
      <w:pPr>
        <w:ind w:left="6233" w:hanging="360"/>
      </w:pPr>
      <w:rPr>
        <w:rFonts w:ascii="Wingdings" w:hAnsi="Wingdings" w:hint="default"/>
      </w:rPr>
    </w:lvl>
  </w:abstractNum>
  <w:abstractNum w:abstractNumId="48" w15:restartNumberingAfterBreak="0">
    <w:nsid w:val="75FA5A50"/>
    <w:multiLevelType w:val="hybridMultilevel"/>
    <w:tmpl w:val="0FB61DC8"/>
    <w:lvl w:ilvl="0" w:tplc="DCD6A4BC">
      <w:start w:val="1"/>
      <w:numFmt w:val="bullet"/>
      <w:lvlText w:val=""/>
      <w:lvlJc w:val="left"/>
      <w:pPr>
        <w:ind w:left="720" w:hanging="360"/>
      </w:pPr>
      <w:rPr>
        <w:rFonts w:ascii="Symbol" w:hAnsi="Symbol"/>
      </w:rPr>
    </w:lvl>
    <w:lvl w:ilvl="1" w:tplc="5640675A">
      <w:start w:val="1"/>
      <w:numFmt w:val="bullet"/>
      <w:lvlText w:val=""/>
      <w:lvlJc w:val="left"/>
      <w:pPr>
        <w:ind w:left="720" w:hanging="360"/>
      </w:pPr>
      <w:rPr>
        <w:rFonts w:ascii="Symbol" w:hAnsi="Symbol"/>
      </w:rPr>
    </w:lvl>
    <w:lvl w:ilvl="2" w:tplc="5BAEA6EE">
      <w:start w:val="1"/>
      <w:numFmt w:val="bullet"/>
      <w:lvlText w:val=""/>
      <w:lvlJc w:val="left"/>
      <w:pPr>
        <w:ind w:left="720" w:hanging="360"/>
      </w:pPr>
      <w:rPr>
        <w:rFonts w:ascii="Symbol" w:hAnsi="Symbol"/>
      </w:rPr>
    </w:lvl>
    <w:lvl w:ilvl="3" w:tplc="A0822FF8">
      <w:start w:val="1"/>
      <w:numFmt w:val="bullet"/>
      <w:lvlText w:val=""/>
      <w:lvlJc w:val="left"/>
      <w:pPr>
        <w:ind w:left="720" w:hanging="360"/>
      </w:pPr>
      <w:rPr>
        <w:rFonts w:ascii="Symbol" w:hAnsi="Symbol"/>
      </w:rPr>
    </w:lvl>
    <w:lvl w:ilvl="4" w:tplc="B3CC21DC">
      <w:start w:val="1"/>
      <w:numFmt w:val="bullet"/>
      <w:lvlText w:val=""/>
      <w:lvlJc w:val="left"/>
      <w:pPr>
        <w:ind w:left="720" w:hanging="360"/>
      </w:pPr>
      <w:rPr>
        <w:rFonts w:ascii="Symbol" w:hAnsi="Symbol"/>
      </w:rPr>
    </w:lvl>
    <w:lvl w:ilvl="5" w:tplc="3E14CEE8">
      <w:start w:val="1"/>
      <w:numFmt w:val="bullet"/>
      <w:lvlText w:val=""/>
      <w:lvlJc w:val="left"/>
      <w:pPr>
        <w:ind w:left="720" w:hanging="360"/>
      </w:pPr>
      <w:rPr>
        <w:rFonts w:ascii="Symbol" w:hAnsi="Symbol"/>
      </w:rPr>
    </w:lvl>
    <w:lvl w:ilvl="6" w:tplc="1ADA6E04">
      <w:start w:val="1"/>
      <w:numFmt w:val="bullet"/>
      <w:lvlText w:val=""/>
      <w:lvlJc w:val="left"/>
      <w:pPr>
        <w:ind w:left="720" w:hanging="360"/>
      </w:pPr>
      <w:rPr>
        <w:rFonts w:ascii="Symbol" w:hAnsi="Symbol"/>
      </w:rPr>
    </w:lvl>
    <w:lvl w:ilvl="7" w:tplc="17FA3FE6">
      <w:start w:val="1"/>
      <w:numFmt w:val="bullet"/>
      <w:lvlText w:val=""/>
      <w:lvlJc w:val="left"/>
      <w:pPr>
        <w:ind w:left="720" w:hanging="360"/>
      </w:pPr>
      <w:rPr>
        <w:rFonts w:ascii="Symbol" w:hAnsi="Symbol"/>
      </w:rPr>
    </w:lvl>
    <w:lvl w:ilvl="8" w:tplc="E54410DE">
      <w:start w:val="1"/>
      <w:numFmt w:val="bullet"/>
      <w:lvlText w:val=""/>
      <w:lvlJc w:val="left"/>
      <w:pPr>
        <w:ind w:left="720" w:hanging="360"/>
      </w:pPr>
      <w:rPr>
        <w:rFonts w:ascii="Symbol" w:hAnsi="Symbol"/>
      </w:rPr>
    </w:lvl>
  </w:abstractNum>
  <w:abstractNum w:abstractNumId="49" w15:restartNumberingAfterBreak="0">
    <w:nsid w:val="7A6D0790"/>
    <w:multiLevelType w:val="hybridMultilevel"/>
    <w:tmpl w:val="9E222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CB87D8F"/>
    <w:multiLevelType w:val="hybridMultilevel"/>
    <w:tmpl w:val="4EB2872C"/>
    <w:lvl w:ilvl="0" w:tplc="20885778">
      <w:start w:val="1"/>
      <w:numFmt w:val="bullet"/>
      <w:lvlText w:val=""/>
      <w:lvlJc w:val="left"/>
      <w:pPr>
        <w:ind w:left="720" w:hanging="360"/>
      </w:pPr>
      <w:rPr>
        <w:rFonts w:ascii="Symbol" w:hAnsi="Symbol"/>
      </w:rPr>
    </w:lvl>
    <w:lvl w:ilvl="1" w:tplc="096E1990">
      <w:start w:val="1"/>
      <w:numFmt w:val="bullet"/>
      <w:lvlText w:val=""/>
      <w:lvlJc w:val="left"/>
      <w:pPr>
        <w:ind w:left="720" w:hanging="360"/>
      </w:pPr>
      <w:rPr>
        <w:rFonts w:ascii="Symbol" w:hAnsi="Symbol"/>
      </w:rPr>
    </w:lvl>
    <w:lvl w:ilvl="2" w:tplc="1EA4BEA6">
      <w:start w:val="1"/>
      <w:numFmt w:val="bullet"/>
      <w:lvlText w:val=""/>
      <w:lvlJc w:val="left"/>
      <w:pPr>
        <w:ind w:left="720" w:hanging="360"/>
      </w:pPr>
      <w:rPr>
        <w:rFonts w:ascii="Symbol" w:hAnsi="Symbol"/>
      </w:rPr>
    </w:lvl>
    <w:lvl w:ilvl="3" w:tplc="896A22EE">
      <w:start w:val="1"/>
      <w:numFmt w:val="bullet"/>
      <w:lvlText w:val=""/>
      <w:lvlJc w:val="left"/>
      <w:pPr>
        <w:ind w:left="720" w:hanging="360"/>
      </w:pPr>
      <w:rPr>
        <w:rFonts w:ascii="Symbol" w:hAnsi="Symbol"/>
      </w:rPr>
    </w:lvl>
    <w:lvl w:ilvl="4" w:tplc="69CC5076">
      <w:start w:val="1"/>
      <w:numFmt w:val="bullet"/>
      <w:lvlText w:val=""/>
      <w:lvlJc w:val="left"/>
      <w:pPr>
        <w:ind w:left="720" w:hanging="360"/>
      </w:pPr>
      <w:rPr>
        <w:rFonts w:ascii="Symbol" w:hAnsi="Symbol"/>
      </w:rPr>
    </w:lvl>
    <w:lvl w:ilvl="5" w:tplc="4C3AC4CA">
      <w:start w:val="1"/>
      <w:numFmt w:val="bullet"/>
      <w:lvlText w:val=""/>
      <w:lvlJc w:val="left"/>
      <w:pPr>
        <w:ind w:left="720" w:hanging="360"/>
      </w:pPr>
      <w:rPr>
        <w:rFonts w:ascii="Symbol" w:hAnsi="Symbol"/>
      </w:rPr>
    </w:lvl>
    <w:lvl w:ilvl="6" w:tplc="189697AE">
      <w:start w:val="1"/>
      <w:numFmt w:val="bullet"/>
      <w:lvlText w:val=""/>
      <w:lvlJc w:val="left"/>
      <w:pPr>
        <w:ind w:left="720" w:hanging="360"/>
      </w:pPr>
      <w:rPr>
        <w:rFonts w:ascii="Symbol" w:hAnsi="Symbol"/>
      </w:rPr>
    </w:lvl>
    <w:lvl w:ilvl="7" w:tplc="8CEA9144">
      <w:start w:val="1"/>
      <w:numFmt w:val="bullet"/>
      <w:lvlText w:val=""/>
      <w:lvlJc w:val="left"/>
      <w:pPr>
        <w:ind w:left="720" w:hanging="360"/>
      </w:pPr>
      <w:rPr>
        <w:rFonts w:ascii="Symbol" w:hAnsi="Symbol"/>
      </w:rPr>
    </w:lvl>
    <w:lvl w:ilvl="8" w:tplc="6CAEB1C6">
      <w:start w:val="1"/>
      <w:numFmt w:val="bullet"/>
      <w:lvlText w:val=""/>
      <w:lvlJc w:val="left"/>
      <w:pPr>
        <w:ind w:left="720" w:hanging="360"/>
      </w:pPr>
      <w:rPr>
        <w:rFonts w:ascii="Symbol" w:hAnsi="Symbol"/>
      </w:rPr>
    </w:lvl>
  </w:abstractNum>
  <w:abstractNum w:abstractNumId="51" w15:restartNumberingAfterBreak="0">
    <w:nsid w:val="7DC65A67"/>
    <w:multiLevelType w:val="hybridMultilevel"/>
    <w:tmpl w:val="9DFAE9C4"/>
    <w:lvl w:ilvl="0" w:tplc="EA8236D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651442">
    <w:abstractNumId w:val="8"/>
  </w:num>
  <w:num w:numId="2" w16cid:durableId="1839534886">
    <w:abstractNumId w:val="13"/>
  </w:num>
  <w:num w:numId="3" w16cid:durableId="429472673">
    <w:abstractNumId w:val="24"/>
  </w:num>
  <w:num w:numId="4" w16cid:durableId="1326128148">
    <w:abstractNumId w:val="16"/>
  </w:num>
  <w:num w:numId="5" w16cid:durableId="332490756">
    <w:abstractNumId w:val="14"/>
  </w:num>
  <w:num w:numId="6" w16cid:durableId="942761491">
    <w:abstractNumId w:val="1"/>
  </w:num>
  <w:num w:numId="7" w16cid:durableId="417361770">
    <w:abstractNumId w:val="13"/>
  </w:num>
  <w:num w:numId="8" w16cid:durableId="587933413">
    <w:abstractNumId w:val="14"/>
  </w:num>
  <w:num w:numId="9" w16cid:durableId="1693071593">
    <w:abstractNumId w:val="38"/>
  </w:num>
  <w:num w:numId="10" w16cid:durableId="1862011606">
    <w:abstractNumId w:val="8"/>
  </w:num>
  <w:num w:numId="11" w16cid:durableId="776102209">
    <w:abstractNumId w:val="28"/>
  </w:num>
  <w:num w:numId="12" w16cid:durableId="672489608">
    <w:abstractNumId w:val="17"/>
  </w:num>
  <w:num w:numId="13" w16cid:durableId="373236961">
    <w:abstractNumId w:val="10"/>
  </w:num>
  <w:num w:numId="14" w16cid:durableId="918946899">
    <w:abstractNumId w:val="50"/>
  </w:num>
  <w:num w:numId="15" w16cid:durableId="1773891428">
    <w:abstractNumId w:val="9"/>
  </w:num>
  <w:num w:numId="16" w16cid:durableId="814953752">
    <w:abstractNumId w:val="39"/>
  </w:num>
  <w:num w:numId="17" w16cid:durableId="1059984771">
    <w:abstractNumId w:val="12"/>
  </w:num>
  <w:num w:numId="18" w16cid:durableId="697971121">
    <w:abstractNumId w:val="48"/>
  </w:num>
  <w:num w:numId="19" w16cid:durableId="1905142093">
    <w:abstractNumId w:val="42"/>
  </w:num>
  <w:num w:numId="20" w16cid:durableId="1801722319">
    <w:abstractNumId w:val="22"/>
  </w:num>
  <w:num w:numId="21" w16cid:durableId="508561836">
    <w:abstractNumId w:val="46"/>
  </w:num>
  <w:num w:numId="22" w16cid:durableId="130484648">
    <w:abstractNumId w:val="31"/>
  </w:num>
  <w:num w:numId="23" w16cid:durableId="2014606710">
    <w:abstractNumId w:val="27"/>
  </w:num>
  <w:num w:numId="24" w16cid:durableId="51344625">
    <w:abstractNumId w:val="34"/>
  </w:num>
  <w:num w:numId="25" w16cid:durableId="33510228">
    <w:abstractNumId w:val="19"/>
  </w:num>
  <w:num w:numId="26" w16cid:durableId="332728302">
    <w:abstractNumId w:val="44"/>
  </w:num>
  <w:num w:numId="27" w16cid:durableId="1794669449">
    <w:abstractNumId w:val="18"/>
  </w:num>
  <w:num w:numId="28" w16cid:durableId="1086345883">
    <w:abstractNumId w:val="33"/>
  </w:num>
  <w:num w:numId="29" w16cid:durableId="456460322">
    <w:abstractNumId w:val="45"/>
  </w:num>
  <w:num w:numId="30" w16cid:durableId="2134327050">
    <w:abstractNumId w:val="2"/>
  </w:num>
  <w:num w:numId="31" w16cid:durableId="1580407416">
    <w:abstractNumId w:val="40"/>
  </w:num>
  <w:num w:numId="32" w16cid:durableId="29886128">
    <w:abstractNumId w:val="26"/>
  </w:num>
  <w:num w:numId="33" w16cid:durableId="394278283">
    <w:abstractNumId w:val="36"/>
  </w:num>
  <w:num w:numId="34" w16cid:durableId="1452897225">
    <w:abstractNumId w:val="3"/>
  </w:num>
  <w:num w:numId="35" w16cid:durableId="209191320">
    <w:abstractNumId w:val="25"/>
  </w:num>
  <w:num w:numId="36" w16cid:durableId="886339651">
    <w:abstractNumId w:val="30"/>
  </w:num>
  <w:num w:numId="37" w16cid:durableId="217788577">
    <w:abstractNumId w:val="4"/>
  </w:num>
  <w:num w:numId="38" w16cid:durableId="1178350046">
    <w:abstractNumId w:val="47"/>
  </w:num>
  <w:num w:numId="39" w16cid:durableId="654064636">
    <w:abstractNumId w:val="43"/>
  </w:num>
  <w:num w:numId="40" w16cid:durableId="695232609">
    <w:abstractNumId w:val="0"/>
  </w:num>
  <w:num w:numId="41" w16cid:durableId="1527251875">
    <w:abstractNumId w:val="20"/>
  </w:num>
  <w:num w:numId="42" w16cid:durableId="58939098">
    <w:abstractNumId w:val="32"/>
  </w:num>
  <w:num w:numId="43" w16cid:durableId="275257522">
    <w:abstractNumId w:val="21"/>
  </w:num>
  <w:num w:numId="44" w16cid:durableId="1418551379">
    <w:abstractNumId w:val="23"/>
  </w:num>
  <w:num w:numId="45" w16cid:durableId="1779061662">
    <w:abstractNumId w:val="32"/>
    <w:lvlOverride w:ilvl="0">
      <w:startOverride w:val="1"/>
    </w:lvlOverride>
  </w:num>
  <w:num w:numId="46" w16cid:durableId="1107624062">
    <w:abstractNumId w:val="37"/>
  </w:num>
  <w:num w:numId="47" w16cid:durableId="1032461052">
    <w:abstractNumId w:val="32"/>
    <w:lvlOverride w:ilvl="0">
      <w:startOverride w:val="1"/>
    </w:lvlOverride>
  </w:num>
  <w:num w:numId="48" w16cid:durableId="555510964">
    <w:abstractNumId w:val="32"/>
    <w:lvlOverride w:ilvl="0">
      <w:startOverride w:val="1"/>
    </w:lvlOverride>
  </w:num>
  <w:num w:numId="49" w16cid:durableId="505904581">
    <w:abstractNumId w:val="32"/>
    <w:lvlOverride w:ilvl="0">
      <w:startOverride w:val="1"/>
    </w:lvlOverride>
  </w:num>
  <w:num w:numId="50" w16cid:durableId="675961014">
    <w:abstractNumId w:val="5"/>
  </w:num>
  <w:num w:numId="51" w16cid:durableId="862480720">
    <w:abstractNumId w:val="49"/>
  </w:num>
  <w:num w:numId="52" w16cid:durableId="1583754721">
    <w:abstractNumId w:val="32"/>
  </w:num>
  <w:num w:numId="53" w16cid:durableId="1202939873">
    <w:abstractNumId w:val="32"/>
  </w:num>
  <w:num w:numId="54" w16cid:durableId="353194767">
    <w:abstractNumId w:val="32"/>
  </w:num>
  <w:num w:numId="55" w16cid:durableId="895045060">
    <w:abstractNumId w:val="32"/>
  </w:num>
  <w:num w:numId="56" w16cid:durableId="1394427882">
    <w:abstractNumId w:val="32"/>
  </w:num>
  <w:num w:numId="57" w16cid:durableId="1372920153">
    <w:abstractNumId w:val="32"/>
  </w:num>
  <w:num w:numId="58" w16cid:durableId="1281915282">
    <w:abstractNumId w:val="32"/>
  </w:num>
  <w:num w:numId="59" w16cid:durableId="626202340">
    <w:abstractNumId w:val="32"/>
  </w:num>
  <w:num w:numId="60" w16cid:durableId="190143824">
    <w:abstractNumId w:val="32"/>
  </w:num>
  <w:num w:numId="61" w16cid:durableId="887686668">
    <w:abstractNumId w:val="32"/>
  </w:num>
  <w:num w:numId="62" w16cid:durableId="1573931896">
    <w:abstractNumId w:val="32"/>
  </w:num>
  <w:num w:numId="63" w16cid:durableId="901409650">
    <w:abstractNumId w:val="32"/>
  </w:num>
  <w:num w:numId="64" w16cid:durableId="529925120">
    <w:abstractNumId w:val="11"/>
  </w:num>
  <w:num w:numId="65" w16cid:durableId="2096197260">
    <w:abstractNumId w:val="32"/>
  </w:num>
  <w:num w:numId="66" w16cid:durableId="1633553365">
    <w:abstractNumId w:val="32"/>
  </w:num>
  <w:num w:numId="67" w16cid:durableId="1974290843">
    <w:abstractNumId w:val="32"/>
  </w:num>
  <w:num w:numId="68" w16cid:durableId="575866412">
    <w:abstractNumId w:val="7"/>
  </w:num>
  <w:num w:numId="69" w16cid:durableId="1582063456">
    <w:abstractNumId w:val="32"/>
  </w:num>
  <w:num w:numId="70" w16cid:durableId="1673601800">
    <w:abstractNumId w:val="15"/>
  </w:num>
  <w:num w:numId="71" w16cid:durableId="597754779">
    <w:abstractNumId w:val="51"/>
  </w:num>
  <w:num w:numId="72" w16cid:durableId="1456097759">
    <w:abstractNumId w:val="29"/>
  </w:num>
  <w:num w:numId="73" w16cid:durableId="1591696534">
    <w:abstractNumId w:val="32"/>
  </w:num>
  <w:num w:numId="74" w16cid:durableId="1736124745">
    <w:abstractNumId w:val="32"/>
  </w:num>
  <w:num w:numId="75" w16cid:durableId="603804029">
    <w:abstractNumId w:val="32"/>
  </w:num>
  <w:num w:numId="76" w16cid:durableId="122119388">
    <w:abstractNumId w:val="32"/>
  </w:num>
  <w:num w:numId="77" w16cid:durableId="2102947240">
    <w:abstractNumId w:val="32"/>
  </w:num>
  <w:num w:numId="78" w16cid:durableId="534778989">
    <w:abstractNumId w:val="32"/>
  </w:num>
  <w:num w:numId="79" w16cid:durableId="53893884">
    <w:abstractNumId w:val="32"/>
  </w:num>
  <w:num w:numId="80" w16cid:durableId="769470071">
    <w:abstractNumId w:val="32"/>
  </w:num>
  <w:num w:numId="81" w16cid:durableId="946471454">
    <w:abstractNumId w:val="32"/>
  </w:num>
  <w:num w:numId="82" w16cid:durableId="784734647">
    <w:abstractNumId w:val="32"/>
  </w:num>
  <w:num w:numId="83" w16cid:durableId="844631984">
    <w:abstractNumId w:val="32"/>
  </w:num>
  <w:num w:numId="84" w16cid:durableId="894051768">
    <w:abstractNumId w:val="32"/>
  </w:num>
  <w:num w:numId="85" w16cid:durableId="1800875681">
    <w:abstractNumId w:val="32"/>
  </w:num>
  <w:num w:numId="86" w16cid:durableId="1938563498">
    <w:abstractNumId w:val="32"/>
  </w:num>
  <w:num w:numId="87" w16cid:durableId="1572616336">
    <w:abstractNumId w:val="32"/>
  </w:num>
  <w:num w:numId="88" w16cid:durableId="615257793">
    <w:abstractNumId w:val="32"/>
  </w:num>
  <w:num w:numId="89" w16cid:durableId="352807667">
    <w:abstractNumId w:val="32"/>
  </w:num>
  <w:num w:numId="90" w16cid:durableId="1319387596">
    <w:abstractNumId w:val="32"/>
  </w:num>
  <w:num w:numId="91" w16cid:durableId="568073392">
    <w:abstractNumId w:val="32"/>
  </w:num>
  <w:num w:numId="92" w16cid:durableId="543493094">
    <w:abstractNumId w:val="32"/>
  </w:num>
  <w:num w:numId="93" w16cid:durableId="2104183420">
    <w:abstractNumId w:val="32"/>
  </w:num>
  <w:num w:numId="94" w16cid:durableId="298849306">
    <w:abstractNumId w:val="32"/>
  </w:num>
  <w:num w:numId="95" w16cid:durableId="1459569057">
    <w:abstractNumId w:val="32"/>
  </w:num>
  <w:num w:numId="96" w16cid:durableId="241377680">
    <w:abstractNumId w:val="32"/>
  </w:num>
  <w:num w:numId="97" w16cid:durableId="758602332">
    <w:abstractNumId w:val="32"/>
  </w:num>
  <w:num w:numId="98" w16cid:durableId="1638294207">
    <w:abstractNumId w:val="32"/>
  </w:num>
  <w:num w:numId="99" w16cid:durableId="217933216">
    <w:abstractNumId w:val="32"/>
  </w:num>
  <w:num w:numId="100" w16cid:durableId="109861560">
    <w:abstractNumId w:val="32"/>
  </w:num>
  <w:num w:numId="101" w16cid:durableId="793132607">
    <w:abstractNumId w:val="32"/>
  </w:num>
  <w:num w:numId="102" w16cid:durableId="1814326558">
    <w:abstractNumId w:val="32"/>
  </w:num>
  <w:num w:numId="103" w16cid:durableId="916286757">
    <w:abstractNumId w:val="32"/>
  </w:num>
  <w:num w:numId="104" w16cid:durableId="1017777617">
    <w:abstractNumId w:val="32"/>
  </w:num>
  <w:num w:numId="105" w16cid:durableId="802699532">
    <w:abstractNumId w:val="32"/>
  </w:num>
  <w:num w:numId="106" w16cid:durableId="822549830">
    <w:abstractNumId w:val="32"/>
  </w:num>
  <w:num w:numId="107" w16cid:durableId="661541253">
    <w:abstractNumId w:val="32"/>
  </w:num>
  <w:num w:numId="108" w16cid:durableId="1614631292">
    <w:abstractNumId w:val="32"/>
  </w:num>
  <w:num w:numId="109" w16cid:durableId="1173225482">
    <w:abstractNumId w:val="32"/>
  </w:num>
  <w:num w:numId="110" w16cid:durableId="1282225612">
    <w:abstractNumId w:val="32"/>
  </w:num>
  <w:num w:numId="111" w16cid:durableId="19363476">
    <w:abstractNumId w:val="32"/>
  </w:num>
  <w:num w:numId="112" w16cid:durableId="1620452269">
    <w:abstractNumId w:val="41"/>
  </w:num>
  <w:num w:numId="113" w16cid:durableId="1037782182">
    <w:abstractNumId w:val="32"/>
  </w:num>
  <w:num w:numId="114" w16cid:durableId="863447958">
    <w:abstractNumId w:val="32"/>
  </w:num>
  <w:num w:numId="115" w16cid:durableId="1878621958">
    <w:abstractNumId w:val="32"/>
  </w:num>
  <w:num w:numId="116" w16cid:durableId="845166504">
    <w:abstractNumId w:val="32"/>
  </w:num>
  <w:num w:numId="117" w16cid:durableId="984744301">
    <w:abstractNumId w:val="32"/>
  </w:num>
  <w:num w:numId="118" w16cid:durableId="1605383067">
    <w:abstractNumId w:val="32"/>
  </w:num>
  <w:num w:numId="119" w16cid:durableId="1016924971">
    <w:abstractNumId w:val="32"/>
  </w:num>
  <w:num w:numId="120" w16cid:durableId="1707758155">
    <w:abstractNumId w:val="32"/>
  </w:num>
  <w:num w:numId="121" w16cid:durableId="1282960003">
    <w:abstractNumId w:val="32"/>
  </w:num>
  <w:num w:numId="122" w16cid:durableId="1141969918">
    <w:abstractNumId w:val="32"/>
  </w:num>
  <w:num w:numId="123" w16cid:durableId="1554275116">
    <w:abstractNumId w:val="32"/>
  </w:num>
  <w:num w:numId="124" w16cid:durableId="923539620">
    <w:abstractNumId w:val="32"/>
  </w:num>
  <w:num w:numId="125" w16cid:durableId="1648703335">
    <w:abstractNumId w:val="32"/>
  </w:num>
  <w:num w:numId="126" w16cid:durableId="1752920740">
    <w:abstractNumId w:val="32"/>
  </w:num>
  <w:num w:numId="127" w16cid:durableId="1690453298">
    <w:abstractNumId w:val="32"/>
  </w:num>
  <w:num w:numId="128" w16cid:durableId="545996534">
    <w:abstractNumId w:val="32"/>
  </w:num>
  <w:num w:numId="129" w16cid:durableId="242761962">
    <w:abstractNumId w:val="32"/>
  </w:num>
  <w:num w:numId="130" w16cid:durableId="413625937">
    <w:abstractNumId w:val="32"/>
  </w:num>
  <w:num w:numId="131" w16cid:durableId="465704795">
    <w:abstractNumId w:val="32"/>
  </w:num>
  <w:num w:numId="132" w16cid:durableId="2062092925">
    <w:abstractNumId w:val="32"/>
  </w:num>
  <w:num w:numId="133" w16cid:durableId="886571778">
    <w:abstractNumId w:val="14"/>
  </w:num>
  <w:num w:numId="134" w16cid:durableId="380787914">
    <w:abstractNumId w:val="14"/>
  </w:num>
  <w:num w:numId="135" w16cid:durableId="462625687">
    <w:abstractNumId w:val="14"/>
  </w:num>
  <w:num w:numId="136" w16cid:durableId="1470855040">
    <w:abstractNumId w:val="14"/>
  </w:num>
  <w:num w:numId="137" w16cid:durableId="989023500">
    <w:abstractNumId w:val="14"/>
  </w:num>
  <w:num w:numId="138" w16cid:durableId="1136752224">
    <w:abstractNumId w:val="14"/>
  </w:num>
  <w:num w:numId="139" w16cid:durableId="1845700256">
    <w:abstractNumId w:val="14"/>
  </w:num>
  <w:num w:numId="140" w16cid:durableId="1174539003">
    <w:abstractNumId w:val="14"/>
  </w:num>
  <w:num w:numId="141" w16cid:durableId="2080400130">
    <w:abstractNumId w:val="14"/>
  </w:num>
  <w:num w:numId="142" w16cid:durableId="2065063097">
    <w:abstractNumId w:val="14"/>
  </w:num>
  <w:num w:numId="143" w16cid:durableId="531382896">
    <w:abstractNumId w:val="14"/>
  </w:num>
  <w:num w:numId="144" w16cid:durableId="2125076803">
    <w:abstractNumId w:val="14"/>
  </w:num>
  <w:num w:numId="145" w16cid:durableId="475496261">
    <w:abstractNumId w:val="14"/>
  </w:num>
  <w:num w:numId="146" w16cid:durableId="1295477067">
    <w:abstractNumId w:val="14"/>
  </w:num>
  <w:num w:numId="147" w16cid:durableId="2048094636">
    <w:abstractNumId w:val="14"/>
  </w:num>
  <w:num w:numId="148" w16cid:durableId="845560325">
    <w:abstractNumId w:val="14"/>
  </w:num>
  <w:num w:numId="149" w16cid:durableId="525367054">
    <w:abstractNumId w:val="14"/>
  </w:num>
  <w:num w:numId="150" w16cid:durableId="2033072975">
    <w:abstractNumId w:val="14"/>
  </w:num>
  <w:num w:numId="151" w16cid:durableId="555817519">
    <w:abstractNumId w:val="14"/>
  </w:num>
  <w:num w:numId="152" w16cid:durableId="1655832788">
    <w:abstractNumId w:val="14"/>
  </w:num>
  <w:num w:numId="153" w16cid:durableId="1923179198">
    <w:abstractNumId w:val="14"/>
  </w:num>
  <w:num w:numId="154" w16cid:durableId="2145927107">
    <w:abstractNumId w:val="14"/>
  </w:num>
  <w:num w:numId="155" w16cid:durableId="1264650992">
    <w:abstractNumId w:val="14"/>
  </w:num>
  <w:num w:numId="156" w16cid:durableId="1819608237">
    <w:abstractNumId w:val="14"/>
  </w:num>
  <w:num w:numId="157" w16cid:durableId="1914925982">
    <w:abstractNumId w:val="14"/>
  </w:num>
  <w:num w:numId="158" w16cid:durableId="1759864496">
    <w:abstractNumId w:val="14"/>
  </w:num>
  <w:num w:numId="159" w16cid:durableId="1918324696">
    <w:abstractNumId w:val="14"/>
  </w:num>
  <w:num w:numId="160" w16cid:durableId="1172721267">
    <w:abstractNumId w:val="14"/>
  </w:num>
  <w:num w:numId="161" w16cid:durableId="1468359734">
    <w:abstractNumId w:val="14"/>
  </w:num>
  <w:num w:numId="162" w16cid:durableId="1941988560">
    <w:abstractNumId w:val="14"/>
  </w:num>
  <w:num w:numId="163" w16cid:durableId="1289825022">
    <w:abstractNumId w:val="14"/>
  </w:num>
  <w:num w:numId="164" w16cid:durableId="5908545">
    <w:abstractNumId w:val="14"/>
  </w:num>
  <w:num w:numId="165" w16cid:durableId="1423264161">
    <w:abstractNumId w:val="14"/>
  </w:num>
  <w:num w:numId="166" w16cid:durableId="919289507">
    <w:abstractNumId w:val="14"/>
  </w:num>
  <w:num w:numId="167" w16cid:durableId="980115547">
    <w:abstractNumId w:val="14"/>
  </w:num>
  <w:num w:numId="168" w16cid:durableId="43989973">
    <w:abstractNumId w:val="14"/>
  </w:num>
  <w:num w:numId="169" w16cid:durableId="678967952">
    <w:abstractNumId w:val="14"/>
  </w:num>
  <w:num w:numId="170" w16cid:durableId="1609435022">
    <w:abstractNumId w:val="14"/>
  </w:num>
  <w:num w:numId="171" w16cid:durableId="2081438151">
    <w:abstractNumId w:val="14"/>
  </w:num>
  <w:num w:numId="172" w16cid:durableId="598292273">
    <w:abstractNumId w:val="14"/>
  </w:num>
  <w:num w:numId="173" w16cid:durableId="635796827">
    <w:abstractNumId w:val="14"/>
  </w:num>
  <w:num w:numId="174" w16cid:durableId="738941607">
    <w:abstractNumId w:val="14"/>
  </w:num>
  <w:num w:numId="175" w16cid:durableId="174616967">
    <w:abstractNumId w:val="14"/>
  </w:num>
  <w:num w:numId="176" w16cid:durableId="1446923565">
    <w:abstractNumId w:val="14"/>
  </w:num>
  <w:num w:numId="177" w16cid:durableId="2039969895">
    <w:abstractNumId w:val="14"/>
  </w:num>
  <w:num w:numId="178" w16cid:durableId="1876692318">
    <w:abstractNumId w:val="14"/>
  </w:num>
  <w:num w:numId="179" w16cid:durableId="931427689">
    <w:abstractNumId w:val="14"/>
  </w:num>
  <w:num w:numId="180" w16cid:durableId="4405338">
    <w:abstractNumId w:val="14"/>
  </w:num>
  <w:num w:numId="181" w16cid:durableId="1043867168">
    <w:abstractNumId w:val="14"/>
  </w:num>
  <w:num w:numId="182" w16cid:durableId="1489635026">
    <w:abstractNumId w:val="35"/>
  </w:num>
  <w:num w:numId="183" w16cid:durableId="487719366">
    <w:abstractNumId w:val="32"/>
  </w:num>
  <w:num w:numId="184" w16cid:durableId="1554273364">
    <w:abstractNumId w:val="32"/>
  </w:num>
  <w:num w:numId="185" w16cid:durableId="1011026946">
    <w:abstractNumId w:val="32"/>
  </w:num>
  <w:num w:numId="186" w16cid:durableId="1297760751">
    <w:abstractNumId w:val="6"/>
  </w:num>
  <w:num w:numId="187" w16cid:durableId="1846938112">
    <w:abstractNumId w:val="6"/>
    <w:lvlOverride w:ilvl="0">
      <w:startOverride w:val="1"/>
    </w:lvlOverride>
  </w:num>
  <w:num w:numId="188" w16cid:durableId="1946038261">
    <w:abstractNumId w:val="6"/>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7C"/>
    <w:rsid w:val="00000E5C"/>
    <w:rsid w:val="00006BEE"/>
    <w:rsid w:val="000143E8"/>
    <w:rsid w:val="000175F5"/>
    <w:rsid w:val="00033130"/>
    <w:rsid w:val="00042E21"/>
    <w:rsid w:val="00043AB0"/>
    <w:rsid w:val="00055660"/>
    <w:rsid w:val="000621E7"/>
    <w:rsid w:val="00071991"/>
    <w:rsid w:val="00077000"/>
    <w:rsid w:val="00094B81"/>
    <w:rsid w:val="00097246"/>
    <w:rsid w:val="000B20AB"/>
    <w:rsid w:val="000B2E7B"/>
    <w:rsid w:val="000B42FC"/>
    <w:rsid w:val="000C77E6"/>
    <w:rsid w:val="000D6BB2"/>
    <w:rsid w:val="000D72E1"/>
    <w:rsid w:val="000F3171"/>
    <w:rsid w:val="000F76CD"/>
    <w:rsid w:val="00106125"/>
    <w:rsid w:val="0012353B"/>
    <w:rsid w:val="0012473C"/>
    <w:rsid w:val="001270CE"/>
    <w:rsid w:val="0013713C"/>
    <w:rsid w:val="00140159"/>
    <w:rsid w:val="00143E74"/>
    <w:rsid w:val="0016163C"/>
    <w:rsid w:val="00166F3D"/>
    <w:rsid w:val="00175CD8"/>
    <w:rsid w:val="00194B17"/>
    <w:rsid w:val="001A3BDC"/>
    <w:rsid w:val="001A4ACB"/>
    <w:rsid w:val="001B34A2"/>
    <w:rsid w:val="001E025A"/>
    <w:rsid w:val="001F4D7D"/>
    <w:rsid w:val="001F568E"/>
    <w:rsid w:val="001F5CBA"/>
    <w:rsid w:val="00204931"/>
    <w:rsid w:val="00205B7E"/>
    <w:rsid w:val="00213EC2"/>
    <w:rsid w:val="002327B4"/>
    <w:rsid w:val="00234E95"/>
    <w:rsid w:val="00235FEB"/>
    <w:rsid w:val="0028379E"/>
    <w:rsid w:val="00284111"/>
    <w:rsid w:val="0028755E"/>
    <w:rsid w:val="00287ABB"/>
    <w:rsid w:val="002B096B"/>
    <w:rsid w:val="002B1879"/>
    <w:rsid w:val="002C1C4B"/>
    <w:rsid w:val="002C4332"/>
    <w:rsid w:val="002C5216"/>
    <w:rsid w:val="002E07A6"/>
    <w:rsid w:val="002E147C"/>
    <w:rsid w:val="002E25FA"/>
    <w:rsid w:val="002F7205"/>
    <w:rsid w:val="003008D8"/>
    <w:rsid w:val="003306C0"/>
    <w:rsid w:val="003316C8"/>
    <w:rsid w:val="00334A7B"/>
    <w:rsid w:val="0035444D"/>
    <w:rsid w:val="003575C3"/>
    <w:rsid w:val="00367C46"/>
    <w:rsid w:val="00384359"/>
    <w:rsid w:val="00387BA5"/>
    <w:rsid w:val="0039205F"/>
    <w:rsid w:val="00394BE3"/>
    <w:rsid w:val="00395107"/>
    <w:rsid w:val="003A7E37"/>
    <w:rsid w:val="003B0837"/>
    <w:rsid w:val="003C01A4"/>
    <w:rsid w:val="003C6946"/>
    <w:rsid w:val="003C6A32"/>
    <w:rsid w:val="003C6F67"/>
    <w:rsid w:val="003D48E4"/>
    <w:rsid w:val="003D51C5"/>
    <w:rsid w:val="003F3320"/>
    <w:rsid w:val="0041536E"/>
    <w:rsid w:val="004246B8"/>
    <w:rsid w:val="00426C50"/>
    <w:rsid w:val="00441D45"/>
    <w:rsid w:val="00442DAF"/>
    <w:rsid w:val="00443677"/>
    <w:rsid w:val="00455705"/>
    <w:rsid w:val="004647AA"/>
    <w:rsid w:val="00465349"/>
    <w:rsid w:val="00477ACC"/>
    <w:rsid w:val="00485B42"/>
    <w:rsid w:val="004955EB"/>
    <w:rsid w:val="00497432"/>
    <w:rsid w:val="004A2EF9"/>
    <w:rsid w:val="004B0184"/>
    <w:rsid w:val="004B0CBD"/>
    <w:rsid w:val="004B4C3E"/>
    <w:rsid w:val="004D496F"/>
    <w:rsid w:val="004E2B7A"/>
    <w:rsid w:val="00501CF7"/>
    <w:rsid w:val="00503702"/>
    <w:rsid w:val="005077B5"/>
    <w:rsid w:val="005078BC"/>
    <w:rsid w:val="005111AB"/>
    <w:rsid w:val="00514DE8"/>
    <w:rsid w:val="00520CD5"/>
    <w:rsid w:val="00534F6C"/>
    <w:rsid w:val="0056164B"/>
    <w:rsid w:val="0057557A"/>
    <w:rsid w:val="0057675F"/>
    <w:rsid w:val="0058575E"/>
    <w:rsid w:val="0059293B"/>
    <w:rsid w:val="005935A6"/>
    <w:rsid w:val="005A3A02"/>
    <w:rsid w:val="005A480D"/>
    <w:rsid w:val="005B53A8"/>
    <w:rsid w:val="005C43AF"/>
    <w:rsid w:val="005D0A5F"/>
    <w:rsid w:val="005D26C2"/>
    <w:rsid w:val="005D359B"/>
    <w:rsid w:val="005E5A3B"/>
    <w:rsid w:val="005F1E18"/>
    <w:rsid w:val="005F6A23"/>
    <w:rsid w:val="00611C19"/>
    <w:rsid w:val="00615FF3"/>
    <w:rsid w:val="00627999"/>
    <w:rsid w:val="00637832"/>
    <w:rsid w:val="006443F8"/>
    <w:rsid w:val="00653050"/>
    <w:rsid w:val="006604DB"/>
    <w:rsid w:val="00675323"/>
    <w:rsid w:val="00685E72"/>
    <w:rsid w:val="006A092C"/>
    <w:rsid w:val="006A0EA7"/>
    <w:rsid w:val="006A1F0B"/>
    <w:rsid w:val="006B4A31"/>
    <w:rsid w:val="006C0F41"/>
    <w:rsid w:val="006D4D80"/>
    <w:rsid w:val="006F1EB8"/>
    <w:rsid w:val="006F517F"/>
    <w:rsid w:val="0070338C"/>
    <w:rsid w:val="00714C41"/>
    <w:rsid w:val="0073194F"/>
    <w:rsid w:val="00746990"/>
    <w:rsid w:val="00764438"/>
    <w:rsid w:val="007738D2"/>
    <w:rsid w:val="00780F3D"/>
    <w:rsid w:val="00785945"/>
    <w:rsid w:val="007A79B6"/>
    <w:rsid w:val="007C7DF8"/>
    <w:rsid w:val="007D0298"/>
    <w:rsid w:val="007D59C0"/>
    <w:rsid w:val="007F0A77"/>
    <w:rsid w:val="007F1FF7"/>
    <w:rsid w:val="008007EB"/>
    <w:rsid w:val="00806427"/>
    <w:rsid w:val="0080750B"/>
    <w:rsid w:val="008104F3"/>
    <w:rsid w:val="00824095"/>
    <w:rsid w:val="00826B5D"/>
    <w:rsid w:val="00830ECC"/>
    <w:rsid w:val="008329A3"/>
    <w:rsid w:val="008329DB"/>
    <w:rsid w:val="00840FB6"/>
    <w:rsid w:val="008478D0"/>
    <w:rsid w:val="00873B7B"/>
    <w:rsid w:val="008771CF"/>
    <w:rsid w:val="00880E44"/>
    <w:rsid w:val="00881927"/>
    <w:rsid w:val="0088292E"/>
    <w:rsid w:val="0088432D"/>
    <w:rsid w:val="008A2131"/>
    <w:rsid w:val="008C1C71"/>
    <w:rsid w:val="008C5161"/>
    <w:rsid w:val="008D528A"/>
    <w:rsid w:val="008E0E5F"/>
    <w:rsid w:val="008E7D4E"/>
    <w:rsid w:val="008F6897"/>
    <w:rsid w:val="00902B32"/>
    <w:rsid w:val="009059E7"/>
    <w:rsid w:val="00930D58"/>
    <w:rsid w:val="009347DF"/>
    <w:rsid w:val="00943F93"/>
    <w:rsid w:val="009506FA"/>
    <w:rsid w:val="00966E05"/>
    <w:rsid w:val="00974CFA"/>
    <w:rsid w:val="00977055"/>
    <w:rsid w:val="00985B8A"/>
    <w:rsid w:val="00985BD7"/>
    <w:rsid w:val="009C1FA9"/>
    <w:rsid w:val="009C3C0E"/>
    <w:rsid w:val="009C6D80"/>
    <w:rsid w:val="009D48FC"/>
    <w:rsid w:val="009E18EA"/>
    <w:rsid w:val="009F0702"/>
    <w:rsid w:val="00A04C7C"/>
    <w:rsid w:val="00A053A1"/>
    <w:rsid w:val="00A126E4"/>
    <w:rsid w:val="00A40099"/>
    <w:rsid w:val="00A513F6"/>
    <w:rsid w:val="00A610A3"/>
    <w:rsid w:val="00A77369"/>
    <w:rsid w:val="00A8397C"/>
    <w:rsid w:val="00A87956"/>
    <w:rsid w:val="00AA098A"/>
    <w:rsid w:val="00AA4F80"/>
    <w:rsid w:val="00AB1B64"/>
    <w:rsid w:val="00AB3D3F"/>
    <w:rsid w:val="00AB7CBF"/>
    <w:rsid w:val="00AB7E0B"/>
    <w:rsid w:val="00AE5DA5"/>
    <w:rsid w:val="00AF1BC8"/>
    <w:rsid w:val="00AF3F29"/>
    <w:rsid w:val="00B07129"/>
    <w:rsid w:val="00B3099D"/>
    <w:rsid w:val="00B4097C"/>
    <w:rsid w:val="00B448B7"/>
    <w:rsid w:val="00B46BC0"/>
    <w:rsid w:val="00B543AA"/>
    <w:rsid w:val="00B6182E"/>
    <w:rsid w:val="00B735A7"/>
    <w:rsid w:val="00B8582B"/>
    <w:rsid w:val="00B90A0A"/>
    <w:rsid w:val="00BB17A4"/>
    <w:rsid w:val="00BD4290"/>
    <w:rsid w:val="00BF2FE0"/>
    <w:rsid w:val="00C07DF8"/>
    <w:rsid w:val="00C417B6"/>
    <w:rsid w:val="00C50D13"/>
    <w:rsid w:val="00C51BDF"/>
    <w:rsid w:val="00C622B9"/>
    <w:rsid w:val="00C64BEA"/>
    <w:rsid w:val="00C82B8A"/>
    <w:rsid w:val="00C91079"/>
    <w:rsid w:val="00C9153C"/>
    <w:rsid w:val="00C936E9"/>
    <w:rsid w:val="00CB0550"/>
    <w:rsid w:val="00CB15BE"/>
    <w:rsid w:val="00CB2CB7"/>
    <w:rsid w:val="00CB73F7"/>
    <w:rsid w:val="00CF286C"/>
    <w:rsid w:val="00CF55F5"/>
    <w:rsid w:val="00D078BE"/>
    <w:rsid w:val="00D10D16"/>
    <w:rsid w:val="00D10FD9"/>
    <w:rsid w:val="00D13F8A"/>
    <w:rsid w:val="00D149A2"/>
    <w:rsid w:val="00D273C6"/>
    <w:rsid w:val="00D37F62"/>
    <w:rsid w:val="00D4218F"/>
    <w:rsid w:val="00D571D7"/>
    <w:rsid w:val="00D6337C"/>
    <w:rsid w:val="00D774BA"/>
    <w:rsid w:val="00D83811"/>
    <w:rsid w:val="00D918D5"/>
    <w:rsid w:val="00D94172"/>
    <w:rsid w:val="00D9714D"/>
    <w:rsid w:val="00DA3A92"/>
    <w:rsid w:val="00DD2783"/>
    <w:rsid w:val="00DD3239"/>
    <w:rsid w:val="00DE4B79"/>
    <w:rsid w:val="00E015B3"/>
    <w:rsid w:val="00E018A2"/>
    <w:rsid w:val="00E20252"/>
    <w:rsid w:val="00E50C9F"/>
    <w:rsid w:val="00E517F4"/>
    <w:rsid w:val="00E530B1"/>
    <w:rsid w:val="00E53562"/>
    <w:rsid w:val="00E53723"/>
    <w:rsid w:val="00E53D3F"/>
    <w:rsid w:val="00E578F1"/>
    <w:rsid w:val="00E61A23"/>
    <w:rsid w:val="00E74709"/>
    <w:rsid w:val="00E8686F"/>
    <w:rsid w:val="00EA0127"/>
    <w:rsid w:val="00EA50A7"/>
    <w:rsid w:val="00EA74B3"/>
    <w:rsid w:val="00EB7F32"/>
    <w:rsid w:val="00F02AEC"/>
    <w:rsid w:val="00F213FB"/>
    <w:rsid w:val="00F258A8"/>
    <w:rsid w:val="00F30896"/>
    <w:rsid w:val="00F41EC8"/>
    <w:rsid w:val="00F420D7"/>
    <w:rsid w:val="00F4489D"/>
    <w:rsid w:val="00F5245E"/>
    <w:rsid w:val="00F53761"/>
    <w:rsid w:val="00F57320"/>
    <w:rsid w:val="00F62AC9"/>
    <w:rsid w:val="00F67AC1"/>
    <w:rsid w:val="00F74440"/>
    <w:rsid w:val="00F75DFB"/>
    <w:rsid w:val="00FA49C3"/>
    <w:rsid w:val="00FB464C"/>
    <w:rsid w:val="00FC65DF"/>
    <w:rsid w:val="00FC7CDD"/>
    <w:rsid w:val="00FE00BE"/>
    <w:rsid w:val="00FE2417"/>
    <w:rsid w:val="00FF19F7"/>
    <w:rsid w:val="00FF721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E9EC2"/>
  <w15:chartTrackingRefBased/>
  <w15:docId w15:val="{1258600F-723D-492B-A4AF-456A1C91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83"/>
    <w:rPr>
      <w:rFonts w:ascii="Arial" w:hAnsi="Arial"/>
    </w:rPr>
  </w:style>
  <w:style w:type="paragraph" w:styleId="Heading1">
    <w:name w:val="heading 1"/>
    <w:basedOn w:val="Normal"/>
    <w:next w:val="Normal"/>
    <w:link w:val="Heading1Char"/>
    <w:uiPriority w:val="9"/>
    <w:qFormat/>
    <w:rsid w:val="004647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647AA"/>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4647AA"/>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647AA"/>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4647AA"/>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647AA"/>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685E72"/>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520CD5"/>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685E72"/>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4647AA"/>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4647AA"/>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4647AA"/>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4647AA"/>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4647AA"/>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4647AA"/>
    <w:rPr>
      <w:rFonts w:ascii="Arial" w:eastAsia="Times New Roman" w:hAnsi="Arial" w:cs="Times New Roman"/>
      <w:bCs/>
      <w:color w:val="001871"/>
      <w:sz w:val="24"/>
      <w:szCs w:val="21"/>
    </w:rPr>
  </w:style>
  <w:style w:type="paragraph" w:styleId="Date">
    <w:name w:val="Date"/>
    <w:basedOn w:val="Normal"/>
    <w:next w:val="Normal"/>
    <w:link w:val="DateChar"/>
    <w:uiPriority w:val="99"/>
    <w:rsid w:val="004647AA"/>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4647AA"/>
    <w:rPr>
      <w:rFonts w:ascii="Arial" w:eastAsia="Cambria" w:hAnsi="Arial" w:cs="Times New Roman"/>
      <w:color w:val="333F4A"/>
      <w:sz w:val="28"/>
    </w:rPr>
  </w:style>
  <w:style w:type="paragraph" w:styleId="Footer">
    <w:name w:val="footer"/>
    <w:basedOn w:val="Normal"/>
    <w:link w:val="FooterChar"/>
    <w:uiPriority w:val="99"/>
    <w:rsid w:val="004647AA"/>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4647AA"/>
    <w:rPr>
      <w:rFonts w:ascii="Arial" w:eastAsia="Cambria" w:hAnsi="Arial" w:cs="Times New Roman"/>
      <w:color w:val="333F4A"/>
      <w:sz w:val="17"/>
    </w:rPr>
  </w:style>
  <w:style w:type="paragraph" w:styleId="Header">
    <w:name w:val="header"/>
    <w:basedOn w:val="Normal"/>
    <w:link w:val="HeaderChar"/>
    <w:uiPriority w:val="99"/>
    <w:rsid w:val="004647AA"/>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4647AA"/>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4647AA"/>
    <w:rPr>
      <w:rFonts w:ascii="Arial" w:hAnsi="Arial"/>
      <w:color w:val="0000FF"/>
      <w:u w:val="single"/>
    </w:rPr>
  </w:style>
  <w:style w:type="paragraph" w:customStyle="1" w:styleId="LegalCopy">
    <w:name w:val="Legal Copy"/>
    <w:basedOn w:val="Footer"/>
    <w:rsid w:val="004647AA"/>
  </w:style>
  <w:style w:type="paragraph" w:customStyle="1" w:styleId="LegalSubheading">
    <w:name w:val="Legal Subheading"/>
    <w:basedOn w:val="Normal"/>
    <w:rsid w:val="004647AA"/>
    <w:pPr>
      <w:outlineLvl w:val="1"/>
    </w:pPr>
    <w:rPr>
      <w:sz w:val="17"/>
    </w:rPr>
  </w:style>
  <w:style w:type="paragraph" w:styleId="ListBullet">
    <w:name w:val="List Bullet"/>
    <w:basedOn w:val="Normal"/>
    <w:autoRedefine/>
    <w:uiPriority w:val="2"/>
    <w:qFormat/>
    <w:rsid w:val="00F30896"/>
    <w:pPr>
      <w:numPr>
        <w:numId w:val="8"/>
      </w:numPr>
      <w:spacing w:before="120" w:after="180" w:line="240" w:lineRule="atLeast"/>
    </w:pPr>
    <w:rPr>
      <w:rFonts w:eastAsia="Cambria" w:cs="Arial"/>
    </w:rPr>
  </w:style>
  <w:style w:type="paragraph" w:styleId="ListBullet2">
    <w:name w:val="List Bullet 2"/>
    <w:basedOn w:val="Normal"/>
    <w:uiPriority w:val="2"/>
    <w:qFormat/>
    <w:rsid w:val="004647AA"/>
    <w:pPr>
      <w:numPr>
        <w:ilvl w:val="1"/>
        <w:numId w:val="8"/>
      </w:numPr>
      <w:spacing w:before="120" w:after="180" w:line="240" w:lineRule="atLeast"/>
    </w:pPr>
    <w:rPr>
      <w:rFonts w:eastAsia="Cambria" w:cs="Times New Roman"/>
      <w:color w:val="333F48"/>
    </w:rPr>
  </w:style>
  <w:style w:type="paragraph" w:styleId="ListBullet3">
    <w:name w:val="List Bullet 3"/>
    <w:basedOn w:val="Normal"/>
    <w:uiPriority w:val="2"/>
    <w:qFormat/>
    <w:rsid w:val="004647AA"/>
    <w:pPr>
      <w:numPr>
        <w:numId w:val="7"/>
      </w:numPr>
      <w:spacing w:before="120" w:after="180" w:line="240" w:lineRule="atLeast"/>
    </w:pPr>
    <w:rPr>
      <w:rFonts w:eastAsia="Cambria" w:cs="Times New Roman"/>
      <w:color w:val="333F48"/>
    </w:rPr>
  </w:style>
  <w:style w:type="numbering" w:customStyle="1" w:styleId="ListBullets">
    <w:name w:val="ListBullets"/>
    <w:uiPriority w:val="99"/>
    <w:locked/>
    <w:rsid w:val="004647AA"/>
    <w:pPr>
      <w:numPr>
        <w:numId w:val="5"/>
      </w:numPr>
    </w:pPr>
  </w:style>
  <w:style w:type="paragraph" w:customStyle="1" w:styleId="Numberbullet0">
    <w:name w:val="Number bullet"/>
    <w:basedOn w:val="ListBullet"/>
    <w:uiPriority w:val="3"/>
    <w:qFormat/>
    <w:rsid w:val="004647AA"/>
    <w:pPr>
      <w:numPr>
        <w:numId w:val="10"/>
      </w:numPr>
    </w:pPr>
  </w:style>
  <w:style w:type="paragraph" w:customStyle="1" w:styleId="Numberbullet2">
    <w:name w:val="Number bullet 2"/>
    <w:basedOn w:val="ListBullet2"/>
    <w:uiPriority w:val="3"/>
    <w:qFormat/>
    <w:rsid w:val="004647AA"/>
    <w:pPr>
      <w:numPr>
        <w:numId w:val="10"/>
      </w:numPr>
    </w:pPr>
  </w:style>
  <w:style w:type="paragraph" w:customStyle="1" w:styleId="Numberbullet3">
    <w:name w:val="Number bullet 3"/>
    <w:basedOn w:val="Normal"/>
    <w:uiPriority w:val="3"/>
    <w:qFormat/>
    <w:rsid w:val="004647AA"/>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4647AA"/>
    <w:pPr>
      <w:numPr>
        <w:numId w:val="1"/>
      </w:numPr>
    </w:pPr>
  </w:style>
  <w:style w:type="paragraph" w:styleId="Subtitle">
    <w:name w:val="Subtitle"/>
    <w:basedOn w:val="Normal"/>
    <w:link w:val="SubtitleChar"/>
    <w:uiPriority w:val="11"/>
    <w:rsid w:val="004647AA"/>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4647AA"/>
    <w:rPr>
      <w:rFonts w:ascii="Arial" w:eastAsia="Times New Roman" w:hAnsi="Arial" w:cs="Times New Roman"/>
      <w:bCs/>
      <w:iCs/>
      <w:color w:val="006BA6"/>
      <w:sz w:val="40"/>
      <w:szCs w:val="24"/>
    </w:rPr>
  </w:style>
  <w:style w:type="table" w:styleId="TableGrid">
    <w:name w:val="Table Grid"/>
    <w:basedOn w:val="TableNormal"/>
    <w:uiPriority w:val="59"/>
    <w:rsid w:val="004647AA"/>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4647AA"/>
    <w:pPr>
      <w:spacing w:before="120" w:after="360" w:line="240" w:lineRule="atLeast"/>
      <w:jc w:val="center"/>
    </w:pPr>
    <w:rPr>
      <w:rFonts w:eastAsia="Cambria" w:cs="Times New Roman"/>
      <w:b/>
      <w:color w:val="333F48"/>
      <w:sz w:val="28"/>
    </w:rPr>
  </w:style>
  <w:style w:type="paragraph" w:styleId="Title">
    <w:name w:val="Title"/>
    <w:link w:val="TitleChar"/>
    <w:uiPriority w:val="10"/>
    <w:rsid w:val="004647AA"/>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4647AA"/>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4647AA"/>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647AA"/>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647AA"/>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4647AA"/>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4647AA"/>
    <w:rPr>
      <w:rFonts w:ascii="Arial" w:eastAsia="Cambria" w:hAnsi="Arial" w:cs="Times New Roman"/>
      <w:color w:val="333F48"/>
      <w:sz w:val="16"/>
    </w:rPr>
  </w:style>
  <w:style w:type="character" w:styleId="FootnoteReference">
    <w:name w:val="footnote reference"/>
    <w:basedOn w:val="DefaultParagraphFont"/>
    <w:uiPriority w:val="99"/>
    <w:unhideWhenUsed/>
    <w:rsid w:val="004647AA"/>
    <w:rPr>
      <w:vertAlign w:val="superscript"/>
    </w:rPr>
  </w:style>
  <w:style w:type="paragraph" w:customStyle="1" w:styleId="NonTOCheading2">
    <w:name w:val="Non TOC heading 2"/>
    <w:basedOn w:val="Normal"/>
    <w:next w:val="Normal"/>
    <w:rsid w:val="004647AA"/>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4647AA"/>
    <w:pPr>
      <w:pBdr>
        <w:bottom w:val="none" w:sz="0" w:space="0" w:color="auto"/>
      </w:pBdr>
      <w:spacing w:line="240" w:lineRule="atLeast"/>
    </w:pPr>
  </w:style>
  <w:style w:type="paragraph" w:customStyle="1" w:styleId="Tabledescription">
    <w:name w:val="Table description"/>
    <w:basedOn w:val="Normal"/>
    <w:next w:val="Normal"/>
    <w:rsid w:val="004647AA"/>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4647AA"/>
    <w:pPr>
      <w:keepNext/>
      <w:spacing w:before="120" w:after="180" w:line="240" w:lineRule="atLeast"/>
    </w:pPr>
    <w:rPr>
      <w:rFonts w:eastAsia="Cambria" w:cs="Times New Roman"/>
      <w:b/>
      <w:color w:val="333F48"/>
    </w:rPr>
  </w:style>
  <w:style w:type="paragraph" w:customStyle="1" w:styleId="Address">
    <w:name w:val="Address"/>
    <w:basedOn w:val="Normal"/>
    <w:rsid w:val="004647AA"/>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4647AA"/>
    <w:pPr>
      <w:tabs>
        <w:tab w:val="left" w:pos="425"/>
      </w:tabs>
    </w:pPr>
  </w:style>
  <w:style w:type="paragraph" w:customStyle="1" w:styleId="ListBullet-donotcross">
    <w:name w:val="List Bullet - do not (cross)"/>
    <w:basedOn w:val="ListBullet"/>
    <w:autoRedefine/>
    <w:uiPriority w:val="1"/>
    <w:qFormat/>
    <w:rsid w:val="004647AA"/>
    <w:pPr>
      <w:ind w:left="357" w:hanging="357"/>
    </w:pPr>
    <w:rPr>
      <w:rFonts w:eastAsiaTheme="minorHAnsi" w:cstheme="minorBidi"/>
      <w:szCs w:val="22"/>
    </w:rPr>
  </w:style>
  <w:style w:type="table" w:customStyle="1" w:styleId="TGABlack2023">
    <w:name w:val="TGA Black 2023"/>
    <w:basedOn w:val="TableTGAblue2023"/>
    <w:uiPriority w:val="99"/>
    <w:rsid w:val="004647AA"/>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uiPriority w:val="9"/>
    <w:rsid w:val="004647AA"/>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685E72"/>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520CD5"/>
    <w:rPr>
      <w:rFonts w:ascii="Arial" w:eastAsiaTheme="majorEastAsia" w:hAnsi="Arial" w:cstheme="majorBidi"/>
      <w:color w:val="000000" w:themeColor="text1"/>
      <w:sz w:val="22"/>
    </w:rPr>
  </w:style>
  <w:style w:type="character" w:customStyle="1" w:styleId="Heading9Char">
    <w:name w:val="Heading 9 Char"/>
    <w:basedOn w:val="DefaultParagraphFont"/>
    <w:link w:val="Heading9"/>
    <w:uiPriority w:val="9"/>
    <w:semiHidden/>
    <w:rsid w:val="00685E72"/>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685E7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685E72"/>
    <w:rPr>
      <w:rFonts w:ascii="Tahoma" w:eastAsia="Cambria" w:hAnsi="Tahoma" w:cs="Tahoma"/>
      <w:sz w:val="16"/>
      <w:szCs w:val="16"/>
    </w:rPr>
  </w:style>
  <w:style w:type="paragraph" w:styleId="BalloonText">
    <w:name w:val="Balloon Text"/>
    <w:basedOn w:val="Normal"/>
    <w:link w:val="BalloonTextChar"/>
    <w:uiPriority w:val="99"/>
    <w:semiHidden/>
    <w:unhideWhenUsed/>
    <w:rsid w:val="00685E7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685E72"/>
    <w:rPr>
      <w:rFonts w:ascii="Tahoma" w:eastAsia="Cambria" w:hAnsi="Tahoma" w:cs="Tahoma"/>
      <w:sz w:val="16"/>
      <w:szCs w:val="16"/>
    </w:rPr>
  </w:style>
  <w:style w:type="paragraph" w:styleId="TOC4">
    <w:name w:val="toc 4"/>
    <w:basedOn w:val="Normal"/>
    <w:next w:val="Normal"/>
    <w:autoRedefine/>
    <w:uiPriority w:val="39"/>
    <w:semiHidden/>
    <w:unhideWhenUsed/>
    <w:rsid w:val="00685E72"/>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685E72"/>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685E72"/>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685E72"/>
    <w:pPr>
      <w:spacing w:before="120" w:after="100" w:line="240" w:lineRule="atLeast"/>
      <w:ind w:left="2211"/>
    </w:pPr>
    <w:rPr>
      <w:rFonts w:ascii="Cambria" w:eastAsia="Cambria" w:hAnsi="Cambria" w:cs="Times New Roman"/>
    </w:rPr>
  </w:style>
  <w:style w:type="character" w:styleId="FollowedHyperlink">
    <w:name w:val="FollowedHyperlink"/>
    <w:basedOn w:val="DefaultParagraphFont"/>
    <w:semiHidden/>
    <w:unhideWhenUsed/>
    <w:rsid w:val="00685E72"/>
    <w:rPr>
      <w:color w:val="800080"/>
      <w:u w:val="single"/>
    </w:rPr>
  </w:style>
  <w:style w:type="paragraph" w:customStyle="1" w:styleId="HeaderNoLine0">
    <w:name w:val="Header No Line"/>
    <w:basedOn w:val="Header"/>
    <w:rsid w:val="00685E72"/>
    <w:pPr>
      <w:pBdr>
        <w:bottom w:val="none" w:sz="0" w:space="0" w:color="auto"/>
      </w:pBdr>
    </w:pPr>
    <w:rPr>
      <w:rFonts w:ascii="Cambria" w:hAnsi="Cambria"/>
      <w:color w:val="auto"/>
    </w:rPr>
  </w:style>
  <w:style w:type="table" w:styleId="LightShading-Accent2">
    <w:name w:val="Light Shading Accent 2"/>
    <w:basedOn w:val="TableNormal"/>
    <w:uiPriority w:val="60"/>
    <w:rsid w:val="00685E7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685E7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4647AA"/>
    <w:rPr>
      <w:color w:val="808080"/>
    </w:rPr>
  </w:style>
  <w:style w:type="paragraph" w:customStyle="1" w:styleId="Reference">
    <w:name w:val="Reference"/>
    <w:basedOn w:val="Normal"/>
    <w:rsid w:val="00685E72"/>
    <w:pPr>
      <w:spacing w:before="40" w:after="0" w:line="240" w:lineRule="atLeast"/>
      <w:ind w:left="170" w:hanging="170"/>
    </w:pPr>
    <w:rPr>
      <w:rFonts w:ascii="Cambria" w:eastAsia="Cambria" w:hAnsi="Cambria" w:cs="Times New Roman"/>
      <w:sz w:val="19"/>
    </w:rPr>
  </w:style>
  <w:style w:type="paragraph" w:styleId="EndnoteText">
    <w:name w:val="endnote text"/>
    <w:basedOn w:val="FootnoteText"/>
    <w:link w:val="EndnoteTextChar"/>
    <w:semiHidden/>
    <w:unhideWhenUsed/>
    <w:rsid w:val="00685E7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685E72"/>
    <w:rPr>
      <w:rFonts w:eastAsia="Cambria"/>
      <w:szCs w:val="22"/>
    </w:rPr>
  </w:style>
  <w:style w:type="table" w:customStyle="1" w:styleId="TableTGAblue">
    <w:name w:val="Table TGA blue"/>
    <w:basedOn w:val="TableNormal"/>
    <w:uiPriority w:val="99"/>
    <w:qFormat/>
    <w:rsid w:val="00685E7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685E7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unhideWhenUsed/>
    <w:qFormat/>
    <w:rsid w:val="004647AA"/>
    <w:pPr>
      <w:outlineLvl w:val="9"/>
    </w:pPr>
    <w:rPr>
      <w:lang w:val="en-US"/>
    </w:rPr>
  </w:style>
  <w:style w:type="numbering" w:customStyle="1" w:styleId="NumberBullet1">
    <w:name w:val="NumberBullet1"/>
    <w:uiPriority w:val="99"/>
    <w:rsid w:val="00685E72"/>
  </w:style>
  <w:style w:type="numbering" w:customStyle="1" w:styleId="ListBullets1">
    <w:name w:val="ListBullets1"/>
    <w:uiPriority w:val="99"/>
    <w:rsid w:val="00685E72"/>
  </w:style>
  <w:style w:type="character" w:styleId="EndnoteReference">
    <w:name w:val="endnote reference"/>
    <w:basedOn w:val="DefaultParagraphFont"/>
    <w:uiPriority w:val="99"/>
    <w:semiHidden/>
    <w:unhideWhenUsed/>
    <w:rsid w:val="00685E72"/>
    <w:rPr>
      <w:vertAlign w:val="superscript"/>
    </w:rPr>
  </w:style>
  <w:style w:type="table" w:customStyle="1" w:styleId="LightShading1">
    <w:name w:val="Light Shading1"/>
    <w:basedOn w:val="TableNormal"/>
    <w:uiPriority w:val="60"/>
    <w:rsid w:val="00685E7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otation">
    <w:name w:val="Quotation"/>
    <w:basedOn w:val="Normal"/>
    <w:next w:val="Normal"/>
    <w:autoRedefine/>
    <w:uiPriority w:val="4"/>
    <w:qFormat/>
    <w:rsid w:val="00B90A0A"/>
    <w:pPr>
      <w:spacing w:before="120" w:after="180" w:line="240" w:lineRule="atLeast"/>
      <w:ind w:left="425"/>
    </w:pPr>
    <w:rPr>
      <w:rFonts w:eastAsia="Cambria" w:cs="Times New Roman"/>
    </w:rPr>
  </w:style>
  <w:style w:type="character" w:styleId="CommentReference">
    <w:name w:val="annotation reference"/>
    <w:basedOn w:val="DefaultParagraphFont"/>
    <w:uiPriority w:val="99"/>
    <w:semiHidden/>
    <w:unhideWhenUsed/>
    <w:rsid w:val="00685E72"/>
    <w:rPr>
      <w:sz w:val="16"/>
      <w:szCs w:val="16"/>
    </w:rPr>
  </w:style>
  <w:style w:type="paragraph" w:styleId="CommentText">
    <w:name w:val="annotation text"/>
    <w:basedOn w:val="Normal"/>
    <w:link w:val="CommentTextChar"/>
    <w:uiPriority w:val="99"/>
    <w:unhideWhenUsed/>
    <w:rsid w:val="00685E7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685E7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85E72"/>
    <w:rPr>
      <w:b/>
      <w:bCs/>
    </w:rPr>
  </w:style>
  <w:style w:type="character" w:customStyle="1" w:styleId="CommentSubjectChar">
    <w:name w:val="Comment Subject Char"/>
    <w:basedOn w:val="CommentTextChar"/>
    <w:link w:val="CommentSubject"/>
    <w:uiPriority w:val="99"/>
    <w:semiHidden/>
    <w:rsid w:val="00685E72"/>
    <w:rPr>
      <w:rFonts w:ascii="Cambria" w:eastAsia="Cambria" w:hAnsi="Cambria" w:cs="Times New Roman"/>
      <w:b/>
      <w:bCs/>
    </w:rPr>
  </w:style>
  <w:style w:type="paragraph" w:styleId="ListParagraph">
    <w:name w:val="List Paragraph"/>
    <w:basedOn w:val="ListBullet"/>
    <w:autoRedefine/>
    <w:uiPriority w:val="34"/>
    <w:qFormat/>
    <w:rsid w:val="00F213FB"/>
    <w:pPr>
      <w:numPr>
        <w:numId w:val="186"/>
      </w:numPr>
      <w:spacing w:after="120" w:line="240" w:lineRule="auto"/>
    </w:pPr>
  </w:style>
  <w:style w:type="table" w:styleId="LightList-Accent1">
    <w:name w:val="Light List Accent 1"/>
    <w:basedOn w:val="TableNormal"/>
    <w:uiPriority w:val="61"/>
    <w:rsid w:val="00685E72"/>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9">
    <w:name w:val="toc 9"/>
    <w:basedOn w:val="Normal"/>
    <w:next w:val="Normal"/>
    <w:autoRedefine/>
    <w:uiPriority w:val="39"/>
    <w:semiHidden/>
    <w:unhideWhenUsed/>
    <w:rsid w:val="00685E72"/>
    <w:pPr>
      <w:spacing w:before="120" w:after="100" w:line="240" w:lineRule="atLeast"/>
      <w:ind w:left="1760"/>
    </w:pPr>
    <w:rPr>
      <w:rFonts w:ascii="Cambria" w:eastAsia="Cambria" w:hAnsi="Cambria" w:cs="Times New Roman"/>
    </w:rPr>
  </w:style>
  <w:style w:type="paragraph" w:customStyle="1" w:styleId="TableTitle0">
    <w:name w:val="Table Title"/>
    <w:basedOn w:val="Normal"/>
    <w:next w:val="Normal"/>
    <w:autoRedefine/>
    <w:qFormat/>
    <w:rsid w:val="00B90A0A"/>
    <w:pPr>
      <w:spacing w:before="180" w:after="180" w:line="240" w:lineRule="atLeast"/>
    </w:pPr>
    <w:rPr>
      <w:rFonts w:eastAsia="Cambria" w:cs="Times New Roman"/>
      <w:b/>
    </w:rPr>
  </w:style>
  <w:style w:type="character" w:styleId="Strong">
    <w:name w:val="Strong"/>
    <w:basedOn w:val="DefaultParagraphFont"/>
    <w:uiPriority w:val="22"/>
    <w:qFormat/>
    <w:rsid w:val="00520CD5"/>
    <w:rPr>
      <w:rFonts w:ascii="Arial" w:hAnsi="Arial"/>
      <w:b/>
      <w:bCs/>
      <w:color w:val="000000" w:themeColor="text1"/>
    </w:rPr>
  </w:style>
  <w:style w:type="paragraph" w:customStyle="1" w:styleId="Default">
    <w:name w:val="Default"/>
    <w:rsid w:val="00685E72"/>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fontstyle01">
    <w:name w:val="fontstyle01"/>
    <w:basedOn w:val="DefaultParagraphFont"/>
    <w:rsid w:val="00685E72"/>
    <w:rPr>
      <w:rFonts w:ascii="Cambria" w:hAnsi="Cambria" w:hint="default"/>
      <w:b w:val="0"/>
      <w:bCs w:val="0"/>
      <w:i w:val="0"/>
      <w:iCs w:val="0"/>
      <w:color w:val="000000"/>
      <w:sz w:val="22"/>
      <w:szCs w:val="22"/>
    </w:rPr>
  </w:style>
  <w:style w:type="character" w:customStyle="1" w:styleId="fontstyle21">
    <w:name w:val="fontstyle21"/>
    <w:basedOn w:val="DefaultParagraphFont"/>
    <w:rsid w:val="00685E72"/>
    <w:rPr>
      <w:rFonts w:ascii="Cambria-Bold" w:hAnsi="Cambria-Bold" w:hint="default"/>
      <w:b/>
      <w:bCs/>
      <w:i w:val="0"/>
      <w:iCs w:val="0"/>
      <w:color w:val="000000"/>
      <w:sz w:val="22"/>
      <w:szCs w:val="22"/>
    </w:rPr>
  </w:style>
  <w:style w:type="paragraph" w:styleId="Revision">
    <w:name w:val="Revision"/>
    <w:hidden/>
    <w:uiPriority w:val="99"/>
    <w:semiHidden/>
    <w:rsid w:val="00685E72"/>
    <w:pPr>
      <w:spacing w:after="0" w:line="240" w:lineRule="auto"/>
    </w:pPr>
    <w:rPr>
      <w:rFonts w:ascii="Cambria" w:eastAsia="Cambria" w:hAnsi="Cambria" w:cs="Times New Roman"/>
      <w:sz w:val="22"/>
    </w:rPr>
  </w:style>
  <w:style w:type="paragraph" w:customStyle="1" w:styleId="ListBulleta">
    <w:name w:val="List Bullet a)"/>
    <w:basedOn w:val="ListBullet"/>
    <w:autoRedefine/>
    <w:uiPriority w:val="1"/>
    <w:qFormat/>
    <w:rsid w:val="00520CD5"/>
    <w:pPr>
      <w:numPr>
        <w:numId w:val="3"/>
      </w:numPr>
    </w:pPr>
  </w:style>
  <w:style w:type="paragraph" w:customStyle="1" w:styleId="ListBulleti">
    <w:name w:val="List Bullet i)"/>
    <w:basedOn w:val="ListBullet"/>
    <w:autoRedefine/>
    <w:uiPriority w:val="1"/>
    <w:qFormat/>
    <w:rsid w:val="00520CD5"/>
    <w:pPr>
      <w:numPr>
        <w:numId w:val="4"/>
      </w:numPr>
    </w:pPr>
  </w:style>
  <w:style w:type="character" w:customStyle="1" w:styleId="Style1">
    <w:name w:val="Style1"/>
    <w:basedOn w:val="DefaultParagraphFont"/>
    <w:uiPriority w:val="1"/>
    <w:rsid w:val="00685E72"/>
    <w:rPr>
      <w:rFonts w:ascii="Cambria" w:hAnsi="Cambria"/>
      <w:sz w:val="22"/>
    </w:rPr>
  </w:style>
  <w:style w:type="paragraph" w:styleId="NormalWeb">
    <w:name w:val="Normal (Web)"/>
    <w:basedOn w:val="Normal"/>
    <w:uiPriority w:val="99"/>
    <w:semiHidden/>
    <w:unhideWhenUsed/>
    <w:rsid w:val="00685E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85E72"/>
    <w:rPr>
      <w:color w:val="605E5C"/>
      <w:shd w:val="clear" w:color="auto" w:fill="E1DFDD"/>
    </w:rPr>
  </w:style>
  <w:style w:type="paragraph" w:styleId="NoSpacing">
    <w:name w:val="No Spacing"/>
    <w:autoRedefine/>
    <w:uiPriority w:val="1"/>
    <w:qFormat/>
    <w:rsid w:val="00520CD5"/>
    <w:pPr>
      <w:spacing w:after="0" w:line="240" w:lineRule="auto"/>
    </w:pPr>
    <w:rPr>
      <w:rFonts w:ascii="Arial" w:hAnsi="Arial"/>
      <w:color w:val="000000" w:themeColor="text1"/>
      <w:sz w:val="22"/>
    </w:rPr>
  </w:style>
  <w:style w:type="character" w:styleId="SubtleReference">
    <w:name w:val="Subtle Reference"/>
    <w:basedOn w:val="DefaultParagraphFont"/>
    <w:uiPriority w:val="31"/>
    <w:qFormat/>
    <w:rsid w:val="00520CD5"/>
    <w:rPr>
      <w:rFonts w:ascii="Arial" w:hAnsi="Arial"/>
      <w:smallCaps/>
      <w:color w:val="0D0D0D" w:themeColor="text1" w:themeTint="F2"/>
    </w:rPr>
  </w:style>
  <w:style w:type="paragraph" w:styleId="Quote">
    <w:name w:val="Quote"/>
    <w:basedOn w:val="Normal"/>
    <w:next w:val="Normal"/>
    <w:link w:val="QuoteChar"/>
    <w:autoRedefine/>
    <w:uiPriority w:val="29"/>
    <w:qFormat/>
    <w:rsid w:val="00E530B1"/>
    <w:pPr>
      <w:spacing w:before="200" w:after="160"/>
      <w:ind w:left="864" w:right="864"/>
      <w:jc w:val="center"/>
    </w:pPr>
    <w:rPr>
      <w:i/>
      <w:iCs/>
    </w:rPr>
  </w:style>
  <w:style w:type="character" w:customStyle="1" w:styleId="QuoteChar">
    <w:name w:val="Quote Char"/>
    <w:basedOn w:val="DefaultParagraphFont"/>
    <w:link w:val="Quote"/>
    <w:uiPriority w:val="29"/>
    <w:rsid w:val="00E530B1"/>
    <w:rPr>
      <w:i/>
      <w:iCs/>
      <w:color w:val="000000" w:themeColor="text1"/>
      <w:sz w:val="22"/>
    </w:rPr>
  </w:style>
  <w:style w:type="character" w:styleId="SubtleEmphasis">
    <w:name w:val="Subtle Emphasis"/>
    <w:basedOn w:val="DefaultParagraphFont"/>
    <w:uiPriority w:val="19"/>
    <w:qFormat/>
    <w:rsid w:val="00520CD5"/>
    <w:rPr>
      <w:rFonts w:ascii="Arial" w:hAnsi="Arial"/>
      <w:i/>
      <w:iCs/>
      <w:color w:val="000000" w:themeColor="text1"/>
    </w:rPr>
  </w:style>
  <w:style w:type="character" w:styleId="IntenseEmphasis">
    <w:name w:val="Intense Emphasis"/>
    <w:basedOn w:val="DefaultParagraphFont"/>
    <w:uiPriority w:val="21"/>
    <w:qFormat/>
    <w:rsid w:val="00520CD5"/>
    <w:rPr>
      <w:rFonts w:ascii="Arial" w:hAnsi="Arial"/>
      <w:i/>
      <w:iCs/>
      <w:color w:val="auto"/>
    </w:rPr>
  </w:style>
  <w:style w:type="character" w:styleId="Emphasis">
    <w:name w:val="Emphasis"/>
    <w:basedOn w:val="DefaultParagraphFont"/>
    <w:uiPriority w:val="20"/>
    <w:qFormat/>
    <w:rsid w:val="00520CD5"/>
    <w:rPr>
      <w:rFonts w:ascii="Arial" w:hAnsi="Arial"/>
      <w:i/>
      <w:iCs/>
    </w:rPr>
  </w:style>
  <w:style w:type="character" w:styleId="IntenseReference">
    <w:name w:val="Intense Reference"/>
    <w:basedOn w:val="DefaultParagraphFont"/>
    <w:uiPriority w:val="32"/>
    <w:qFormat/>
    <w:rsid w:val="00520CD5"/>
    <w:rPr>
      <w:rFonts w:ascii="Arial" w:hAnsi="Arial"/>
      <w:b/>
      <w:bCs/>
      <w:smallCaps/>
      <w:color w:val="1F3864" w:themeColor="accent1" w:themeShade="80"/>
      <w:spacing w:val="5"/>
    </w:rPr>
  </w:style>
  <w:style w:type="character" w:styleId="BookTitle">
    <w:name w:val="Book Title"/>
    <w:basedOn w:val="DefaultParagraphFont"/>
    <w:uiPriority w:val="33"/>
    <w:qFormat/>
    <w:rsid w:val="00520CD5"/>
    <w:rPr>
      <w:rFonts w:ascii="Arial" w:hAnsi="Arial"/>
      <w:b/>
      <w:bCs/>
      <w:i/>
      <w:iCs/>
      <w:spacing w:val="5"/>
    </w:rPr>
  </w:style>
  <w:style w:type="paragraph" w:customStyle="1" w:styleId="Legislation">
    <w:name w:val="Legislation"/>
    <w:basedOn w:val="Normal"/>
    <w:qFormat/>
    <w:rsid w:val="004647AA"/>
    <w:pPr>
      <w:jc w:val="center"/>
    </w:pPr>
    <w:rPr>
      <w:i/>
      <w:color w:val="333F48"/>
    </w:rPr>
  </w:style>
  <w:style w:type="paragraph" w:customStyle="1" w:styleId="Legislation-list">
    <w:name w:val="Legislation-list"/>
    <w:basedOn w:val="Numberbullet0"/>
    <w:rsid w:val="004647AA"/>
    <w:pPr>
      <w:numPr>
        <w:numId w:val="6"/>
      </w:numPr>
      <w:jc w:val="center"/>
    </w:pPr>
    <w:rPr>
      <w:i/>
    </w:rPr>
  </w:style>
  <w:style w:type="paragraph" w:customStyle="1" w:styleId="StyleHeading410ptAuto">
    <w:name w:val="Style Heading 4 + 10 pt Auto"/>
    <w:basedOn w:val="Normal"/>
    <w:rsid w:val="008478D0"/>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0543">
      <w:bodyDiv w:val="1"/>
      <w:marLeft w:val="0"/>
      <w:marRight w:val="0"/>
      <w:marTop w:val="0"/>
      <w:marBottom w:val="0"/>
      <w:divBdr>
        <w:top w:val="none" w:sz="0" w:space="0" w:color="auto"/>
        <w:left w:val="none" w:sz="0" w:space="0" w:color="auto"/>
        <w:bottom w:val="none" w:sz="0" w:space="0" w:color="auto"/>
        <w:right w:val="none" w:sz="0" w:space="0" w:color="auto"/>
      </w:divBdr>
    </w:div>
    <w:div w:id="347871011">
      <w:bodyDiv w:val="1"/>
      <w:marLeft w:val="0"/>
      <w:marRight w:val="0"/>
      <w:marTop w:val="0"/>
      <w:marBottom w:val="0"/>
      <w:divBdr>
        <w:top w:val="none" w:sz="0" w:space="0" w:color="auto"/>
        <w:left w:val="none" w:sz="0" w:space="0" w:color="auto"/>
        <w:bottom w:val="none" w:sz="0" w:space="0" w:color="auto"/>
        <w:right w:val="none" w:sz="0" w:space="0" w:color="auto"/>
      </w:divBdr>
    </w:div>
    <w:div w:id="421605598">
      <w:bodyDiv w:val="1"/>
      <w:marLeft w:val="0"/>
      <w:marRight w:val="0"/>
      <w:marTop w:val="0"/>
      <w:marBottom w:val="0"/>
      <w:divBdr>
        <w:top w:val="none" w:sz="0" w:space="0" w:color="auto"/>
        <w:left w:val="none" w:sz="0" w:space="0" w:color="auto"/>
        <w:bottom w:val="none" w:sz="0" w:space="0" w:color="auto"/>
        <w:right w:val="none" w:sz="0" w:space="0" w:color="auto"/>
      </w:divBdr>
    </w:div>
    <w:div w:id="616718540">
      <w:bodyDiv w:val="1"/>
      <w:marLeft w:val="0"/>
      <w:marRight w:val="0"/>
      <w:marTop w:val="0"/>
      <w:marBottom w:val="0"/>
      <w:divBdr>
        <w:top w:val="none" w:sz="0" w:space="0" w:color="auto"/>
        <w:left w:val="none" w:sz="0" w:space="0" w:color="auto"/>
        <w:bottom w:val="none" w:sz="0" w:space="0" w:color="auto"/>
        <w:right w:val="none" w:sz="0" w:space="0" w:color="auto"/>
      </w:divBdr>
    </w:div>
    <w:div w:id="723219203">
      <w:bodyDiv w:val="1"/>
      <w:marLeft w:val="0"/>
      <w:marRight w:val="0"/>
      <w:marTop w:val="0"/>
      <w:marBottom w:val="0"/>
      <w:divBdr>
        <w:top w:val="none" w:sz="0" w:space="0" w:color="auto"/>
        <w:left w:val="none" w:sz="0" w:space="0" w:color="auto"/>
        <w:bottom w:val="none" w:sz="0" w:space="0" w:color="auto"/>
        <w:right w:val="none" w:sz="0" w:space="0" w:color="auto"/>
      </w:divBdr>
    </w:div>
    <w:div w:id="729427086">
      <w:bodyDiv w:val="1"/>
      <w:marLeft w:val="0"/>
      <w:marRight w:val="0"/>
      <w:marTop w:val="0"/>
      <w:marBottom w:val="0"/>
      <w:divBdr>
        <w:top w:val="none" w:sz="0" w:space="0" w:color="auto"/>
        <w:left w:val="none" w:sz="0" w:space="0" w:color="auto"/>
        <w:bottom w:val="none" w:sz="0" w:space="0" w:color="auto"/>
        <w:right w:val="none" w:sz="0" w:space="0" w:color="auto"/>
      </w:divBdr>
    </w:div>
    <w:div w:id="888685527">
      <w:bodyDiv w:val="1"/>
      <w:marLeft w:val="0"/>
      <w:marRight w:val="0"/>
      <w:marTop w:val="0"/>
      <w:marBottom w:val="0"/>
      <w:divBdr>
        <w:top w:val="none" w:sz="0" w:space="0" w:color="auto"/>
        <w:left w:val="none" w:sz="0" w:space="0" w:color="auto"/>
        <w:bottom w:val="none" w:sz="0" w:space="0" w:color="auto"/>
        <w:right w:val="none" w:sz="0" w:space="0" w:color="auto"/>
      </w:divBdr>
    </w:div>
    <w:div w:id="1207181011">
      <w:bodyDiv w:val="1"/>
      <w:marLeft w:val="0"/>
      <w:marRight w:val="0"/>
      <w:marTop w:val="0"/>
      <w:marBottom w:val="0"/>
      <w:divBdr>
        <w:top w:val="none" w:sz="0" w:space="0" w:color="auto"/>
        <w:left w:val="none" w:sz="0" w:space="0" w:color="auto"/>
        <w:bottom w:val="none" w:sz="0" w:space="0" w:color="auto"/>
        <w:right w:val="none" w:sz="0" w:space="0" w:color="auto"/>
      </w:divBdr>
    </w:div>
    <w:div w:id="1218854465">
      <w:bodyDiv w:val="1"/>
      <w:marLeft w:val="0"/>
      <w:marRight w:val="0"/>
      <w:marTop w:val="0"/>
      <w:marBottom w:val="0"/>
      <w:divBdr>
        <w:top w:val="none" w:sz="0" w:space="0" w:color="auto"/>
        <w:left w:val="none" w:sz="0" w:space="0" w:color="auto"/>
        <w:bottom w:val="none" w:sz="0" w:space="0" w:color="auto"/>
        <w:right w:val="none" w:sz="0" w:space="0" w:color="auto"/>
      </w:divBdr>
    </w:div>
    <w:div w:id="1531646909">
      <w:bodyDiv w:val="1"/>
      <w:marLeft w:val="0"/>
      <w:marRight w:val="0"/>
      <w:marTop w:val="0"/>
      <w:marBottom w:val="0"/>
      <w:divBdr>
        <w:top w:val="none" w:sz="0" w:space="0" w:color="auto"/>
        <w:left w:val="none" w:sz="0" w:space="0" w:color="auto"/>
        <w:bottom w:val="none" w:sz="0" w:space="0" w:color="auto"/>
        <w:right w:val="none" w:sz="0" w:space="0" w:color="auto"/>
      </w:divBdr>
    </w:div>
    <w:div w:id="1567833834">
      <w:bodyDiv w:val="1"/>
      <w:marLeft w:val="0"/>
      <w:marRight w:val="0"/>
      <w:marTop w:val="0"/>
      <w:marBottom w:val="0"/>
      <w:divBdr>
        <w:top w:val="none" w:sz="0" w:space="0" w:color="auto"/>
        <w:left w:val="none" w:sz="0" w:space="0" w:color="auto"/>
        <w:bottom w:val="none" w:sz="0" w:space="0" w:color="auto"/>
        <w:right w:val="none" w:sz="0" w:space="0" w:color="auto"/>
      </w:divBdr>
    </w:div>
    <w:div w:id="1619141667">
      <w:bodyDiv w:val="1"/>
      <w:marLeft w:val="0"/>
      <w:marRight w:val="0"/>
      <w:marTop w:val="0"/>
      <w:marBottom w:val="0"/>
      <w:divBdr>
        <w:top w:val="none" w:sz="0" w:space="0" w:color="auto"/>
        <w:left w:val="none" w:sz="0" w:space="0" w:color="auto"/>
        <w:bottom w:val="none" w:sz="0" w:space="0" w:color="auto"/>
        <w:right w:val="none" w:sz="0" w:space="0" w:color="auto"/>
      </w:divBdr>
    </w:div>
    <w:div w:id="1920670416">
      <w:bodyDiv w:val="1"/>
      <w:marLeft w:val="0"/>
      <w:marRight w:val="0"/>
      <w:marTop w:val="0"/>
      <w:marBottom w:val="0"/>
      <w:divBdr>
        <w:top w:val="none" w:sz="0" w:space="0" w:color="auto"/>
        <w:left w:val="none" w:sz="0" w:space="0" w:color="auto"/>
        <w:bottom w:val="none" w:sz="0" w:space="0" w:color="auto"/>
        <w:right w:val="none" w:sz="0" w:space="0" w:color="auto"/>
      </w:divBdr>
    </w:div>
    <w:div w:id="2083484940">
      <w:bodyDiv w:val="1"/>
      <w:marLeft w:val="0"/>
      <w:marRight w:val="0"/>
      <w:marTop w:val="0"/>
      <w:marBottom w:val="0"/>
      <w:divBdr>
        <w:top w:val="none" w:sz="0" w:space="0" w:color="auto"/>
        <w:left w:val="none" w:sz="0" w:space="0" w:color="auto"/>
        <w:bottom w:val="none" w:sz="0" w:space="0" w:color="auto"/>
        <w:right w:val="none" w:sz="0" w:space="0" w:color="auto"/>
      </w:divBdr>
    </w:div>
    <w:div w:id="21421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cessdata.fda.gov/scripts/cder/daf/index.cfm?event=BasicSearch.process" TargetMode="External"/><Relationship Id="rId21" Type="http://schemas.openxmlformats.org/officeDocument/2006/relationships/hyperlink" Target="https://www.tga.gov.au/committee/advisory-committee-chemicals-scheduling-accs" TargetMode="External"/><Relationship Id="rId42" Type="http://schemas.openxmlformats.org/officeDocument/2006/relationships/hyperlink" Target="https://www.legislation.gov.au/Details/F2021L01888" TargetMode="External"/><Relationship Id="rId63" Type="http://schemas.openxmlformats.org/officeDocument/2006/relationships/hyperlink" Target="https://apps.tga.gov.au/Prod/daen/daen-entry.aspx" TargetMode="External"/><Relationship Id="rId84" Type="http://schemas.openxmlformats.org/officeDocument/2006/relationships/hyperlink" Target="https://health-products.canada.ca/dpd-bdpp/index-eng.jsp" TargetMode="External"/><Relationship Id="rId16" Type="http://schemas.openxmlformats.org/officeDocument/2006/relationships/hyperlink" Target="https://www.tga.gov.au/committee/advisory-committee-medicines-scheduling-acms" TargetMode="External"/><Relationship Id="rId107" Type="http://schemas.openxmlformats.org/officeDocument/2006/relationships/hyperlink" Target="https://www.tga.gov.au/artg" TargetMode="External"/><Relationship Id="rId11" Type="http://schemas.openxmlformats.org/officeDocument/2006/relationships/footer" Target="footer2.xml"/><Relationship Id="rId32" Type="http://schemas.openxmlformats.org/officeDocument/2006/relationships/hyperlink" Target="https://cdnservices.industrialchemicals.gov.au/statements/IMAP_1212%20-%20IMAP%20Assessment%20-%2028%20June%202019.pdf" TargetMode="External"/><Relationship Id="rId37" Type="http://schemas.openxmlformats.org/officeDocument/2006/relationships/hyperlink" Target="https://www.medicines.org.uk/emc" TargetMode="External"/><Relationship Id="rId53" Type="http://schemas.openxmlformats.org/officeDocument/2006/relationships/hyperlink" Target="https://www.hpra.ie/" TargetMode="External"/><Relationship Id="rId58" Type="http://schemas.openxmlformats.org/officeDocument/2006/relationships/hyperlink" Target="https://www.ebs.tga.gov.au/" TargetMode="External"/><Relationship Id="rId74" Type="http://schemas.openxmlformats.org/officeDocument/2006/relationships/hyperlink" Target="https://www.tga.gov.au/artg" TargetMode="External"/><Relationship Id="rId79" Type="http://schemas.openxmlformats.org/officeDocument/2006/relationships/hyperlink" Target="https://apvma.gov.au/node/10946" TargetMode="External"/><Relationship Id="rId102" Type="http://schemas.openxmlformats.org/officeDocument/2006/relationships/hyperlink" Target="https://ec.europa.eu/transparency/regcomitology/index.cfm?do=Search.archive&amp;reset=1" TargetMode="External"/><Relationship Id="rId123" Type="http://schemas.openxmlformats.org/officeDocument/2006/relationships/hyperlink" Target="https://health-products.canada.ca/dpd-bdpp/" TargetMode="External"/><Relationship Id="rId128" Type="http://schemas.openxmlformats.org/officeDocument/2006/relationships/hyperlink" Target="https://www.tga.gov.au/resources/resource/forms/scheduling-consultation-coversheets" TargetMode="External"/><Relationship Id="rId5" Type="http://schemas.openxmlformats.org/officeDocument/2006/relationships/webSettings" Target="webSettings.xml"/><Relationship Id="rId90" Type="http://schemas.openxmlformats.org/officeDocument/2006/relationships/hyperlink" Target="https://apps.tga.gov.au/Prod/daen/daen-entry.aspx" TargetMode="External"/><Relationship Id="rId95" Type="http://schemas.openxmlformats.org/officeDocument/2006/relationships/hyperlink" Target="https://ordspub.epa.gov/ords/pesticides/f?p=CHEMICALSEARCH:3::::21,3,31,7,12,25:P3_XCHEMICAL_ID:3187" TargetMode="External"/><Relationship Id="rId22" Type="http://schemas.openxmlformats.org/officeDocument/2006/relationships/hyperlink" Target="mailto:medicines.scheduling@health.gov.au" TargetMode="External"/><Relationship Id="rId27" Type="http://schemas.openxmlformats.org/officeDocument/2006/relationships/hyperlink" Target="https://www.legislation.gov.au/Details/F2021L01888" TargetMode="External"/><Relationship Id="rId43" Type="http://schemas.openxmlformats.org/officeDocument/2006/relationships/hyperlink" Target="https://apps.tga.gov.au/Prod/daen/daen-entry.aspx" TargetMode="External"/><Relationship Id="rId48" Type="http://schemas.openxmlformats.org/officeDocument/2006/relationships/hyperlink" Target="https://www.ema.europa.eu/en/homepage" TargetMode="External"/><Relationship Id="rId64" Type="http://schemas.openxmlformats.org/officeDocument/2006/relationships/hyperlink" Target="https://portal.apvma.gov.au/pubcris" TargetMode="External"/><Relationship Id="rId69" Type="http://schemas.openxmlformats.org/officeDocument/2006/relationships/hyperlink" Target="https://ec.europa.eu/growth/tools-databases/cosing/" TargetMode="External"/><Relationship Id="rId113" Type="http://schemas.openxmlformats.org/officeDocument/2006/relationships/hyperlink" Target="https://apvma.gov.au/node/10946" TargetMode="External"/><Relationship Id="rId118" Type="http://schemas.openxmlformats.org/officeDocument/2006/relationships/hyperlink" Target="https://echa.europa.eu/brief-profile/-/briefprofile/100.004.199" TargetMode="External"/><Relationship Id="rId134" Type="http://schemas.openxmlformats.org/officeDocument/2006/relationships/header" Target="header5.xml"/><Relationship Id="rId80" Type="http://schemas.openxmlformats.org/officeDocument/2006/relationships/hyperlink" Target="https://www.wada-ama.org/sites/default/files/2024-09/2025list_en_final_clean_12_september_2024.pdf" TargetMode="External"/><Relationship Id="rId85" Type="http://schemas.openxmlformats.org/officeDocument/2006/relationships/hyperlink" Target="https://www.ebs.tga.gov.au/" TargetMode="External"/><Relationship Id="rId12" Type="http://schemas.openxmlformats.org/officeDocument/2006/relationships/header" Target="header3.xml"/><Relationship Id="rId17" Type="http://schemas.openxmlformats.org/officeDocument/2006/relationships/hyperlink" Target="https://www.tga.gov.au/committee/advisory-committee-chemicals-scheduling-accs" TargetMode="External"/><Relationship Id="rId33" Type="http://schemas.openxmlformats.org/officeDocument/2006/relationships/hyperlink" Target="https://health-products.canada.ca/dpd-bdpp/" TargetMode="External"/><Relationship Id="rId38" Type="http://schemas.openxmlformats.org/officeDocument/2006/relationships/hyperlink" Target="https://www.ebs.tga.gov.au/" TargetMode="External"/><Relationship Id="rId59" Type="http://schemas.openxmlformats.org/officeDocument/2006/relationships/hyperlink" Target="https://www.tga.gov.au/artg" TargetMode="External"/><Relationship Id="rId103" Type="http://schemas.openxmlformats.org/officeDocument/2006/relationships/hyperlink" Target="https://www.medsafe.govt.nz/profs/class/classintro.asp" TargetMode="External"/><Relationship Id="rId108" Type="http://schemas.openxmlformats.org/officeDocument/2006/relationships/hyperlink" Target="https://www.legislation.gov.au/Search/Therapeutic%20Goods%20$LB$Permissible%20Ingredients$RB$%20Determination" TargetMode="External"/><Relationship Id="rId124" Type="http://schemas.openxmlformats.org/officeDocument/2006/relationships/hyperlink" Target="https://consultations.tga.gov.au/" TargetMode="External"/><Relationship Id="rId129" Type="http://schemas.openxmlformats.org/officeDocument/2006/relationships/header" Target="header4.xml"/><Relationship Id="rId54" Type="http://schemas.openxmlformats.org/officeDocument/2006/relationships/hyperlink" Target="https://www.fda.gov/drugs/postmarket-drug-safety-information-patients-and-providers/ipledge-risk-evaluation-and-mitigation-strategy-rems" TargetMode="External"/><Relationship Id="rId70" Type="http://schemas.openxmlformats.org/officeDocument/2006/relationships/hyperlink" Target="https://echa.europa.eu/search-for-chemicals" TargetMode="External"/><Relationship Id="rId75" Type="http://schemas.openxmlformats.org/officeDocument/2006/relationships/hyperlink" Target="https://www.legislation.gov.au/F2025L00683/latest/text" TargetMode="External"/><Relationship Id="rId91" Type="http://schemas.openxmlformats.org/officeDocument/2006/relationships/hyperlink" Target="https://portal.apvma.gov.au/pubcris" TargetMode="External"/><Relationship Id="rId96" Type="http://schemas.openxmlformats.org/officeDocument/2006/relationships/hyperlink" Target="https://ec.europa.eu/growth/tools-databases/cosing/details/3576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bs.tga.gov.au/" TargetMode="External"/><Relationship Id="rId28" Type="http://schemas.openxmlformats.org/officeDocument/2006/relationships/hyperlink" Target="https://apps.tga.gov.au/Prod/daen/daen-entry.aspx" TargetMode="External"/><Relationship Id="rId49" Type="http://schemas.openxmlformats.org/officeDocument/2006/relationships/hyperlink" Target="https://echa.europa.eu/search-for-chemicals" TargetMode="External"/><Relationship Id="rId114" Type="http://schemas.openxmlformats.org/officeDocument/2006/relationships/hyperlink" Target="https://services.industrialchemicals.gov.au/search-inventory/" TargetMode="External"/><Relationship Id="rId119" Type="http://schemas.openxmlformats.org/officeDocument/2006/relationships/hyperlink" Target="https://www.echa.europa.eu/web/guest/cosmetics-prohibited-substances?p_p_id=eucleflegislationlist_WAR_euclefportlet&amp;p_p_lifecycle=1&amp;p_p_state=normal&amp;p_p_mode=view&amp;_eucleflegislationlist_WAR_euclefportlet_javax.portlet.action=searchLegislationLists" TargetMode="External"/><Relationship Id="rId44" Type="http://schemas.openxmlformats.org/officeDocument/2006/relationships/hyperlink" Target="https://portal.apvma.gov.au/pubcris" TargetMode="External"/><Relationship Id="rId60" Type="http://schemas.openxmlformats.org/officeDocument/2006/relationships/hyperlink" Target="https://www.legislation.gov.au/Search/Therapeutic%20Goods%20$LB$Permissible%20Ingredients$RB$%20Determination" TargetMode="External"/><Relationship Id="rId65" Type="http://schemas.openxmlformats.org/officeDocument/2006/relationships/hyperlink" Target="https://services.industrialchemicals.gov.au/search-inventory/" TargetMode="External"/><Relationship Id="rId81" Type="http://schemas.openxmlformats.org/officeDocument/2006/relationships/hyperlink" Target="https://www.accessdata.fda.gov/scripts/cder/daf/" TargetMode="External"/><Relationship Id="rId86" Type="http://schemas.openxmlformats.org/officeDocument/2006/relationships/hyperlink" Target="https://www.tga.gov.au/artg" TargetMode="External"/><Relationship Id="rId130" Type="http://schemas.openxmlformats.org/officeDocument/2006/relationships/footer" Target="footer4.xml"/><Relationship Id="rId135" Type="http://schemas.openxmlformats.org/officeDocument/2006/relationships/footer" Target="footer5.xml"/><Relationship Id="rId13" Type="http://schemas.openxmlformats.org/officeDocument/2006/relationships/footer" Target="footer3.xml"/><Relationship Id="rId18" Type="http://schemas.openxmlformats.org/officeDocument/2006/relationships/hyperlink" Target="mailto:medicines.scheduling@health.gov.au" TargetMode="External"/><Relationship Id="rId39" Type="http://schemas.openxmlformats.org/officeDocument/2006/relationships/hyperlink" Target="https://www.tga.gov.au/artg" TargetMode="External"/><Relationship Id="rId109" Type="http://schemas.openxmlformats.org/officeDocument/2006/relationships/hyperlink" Target="https://www.tga.gov.au/prescribing-medicines-pregnancy-database" TargetMode="External"/><Relationship Id="rId34" Type="http://schemas.openxmlformats.org/officeDocument/2006/relationships/hyperlink" Target="https://www.medsafe.govt.nz/profs/class/classintro.asp" TargetMode="External"/><Relationship Id="rId50" Type="http://schemas.openxmlformats.org/officeDocument/2006/relationships/hyperlink" Target="https://ec.europa.eu/growth/tools-databases/cosing/" TargetMode="External"/><Relationship Id="rId55" Type="http://schemas.openxmlformats.org/officeDocument/2006/relationships/hyperlink" Target="https://www.accessdata.fda.gov/scripts/cder/ob/index.cfm" TargetMode="External"/><Relationship Id="rId76" Type="http://schemas.openxmlformats.org/officeDocument/2006/relationships/hyperlink" Target="https://www.tga.gov.au/prescribing-medicines-pregnancy-database" TargetMode="External"/><Relationship Id="rId97" Type="http://schemas.openxmlformats.org/officeDocument/2006/relationships/hyperlink" Target="https://echa.europa.eu/substance-information/-/substanceinfo/100.005.123" TargetMode="External"/><Relationship Id="rId104" Type="http://schemas.openxmlformats.org/officeDocument/2006/relationships/hyperlink" Target="https://www.accessdata.fda.gov/scripts/cder/ob/index.cfm" TargetMode="External"/><Relationship Id="rId120" Type="http://schemas.openxmlformats.org/officeDocument/2006/relationships/hyperlink" Target="https://ec.europa.eu/growth/tools-databases/cosing/details/76687" TargetMode="External"/><Relationship Id="rId125" Type="http://schemas.openxmlformats.org/officeDocument/2006/relationships/hyperlink" Target="https://www.tga.gov.au/about-tga/advisory-bodies-and-committees/advisory-committee-medicines-scheduling-acms" TargetMode="External"/><Relationship Id="rId7" Type="http://schemas.openxmlformats.org/officeDocument/2006/relationships/endnotes" Target="endnotes.xml"/><Relationship Id="rId71" Type="http://schemas.openxmlformats.org/officeDocument/2006/relationships/hyperlink" Target="https://www.medsafe.govt.nz/profs/class/classintro.asp" TargetMode="External"/><Relationship Id="rId92" Type="http://schemas.openxmlformats.org/officeDocument/2006/relationships/hyperlink" Target="https://apvma.gov.au/node/10946" TargetMode="External"/><Relationship Id="rId2" Type="http://schemas.openxmlformats.org/officeDocument/2006/relationships/numbering" Target="numbering.xml"/><Relationship Id="rId29" Type="http://schemas.openxmlformats.org/officeDocument/2006/relationships/hyperlink" Target="https://portal.apvma.gov.au/pubcris" TargetMode="External"/><Relationship Id="rId24" Type="http://schemas.openxmlformats.org/officeDocument/2006/relationships/hyperlink" Target="https://www.tga.gov.au/artg" TargetMode="External"/><Relationship Id="rId40" Type="http://schemas.openxmlformats.org/officeDocument/2006/relationships/hyperlink" Target="https://www.legislation.gov.au/F2025L00683/latest/text" TargetMode="External"/><Relationship Id="rId45" Type="http://schemas.openxmlformats.org/officeDocument/2006/relationships/hyperlink" Target="https://services.industrialchemicals.gov.au/search-inventory/" TargetMode="External"/><Relationship Id="rId66" Type="http://schemas.openxmlformats.org/officeDocument/2006/relationships/hyperlink" Target="https://www.accessdata.fda.gov/scripts/cder/daf/" TargetMode="External"/><Relationship Id="rId87" Type="http://schemas.openxmlformats.org/officeDocument/2006/relationships/hyperlink" Target="https://www.legislation.gov.au/Search/Therapeutic%20Goods%20$LB$Permissible%20Ingredients$RB$%20Determination" TargetMode="External"/><Relationship Id="rId110" Type="http://schemas.openxmlformats.org/officeDocument/2006/relationships/hyperlink" Target="https://www.legislation.gov.au/Details/F2021L01888" TargetMode="External"/><Relationship Id="rId115" Type="http://schemas.openxmlformats.org/officeDocument/2006/relationships/hyperlink" Target="https://cdnservices.industrialchemicals.gov.au/statements/EVA00106%20-%20Evaluation%20Statement%20-%2022%20December%202022.pdf" TargetMode="External"/><Relationship Id="rId131" Type="http://schemas.openxmlformats.org/officeDocument/2006/relationships/hyperlink" Target="https://www.tga.gov.au/resources/publication/scheduling-decisions-interim" TargetMode="External"/><Relationship Id="rId136" Type="http://schemas.openxmlformats.org/officeDocument/2006/relationships/fontTable" Target="fontTable.xml"/><Relationship Id="rId61" Type="http://schemas.openxmlformats.org/officeDocument/2006/relationships/hyperlink" Target="https://www.tga.gov.au/prescribing-medicines-pregnancy-database" TargetMode="External"/><Relationship Id="rId82" Type="http://schemas.openxmlformats.org/officeDocument/2006/relationships/hyperlink" Target="https://ec.europa.eu/health/documents/community-register/html/reg_index_inn.htm" TargetMode="External"/><Relationship Id="rId19" Type="http://schemas.openxmlformats.org/officeDocument/2006/relationships/hyperlink" Target="https://consultations.tga.gov.au/" TargetMode="External"/><Relationship Id="rId14" Type="http://schemas.openxmlformats.org/officeDocument/2006/relationships/hyperlink" Target="mailto:tga.copyright@tga.gov.au" TargetMode="External"/><Relationship Id="rId30" Type="http://schemas.openxmlformats.org/officeDocument/2006/relationships/hyperlink" Target="https://apvma.gov.au/node/10946" TargetMode="External"/><Relationship Id="rId35" Type="http://schemas.openxmlformats.org/officeDocument/2006/relationships/hyperlink" Target="https://www.accessdata.fda.gov/scripts/cder/ob/index.cfm" TargetMode="External"/><Relationship Id="rId56" Type="http://schemas.openxmlformats.org/officeDocument/2006/relationships/hyperlink" Target="https://www.accessdata.fda.gov/scripts/cder/daf/" TargetMode="External"/><Relationship Id="rId77" Type="http://schemas.openxmlformats.org/officeDocument/2006/relationships/hyperlink" Target="https://www.legislation.gov.au/Details/F2021L01888" TargetMode="External"/><Relationship Id="rId100" Type="http://schemas.openxmlformats.org/officeDocument/2006/relationships/hyperlink" Target="https://www.epa.govt.nz/database-search/new-zealand-inventory-of-chemicals-nzioc/view/FC858637-B53D-4F4A-93EB-96F0A2DEBFBB/" TargetMode="External"/><Relationship Id="rId105" Type="http://schemas.openxmlformats.org/officeDocument/2006/relationships/hyperlink" Target="https://health-products.canada.ca/dpd-bdpp/dispatch-repartition" TargetMode="External"/><Relationship Id="rId126" Type="http://schemas.openxmlformats.org/officeDocument/2006/relationships/hyperlink" Target="https://www.tga.gov.au/about-tga/advisory-bodies-and-committees/advisory-committee-chemicals-scheduling-accs" TargetMode="External"/><Relationship Id="rId8" Type="http://schemas.openxmlformats.org/officeDocument/2006/relationships/header" Target="header1.xml"/><Relationship Id="rId51" Type="http://schemas.openxmlformats.org/officeDocument/2006/relationships/hyperlink" Target="https://ec.europa.eu/growth/tools-databases/cosing/details/95801" TargetMode="External"/><Relationship Id="rId72" Type="http://schemas.openxmlformats.org/officeDocument/2006/relationships/hyperlink" Target="https://www.wada-ama.org/sites/default/files/2024-09/2025list_en_final_clean_12_september_2024.pdf" TargetMode="External"/><Relationship Id="rId93" Type="http://schemas.openxmlformats.org/officeDocument/2006/relationships/hyperlink" Target="https://services.industrialchemicals.gov.au/search-inventory/" TargetMode="External"/><Relationship Id="rId98" Type="http://schemas.openxmlformats.org/officeDocument/2006/relationships/hyperlink" Target="https://asean.org/wp-content/uploads/2023/08/Annex-III_Release_5-Jun-2023.pdf" TargetMode="External"/><Relationship Id="rId121" Type="http://schemas.openxmlformats.org/officeDocument/2006/relationships/hyperlink" Target="https://www.epa.govt.nz/database-search/new-zealand-inventory-of-chemicals-nzioc/view/37843161-571D-4EA2-B533-6DF01731FA74/" TargetMode="External"/><Relationship Id="rId3" Type="http://schemas.openxmlformats.org/officeDocument/2006/relationships/styles" Target="styles.xml"/><Relationship Id="rId25" Type="http://schemas.openxmlformats.org/officeDocument/2006/relationships/hyperlink" Target="https://www.legislation.gov.au/Search/Therapeutic%20Goods%20$LB$Permissible%20Ingredients$RB$%20Determination" TargetMode="External"/><Relationship Id="rId46" Type="http://schemas.openxmlformats.org/officeDocument/2006/relationships/hyperlink" Target="https://www.napra.ca/national-drug-schedules/?_nds_drug_name=epinephrine" TargetMode="External"/><Relationship Id="rId67" Type="http://schemas.openxmlformats.org/officeDocument/2006/relationships/hyperlink" Target="https://www.accessdata.fda.gov/scripts/cder/ob/index.cfm" TargetMode="External"/><Relationship Id="rId116" Type="http://schemas.openxmlformats.org/officeDocument/2006/relationships/hyperlink" Target="https://www.accessdata.fda.gov/scripts/cder/ob/search_product.cfm" TargetMode="External"/><Relationship Id="rId137" Type="http://schemas.openxmlformats.org/officeDocument/2006/relationships/theme" Target="theme/theme1.xml"/><Relationship Id="rId20" Type="http://schemas.openxmlformats.org/officeDocument/2006/relationships/hyperlink" Target="https://www.tga.gov.au/committee/advisory-committee-medicines-scheduling-acms" TargetMode="External"/><Relationship Id="rId41" Type="http://schemas.openxmlformats.org/officeDocument/2006/relationships/hyperlink" Target="https://www.tga.gov.au/prescribing-medicines-pregnancy-database" TargetMode="External"/><Relationship Id="rId62" Type="http://schemas.openxmlformats.org/officeDocument/2006/relationships/hyperlink" Target="https://www.legislation.gov.au/Details/F2021L01888" TargetMode="External"/><Relationship Id="rId83" Type="http://schemas.openxmlformats.org/officeDocument/2006/relationships/hyperlink" Target="https://www.medsafe.govt.nz/profs/class/classintro.asp" TargetMode="External"/><Relationship Id="rId88" Type="http://schemas.openxmlformats.org/officeDocument/2006/relationships/hyperlink" Target="https://www.tga.gov.au/prescribing-medicines-pregnancy-database" TargetMode="External"/><Relationship Id="rId111" Type="http://schemas.openxmlformats.org/officeDocument/2006/relationships/hyperlink" Target="https://daen.tga.gov.au/medicines-terms-condition/" TargetMode="External"/><Relationship Id="rId132" Type="http://schemas.openxmlformats.org/officeDocument/2006/relationships/hyperlink" Target="mailto:info@tga.gov.au" TargetMode="External"/><Relationship Id="rId15" Type="http://schemas.openxmlformats.org/officeDocument/2006/relationships/hyperlink" Target="https://consultations.tga.gov.au/" TargetMode="External"/><Relationship Id="rId36" Type="http://schemas.openxmlformats.org/officeDocument/2006/relationships/hyperlink" Target="https://www.hpra.ie/" TargetMode="External"/><Relationship Id="rId57" Type="http://schemas.openxmlformats.org/officeDocument/2006/relationships/hyperlink" Target="https://www.medsafe.govt.nz/profs/class/classintro.asp" TargetMode="External"/><Relationship Id="rId106" Type="http://schemas.openxmlformats.org/officeDocument/2006/relationships/hyperlink" Target="https://www.ebs.tga.gov.au/" TargetMode="External"/><Relationship Id="rId127" Type="http://schemas.openxmlformats.org/officeDocument/2006/relationships/hyperlink" Target="https://www.tga.gov.au/resources/publication/scheduling-submissions" TargetMode="External"/><Relationship Id="rId10" Type="http://schemas.openxmlformats.org/officeDocument/2006/relationships/footer" Target="footer1.xml"/><Relationship Id="rId31" Type="http://schemas.openxmlformats.org/officeDocument/2006/relationships/hyperlink" Target="https://services.industrialchemicals.gov.au/search-inventory/" TargetMode="External"/><Relationship Id="rId52" Type="http://schemas.openxmlformats.org/officeDocument/2006/relationships/hyperlink" Target="https://www.medicines.org.uk/emc" TargetMode="External"/><Relationship Id="rId73" Type="http://schemas.openxmlformats.org/officeDocument/2006/relationships/hyperlink" Target="https://www.ebs.tga.gov.au/" TargetMode="External"/><Relationship Id="rId78" Type="http://schemas.openxmlformats.org/officeDocument/2006/relationships/hyperlink" Target="https://apps.tga.gov.au/Prod/daen/daen-entry.aspx" TargetMode="External"/><Relationship Id="rId94" Type="http://schemas.openxmlformats.org/officeDocument/2006/relationships/hyperlink" Target="https://cdnservices.industrialchemicals.gov.au/statements/IMAP_1181%20-%20IMAP%20Assessment%20-%2018%20September%202014.pdf" TargetMode="External"/><Relationship Id="rId99" Type="http://schemas.openxmlformats.org/officeDocument/2006/relationships/hyperlink" Target="https://www.echa.europa.eu/web/guest/cosmetics-restricted-substances/-/legislationlist/details/EU-COSM_PROD-ANX_III_RESTRIC-100.005.123-VSK-598416" TargetMode="External"/><Relationship Id="rId101" Type="http://schemas.openxmlformats.org/officeDocument/2006/relationships/hyperlink" Target="https://www.epa.govt.nz/assets/FileAPI/hsno-ar/APP204297/Cosmetic-Products-Group-Standard-2020-consolidated-and-effective-1-January-2026.pdf" TargetMode="External"/><Relationship Id="rId122" Type="http://schemas.openxmlformats.org/officeDocument/2006/relationships/hyperlink" Target="https://www.medsafe.govt.nz/profs/class/classintro.asp"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www.tga.gov.au/prescribing-medicines-pregnancy-database" TargetMode="External"/><Relationship Id="rId47" Type="http://schemas.openxmlformats.org/officeDocument/2006/relationships/hyperlink" Target="https://health-products.canada.ca/dpd-bdpp/" TargetMode="External"/><Relationship Id="rId68" Type="http://schemas.openxmlformats.org/officeDocument/2006/relationships/hyperlink" Target="https://health-products.canada.ca/dpd-bdpp/" TargetMode="External"/><Relationship Id="rId89" Type="http://schemas.openxmlformats.org/officeDocument/2006/relationships/hyperlink" Target="https://www.legislation.gov.au/Details/F2021L01888" TargetMode="External"/><Relationship Id="rId112" Type="http://schemas.openxmlformats.org/officeDocument/2006/relationships/hyperlink" Target="https://portal.apvma.gov.au/pubcris" TargetMode="External"/><Relationship Id="rId133"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linicaltrials.eu/trial/study-on-efepoetin-alfa-and-darbepoetin-alfa-for-treating-anemia-in-patients-with-chronic-kidney-disease-on-dialysis/" TargetMode="External"/><Relationship Id="rId3" Type="http://schemas.openxmlformats.org/officeDocument/2006/relationships/hyperlink" Target="https://doi.org/10.1111/j.1468-3083.2006.01671.x" TargetMode="External"/><Relationship Id="rId7" Type="http://schemas.openxmlformats.org/officeDocument/2006/relationships/hyperlink" Target="https://www.clinicaltrials.gov/study/NCT06466785?spons=COVERAGE%5BFullMatch%5DEXPANSION%5BNone%5D(%22Genexine,%20Inc.%22)&amp;viewType=Table&amp;rank=4" TargetMode="External"/><Relationship Id="rId2" Type="http://schemas.openxmlformats.org/officeDocument/2006/relationships/hyperlink" Target="http://dx.doi.org/10.1007/978-3-540-69375-8_62" TargetMode="External"/><Relationship Id="rId1" Type="http://schemas.openxmlformats.org/officeDocument/2006/relationships/hyperlink" Target="https://www.ema.europa.eu/en/documents/psusa/isotretinoin-oral-formulations-list-nationally-authorised-medicinal-products-psusa-00010488-202405_en.pdf" TargetMode="External"/><Relationship Id="rId6" Type="http://schemas.openxmlformats.org/officeDocument/2006/relationships/hyperlink" Target="http://www.genexine.com/en/news-media/press-releases/792" TargetMode="External"/><Relationship Id="rId5" Type="http://schemas.openxmlformats.org/officeDocument/2006/relationships/hyperlink" Target="https://doi.org/10.1111/nep.70046" TargetMode="External"/><Relationship Id="rId4" Type="http://schemas.openxmlformats.org/officeDocument/2006/relationships/hyperlink" Target="https://www.gov.uk/drug-safety-update/isotretinoin-for-severe-acne-who-should-prescribe-it" TargetMode="External"/><Relationship Id="rId9" Type="http://schemas.openxmlformats.org/officeDocument/2006/relationships/hyperlink" Target="https://www.fda.gov/drugs/drug-safety-and-availability/fda-works-protect-consumers-potentially-harmful-otc-skin-lightening-product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Q\AppData\Roaming\Micro%20focus\content%20manager\TRIM\TEMP\HPTRIM.15200\D25-1412300%20%20Template%20-%20Pre-meeting%20public%20notice%20-%20May%20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8CBC-B2FD-424B-98E3-6D577660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D25-1412300  Template - Pre-meeting public notice - May 2024.DOTM</Template>
  <TotalTime>9286</TotalTime>
  <Pages>30</Pages>
  <Words>10910</Words>
  <Characters>63721</Characters>
  <Application>Microsoft Office Word</Application>
  <DocSecurity>0</DocSecurity>
  <Lines>1385</Lines>
  <Paragraphs>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Quinn</dc:creator>
  <cp:keywords/>
  <dc:description/>
  <cp:lastModifiedBy>CHAKRABARTI, Apratim</cp:lastModifiedBy>
  <cp:revision>67</cp:revision>
  <dcterms:created xsi:type="dcterms:W3CDTF">2025-08-25T06:28:00Z</dcterms:created>
  <dcterms:modified xsi:type="dcterms:W3CDTF">2025-09-18T01:53:00Z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555d6c0f,53cb55da,3817bde5,272fe8a1,1410863b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2c62cb37,bbdb51,5be96fc8,1f30027b,69dad94e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2025-09-01T03:27:18Z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f6620e9e-ae90-4e20-86de-5b3fda8be3a3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