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66C7" w14:textId="5F50F6CD" w:rsidR="00A573A4" w:rsidRDefault="00A573A4" w:rsidP="00A573A4">
      <w:pPr>
        <w:pStyle w:val="Title"/>
      </w:pPr>
      <w:bookmarkStart w:id="0" w:name="_Hlk202176249"/>
      <w:r w:rsidRPr="00C417B6">
        <w:t>Consultation: Proposed amendments to the Poisons Standard</w:t>
      </w:r>
      <w:r>
        <w:t xml:space="preserve"> in relation to </w:t>
      </w:r>
      <w:proofErr w:type="spellStart"/>
      <w:r>
        <w:t>homosalate</w:t>
      </w:r>
      <w:proofErr w:type="spellEnd"/>
      <w:r>
        <w:t>, oxybenzone and benzophenone</w:t>
      </w:r>
      <w:r w:rsidR="0088597F">
        <w:t xml:space="preserve"> </w:t>
      </w:r>
      <w:r w:rsidRPr="00C417B6">
        <w:t>–</w:t>
      </w:r>
      <w:r>
        <w:t xml:space="preserve"> </w:t>
      </w:r>
      <w:r w:rsidRPr="00C417B6">
        <w:t xml:space="preserve">Joint ACMS-ACCS </w:t>
      </w:r>
      <w:r w:rsidRPr="00410C29">
        <w:t>#4</w:t>
      </w:r>
      <w:r>
        <w:t>1</w:t>
      </w:r>
      <w:r w:rsidRPr="00C417B6">
        <w:t xml:space="preserve"> meeting, </w:t>
      </w:r>
      <w:r>
        <w:t>September</w:t>
      </w:r>
      <w:r w:rsidRPr="00C417B6">
        <w:t xml:space="preserve"> 20</w:t>
      </w:r>
      <w:r>
        <w:t>25</w:t>
      </w:r>
    </w:p>
    <w:bookmarkEnd w:id="0"/>
    <w:p w14:paraId="2D36CB97" w14:textId="1AEFBA65" w:rsidR="00A573A4" w:rsidRDefault="0088597F" w:rsidP="00A573A4">
      <w:pPr>
        <w:numPr>
          <w:ilvl w:val="1"/>
          <w:numId w:val="0"/>
        </w:numPr>
        <w:spacing w:after="0" w:line="240" w:lineRule="atLeast"/>
        <w:rPr>
          <w:rFonts w:eastAsia="Times New Roman" w:cs="Times New Roman"/>
          <w:bCs/>
          <w:iCs/>
          <w:color w:val="006BA6"/>
          <w:sz w:val="40"/>
          <w:szCs w:val="24"/>
        </w:rPr>
      </w:pPr>
      <w:r>
        <w:rPr>
          <w:rFonts w:eastAsia="Times New Roman" w:cs="Times New Roman"/>
          <w:bCs/>
          <w:iCs/>
          <w:color w:val="006BA6"/>
          <w:sz w:val="40"/>
          <w:szCs w:val="24"/>
        </w:rPr>
        <w:t>8</w:t>
      </w:r>
      <w:r w:rsidR="00A573A4" w:rsidRPr="00623A83">
        <w:rPr>
          <w:rFonts w:eastAsia="Times New Roman" w:cs="Times New Roman"/>
          <w:bCs/>
          <w:iCs/>
          <w:color w:val="006BA6"/>
          <w:sz w:val="40"/>
          <w:szCs w:val="24"/>
        </w:rPr>
        <w:t xml:space="preserve"> July 2025</w:t>
      </w:r>
    </w:p>
    <w:p w14:paraId="2A2D3DE4" w14:textId="77777777" w:rsidR="00A573A4" w:rsidRDefault="00A573A4" w:rsidP="00A573A4"/>
    <w:p w14:paraId="24AC2C18" w14:textId="77777777" w:rsidR="00A573A4" w:rsidRPr="009401F6" w:rsidRDefault="00A573A4" w:rsidP="00A573A4">
      <w:pPr>
        <w:rPr>
          <w:lang w:eastAsia="en-AU"/>
        </w:rPr>
        <w:sectPr w:rsidR="00A573A4" w:rsidRPr="009401F6" w:rsidSect="00A573A4">
          <w:headerReference w:type="default" r:id="rId11"/>
          <w:footerReference w:type="default" r:id="rId12"/>
          <w:headerReference w:type="first" r:id="rId13"/>
          <w:footerReference w:type="first" r:id="rId14"/>
          <w:pgSz w:w="11906" w:h="16838" w:code="9"/>
          <w:pgMar w:top="2268" w:right="1701" w:bottom="567" w:left="1701" w:header="1134" w:footer="788" w:gutter="0"/>
          <w:cols w:space="708"/>
          <w:titlePg/>
          <w:docGrid w:linePitch="360"/>
        </w:sectPr>
      </w:pPr>
    </w:p>
    <w:p w14:paraId="7C246D81" w14:textId="77777777" w:rsidR="00A573A4" w:rsidRPr="005D4EA1" w:rsidRDefault="00A573A4" w:rsidP="00A573A4">
      <w:pPr>
        <w:pStyle w:val="LegalSubheading"/>
        <w:pageBreakBefore/>
      </w:pPr>
      <w:r w:rsidRPr="00691723">
        <w:lastRenderedPageBreak/>
        <w:t>Copyright</w:t>
      </w:r>
    </w:p>
    <w:p w14:paraId="1C89F76F" w14:textId="77777777" w:rsidR="00A573A4" w:rsidRDefault="00A573A4" w:rsidP="00A573A4">
      <w:pPr>
        <w:pStyle w:val="LegalCopy"/>
      </w:pPr>
      <w:r w:rsidRPr="009401F6">
        <w:t>© Commonwealth of Australia 20</w:t>
      </w:r>
      <w:r>
        <w:t>25</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5" w:history="1">
        <w:r w:rsidRPr="009401F6">
          <w:rPr>
            <w:rStyle w:val="Hyperlink"/>
            <w:rFonts w:cs="Arial"/>
          </w:rPr>
          <w:t>tga.copyright@tga.gov.au</w:t>
        </w:r>
      </w:hyperlink>
      <w:r>
        <w:t>.</w:t>
      </w:r>
    </w:p>
    <w:p w14:paraId="73E623AE" w14:textId="77777777" w:rsidR="00A573A4" w:rsidRPr="009401F6" w:rsidRDefault="00A573A4" w:rsidP="00A573A4">
      <w:pPr>
        <w:pStyle w:val="LegalSubheading"/>
      </w:pPr>
      <w:r w:rsidRPr="009401F6">
        <w:t>Confidentiality</w:t>
      </w:r>
    </w:p>
    <w:p w14:paraId="5EF3B98E" w14:textId="77777777" w:rsidR="00A573A4" w:rsidRDefault="00A573A4" w:rsidP="00A573A4">
      <w:pPr>
        <w:pStyle w:val="LegalCopy"/>
        <w:rPr>
          <w:lang w:eastAsia="en-AU"/>
        </w:rPr>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Start w:id="1" w:name="_Toc323738670"/>
    </w:p>
    <w:p w14:paraId="21AAA736" w14:textId="0E053D03" w:rsidR="00A573A4" w:rsidRPr="00A573A4" w:rsidRDefault="00A573A4" w:rsidP="00A573A4">
      <w:pPr>
        <w:tabs>
          <w:tab w:val="left" w:pos="5384"/>
        </w:tabs>
      </w:pPr>
    </w:p>
    <w:sdt>
      <w:sdtPr>
        <w:rPr>
          <w:rFonts w:ascii="Cambria" w:eastAsiaTheme="minorHAnsi" w:hAnsi="Cambria" w:cstheme="minorBidi"/>
          <w:b w:val="0"/>
          <w:color w:val="auto"/>
          <w:sz w:val="22"/>
        </w:rPr>
        <w:id w:val="3701955"/>
        <w:docPartObj>
          <w:docPartGallery w:val="Table of Contents"/>
          <w:docPartUnique/>
        </w:docPartObj>
      </w:sdtPr>
      <w:sdtEndPr>
        <w:rPr>
          <w:rFonts w:ascii="Arial" w:hAnsi="Arial"/>
          <w:sz w:val="20"/>
        </w:rPr>
      </w:sdtEndPr>
      <w:sdtContent>
        <w:p w14:paraId="4722536D" w14:textId="77777777" w:rsidR="00A573A4" w:rsidRPr="009401F6" w:rsidRDefault="00A573A4" w:rsidP="00A573A4">
          <w:pPr>
            <w:pStyle w:val="NonTOCheading2"/>
          </w:pPr>
          <w:r w:rsidRPr="009401F6">
            <w:t>Contents</w:t>
          </w:r>
        </w:p>
        <w:p w14:paraId="22ECE2FA" w14:textId="1073D550" w:rsidR="00A573A4" w:rsidRDefault="00A573A4">
          <w:pPr>
            <w:pStyle w:val="TOC1"/>
            <w:rPr>
              <w:rFonts w:asciiTheme="minorHAnsi" w:eastAsiaTheme="minorEastAsia" w:hAnsiTheme="minorHAnsi" w:cstheme="minorBidi"/>
              <w:b w:val="0"/>
              <w:noProof/>
              <w:color w:val="auto"/>
              <w:kern w:val="2"/>
              <w:sz w:val="24"/>
              <w:szCs w:val="24"/>
              <w:lang w:eastAsia="en-AU"/>
              <w14:ligatures w14:val="standardContextual"/>
            </w:rPr>
          </w:pPr>
          <w:r w:rsidRPr="009401F6">
            <w:fldChar w:fldCharType="begin"/>
          </w:r>
          <w:r w:rsidRPr="009401F6">
            <w:instrText xml:space="preserve"> TOC \h \z \u \t "Heading 2,1,Heading 3,2,Heading 4,3" </w:instrText>
          </w:r>
          <w:r w:rsidRPr="009401F6">
            <w:fldChar w:fldCharType="separate"/>
          </w:r>
          <w:hyperlink w:anchor="_Toc202177217" w:history="1">
            <w:r w:rsidRPr="000267BA">
              <w:rPr>
                <w:rStyle w:val="Hyperlink"/>
                <w:noProof/>
              </w:rPr>
              <w:t>About this consultation</w:t>
            </w:r>
            <w:r>
              <w:rPr>
                <w:noProof/>
                <w:webHidden/>
              </w:rPr>
              <w:tab/>
            </w:r>
            <w:r>
              <w:rPr>
                <w:noProof/>
                <w:webHidden/>
              </w:rPr>
              <w:fldChar w:fldCharType="begin"/>
            </w:r>
            <w:r>
              <w:rPr>
                <w:noProof/>
                <w:webHidden/>
              </w:rPr>
              <w:instrText xml:space="preserve"> PAGEREF _Toc202177217 \h </w:instrText>
            </w:r>
            <w:r>
              <w:rPr>
                <w:noProof/>
                <w:webHidden/>
              </w:rPr>
            </w:r>
            <w:r>
              <w:rPr>
                <w:noProof/>
                <w:webHidden/>
              </w:rPr>
              <w:fldChar w:fldCharType="separate"/>
            </w:r>
            <w:r w:rsidR="00292DDB">
              <w:rPr>
                <w:noProof/>
                <w:webHidden/>
              </w:rPr>
              <w:t>4</w:t>
            </w:r>
            <w:r>
              <w:rPr>
                <w:noProof/>
                <w:webHidden/>
              </w:rPr>
              <w:fldChar w:fldCharType="end"/>
            </w:r>
          </w:hyperlink>
        </w:p>
        <w:p w14:paraId="74CC445E" w14:textId="53DB1C12" w:rsidR="00A573A4" w:rsidRDefault="00A573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2177218" w:history="1">
            <w:r w:rsidRPr="000267BA">
              <w:rPr>
                <w:rStyle w:val="Hyperlink"/>
                <w:noProof/>
              </w:rPr>
              <w:t>Preamble</w:t>
            </w:r>
            <w:r>
              <w:rPr>
                <w:noProof/>
                <w:webHidden/>
              </w:rPr>
              <w:tab/>
            </w:r>
            <w:r>
              <w:rPr>
                <w:noProof/>
                <w:webHidden/>
              </w:rPr>
              <w:fldChar w:fldCharType="begin"/>
            </w:r>
            <w:r>
              <w:rPr>
                <w:noProof/>
                <w:webHidden/>
              </w:rPr>
              <w:instrText xml:space="preserve"> PAGEREF _Toc202177218 \h </w:instrText>
            </w:r>
            <w:r>
              <w:rPr>
                <w:noProof/>
                <w:webHidden/>
              </w:rPr>
            </w:r>
            <w:r>
              <w:rPr>
                <w:noProof/>
                <w:webHidden/>
              </w:rPr>
              <w:fldChar w:fldCharType="separate"/>
            </w:r>
            <w:r w:rsidR="00292DDB">
              <w:rPr>
                <w:noProof/>
                <w:webHidden/>
              </w:rPr>
              <w:t>5</w:t>
            </w:r>
            <w:r>
              <w:rPr>
                <w:noProof/>
                <w:webHidden/>
              </w:rPr>
              <w:fldChar w:fldCharType="end"/>
            </w:r>
          </w:hyperlink>
        </w:p>
        <w:p w14:paraId="5B67C927" w14:textId="2A6EB9DD" w:rsidR="00A573A4" w:rsidRDefault="00A573A4">
          <w:pPr>
            <w:pStyle w:val="TOC1"/>
            <w:tabs>
              <w:tab w:val="left" w:pos="425"/>
            </w:tabs>
            <w:rPr>
              <w:rFonts w:asciiTheme="minorHAnsi" w:eastAsiaTheme="minorEastAsia" w:hAnsiTheme="minorHAnsi" w:cstheme="minorBidi"/>
              <w:b w:val="0"/>
              <w:noProof/>
              <w:color w:val="auto"/>
              <w:kern w:val="2"/>
              <w:sz w:val="24"/>
              <w:szCs w:val="24"/>
              <w:lang w:eastAsia="en-AU"/>
              <w14:ligatures w14:val="standardContextual"/>
            </w:rPr>
          </w:pPr>
          <w:hyperlink w:anchor="_Toc202177219" w:history="1">
            <w:r w:rsidRPr="000267BA">
              <w:rPr>
                <w:rStyle w:val="Hyperlink"/>
                <w:noProof/>
              </w:rPr>
              <w:t>1</w:t>
            </w:r>
            <w:r>
              <w:rPr>
                <w:rFonts w:asciiTheme="minorHAnsi" w:eastAsiaTheme="minorEastAsia" w:hAnsiTheme="minorHAnsi" w:cstheme="minorBidi"/>
                <w:b w:val="0"/>
                <w:noProof/>
                <w:color w:val="auto"/>
                <w:kern w:val="2"/>
                <w:sz w:val="24"/>
                <w:szCs w:val="24"/>
                <w:lang w:eastAsia="en-AU"/>
                <w14:ligatures w14:val="standardContextual"/>
              </w:rPr>
              <w:tab/>
            </w:r>
            <w:r w:rsidRPr="000267BA">
              <w:rPr>
                <w:rStyle w:val="Hyperlink"/>
                <w:noProof/>
              </w:rPr>
              <w:t>Proposed amendments referred for advice to the Joint ACMS-ACCS meeting #41</w:t>
            </w:r>
            <w:r>
              <w:rPr>
                <w:noProof/>
                <w:webHidden/>
              </w:rPr>
              <w:tab/>
            </w:r>
            <w:r>
              <w:rPr>
                <w:noProof/>
                <w:webHidden/>
              </w:rPr>
              <w:fldChar w:fldCharType="begin"/>
            </w:r>
            <w:r>
              <w:rPr>
                <w:noProof/>
                <w:webHidden/>
              </w:rPr>
              <w:instrText xml:space="preserve"> PAGEREF _Toc202177219 \h </w:instrText>
            </w:r>
            <w:r>
              <w:rPr>
                <w:noProof/>
                <w:webHidden/>
              </w:rPr>
            </w:r>
            <w:r>
              <w:rPr>
                <w:noProof/>
                <w:webHidden/>
              </w:rPr>
              <w:fldChar w:fldCharType="separate"/>
            </w:r>
            <w:r w:rsidR="00292DDB">
              <w:rPr>
                <w:noProof/>
                <w:webHidden/>
              </w:rPr>
              <w:t>7</w:t>
            </w:r>
            <w:r>
              <w:rPr>
                <w:noProof/>
                <w:webHidden/>
              </w:rPr>
              <w:fldChar w:fldCharType="end"/>
            </w:r>
          </w:hyperlink>
        </w:p>
        <w:p w14:paraId="379CB283" w14:textId="5334508B" w:rsidR="00A573A4" w:rsidRDefault="00A573A4">
          <w:pPr>
            <w:pStyle w:val="TOC2"/>
            <w:rPr>
              <w:rFonts w:asciiTheme="minorHAnsi" w:eastAsiaTheme="minorEastAsia" w:hAnsiTheme="minorHAnsi" w:cstheme="minorBidi"/>
              <w:noProof/>
              <w:color w:val="auto"/>
              <w:kern w:val="2"/>
              <w:szCs w:val="24"/>
              <w:lang w:eastAsia="en-AU"/>
              <w14:ligatures w14:val="standardContextual"/>
            </w:rPr>
          </w:pPr>
          <w:hyperlink w:anchor="_Toc202177220" w:history="1">
            <w:r w:rsidRPr="000267BA">
              <w:rPr>
                <w:rStyle w:val="Hyperlink"/>
                <w:noProof/>
              </w:rPr>
              <w:t>1.1 Homosalate</w:t>
            </w:r>
            <w:r>
              <w:rPr>
                <w:noProof/>
                <w:webHidden/>
              </w:rPr>
              <w:tab/>
            </w:r>
            <w:r>
              <w:rPr>
                <w:noProof/>
                <w:webHidden/>
              </w:rPr>
              <w:fldChar w:fldCharType="begin"/>
            </w:r>
            <w:r>
              <w:rPr>
                <w:noProof/>
                <w:webHidden/>
              </w:rPr>
              <w:instrText xml:space="preserve"> PAGEREF _Toc202177220 \h </w:instrText>
            </w:r>
            <w:r>
              <w:rPr>
                <w:noProof/>
                <w:webHidden/>
              </w:rPr>
            </w:r>
            <w:r>
              <w:rPr>
                <w:noProof/>
                <w:webHidden/>
              </w:rPr>
              <w:fldChar w:fldCharType="separate"/>
            </w:r>
            <w:r w:rsidR="00292DDB">
              <w:rPr>
                <w:noProof/>
                <w:webHidden/>
              </w:rPr>
              <w:t>7</w:t>
            </w:r>
            <w:r>
              <w:rPr>
                <w:noProof/>
                <w:webHidden/>
              </w:rPr>
              <w:fldChar w:fldCharType="end"/>
            </w:r>
          </w:hyperlink>
        </w:p>
        <w:p w14:paraId="11792129" w14:textId="2C0B2009"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21" w:history="1">
            <w:r w:rsidRPr="000267BA">
              <w:rPr>
                <w:rStyle w:val="Hyperlink"/>
                <w:noProof/>
              </w:rPr>
              <w:t>Proposed amendments</w:t>
            </w:r>
            <w:r>
              <w:rPr>
                <w:noProof/>
                <w:webHidden/>
              </w:rPr>
              <w:tab/>
            </w:r>
            <w:r>
              <w:rPr>
                <w:noProof/>
                <w:webHidden/>
              </w:rPr>
              <w:fldChar w:fldCharType="begin"/>
            </w:r>
            <w:r>
              <w:rPr>
                <w:noProof/>
                <w:webHidden/>
              </w:rPr>
              <w:instrText xml:space="preserve"> PAGEREF _Toc202177221 \h </w:instrText>
            </w:r>
            <w:r>
              <w:rPr>
                <w:noProof/>
                <w:webHidden/>
              </w:rPr>
            </w:r>
            <w:r>
              <w:rPr>
                <w:noProof/>
                <w:webHidden/>
              </w:rPr>
              <w:fldChar w:fldCharType="separate"/>
            </w:r>
            <w:r w:rsidR="00292DDB">
              <w:rPr>
                <w:noProof/>
                <w:webHidden/>
              </w:rPr>
              <w:t>7</w:t>
            </w:r>
            <w:r>
              <w:rPr>
                <w:noProof/>
                <w:webHidden/>
              </w:rPr>
              <w:fldChar w:fldCharType="end"/>
            </w:r>
          </w:hyperlink>
        </w:p>
        <w:p w14:paraId="6EF9E600" w14:textId="7FEB85B0"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22" w:history="1">
            <w:r w:rsidRPr="000267BA">
              <w:rPr>
                <w:rStyle w:val="Hyperlink"/>
                <w:noProof/>
              </w:rPr>
              <w:t>Key uses</w:t>
            </w:r>
            <w:r>
              <w:rPr>
                <w:noProof/>
                <w:webHidden/>
              </w:rPr>
              <w:tab/>
            </w:r>
            <w:r>
              <w:rPr>
                <w:noProof/>
                <w:webHidden/>
              </w:rPr>
              <w:fldChar w:fldCharType="begin"/>
            </w:r>
            <w:r>
              <w:rPr>
                <w:noProof/>
                <w:webHidden/>
              </w:rPr>
              <w:instrText xml:space="preserve"> PAGEREF _Toc202177222 \h </w:instrText>
            </w:r>
            <w:r>
              <w:rPr>
                <w:noProof/>
                <w:webHidden/>
              </w:rPr>
            </w:r>
            <w:r>
              <w:rPr>
                <w:noProof/>
                <w:webHidden/>
              </w:rPr>
              <w:fldChar w:fldCharType="separate"/>
            </w:r>
            <w:r w:rsidR="00292DDB">
              <w:rPr>
                <w:noProof/>
                <w:webHidden/>
              </w:rPr>
              <w:t>8</w:t>
            </w:r>
            <w:r>
              <w:rPr>
                <w:noProof/>
                <w:webHidden/>
              </w:rPr>
              <w:fldChar w:fldCharType="end"/>
            </w:r>
          </w:hyperlink>
        </w:p>
        <w:p w14:paraId="03F9927A" w14:textId="6154AC98"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23" w:history="1">
            <w:r w:rsidRPr="000267BA">
              <w:rPr>
                <w:rStyle w:val="Hyperlink"/>
                <w:noProof/>
              </w:rPr>
              <w:t>CAS Number</w:t>
            </w:r>
            <w:r>
              <w:rPr>
                <w:noProof/>
                <w:webHidden/>
              </w:rPr>
              <w:tab/>
            </w:r>
            <w:r>
              <w:rPr>
                <w:noProof/>
                <w:webHidden/>
              </w:rPr>
              <w:fldChar w:fldCharType="begin"/>
            </w:r>
            <w:r>
              <w:rPr>
                <w:noProof/>
                <w:webHidden/>
              </w:rPr>
              <w:instrText xml:space="preserve"> PAGEREF _Toc202177223 \h </w:instrText>
            </w:r>
            <w:r>
              <w:rPr>
                <w:noProof/>
                <w:webHidden/>
              </w:rPr>
            </w:r>
            <w:r>
              <w:rPr>
                <w:noProof/>
                <w:webHidden/>
              </w:rPr>
              <w:fldChar w:fldCharType="separate"/>
            </w:r>
            <w:r w:rsidR="00292DDB">
              <w:rPr>
                <w:noProof/>
                <w:webHidden/>
              </w:rPr>
              <w:t>9</w:t>
            </w:r>
            <w:r>
              <w:rPr>
                <w:noProof/>
                <w:webHidden/>
              </w:rPr>
              <w:fldChar w:fldCharType="end"/>
            </w:r>
          </w:hyperlink>
        </w:p>
        <w:p w14:paraId="18750B32" w14:textId="57D8EF0D"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24" w:history="1">
            <w:r w:rsidRPr="000267BA">
              <w:rPr>
                <w:rStyle w:val="Hyperlink"/>
                <w:noProof/>
              </w:rPr>
              <w:t>Alternative names</w:t>
            </w:r>
            <w:r>
              <w:rPr>
                <w:noProof/>
                <w:webHidden/>
              </w:rPr>
              <w:tab/>
            </w:r>
            <w:r>
              <w:rPr>
                <w:noProof/>
                <w:webHidden/>
              </w:rPr>
              <w:fldChar w:fldCharType="begin"/>
            </w:r>
            <w:r>
              <w:rPr>
                <w:noProof/>
                <w:webHidden/>
              </w:rPr>
              <w:instrText xml:space="preserve"> PAGEREF _Toc202177224 \h </w:instrText>
            </w:r>
            <w:r>
              <w:rPr>
                <w:noProof/>
                <w:webHidden/>
              </w:rPr>
            </w:r>
            <w:r>
              <w:rPr>
                <w:noProof/>
                <w:webHidden/>
              </w:rPr>
              <w:fldChar w:fldCharType="separate"/>
            </w:r>
            <w:r w:rsidR="00292DDB">
              <w:rPr>
                <w:noProof/>
                <w:webHidden/>
              </w:rPr>
              <w:t>9</w:t>
            </w:r>
            <w:r>
              <w:rPr>
                <w:noProof/>
                <w:webHidden/>
              </w:rPr>
              <w:fldChar w:fldCharType="end"/>
            </w:r>
          </w:hyperlink>
        </w:p>
        <w:p w14:paraId="5D3B2B78" w14:textId="475653B7"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25" w:history="1">
            <w:r w:rsidRPr="000267BA">
              <w:rPr>
                <w:rStyle w:val="Hyperlink"/>
                <w:noProof/>
              </w:rPr>
              <w:t>Australian regulations</w:t>
            </w:r>
            <w:r>
              <w:rPr>
                <w:noProof/>
                <w:webHidden/>
              </w:rPr>
              <w:tab/>
            </w:r>
            <w:r>
              <w:rPr>
                <w:noProof/>
                <w:webHidden/>
              </w:rPr>
              <w:fldChar w:fldCharType="begin"/>
            </w:r>
            <w:r>
              <w:rPr>
                <w:noProof/>
                <w:webHidden/>
              </w:rPr>
              <w:instrText xml:space="preserve"> PAGEREF _Toc202177225 \h </w:instrText>
            </w:r>
            <w:r>
              <w:rPr>
                <w:noProof/>
                <w:webHidden/>
              </w:rPr>
            </w:r>
            <w:r>
              <w:rPr>
                <w:noProof/>
                <w:webHidden/>
              </w:rPr>
              <w:fldChar w:fldCharType="separate"/>
            </w:r>
            <w:r w:rsidR="00292DDB">
              <w:rPr>
                <w:noProof/>
                <w:webHidden/>
              </w:rPr>
              <w:t>9</w:t>
            </w:r>
            <w:r>
              <w:rPr>
                <w:noProof/>
                <w:webHidden/>
              </w:rPr>
              <w:fldChar w:fldCharType="end"/>
            </w:r>
          </w:hyperlink>
        </w:p>
        <w:p w14:paraId="41FF7E2C" w14:textId="7BD06D71"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26" w:history="1">
            <w:r w:rsidRPr="000267BA">
              <w:rPr>
                <w:rStyle w:val="Hyperlink"/>
                <w:noProof/>
              </w:rPr>
              <w:t>International regulations</w:t>
            </w:r>
            <w:r>
              <w:rPr>
                <w:noProof/>
                <w:webHidden/>
              </w:rPr>
              <w:tab/>
            </w:r>
            <w:r>
              <w:rPr>
                <w:noProof/>
                <w:webHidden/>
              </w:rPr>
              <w:fldChar w:fldCharType="begin"/>
            </w:r>
            <w:r>
              <w:rPr>
                <w:noProof/>
                <w:webHidden/>
              </w:rPr>
              <w:instrText xml:space="preserve"> PAGEREF _Toc202177226 \h </w:instrText>
            </w:r>
            <w:r>
              <w:rPr>
                <w:noProof/>
                <w:webHidden/>
              </w:rPr>
            </w:r>
            <w:r>
              <w:rPr>
                <w:noProof/>
                <w:webHidden/>
              </w:rPr>
              <w:fldChar w:fldCharType="separate"/>
            </w:r>
            <w:r w:rsidR="00292DDB">
              <w:rPr>
                <w:noProof/>
                <w:webHidden/>
              </w:rPr>
              <w:t>10</w:t>
            </w:r>
            <w:r>
              <w:rPr>
                <w:noProof/>
                <w:webHidden/>
              </w:rPr>
              <w:fldChar w:fldCharType="end"/>
            </w:r>
          </w:hyperlink>
        </w:p>
        <w:p w14:paraId="01984730" w14:textId="2C87D638" w:rsidR="00A573A4" w:rsidRDefault="00A573A4">
          <w:pPr>
            <w:pStyle w:val="TOC2"/>
            <w:rPr>
              <w:rFonts w:asciiTheme="minorHAnsi" w:eastAsiaTheme="minorEastAsia" w:hAnsiTheme="minorHAnsi" w:cstheme="minorBidi"/>
              <w:noProof/>
              <w:color w:val="auto"/>
              <w:kern w:val="2"/>
              <w:szCs w:val="24"/>
              <w:lang w:eastAsia="en-AU"/>
              <w14:ligatures w14:val="standardContextual"/>
            </w:rPr>
          </w:pPr>
          <w:hyperlink w:anchor="_Toc202177227" w:history="1">
            <w:r w:rsidRPr="000267BA">
              <w:rPr>
                <w:rStyle w:val="Hyperlink"/>
                <w:noProof/>
              </w:rPr>
              <w:t>1.2 Oxybenzone</w:t>
            </w:r>
            <w:r>
              <w:rPr>
                <w:noProof/>
                <w:webHidden/>
              </w:rPr>
              <w:tab/>
            </w:r>
            <w:r>
              <w:rPr>
                <w:noProof/>
                <w:webHidden/>
              </w:rPr>
              <w:fldChar w:fldCharType="begin"/>
            </w:r>
            <w:r>
              <w:rPr>
                <w:noProof/>
                <w:webHidden/>
              </w:rPr>
              <w:instrText xml:space="preserve"> PAGEREF _Toc202177227 \h </w:instrText>
            </w:r>
            <w:r>
              <w:rPr>
                <w:noProof/>
                <w:webHidden/>
              </w:rPr>
            </w:r>
            <w:r>
              <w:rPr>
                <w:noProof/>
                <w:webHidden/>
              </w:rPr>
              <w:fldChar w:fldCharType="separate"/>
            </w:r>
            <w:r w:rsidR="00292DDB">
              <w:rPr>
                <w:noProof/>
                <w:webHidden/>
              </w:rPr>
              <w:t>11</w:t>
            </w:r>
            <w:r>
              <w:rPr>
                <w:noProof/>
                <w:webHidden/>
              </w:rPr>
              <w:fldChar w:fldCharType="end"/>
            </w:r>
          </w:hyperlink>
        </w:p>
        <w:p w14:paraId="49EFB0D0" w14:textId="22BA2968"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28" w:history="1">
            <w:r w:rsidRPr="000267BA">
              <w:rPr>
                <w:rStyle w:val="Hyperlink"/>
                <w:noProof/>
              </w:rPr>
              <w:t>Proposed amendments</w:t>
            </w:r>
            <w:r>
              <w:rPr>
                <w:noProof/>
                <w:webHidden/>
              </w:rPr>
              <w:tab/>
            </w:r>
            <w:r>
              <w:rPr>
                <w:noProof/>
                <w:webHidden/>
              </w:rPr>
              <w:fldChar w:fldCharType="begin"/>
            </w:r>
            <w:r>
              <w:rPr>
                <w:noProof/>
                <w:webHidden/>
              </w:rPr>
              <w:instrText xml:space="preserve"> PAGEREF _Toc202177228 \h </w:instrText>
            </w:r>
            <w:r>
              <w:rPr>
                <w:noProof/>
                <w:webHidden/>
              </w:rPr>
            </w:r>
            <w:r>
              <w:rPr>
                <w:noProof/>
                <w:webHidden/>
              </w:rPr>
              <w:fldChar w:fldCharType="separate"/>
            </w:r>
            <w:r w:rsidR="00292DDB">
              <w:rPr>
                <w:noProof/>
                <w:webHidden/>
              </w:rPr>
              <w:t>11</w:t>
            </w:r>
            <w:r>
              <w:rPr>
                <w:noProof/>
                <w:webHidden/>
              </w:rPr>
              <w:fldChar w:fldCharType="end"/>
            </w:r>
          </w:hyperlink>
        </w:p>
        <w:p w14:paraId="0B5EF422" w14:textId="35A8C0B2"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29" w:history="1">
            <w:r w:rsidRPr="000267BA">
              <w:rPr>
                <w:rStyle w:val="Hyperlink"/>
                <w:noProof/>
              </w:rPr>
              <w:t>Key uses</w:t>
            </w:r>
            <w:r>
              <w:rPr>
                <w:noProof/>
                <w:webHidden/>
              </w:rPr>
              <w:tab/>
            </w:r>
            <w:r>
              <w:rPr>
                <w:noProof/>
                <w:webHidden/>
              </w:rPr>
              <w:fldChar w:fldCharType="begin"/>
            </w:r>
            <w:r>
              <w:rPr>
                <w:noProof/>
                <w:webHidden/>
              </w:rPr>
              <w:instrText xml:space="preserve"> PAGEREF _Toc202177229 \h </w:instrText>
            </w:r>
            <w:r>
              <w:rPr>
                <w:noProof/>
                <w:webHidden/>
              </w:rPr>
            </w:r>
            <w:r>
              <w:rPr>
                <w:noProof/>
                <w:webHidden/>
              </w:rPr>
              <w:fldChar w:fldCharType="separate"/>
            </w:r>
            <w:r w:rsidR="00292DDB">
              <w:rPr>
                <w:noProof/>
                <w:webHidden/>
              </w:rPr>
              <w:t>12</w:t>
            </w:r>
            <w:r>
              <w:rPr>
                <w:noProof/>
                <w:webHidden/>
              </w:rPr>
              <w:fldChar w:fldCharType="end"/>
            </w:r>
          </w:hyperlink>
        </w:p>
        <w:p w14:paraId="54C86FC0" w14:textId="4589A284"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30" w:history="1">
            <w:r w:rsidRPr="000267BA">
              <w:rPr>
                <w:rStyle w:val="Hyperlink"/>
                <w:noProof/>
              </w:rPr>
              <w:t>CAS Number</w:t>
            </w:r>
            <w:r>
              <w:rPr>
                <w:noProof/>
                <w:webHidden/>
              </w:rPr>
              <w:tab/>
            </w:r>
            <w:r>
              <w:rPr>
                <w:noProof/>
                <w:webHidden/>
              </w:rPr>
              <w:fldChar w:fldCharType="begin"/>
            </w:r>
            <w:r>
              <w:rPr>
                <w:noProof/>
                <w:webHidden/>
              </w:rPr>
              <w:instrText xml:space="preserve"> PAGEREF _Toc202177230 \h </w:instrText>
            </w:r>
            <w:r>
              <w:rPr>
                <w:noProof/>
                <w:webHidden/>
              </w:rPr>
            </w:r>
            <w:r>
              <w:rPr>
                <w:noProof/>
                <w:webHidden/>
              </w:rPr>
              <w:fldChar w:fldCharType="separate"/>
            </w:r>
            <w:r w:rsidR="00292DDB">
              <w:rPr>
                <w:noProof/>
                <w:webHidden/>
              </w:rPr>
              <w:t>12</w:t>
            </w:r>
            <w:r>
              <w:rPr>
                <w:noProof/>
                <w:webHidden/>
              </w:rPr>
              <w:fldChar w:fldCharType="end"/>
            </w:r>
          </w:hyperlink>
        </w:p>
        <w:p w14:paraId="287409D2" w14:textId="65F60ABB"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31" w:history="1">
            <w:r w:rsidRPr="000267BA">
              <w:rPr>
                <w:rStyle w:val="Hyperlink"/>
                <w:noProof/>
              </w:rPr>
              <w:t>Alternative names</w:t>
            </w:r>
            <w:r>
              <w:rPr>
                <w:noProof/>
                <w:webHidden/>
              </w:rPr>
              <w:tab/>
            </w:r>
            <w:r>
              <w:rPr>
                <w:noProof/>
                <w:webHidden/>
              </w:rPr>
              <w:fldChar w:fldCharType="begin"/>
            </w:r>
            <w:r>
              <w:rPr>
                <w:noProof/>
                <w:webHidden/>
              </w:rPr>
              <w:instrText xml:space="preserve"> PAGEREF _Toc202177231 \h </w:instrText>
            </w:r>
            <w:r>
              <w:rPr>
                <w:noProof/>
                <w:webHidden/>
              </w:rPr>
            </w:r>
            <w:r>
              <w:rPr>
                <w:noProof/>
                <w:webHidden/>
              </w:rPr>
              <w:fldChar w:fldCharType="separate"/>
            </w:r>
            <w:r w:rsidR="00292DDB">
              <w:rPr>
                <w:noProof/>
                <w:webHidden/>
              </w:rPr>
              <w:t>13</w:t>
            </w:r>
            <w:r>
              <w:rPr>
                <w:noProof/>
                <w:webHidden/>
              </w:rPr>
              <w:fldChar w:fldCharType="end"/>
            </w:r>
          </w:hyperlink>
        </w:p>
        <w:p w14:paraId="06A97471" w14:textId="53F68172"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32" w:history="1">
            <w:r w:rsidRPr="000267BA">
              <w:rPr>
                <w:rStyle w:val="Hyperlink"/>
                <w:noProof/>
              </w:rPr>
              <w:t>Australian regulations</w:t>
            </w:r>
            <w:r>
              <w:rPr>
                <w:noProof/>
                <w:webHidden/>
              </w:rPr>
              <w:tab/>
            </w:r>
            <w:r>
              <w:rPr>
                <w:noProof/>
                <w:webHidden/>
              </w:rPr>
              <w:fldChar w:fldCharType="begin"/>
            </w:r>
            <w:r>
              <w:rPr>
                <w:noProof/>
                <w:webHidden/>
              </w:rPr>
              <w:instrText xml:space="preserve"> PAGEREF _Toc202177232 \h </w:instrText>
            </w:r>
            <w:r>
              <w:rPr>
                <w:noProof/>
                <w:webHidden/>
              </w:rPr>
            </w:r>
            <w:r>
              <w:rPr>
                <w:noProof/>
                <w:webHidden/>
              </w:rPr>
              <w:fldChar w:fldCharType="separate"/>
            </w:r>
            <w:r w:rsidR="00292DDB">
              <w:rPr>
                <w:noProof/>
                <w:webHidden/>
              </w:rPr>
              <w:t>13</w:t>
            </w:r>
            <w:r>
              <w:rPr>
                <w:noProof/>
                <w:webHidden/>
              </w:rPr>
              <w:fldChar w:fldCharType="end"/>
            </w:r>
          </w:hyperlink>
        </w:p>
        <w:p w14:paraId="2DE4BA8A" w14:textId="407027BA"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33" w:history="1">
            <w:r w:rsidRPr="000267BA">
              <w:rPr>
                <w:rStyle w:val="Hyperlink"/>
                <w:noProof/>
              </w:rPr>
              <w:t>International regulations</w:t>
            </w:r>
            <w:r>
              <w:rPr>
                <w:noProof/>
                <w:webHidden/>
              </w:rPr>
              <w:tab/>
            </w:r>
            <w:r>
              <w:rPr>
                <w:noProof/>
                <w:webHidden/>
              </w:rPr>
              <w:fldChar w:fldCharType="begin"/>
            </w:r>
            <w:r>
              <w:rPr>
                <w:noProof/>
                <w:webHidden/>
              </w:rPr>
              <w:instrText xml:space="preserve"> PAGEREF _Toc202177233 \h </w:instrText>
            </w:r>
            <w:r>
              <w:rPr>
                <w:noProof/>
                <w:webHidden/>
              </w:rPr>
            </w:r>
            <w:r>
              <w:rPr>
                <w:noProof/>
                <w:webHidden/>
              </w:rPr>
              <w:fldChar w:fldCharType="separate"/>
            </w:r>
            <w:r w:rsidR="00292DDB">
              <w:rPr>
                <w:noProof/>
                <w:webHidden/>
              </w:rPr>
              <w:t>14</w:t>
            </w:r>
            <w:r>
              <w:rPr>
                <w:noProof/>
                <w:webHidden/>
              </w:rPr>
              <w:fldChar w:fldCharType="end"/>
            </w:r>
          </w:hyperlink>
        </w:p>
        <w:p w14:paraId="3AD50F68" w14:textId="22013B47" w:rsidR="00A573A4" w:rsidRDefault="00A573A4">
          <w:pPr>
            <w:pStyle w:val="TOC2"/>
            <w:rPr>
              <w:rFonts w:asciiTheme="minorHAnsi" w:eastAsiaTheme="minorEastAsia" w:hAnsiTheme="minorHAnsi" w:cstheme="minorBidi"/>
              <w:noProof/>
              <w:color w:val="auto"/>
              <w:kern w:val="2"/>
              <w:szCs w:val="24"/>
              <w:lang w:eastAsia="en-AU"/>
              <w14:ligatures w14:val="standardContextual"/>
            </w:rPr>
          </w:pPr>
          <w:hyperlink w:anchor="_Toc202177234" w:history="1">
            <w:r w:rsidRPr="000267BA">
              <w:rPr>
                <w:rStyle w:val="Hyperlink"/>
                <w:noProof/>
              </w:rPr>
              <w:t>1.3 Benzophenone</w:t>
            </w:r>
            <w:r>
              <w:rPr>
                <w:noProof/>
                <w:webHidden/>
              </w:rPr>
              <w:tab/>
            </w:r>
            <w:r>
              <w:rPr>
                <w:noProof/>
                <w:webHidden/>
              </w:rPr>
              <w:fldChar w:fldCharType="begin"/>
            </w:r>
            <w:r>
              <w:rPr>
                <w:noProof/>
                <w:webHidden/>
              </w:rPr>
              <w:instrText xml:space="preserve"> PAGEREF _Toc202177234 \h </w:instrText>
            </w:r>
            <w:r>
              <w:rPr>
                <w:noProof/>
                <w:webHidden/>
              </w:rPr>
            </w:r>
            <w:r>
              <w:rPr>
                <w:noProof/>
                <w:webHidden/>
              </w:rPr>
              <w:fldChar w:fldCharType="separate"/>
            </w:r>
            <w:r w:rsidR="00292DDB">
              <w:rPr>
                <w:noProof/>
                <w:webHidden/>
              </w:rPr>
              <w:t>15</w:t>
            </w:r>
            <w:r>
              <w:rPr>
                <w:noProof/>
                <w:webHidden/>
              </w:rPr>
              <w:fldChar w:fldCharType="end"/>
            </w:r>
          </w:hyperlink>
        </w:p>
        <w:p w14:paraId="1ABCE95E" w14:textId="2E70E6A8"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35" w:history="1">
            <w:r w:rsidRPr="000267BA">
              <w:rPr>
                <w:rStyle w:val="Hyperlink"/>
                <w:noProof/>
              </w:rPr>
              <w:t>Proposed amendments</w:t>
            </w:r>
            <w:r>
              <w:rPr>
                <w:noProof/>
                <w:webHidden/>
              </w:rPr>
              <w:tab/>
            </w:r>
            <w:r>
              <w:rPr>
                <w:noProof/>
                <w:webHidden/>
              </w:rPr>
              <w:fldChar w:fldCharType="begin"/>
            </w:r>
            <w:r>
              <w:rPr>
                <w:noProof/>
                <w:webHidden/>
              </w:rPr>
              <w:instrText xml:space="preserve"> PAGEREF _Toc202177235 \h </w:instrText>
            </w:r>
            <w:r>
              <w:rPr>
                <w:noProof/>
                <w:webHidden/>
              </w:rPr>
            </w:r>
            <w:r>
              <w:rPr>
                <w:noProof/>
                <w:webHidden/>
              </w:rPr>
              <w:fldChar w:fldCharType="separate"/>
            </w:r>
            <w:r w:rsidR="00292DDB">
              <w:rPr>
                <w:noProof/>
                <w:webHidden/>
              </w:rPr>
              <w:t>15</w:t>
            </w:r>
            <w:r>
              <w:rPr>
                <w:noProof/>
                <w:webHidden/>
              </w:rPr>
              <w:fldChar w:fldCharType="end"/>
            </w:r>
          </w:hyperlink>
        </w:p>
        <w:p w14:paraId="5C5173CB" w14:textId="2A73FB76"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36" w:history="1">
            <w:r w:rsidRPr="000267BA">
              <w:rPr>
                <w:rStyle w:val="Hyperlink"/>
                <w:noProof/>
              </w:rPr>
              <w:t>Key uses</w:t>
            </w:r>
            <w:r>
              <w:rPr>
                <w:noProof/>
                <w:webHidden/>
              </w:rPr>
              <w:tab/>
            </w:r>
            <w:r>
              <w:rPr>
                <w:noProof/>
                <w:webHidden/>
              </w:rPr>
              <w:fldChar w:fldCharType="begin"/>
            </w:r>
            <w:r>
              <w:rPr>
                <w:noProof/>
                <w:webHidden/>
              </w:rPr>
              <w:instrText xml:space="preserve"> PAGEREF _Toc202177236 \h </w:instrText>
            </w:r>
            <w:r>
              <w:rPr>
                <w:noProof/>
                <w:webHidden/>
              </w:rPr>
            </w:r>
            <w:r>
              <w:rPr>
                <w:noProof/>
                <w:webHidden/>
              </w:rPr>
              <w:fldChar w:fldCharType="separate"/>
            </w:r>
            <w:r w:rsidR="00292DDB">
              <w:rPr>
                <w:noProof/>
                <w:webHidden/>
              </w:rPr>
              <w:t>16</w:t>
            </w:r>
            <w:r>
              <w:rPr>
                <w:noProof/>
                <w:webHidden/>
              </w:rPr>
              <w:fldChar w:fldCharType="end"/>
            </w:r>
          </w:hyperlink>
        </w:p>
        <w:p w14:paraId="3BD418E0" w14:textId="70F33879"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37" w:history="1">
            <w:r w:rsidRPr="000267BA">
              <w:rPr>
                <w:rStyle w:val="Hyperlink"/>
                <w:noProof/>
              </w:rPr>
              <w:t>CAS Number</w:t>
            </w:r>
            <w:r>
              <w:rPr>
                <w:noProof/>
                <w:webHidden/>
              </w:rPr>
              <w:tab/>
            </w:r>
            <w:r>
              <w:rPr>
                <w:noProof/>
                <w:webHidden/>
              </w:rPr>
              <w:fldChar w:fldCharType="begin"/>
            </w:r>
            <w:r>
              <w:rPr>
                <w:noProof/>
                <w:webHidden/>
              </w:rPr>
              <w:instrText xml:space="preserve"> PAGEREF _Toc202177237 \h </w:instrText>
            </w:r>
            <w:r>
              <w:rPr>
                <w:noProof/>
                <w:webHidden/>
              </w:rPr>
            </w:r>
            <w:r>
              <w:rPr>
                <w:noProof/>
                <w:webHidden/>
              </w:rPr>
              <w:fldChar w:fldCharType="separate"/>
            </w:r>
            <w:r w:rsidR="00292DDB">
              <w:rPr>
                <w:noProof/>
                <w:webHidden/>
              </w:rPr>
              <w:t>16</w:t>
            </w:r>
            <w:r>
              <w:rPr>
                <w:noProof/>
                <w:webHidden/>
              </w:rPr>
              <w:fldChar w:fldCharType="end"/>
            </w:r>
          </w:hyperlink>
        </w:p>
        <w:p w14:paraId="52CB12F4" w14:textId="6AF662E8"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38" w:history="1">
            <w:r w:rsidRPr="000267BA">
              <w:rPr>
                <w:rStyle w:val="Hyperlink"/>
                <w:noProof/>
              </w:rPr>
              <w:t>Alternative names</w:t>
            </w:r>
            <w:r>
              <w:rPr>
                <w:noProof/>
                <w:webHidden/>
              </w:rPr>
              <w:tab/>
            </w:r>
            <w:r>
              <w:rPr>
                <w:noProof/>
                <w:webHidden/>
              </w:rPr>
              <w:fldChar w:fldCharType="begin"/>
            </w:r>
            <w:r>
              <w:rPr>
                <w:noProof/>
                <w:webHidden/>
              </w:rPr>
              <w:instrText xml:space="preserve"> PAGEREF _Toc202177238 \h </w:instrText>
            </w:r>
            <w:r>
              <w:rPr>
                <w:noProof/>
                <w:webHidden/>
              </w:rPr>
            </w:r>
            <w:r>
              <w:rPr>
                <w:noProof/>
                <w:webHidden/>
              </w:rPr>
              <w:fldChar w:fldCharType="separate"/>
            </w:r>
            <w:r w:rsidR="00292DDB">
              <w:rPr>
                <w:noProof/>
                <w:webHidden/>
              </w:rPr>
              <w:t>16</w:t>
            </w:r>
            <w:r>
              <w:rPr>
                <w:noProof/>
                <w:webHidden/>
              </w:rPr>
              <w:fldChar w:fldCharType="end"/>
            </w:r>
          </w:hyperlink>
        </w:p>
        <w:p w14:paraId="53A302B7" w14:textId="0A55D8C9"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39" w:history="1">
            <w:r w:rsidRPr="000267BA">
              <w:rPr>
                <w:rStyle w:val="Hyperlink"/>
                <w:noProof/>
              </w:rPr>
              <w:t>Australian regulations</w:t>
            </w:r>
            <w:r>
              <w:rPr>
                <w:noProof/>
                <w:webHidden/>
              </w:rPr>
              <w:tab/>
            </w:r>
            <w:r>
              <w:rPr>
                <w:noProof/>
                <w:webHidden/>
              </w:rPr>
              <w:fldChar w:fldCharType="begin"/>
            </w:r>
            <w:r>
              <w:rPr>
                <w:noProof/>
                <w:webHidden/>
              </w:rPr>
              <w:instrText xml:space="preserve"> PAGEREF _Toc202177239 \h </w:instrText>
            </w:r>
            <w:r>
              <w:rPr>
                <w:noProof/>
                <w:webHidden/>
              </w:rPr>
            </w:r>
            <w:r>
              <w:rPr>
                <w:noProof/>
                <w:webHidden/>
              </w:rPr>
              <w:fldChar w:fldCharType="separate"/>
            </w:r>
            <w:r w:rsidR="00292DDB">
              <w:rPr>
                <w:noProof/>
                <w:webHidden/>
              </w:rPr>
              <w:t>16</w:t>
            </w:r>
            <w:r>
              <w:rPr>
                <w:noProof/>
                <w:webHidden/>
              </w:rPr>
              <w:fldChar w:fldCharType="end"/>
            </w:r>
          </w:hyperlink>
        </w:p>
        <w:p w14:paraId="2FAC0BC9" w14:textId="3FEC58CD" w:rsidR="00A573A4" w:rsidRDefault="00A573A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2177240" w:history="1">
            <w:r w:rsidRPr="000267BA">
              <w:rPr>
                <w:rStyle w:val="Hyperlink"/>
                <w:noProof/>
              </w:rPr>
              <w:t>International regulations</w:t>
            </w:r>
            <w:r>
              <w:rPr>
                <w:noProof/>
                <w:webHidden/>
              </w:rPr>
              <w:tab/>
            </w:r>
            <w:r>
              <w:rPr>
                <w:noProof/>
                <w:webHidden/>
              </w:rPr>
              <w:fldChar w:fldCharType="begin"/>
            </w:r>
            <w:r>
              <w:rPr>
                <w:noProof/>
                <w:webHidden/>
              </w:rPr>
              <w:instrText xml:space="preserve"> PAGEREF _Toc202177240 \h </w:instrText>
            </w:r>
            <w:r>
              <w:rPr>
                <w:noProof/>
                <w:webHidden/>
              </w:rPr>
            </w:r>
            <w:r>
              <w:rPr>
                <w:noProof/>
                <w:webHidden/>
              </w:rPr>
              <w:fldChar w:fldCharType="separate"/>
            </w:r>
            <w:r w:rsidR="00292DDB">
              <w:rPr>
                <w:noProof/>
                <w:webHidden/>
              </w:rPr>
              <w:t>17</w:t>
            </w:r>
            <w:r>
              <w:rPr>
                <w:noProof/>
                <w:webHidden/>
              </w:rPr>
              <w:fldChar w:fldCharType="end"/>
            </w:r>
          </w:hyperlink>
        </w:p>
        <w:p w14:paraId="764CE7AC" w14:textId="02E9767C" w:rsidR="00A573A4" w:rsidRDefault="00A573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2177241" w:history="1">
            <w:r w:rsidRPr="000267BA">
              <w:rPr>
                <w:rStyle w:val="Hyperlink"/>
                <w:noProof/>
              </w:rPr>
              <w:t>How to respond</w:t>
            </w:r>
            <w:r>
              <w:rPr>
                <w:noProof/>
                <w:webHidden/>
              </w:rPr>
              <w:tab/>
            </w:r>
            <w:r>
              <w:rPr>
                <w:noProof/>
                <w:webHidden/>
              </w:rPr>
              <w:fldChar w:fldCharType="begin"/>
            </w:r>
            <w:r>
              <w:rPr>
                <w:noProof/>
                <w:webHidden/>
              </w:rPr>
              <w:instrText xml:space="preserve"> PAGEREF _Toc202177241 \h </w:instrText>
            </w:r>
            <w:r>
              <w:rPr>
                <w:noProof/>
                <w:webHidden/>
              </w:rPr>
            </w:r>
            <w:r>
              <w:rPr>
                <w:noProof/>
                <w:webHidden/>
              </w:rPr>
              <w:fldChar w:fldCharType="separate"/>
            </w:r>
            <w:r w:rsidR="00292DDB">
              <w:rPr>
                <w:noProof/>
                <w:webHidden/>
              </w:rPr>
              <w:t>18</w:t>
            </w:r>
            <w:r>
              <w:rPr>
                <w:noProof/>
                <w:webHidden/>
              </w:rPr>
              <w:fldChar w:fldCharType="end"/>
            </w:r>
          </w:hyperlink>
        </w:p>
        <w:p w14:paraId="7F60A086" w14:textId="700A5C6B" w:rsidR="00A573A4" w:rsidRDefault="00A573A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2177242" w:history="1">
            <w:r w:rsidRPr="000267BA">
              <w:rPr>
                <w:rStyle w:val="Hyperlink"/>
                <w:noProof/>
              </w:rPr>
              <w:t>What will happen</w:t>
            </w:r>
            <w:r>
              <w:rPr>
                <w:noProof/>
                <w:webHidden/>
              </w:rPr>
              <w:tab/>
            </w:r>
            <w:r>
              <w:rPr>
                <w:noProof/>
                <w:webHidden/>
              </w:rPr>
              <w:fldChar w:fldCharType="begin"/>
            </w:r>
            <w:r>
              <w:rPr>
                <w:noProof/>
                <w:webHidden/>
              </w:rPr>
              <w:instrText xml:space="preserve"> PAGEREF _Toc202177242 \h </w:instrText>
            </w:r>
            <w:r>
              <w:rPr>
                <w:noProof/>
                <w:webHidden/>
              </w:rPr>
            </w:r>
            <w:r>
              <w:rPr>
                <w:noProof/>
                <w:webHidden/>
              </w:rPr>
              <w:fldChar w:fldCharType="separate"/>
            </w:r>
            <w:r w:rsidR="00292DDB">
              <w:rPr>
                <w:noProof/>
                <w:webHidden/>
              </w:rPr>
              <w:t>18</w:t>
            </w:r>
            <w:r>
              <w:rPr>
                <w:noProof/>
                <w:webHidden/>
              </w:rPr>
              <w:fldChar w:fldCharType="end"/>
            </w:r>
          </w:hyperlink>
        </w:p>
        <w:p w14:paraId="48ACC025" w14:textId="38FB3C60" w:rsidR="00A573A4" w:rsidRPr="009401F6" w:rsidRDefault="00A573A4" w:rsidP="00A573A4">
          <w:r w:rsidRPr="009401F6">
            <w:fldChar w:fldCharType="end"/>
          </w:r>
        </w:p>
      </w:sdtContent>
    </w:sdt>
    <w:p w14:paraId="26541792" w14:textId="77777777" w:rsidR="00A573A4" w:rsidRPr="009401F6" w:rsidRDefault="00A573A4" w:rsidP="00A573A4">
      <w:r w:rsidRPr="009401F6">
        <w:br w:type="page"/>
      </w:r>
    </w:p>
    <w:p w14:paraId="03190480" w14:textId="77777777" w:rsidR="00A573A4" w:rsidRPr="00C417B6" w:rsidRDefault="00A573A4" w:rsidP="00A573A4">
      <w:pPr>
        <w:pStyle w:val="Heading2"/>
      </w:pPr>
      <w:bookmarkStart w:id="2" w:name="_Toc201870315"/>
      <w:bookmarkStart w:id="3" w:name="_Toc202177217"/>
      <w:bookmarkStart w:id="4" w:name="_Hlk139892263"/>
      <w:bookmarkEnd w:id="1"/>
      <w:r w:rsidRPr="00C417B6">
        <w:lastRenderedPageBreak/>
        <w:t>About this consultation</w:t>
      </w:r>
      <w:bookmarkEnd w:id="2"/>
      <w:bookmarkEnd w:id="3"/>
    </w:p>
    <w:p w14:paraId="71CE4869" w14:textId="77777777" w:rsidR="00A573A4" w:rsidRPr="00C417B6" w:rsidRDefault="00A573A4" w:rsidP="00A573A4">
      <w:bookmarkStart w:id="5" w:name="_Toc323739591"/>
      <w:bookmarkStart w:id="6" w:name="_Toc356305218"/>
      <w:r w:rsidRPr="00C417B6">
        <w:t xml:space="preserve">Subdivision </w:t>
      </w:r>
      <w:proofErr w:type="spellStart"/>
      <w:r w:rsidRPr="00C417B6">
        <w:t>3D.2</w:t>
      </w:r>
      <w:proofErr w:type="spellEnd"/>
      <w:r w:rsidRPr="00C417B6">
        <w:t xml:space="preserve"> of the Therapeutic Goods Regulations 1990 (the Regulations) sets out the procedure to be followed where the Secretary receives an application under section </w:t>
      </w:r>
      <w:proofErr w:type="spellStart"/>
      <w:r w:rsidRPr="00C417B6">
        <w:t>52EAA</w:t>
      </w:r>
      <w:proofErr w:type="spellEnd"/>
      <w:r w:rsidRPr="00C417B6">
        <w:t xml:space="preserve"> of the Therapeutic Goods Act 1989 (the Act) to amend the current Poisons Standard or decides to amend the Poisons Standard on his or her own initiative and decides to refer the proposed amendment to an expert advisory committee. These include, under regulation </w:t>
      </w:r>
      <w:proofErr w:type="spellStart"/>
      <w:r w:rsidRPr="00C417B6">
        <w:t>42ZCZK</w:t>
      </w:r>
      <w:proofErr w:type="spellEnd"/>
      <w:r w:rsidRPr="00C417B6">
        <w:t>,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11BCE0E8" w14:textId="3FDE1320" w:rsidR="00A573A4" w:rsidRPr="00C417B6" w:rsidRDefault="00A573A4" w:rsidP="00A573A4">
      <w:r w:rsidRPr="00C417B6">
        <w:rPr>
          <w:noProof/>
        </w:rPr>
        <mc:AlternateContent>
          <mc:Choice Requires="wps">
            <w:drawing>
              <wp:anchor distT="0" distB="0" distL="114300" distR="114300" simplePos="0" relativeHeight="251659264" behindDoc="0" locked="0" layoutInCell="1" allowOverlap="1" wp14:anchorId="282DB593" wp14:editId="7C9B895D">
                <wp:simplePos x="0" y="0"/>
                <wp:positionH relativeFrom="margin">
                  <wp:posOffset>0</wp:posOffset>
                </wp:positionH>
                <wp:positionV relativeFrom="paragraph">
                  <wp:posOffset>1007110</wp:posOffset>
                </wp:positionV>
                <wp:extent cx="1828800" cy="1828800"/>
                <wp:effectExtent l="0" t="0" r="25400"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20841B5C" w14:textId="77777777" w:rsidR="00A573A4" w:rsidRPr="00520CD5" w:rsidRDefault="00A573A4" w:rsidP="00A573A4">
                            <w:pPr>
                              <w:rPr>
                                <w:lang w:val="en"/>
                              </w:rPr>
                            </w:pPr>
                            <w:r w:rsidRPr="00520CD5">
                              <w:t>Submissions should be provided through our</w:t>
                            </w:r>
                            <w:r w:rsidRPr="00520CD5">
                              <w:rPr>
                                <w:lang w:val="en"/>
                              </w:rPr>
                              <w:t xml:space="preserve"> </w:t>
                            </w:r>
                            <w:hyperlink r:id="rId16" w:history="1">
                              <w:r w:rsidRPr="00520CD5">
                                <w:rPr>
                                  <w:rStyle w:val="Hyperlink"/>
                                  <w:rFonts w:cs="Arial"/>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17" w:history="1">
                              <w:r w:rsidRPr="00520CD5">
                                <w:rPr>
                                  <w:rStyle w:val="Hyperlink"/>
                                  <w:rFonts w:cs="Arial"/>
                                  <w:szCs w:val="18"/>
                                </w:rPr>
                                <w:t>Advisory Committee on Medicines Scheduling (ACMS)</w:t>
                              </w:r>
                            </w:hyperlink>
                            <w:r w:rsidRPr="00520CD5">
                              <w:rPr>
                                <w:lang w:val="en"/>
                              </w:rPr>
                              <w:t xml:space="preserve">, </w:t>
                            </w:r>
                            <w:r w:rsidRPr="00520CD5">
                              <w:t>meeting of the</w:t>
                            </w:r>
                            <w:r w:rsidRPr="00520CD5">
                              <w:rPr>
                                <w:lang w:val="en"/>
                              </w:rPr>
                              <w:t xml:space="preserve"> </w:t>
                            </w:r>
                            <w:hyperlink r:id="rId18" w:history="1">
                              <w:r w:rsidRPr="00520CD5">
                                <w:rPr>
                                  <w:rStyle w:val="Hyperlink"/>
                                  <w:rFonts w:cs="Arial"/>
                                  <w:szCs w:val="18"/>
                                </w:rPr>
                                <w:t>Advisory Committee on Chemicals Scheduling (ACCS)</w:t>
                              </w:r>
                            </w:hyperlink>
                            <w:r w:rsidRPr="00520CD5">
                              <w:rPr>
                                <w:lang w:val="en"/>
                              </w:rPr>
                              <w:t xml:space="preserve">, </w:t>
                            </w:r>
                            <w:r w:rsidRPr="00520CD5">
                              <w:t>or a joint meeting of these two committees.</w:t>
                            </w:r>
                          </w:p>
                          <w:p w14:paraId="071A5963" w14:textId="27C1943B" w:rsidR="00A573A4" w:rsidRPr="00520CD5" w:rsidRDefault="00A573A4" w:rsidP="00A573A4">
                            <w:pPr>
                              <w:rPr>
                                <w:b/>
                                <w:lang w:val="en"/>
                              </w:rPr>
                            </w:pPr>
                            <w:r w:rsidRPr="00520CD5">
                              <w:rPr>
                                <w:b/>
                                <w:lang w:val="en"/>
                              </w:rPr>
                              <w:t xml:space="preserve">This consultation closes on </w:t>
                            </w:r>
                            <w:r w:rsidR="00A5002A" w:rsidRPr="00A5002A">
                              <w:rPr>
                                <w:b/>
                                <w:lang w:val="en"/>
                              </w:rPr>
                              <w:t>12</w:t>
                            </w:r>
                            <w:r w:rsidRPr="00A5002A">
                              <w:rPr>
                                <w:b/>
                                <w:lang w:val="en"/>
                              </w:rPr>
                              <w:t xml:space="preserve"> August 2025.</w:t>
                            </w:r>
                          </w:p>
                          <w:p w14:paraId="18E3F0F3" w14:textId="77777777" w:rsidR="00A573A4" w:rsidRPr="00520CD5" w:rsidRDefault="00A573A4" w:rsidP="00A573A4">
                            <w:r w:rsidRPr="00520CD5">
                              <w:t>We aim to provide documents in an accessible format. If you're having problems using this document, please contact </w:t>
                            </w:r>
                            <w:hyperlink r:id="rId19" w:history="1">
                              <w:r w:rsidRPr="00520CD5">
                                <w:rPr>
                                  <w:rStyle w:val="Hyperlink"/>
                                  <w:rFonts w:cs="Arial"/>
                                  <w:szCs w:val="18"/>
                                </w:rPr>
                                <w:t>medicines.scheduling@health.gov.au</w:t>
                              </w:r>
                            </w:hyperlink>
                            <w:r w:rsidRPr="00520CD5">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2DB593" id="_x0000_t202" coordsize="21600,21600" o:spt="202" path="m,l,21600r21600,l21600,xe">
                <v:stroke joinstyle="miter"/>
                <v:path gradientshapeok="t" o:connecttype="rect"/>
              </v:shapetype>
              <v:shape id="Text Box 1" o:spid="_x0000_s1026" type="#_x0000_t202" style="position:absolute;margin-left:0;margin-top:79.3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20841B5C" w14:textId="77777777" w:rsidR="00A573A4" w:rsidRPr="00520CD5" w:rsidRDefault="00A573A4" w:rsidP="00A573A4">
                      <w:pPr>
                        <w:rPr>
                          <w:lang w:val="en"/>
                        </w:rPr>
                      </w:pPr>
                      <w:r w:rsidRPr="00520CD5">
                        <w:t>Submissions should be provided through our</w:t>
                      </w:r>
                      <w:r w:rsidRPr="00520CD5">
                        <w:rPr>
                          <w:lang w:val="en"/>
                        </w:rPr>
                        <w:t xml:space="preserve"> </w:t>
                      </w:r>
                      <w:hyperlink r:id="rId20" w:history="1">
                        <w:r w:rsidRPr="00520CD5">
                          <w:rPr>
                            <w:rStyle w:val="Hyperlink"/>
                            <w:rFonts w:cs="Arial"/>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21" w:history="1">
                        <w:r w:rsidRPr="00520CD5">
                          <w:rPr>
                            <w:rStyle w:val="Hyperlink"/>
                            <w:rFonts w:cs="Arial"/>
                            <w:szCs w:val="18"/>
                          </w:rPr>
                          <w:t>Advisory Committee on Medicines Scheduling (ACMS)</w:t>
                        </w:r>
                      </w:hyperlink>
                      <w:r w:rsidRPr="00520CD5">
                        <w:rPr>
                          <w:lang w:val="en"/>
                        </w:rPr>
                        <w:t xml:space="preserve">, </w:t>
                      </w:r>
                      <w:r w:rsidRPr="00520CD5">
                        <w:t>meeting of the</w:t>
                      </w:r>
                      <w:r w:rsidRPr="00520CD5">
                        <w:rPr>
                          <w:lang w:val="en"/>
                        </w:rPr>
                        <w:t xml:space="preserve"> </w:t>
                      </w:r>
                      <w:hyperlink r:id="rId22" w:history="1">
                        <w:r w:rsidRPr="00520CD5">
                          <w:rPr>
                            <w:rStyle w:val="Hyperlink"/>
                            <w:rFonts w:cs="Arial"/>
                            <w:szCs w:val="18"/>
                          </w:rPr>
                          <w:t>Advisory Committee on Chemicals Scheduling (ACCS)</w:t>
                        </w:r>
                      </w:hyperlink>
                      <w:r w:rsidRPr="00520CD5">
                        <w:rPr>
                          <w:lang w:val="en"/>
                        </w:rPr>
                        <w:t xml:space="preserve">, </w:t>
                      </w:r>
                      <w:r w:rsidRPr="00520CD5">
                        <w:t>or a joint meeting of these two committees.</w:t>
                      </w:r>
                    </w:p>
                    <w:p w14:paraId="071A5963" w14:textId="27C1943B" w:rsidR="00A573A4" w:rsidRPr="00520CD5" w:rsidRDefault="00A573A4" w:rsidP="00A573A4">
                      <w:pPr>
                        <w:rPr>
                          <w:b/>
                          <w:lang w:val="en"/>
                        </w:rPr>
                      </w:pPr>
                      <w:r w:rsidRPr="00520CD5">
                        <w:rPr>
                          <w:b/>
                          <w:lang w:val="en"/>
                        </w:rPr>
                        <w:t xml:space="preserve">This consultation closes on </w:t>
                      </w:r>
                      <w:r w:rsidR="00A5002A" w:rsidRPr="00A5002A">
                        <w:rPr>
                          <w:b/>
                          <w:lang w:val="en"/>
                        </w:rPr>
                        <w:t>12</w:t>
                      </w:r>
                      <w:r w:rsidRPr="00A5002A">
                        <w:rPr>
                          <w:b/>
                          <w:lang w:val="en"/>
                        </w:rPr>
                        <w:t xml:space="preserve"> August 2025.</w:t>
                      </w:r>
                    </w:p>
                    <w:p w14:paraId="18E3F0F3" w14:textId="77777777" w:rsidR="00A573A4" w:rsidRPr="00520CD5" w:rsidRDefault="00A573A4" w:rsidP="00A573A4">
                      <w:r w:rsidRPr="00520CD5">
                        <w:t>We aim to provide documents in an accessible format. If you're having problems using this document, please contact </w:t>
                      </w:r>
                      <w:hyperlink r:id="rId23" w:history="1">
                        <w:r w:rsidRPr="00520CD5">
                          <w:rPr>
                            <w:rStyle w:val="Hyperlink"/>
                            <w:rFonts w:cs="Arial"/>
                            <w:szCs w:val="18"/>
                          </w:rPr>
                          <w:t>medicines.scheduling@health.gov.au</w:t>
                        </w:r>
                      </w:hyperlink>
                      <w:r w:rsidRPr="00520CD5">
                        <w:t>.</w:t>
                      </w:r>
                    </w:p>
                  </w:txbxContent>
                </v:textbox>
                <w10:wrap type="square" anchorx="margin"/>
              </v:shape>
            </w:pict>
          </mc:Fallback>
        </mc:AlternateContent>
      </w:r>
      <w:r w:rsidRPr="00C417B6">
        <w:t xml:space="preserve">In accordance with regulation </w:t>
      </w:r>
      <w:proofErr w:type="spellStart"/>
      <w:r w:rsidRPr="00C417B6">
        <w:t>42ZCZK</w:t>
      </w:r>
      <w:proofErr w:type="spellEnd"/>
      <w:r w:rsidRPr="00C417B6">
        <w:t xml:space="preserve"> of the Regulations, the Secretary invites public submissions on scheduling proposals referred to the </w:t>
      </w:r>
      <w:r w:rsidRPr="00C2054A">
        <w:t>September 2025</w:t>
      </w:r>
      <w:r w:rsidRPr="00473A46">
        <w:t xml:space="preserve"> meeting of the </w:t>
      </w:r>
      <w:r w:rsidRPr="00C2054A">
        <w:t>Joint</w:t>
      </w:r>
      <w:r w:rsidRPr="00473A46">
        <w:t xml:space="preserve"> Advisory Committees on </w:t>
      </w:r>
      <w:r w:rsidRPr="00C2054A">
        <w:t>Medicines and Chemicals</w:t>
      </w:r>
      <w:r w:rsidRPr="00473A46">
        <w:t xml:space="preserve"> Scheduling (</w:t>
      </w:r>
      <w:r w:rsidRPr="00C2054A">
        <w:t>Joint ACMS-ACCS #4</w:t>
      </w:r>
      <w:r w:rsidRPr="00473A46">
        <w:t>1). Submissions</w:t>
      </w:r>
      <w:r w:rsidRPr="00C417B6">
        <w:t xml:space="preserve"> must be received by close of business </w:t>
      </w:r>
      <w:r w:rsidR="00A5002A" w:rsidRPr="00A5002A">
        <w:t>12</w:t>
      </w:r>
      <w:r w:rsidRPr="00A5002A">
        <w:t xml:space="preserve"> August 2025.</w:t>
      </w:r>
    </w:p>
    <w:bookmarkEnd w:id="4"/>
    <w:bookmarkEnd w:id="5"/>
    <w:bookmarkEnd w:id="6"/>
    <w:p w14:paraId="160CD8F5" w14:textId="77777777" w:rsidR="00A573A4" w:rsidRPr="00C417B6" w:rsidRDefault="00A573A4" w:rsidP="00A573A4">
      <w:r w:rsidRPr="00C417B6">
        <w:br w:type="page"/>
      </w:r>
    </w:p>
    <w:p w14:paraId="05EBFD15" w14:textId="77777777" w:rsidR="00A573A4" w:rsidRDefault="00A573A4" w:rsidP="00A573A4">
      <w:pPr>
        <w:pStyle w:val="Heading2"/>
      </w:pPr>
      <w:bookmarkStart w:id="7" w:name="_Toc201870316"/>
      <w:bookmarkStart w:id="8" w:name="_Toc202177218"/>
      <w:bookmarkStart w:id="9" w:name="_Toc122614237"/>
      <w:r>
        <w:lastRenderedPageBreak/>
        <w:t>Preamble</w:t>
      </w:r>
      <w:bookmarkEnd w:id="7"/>
      <w:bookmarkEnd w:id="8"/>
    </w:p>
    <w:p w14:paraId="4958CC72" w14:textId="77777777" w:rsidR="00A573A4" w:rsidRPr="0018643A" w:rsidRDefault="00A573A4" w:rsidP="00A573A4">
      <w:r>
        <w:t>Australia has the highest rates of skin cancer in the world with around 2,000 people dying each year from skin cancer. Sunscreens provide one of the best ways to protect yourself from the sun’s ultraviolet (UV) rays which can cause skin cancer. Many Australians use sunscreens daily. This is why sunscreens need to be regulated in Australia to ensure they are safe, effective and of good quality.</w:t>
      </w:r>
    </w:p>
    <w:p w14:paraId="6EA805A2" w14:textId="6B94CC9D" w:rsidR="00A573A4" w:rsidRPr="0018643A" w:rsidRDefault="00A573A4" w:rsidP="00A573A4">
      <w:r w:rsidRPr="0018643A">
        <w:t>Sunscreens contain substances that either absorb or reflect UV rays and prevent most UV rays from penetrating the skin and damaging skin cells. In 2019</w:t>
      </w:r>
      <w:r w:rsidRPr="00B60780">
        <w:rPr>
          <w:rFonts w:cs="Arial"/>
        </w:rPr>
        <w:t>, the United States Food and Drug Administration (FDA) review</w:t>
      </w:r>
      <w:r>
        <w:rPr>
          <w:rFonts w:cs="Arial"/>
        </w:rPr>
        <w:t>ed</w:t>
      </w:r>
      <w:r w:rsidRPr="00B60780">
        <w:rPr>
          <w:rFonts w:cs="Arial"/>
        </w:rPr>
        <w:t xml:space="preserve"> of the safety of sunscreen ingredients. The FDA identified 12</w:t>
      </w:r>
      <w:r w:rsidR="00AA7BEC">
        <w:rPr>
          <w:rFonts w:cs="Arial"/>
        </w:rPr>
        <w:t> </w:t>
      </w:r>
      <w:r w:rsidRPr="00B60780">
        <w:rPr>
          <w:rFonts w:cs="Arial"/>
        </w:rPr>
        <w:t xml:space="preserve">ingredients, including </w:t>
      </w:r>
      <w:proofErr w:type="spellStart"/>
      <w:r w:rsidRPr="00B60780">
        <w:rPr>
          <w:rFonts w:cs="Arial"/>
        </w:rPr>
        <w:t>h</w:t>
      </w:r>
      <w:r w:rsidRPr="00B60780">
        <w:rPr>
          <w:rFonts w:eastAsia="Cambria" w:cs="Arial"/>
        </w:rPr>
        <w:t>omosalate</w:t>
      </w:r>
      <w:proofErr w:type="spellEnd"/>
      <w:r w:rsidRPr="00B60780">
        <w:rPr>
          <w:rFonts w:eastAsia="Cambria" w:cs="Arial"/>
        </w:rPr>
        <w:t xml:space="preserve"> and oxybenz</w:t>
      </w:r>
      <w:r w:rsidRPr="00C2054A">
        <w:rPr>
          <w:rFonts w:eastAsiaTheme="minorEastAsia" w:cs="Arial"/>
        </w:rPr>
        <w:t>one, where additional data is required to consider them as generally recognised as safe and effective (GRASE</w:t>
      </w:r>
      <w:r w:rsidRPr="4EBDB457">
        <w:rPr>
          <w:rFonts w:asciiTheme="minorHAnsi" w:eastAsiaTheme="minorEastAsia" w:hAnsiTheme="minorHAnsi"/>
        </w:rPr>
        <w:t>).</w:t>
      </w:r>
      <w:r>
        <w:rPr>
          <w:rStyle w:val="FootnoteReference"/>
        </w:rPr>
        <w:footnoteReference w:id="2"/>
      </w:r>
    </w:p>
    <w:p w14:paraId="3EECF7FC" w14:textId="77777777" w:rsidR="00A573A4" w:rsidRPr="0018643A" w:rsidRDefault="00A573A4" w:rsidP="00A573A4">
      <w:pPr>
        <w:rPr>
          <w:rFonts w:eastAsia="Cambria" w:cs="Arial"/>
        </w:rPr>
      </w:pPr>
      <w:r w:rsidRPr="0018643A">
        <w:t xml:space="preserve">In 2021, the </w:t>
      </w:r>
      <w:r w:rsidRPr="0018643A">
        <w:rPr>
          <w:rFonts w:eastAsia="Cambria" w:cs="Arial"/>
        </w:rPr>
        <w:t xml:space="preserve">European Commission’s Scientific Committee on Consumer Safety (SCCS) also reviewed sunscreen ingredients. </w:t>
      </w:r>
      <w:r>
        <w:rPr>
          <w:rFonts w:eastAsia="Cambria" w:cs="Arial"/>
        </w:rPr>
        <w:t xml:space="preserve">In its review, the </w:t>
      </w:r>
      <w:r w:rsidRPr="0018643A">
        <w:rPr>
          <w:rFonts w:eastAsia="Cambria" w:cs="Arial"/>
        </w:rPr>
        <w:t>SCCS could not conclude</w:t>
      </w:r>
      <w:r w:rsidRPr="0018643A">
        <w:t xml:space="preserve"> that </w:t>
      </w:r>
      <w:r w:rsidRPr="0018643A">
        <w:rPr>
          <w:rFonts w:eastAsia="Cambria" w:cs="Arial"/>
        </w:rPr>
        <w:t xml:space="preserve">that the levels of oxybenzone and </w:t>
      </w:r>
      <w:proofErr w:type="spellStart"/>
      <w:r w:rsidRPr="0018643A">
        <w:rPr>
          <w:rFonts w:eastAsia="Cambria" w:cs="Arial"/>
        </w:rPr>
        <w:t>homosalate</w:t>
      </w:r>
      <w:proofErr w:type="spellEnd"/>
      <w:r w:rsidRPr="0018643A">
        <w:rPr>
          <w:rFonts w:eastAsia="Cambria" w:cs="Arial"/>
        </w:rPr>
        <w:t xml:space="preserve"> present in sunscreens sold in Europe were completely safe. Since January 2025, the European Union (EU) ha</w:t>
      </w:r>
      <w:r>
        <w:rPr>
          <w:rFonts w:eastAsia="Cambria" w:cs="Arial"/>
        </w:rPr>
        <w:t>s</w:t>
      </w:r>
      <w:r w:rsidRPr="0018643A">
        <w:rPr>
          <w:rFonts w:eastAsia="Cambria" w:cs="Arial"/>
        </w:rPr>
        <w:t xml:space="preserve"> placed restrictions on the maximum amount of </w:t>
      </w:r>
      <w:proofErr w:type="spellStart"/>
      <w:r w:rsidRPr="0018643A">
        <w:t>h</w:t>
      </w:r>
      <w:r w:rsidRPr="0018643A">
        <w:rPr>
          <w:rFonts w:eastAsia="Cambria" w:cs="Arial"/>
        </w:rPr>
        <w:t>omosalate</w:t>
      </w:r>
      <w:proofErr w:type="spellEnd"/>
      <w:r w:rsidRPr="0018643A">
        <w:rPr>
          <w:rFonts w:eastAsia="Cambria" w:cs="Arial"/>
        </w:rPr>
        <w:t xml:space="preserve"> and oxybenzone that can be present in various cosmetic</w:t>
      </w:r>
      <w:r>
        <w:rPr>
          <w:rFonts w:eastAsia="Cambria" w:cs="Arial"/>
        </w:rPr>
        <w:t xml:space="preserve"> </w:t>
      </w:r>
      <w:r w:rsidRPr="0018643A">
        <w:rPr>
          <w:rFonts w:eastAsia="Cambria" w:cs="Arial"/>
        </w:rPr>
        <w:t>s</w:t>
      </w:r>
      <w:r>
        <w:rPr>
          <w:rFonts w:eastAsia="Cambria" w:cs="Arial"/>
        </w:rPr>
        <w:t>unscreens</w:t>
      </w:r>
      <w:r w:rsidRPr="0018643A">
        <w:rPr>
          <w:rFonts w:eastAsia="Cambria" w:cs="Arial"/>
        </w:rPr>
        <w:t>.</w:t>
      </w:r>
    </w:p>
    <w:p w14:paraId="23F25A30" w14:textId="77777777" w:rsidR="00A573A4" w:rsidRPr="0018643A" w:rsidRDefault="00A573A4" w:rsidP="00A573A4">
      <w:pPr>
        <w:rPr>
          <w:rFonts w:eastAsia="Cambria" w:cs="Arial"/>
        </w:rPr>
      </w:pPr>
      <w:r>
        <w:rPr>
          <w:rFonts w:eastAsia="Cambria" w:cs="Arial"/>
        </w:rPr>
        <w:t xml:space="preserve">The </w:t>
      </w:r>
      <w:r w:rsidRPr="0018643A">
        <w:rPr>
          <w:rFonts w:eastAsia="Cambria" w:cs="Arial"/>
        </w:rPr>
        <w:t xml:space="preserve">EU also placed similar restrictions on another ingredient, </w:t>
      </w:r>
      <w:r>
        <w:rPr>
          <w:rFonts w:eastAsia="Cambria" w:cs="Arial"/>
        </w:rPr>
        <w:t xml:space="preserve">benzophenone, which breaks down from </w:t>
      </w:r>
      <w:r w:rsidRPr="0018643A">
        <w:rPr>
          <w:rFonts w:eastAsia="Cambria" w:cs="Arial"/>
        </w:rPr>
        <w:t>octocrylene. Since November 2023, use of benzophenone in cosmetic products is prohibited within the EU.</w:t>
      </w:r>
    </w:p>
    <w:p w14:paraId="237A9C89" w14:textId="77777777" w:rsidR="00A573A4" w:rsidRDefault="00A573A4" w:rsidP="00A573A4">
      <w:pPr>
        <w:tabs>
          <w:tab w:val="num" w:pos="720"/>
        </w:tabs>
        <w:rPr>
          <w:rFonts w:eastAsia="Cambria" w:cs="Arial"/>
        </w:rPr>
      </w:pPr>
      <w:r w:rsidRPr="0018643A">
        <w:rPr>
          <w:rFonts w:eastAsia="Cambria" w:cs="Arial"/>
        </w:rPr>
        <w:t>In Australia, sunscreens are divided into 2 categories: therapeutic sunscreens and cosmetic sunscreens. Therapeutic sunscreens include p</w:t>
      </w:r>
      <w:r w:rsidRPr="00BA2678">
        <w:rPr>
          <w:rFonts w:eastAsia="Cambria" w:cs="Arial"/>
        </w:rPr>
        <w:t>rimary sunscreens</w:t>
      </w:r>
      <w:r w:rsidRPr="0018643A">
        <w:rPr>
          <w:rFonts w:eastAsia="Cambria" w:cs="Arial"/>
        </w:rPr>
        <w:t xml:space="preserve"> (</w:t>
      </w:r>
      <w:r w:rsidRPr="00BA2678">
        <w:rPr>
          <w:rFonts w:eastAsia="Cambria" w:cs="Arial"/>
        </w:rPr>
        <w:t xml:space="preserve">used primarily for protection from UV </w:t>
      </w:r>
      <w:r w:rsidRPr="0018643A">
        <w:rPr>
          <w:rFonts w:eastAsia="Cambria" w:cs="Arial"/>
        </w:rPr>
        <w:t>rays) and some</w:t>
      </w:r>
      <w:r w:rsidRPr="00BA2678">
        <w:rPr>
          <w:rFonts w:eastAsia="Cambria" w:cs="Arial"/>
        </w:rPr>
        <w:t> </w:t>
      </w:r>
      <w:r w:rsidRPr="0018643A">
        <w:rPr>
          <w:rFonts w:eastAsia="Cambria" w:cs="Arial"/>
        </w:rPr>
        <w:t>s</w:t>
      </w:r>
      <w:r w:rsidRPr="00BA2678">
        <w:rPr>
          <w:rFonts w:eastAsia="Cambria" w:cs="Arial"/>
        </w:rPr>
        <w:t>econdary sunscreens</w:t>
      </w:r>
      <w:r w:rsidRPr="0018643A">
        <w:rPr>
          <w:rFonts w:eastAsia="Cambria" w:cs="Arial"/>
          <w:b/>
          <w:bCs/>
        </w:rPr>
        <w:t xml:space="preserve"> </w:t>
      </w:r>
      <w:r w:rsidRPr="0018643A">
        <w:rPr>
          <w:rFonts w:eastAsia="Cambria" w:cs="Arial"/>
        </w:rPr>
        <w:t xml:space="preserve">(used mainly for other purposes but contain </w:t>
      </w:r>
      <w:r w:rsidRPr="00BA2678">
        <w:rPr>
          <w:rFonts w:eastAsia="Cambria" w:cs="Arial"/>
        </w:rPr>
        <w:t>sun screening agents</w:t>
      </w:r>
      <w:r>
        <w:rPr>
          <w:rFonts w:eastAsia="Cambria" w:cs="Arial"/>
        </w:rPr>
        <w:t>, for example,</w:t>
      </w:r>
      <w:r w:rsidRPr="0018643A">
        <w:rPr>
          <w:rFonts w:eastAsia="Cambria" w:cs="Arial"/>
        </w:rPr>
        <w:t xml:space="preserve"> sunbathing and moisturising skin care products with an SPF of over 15). Therapeutic sunscreens are regulated by the </w:t>
      </w:r>
      <w:r w:rsidRPr="00247A6E">
        <w:rPr>
          <w:rFonts w:eastAsia="Cambria" w:cs="Arial"/>
        </w:rPr>
        <w:t>Therapeutic Goods Administration</w:t>
      </w:r>
      <w:r>
        <w:rPr>
          <w:rFonts w:eastAsia="Cambria" w:cs="Arial"/>
        </w:rPr>
        <w:t xml:space="preserve"> (</w:t>
      </w:r>
      <w:r w:rsidRPr="0018643A">
        <w:rPr>
          <w:rFonts w:eastAsia="Cambria" w:cs="Arial"/>
        </w:rPr>
        <w:t>TGA</w:t>
      </w:r>
      <w:r>
        <w:rPr>
          <w:rFonts w:eastAsia="Cambria" w:cs="Arial"/>
        </w:rPr>
        <w:t>)</w:t>
      </w:r>
      <w:r w:rsidRPr="0018643A">
        <w:rPr>
          <w:rFonts w:eastAsia="Cambria" w:cs="Arial"/>
        </w:rPr>
        <w:t>.</w:t>
      </w:r>
    </w:p>
    <w:p w14:paraId="31D3F6FB" w14:textId="688D7BA6" w:rsidR="00A573A4" w:rsidRPr="00946B5A" w:rsidRDefault="00A573A4" w:rsidP="00A573A4">
      <w:pPr>
        <w:rPr>
          <w:rFonts w:cs="Times New Roman"/>
          <w:lang w:val="en"/>
        </w:rPr>
      </w:pPr>
      <w:r w:rsidRPr="009F7AAC">
        <w:rPr>
          <w:rFonts w:cs="Arial"/>
        </w:rPr>
        <w:t xml:space="preserve">The </w:t>
      </w:r>
      <w:hyperlink r:id="rId24" w:history="1">
        <w:r>
          <w:rPr>
            <w:rStyle w:val="Hyperlink"/>
            <w:rFonts w:cs="Arial"/>
            <w:i/>
            <w:iCs/>
          </w:rPr>
          <w:t>Therapeutic Goods (Permissible Ingredients) Determination (No. 2) 2025</w:t>
        </w:r>
      </w:hyperlink>
      <w:r w:rsidRPr="009F7AAC">
        <w:rPr>
          <w:rFonts w:cs="Arial"/>
        </w:rPr>
        <w:t xml:space="preserve"> currently lists 30</w:t>
      </w:r>
      <w:r w:rsidR="00AA7BEC">
        <w:rPr>
          <w:rFonts w:cs="Arial"/>
        </w:rPr>
        <w:t> </w:t>
      </w:r>
      <w:r w:rsidRPr="009F7AAC">
        <w:rPr>
          <w:rFonts w:cs="Arial"/>
        </w:rPr>
        <w:t xml:space="preserve">sunscreen active ingredients approved for use in Australia. The safety of these ingredients has been </w:t>
      </w:r>
      <w:r>
        <w:rPr>
          <w:rFonts w:cs="Arial"/>
        </w:rPr>
        <w:t>examined</w:t>
      </w:r>
      <w:r w:rsidRPr="009F7AAC">
        <w:rPr>
          <w:rFonts w:cs="Arial"/>
        </w:rPr>
        <w:t xml:space="preserve"> by various means, including the assessment of toxicological data, utilisation of overseas regulatory</w:t>
      </w:r>
      <w:r w:rsidRPr="00CA6DCB">
        <w:t xml:space="preserve"> reports, and consideration by committees such as the then Medicines Evaluation Committee.</w:t>
      </w:r>
    </w:p>
    <w:p w14:paraId="2BB6D267" w14:textId="77777777" w:rsidR="00A573A4" w:rsidRDefault="00A573A4" w:rsidP="00A573A4">
      <w:pPr>
        <w:tabs>
          <w:tab w:val="num" w:pos="720"/>
        </w:tabs>
        <w:rPr>
          <w:rFonts w:eastAsia="Cambria" w:cs="Arial"/>
        </w:rPr>
      </w:pPr>
      <w:r w:rsidRPr="0018643A">
        <w:rPr>
          <w:rFonts w:eastAsia="Cambria" w:cs="Arial"/>
        </w:rPr>
        <w:t xml:space="preserve">Cosmetic sunscreens are the majority of the secondary sunscreen products. They are not considered to be therapeutic goods and are 'excluded' from the therapeutic goods legislation. Examples are lipsticks and lip balms that contain sunscreen with an SPF of 4 or more. Ingredients in cosmetic sunscreens are </w:t>
      </w:r>
      <w:r>
        <w:rPr>
          <w:rFonts w:eastAsia="Cambria" w:cs="Arial"/>
        </w:rPr>
        <w:t xml:space="preserve">regulated by </w:t>
      </w:r>
      <w:r w:rsidRPr="0018643A">
        <w:rPr>
          <w:rFonts w:eastAsia="Cambria" w:cs="Arial"/>
        </w:rPr>
        <w:t>the Australian Industrial Chemicals Introduction Scheme</w:t>
      </w:r>
      <w:r>
        <w:rPr>
          <w:rFonts w:eastAsia="Cambria" w:cs="Arial"/>
        </w:rPr>
        <w:t xml:space="preserve"> (AICIS)</w:t>
      </w:r>
      <w:r w:rsidRPr="0018643A">
        <w:rPr>
          <w:rFonts w:eastAsia="Cambria" w:cs="Arial"/>
        </w:rPr>
        <w:t>.</w:t>
      </w:r>
    </w:p>
    <w:p w14:paraId="1FB27D61" w14:textId="77777777" w:rsidR="00A573A4" w:rsidRPr="00151553" w:rsidRDefault="00A573A4" w:rsidP="00A573A4">
      <w:pPr>
        <w:tabs>
          <w:tab w:val="num" w:pos="720"/>
        </w:tabs>
        <w:rPr>
          <w:rFonts w:eastAsia="Cambria" w:cs="Arial"/>
        </w:rPr>
      </w:pPr>
      <w:r>
        <w:rPr>
          <w:rFonts w:eastAsia="Cambria" w:cs="Arial"/>
        </w:rPr>
        <w:t xml:space="preserve">Most products containing sunscreen ingredients in the Australian market can be broadly categorised based </w:t>
      </w:r>
      <w:r w:rsidRPr="00151553">
        <w:rPr>
          <w:rFonts w:eastAsia="Cambria" w:cs="Arial"/>
        </w:rPr>
        <w:t>on the intended pattern of use. These are:</w:t>
      </w:r>
    </w:p>
    <w:p w14:paraId="1D80C26A" w14:textId="77777777" w:rsidR="00A573A4" w:rsidRPr="00151553" w:rsidRDefault="00A573A4" w:rsidP="00A573A4">
      <w:pPr>
        <w:pStyle w:val="ListParagraph"/>
        <w:numPr>
          <w:ilvl w:val="0"/>
          <w:numId w:val="25"/>
        </w:numPr>
      </w:pPr>
      <w:r w:rsidRPr="00151553">
        <w:t>General or regular body sunscreen</w:t>
      </w:r>
      <w:r>
        <w:t xml:space="preserve"> products</w:t>
      </w:r>
      <w:r w:rsidRPr="00151553">
        <w:t xml:space="preserve"> – for application to the whole body including each arm, leg, front of the body, back of the body and face (including the neck and ears)</w:t>
      </w:r>
    </w:p>
    <w:p w14:paraId="6FAF1D9E" w14:textId="77777777" w:rsidR="00A573A4" w:rsidRPr="00151553" w:rsidRDefault="00A573A4" w:rsidP="00A573A4">
      <w:pPr>
        <w:pStyle w:val="ListParagraph"/>
        <w:numPr>
          <w:ilvl w:val="0"/>
          <w:numId w:val="25"/>
        </w:numPr>
      </w:pPr>
      <w:r w:rsidRPr="00151553">
        <w:t xml:space="preserve">Face sunscreen </w:t>
      </w:r>
      <w:r>
        <w:t xml:space="preserve">products </w:t>
      </w:r>
      <w:r w:rsidRPr="00151553">
        <w:t>– for application to the face (including the neck and ears)</w:t>
      </w:r>
    </w:p>
    <w:p w14:paraId="2C1030AF" w14:textId="77777777" w:rsidR="00A573A4" w:rsidRPr="00151553" w:rsidRDefault="00A573A4" w:rsidP="00A573A4">
      <w:pPr>
        <w:pStyle w:val="ListParagraph"/>
        <w:numPr>
          <w:ilvl w:val="0"/>
          <w:numId w:val="25"/>
        </w:numPr>
      </w:pPr>
      <w:r w:rsidRPr="00151553">
        <w:t xml:space="preserve">Lip </w:t>
      </w:r>
      <w:r>
        <w:t>products</w:t>
      </w:r>
    </w:p>
    <w:p w14:paraId="04286DD6" w14:textId="42A8D82E" w:rsidR="00A573A4" w:rsidRPr="0018643A" w:rsidRDefault="00A573A4" w:rsidP="00A573A4">
      <w:pPr>
        <w:tabs>
          <w:tab w:val="num" w:pos="720"/>
        </w:tabs>
        <w:rPr>
          <w:rFonts w:eastAsia="Cambria" w:cs="Arial"/>
        </w:rPr>
      </w:pPr>
      <w:r w:rsidRPr="00247A6E">
        <w:rPr>
          <w:rFonts w:eastAsia="Cambria" w:cs="Arial"/>
        </w:rPr>
        <w:t>The TGA has considered the developments overseas and has been reviewing the safety of the sunscreen ingredients. The TGA has</w:t>
      </w:r>
      <w:r w:rsidRPr="0018643A">
        <w:rPr>
          <w:rFonts w:eastAsia="Cambria" w:cs="Arial"/>
        </w:rPr>
        <w:t xml:space="preserve"> released a safety review of 7 active ingredients in therapeutic sunscreens (</w:t>
      </w:r>
      <w:hyperlink r:id="rId25" w:history="1">
        <w:r w:rsidRPr="00B20CEB">
          <w:rPr>
            <w:rStyle w:val="Hyperlink"/>
            <w:rFonts w:eastAsia="Cambria" w:cs="Arial"/>
          </w:rPr>
          <w:t>TGA Safety R</w:t>
        </w:r>
        <w:r w:rsidRPr="00B20CEB">
          <w:rPr>
            <w:rStyle w:val="Hyperlink"/>
            <w:rFonts w:eastAsia="Cambria" w:cs="Arial"/>
          </w:rPr>
          <w:t>e</w:t>
        </w:r>
        <w:r w:rsidRPr="00B20CEB">
          <w:rPr>
            <w:rStyle w:val="Hyperlink"/>
            <w:rFonts w:eastAsia="Cambria" w:cs="Arial"/>
          </w:rPr>
          <w:t>view</w:t>
        </w:r>
      </w:hyperlink>
      <w:r w:rsidRPr="0018643A">
        <w:rPr>
          <w:rFonts w:eastAsia="Cambria" w:cs="Arial"/>
        </w:rPr>
        <w:t xml:space="preserve">). These ingredients were prioritised </w:t>
      </w:r>
      <w:proofErr w:type="gramStart"/>
      <w:r w:rsidRPr="0018643A">
        <w:rPr>
          <w:rFonts w:eastAsia="Cambria" w:cs="Arial"/>
        </w:rPr>
        <w:t>on the basis of</w:t>
      </w:r>
      <w:proofErr w:type="gramEnd"/>
      <w:r w:rsidRPr="0018643A">
        <w:rPr>
          <w:rFonts w:eastAsia="Cambria" w:cs="Arial"/>
        </w:rPr>
        <w:t xml:space="preserve"> availability of nonclinical safety data, their reported use in higher number of sunscreen products marketed in Australia and the safety signals reported overseas. The TGA </w:t>
      </w:r>
      <w:r>
        <w:rPr>
          <w:rFonts w:eastAsia="Cambria" w:cs="Arial"/>
        </w:rPr>
        <w:t xml:space="preserve">has </w:t>
      </w:r>
      <w:r w:rsidRPr="0018643A">
        <w:rPr>
          <w:rFonts w:eastAsia="Cambria" w:cs="Arial"/>
        </w:rPr>
        <w:t>also assessed the risk</w:t>
      </w:r>
      <w:r>
        <w:rPr>
          <w:rFonts w:eastAsia="Cambria" w:cs="Arial"/>
        </w:rPr>
        <w:t>s</w:t>
      </w:r>
      <w:r w:rsidRPr="0018643A">
        <w:rPr>
          <w:rFonts w:eastAsia="Cambria" w:cs="Arial"/>
        </w:rPr>
        <w:t xml:space="preserve"> of benzophenone as a degradant in </w:t>
      </w:r>
      <w:r w:rsidRPr="00ED4E33">
        <w:rPr>
          <w:rFonts w:eastAsia="Cambria" w:cs="Arial"/>
        </w:rPr>
        <w:t>sunscreens (</w:t>
      </w:r>
      <w:bookmarkStart w:id="10" w:name="_Toc178153769"/>
      <w:r w:rsidR="00B20CEB">
        <w:fldChar w:fldCharType="begin"/>
      </w:r>
      <w:r w:rsidR="00292DDB">
        <w:instrText>HYPERLINK "https://www.tga.gov.au/resources/publication/publications/safety-review-benzophenone"</w:instrText>
      </w:r>
      <w:r w:rsidR="00B20CEB">
        <w:fldChar w:fldCharType="separate"/>
      </w:r>
      <w:bookmarkEnd w:id="10"/>
      <w:r w:rsidR="00292DDB">
        <w:rPr>
          <w:rStyle w:val="Hyperlink"/>
        </w:rPr>
        <w:t>TGA Safety Review of Benz</w:t>
      </w:r>
      <w:r w:rsidR="00292DDB">
        <w:rPr>
          <w:rStyle w:val="Hyperlink"/>
        </w:rPr>
        <w:t>o</w:t>
      </w:r>
      <w:r w:rsidR="00292DDB">
        <w:rPr>
          <w:rStyle w:val="Hyperlink"/>
        </w:rPr>
        <w:t>phenone</w:t>
      </w:r>
      <w:r w:rsidR="00B20CEB">
        <w:fldChar w:fldCharType="end"/>
      </w:r>
      <w:r w:rsidRPr="0018643A">
        <w:t>)</w:t>
      </w:r>
      <w:r w:rsidRPr="0018643A">
        <w:rPr>
          <w:rFonts w:eastAsia="Cambria" w:cs="Arial"/>
        </w:rPr>
        <w:t>.</w:t>
      </w:r>
    </w:p>
    <w:p w14:paraId="268BD38D" w14:textId="77777777" w:rsidR="00A573A4" w:rsidRDefault="00A573A4" w:rsidP="00A573A4">
      <w:pPr>
        <w:rPr>
          <w:rFonts w:eastAsia="Cambria" w:cs="Arial"/>
        </w:rPr>
      </w:pPr>
    </w:p>
    <w:p w14:paraId="1E0A706E" w14:textId="4F7431C8" w:rsidR="00A573A4" w:rsidRDefault="00A573A4" w:rsidP="00A573A4">
      <w:r w:rsidRPr="0018643A">
        <w:rPr>
          <w:rFonts w:eastAsia="Cambria" w:cs="Arial"/>
        </w:rPr>
        <w:lastRenderedPageBreak/>
        <w:t>The</w:t>
      </w:r>
      <w:r>
        <w:rPr>
          <w:rFonts w:eastAsia="Cambria" w:cs="Arial"/>
        </w:rPr>
        <w:t xml:space="preserve"> reviews</w:t>
      </w:r>
      <w:r w:rsidRPr="0018643A">
        <w:rPr>
          <w:rFonts w:eastAsia="Cambria" w:cs="Arial"/>
        </w:rPr>
        <w:t xml:space="preserve"> </w:t>
      </w:r>
      <w:r>
        <w:rPr>
          <w:rFonts w:eastAsia="Cambria" w:cs="Arial"/>
        </w:rPr>
        <w:t>were conducted</w:t>
      </w:r>
      <w:r w:rsidRPr="0018643A">
        <w:rPr>
          <w:rFonts w:eastAsia="Cambria" w:cs="Arial"/>
        </w:rPr>
        <w:t xml:space="preserve"> </w:t>
      </w:r>
      <w:r>
        <w:rPr>
          <w:rFonts w:eastAsia="Cambria" w:cs="Arial"/>
        </w:rPr>
        <w:t xml:space="preserve">following the TGA’s development of an </w:t>
      </w:r>
      <w:hyperlink r:id="rId26" w:history="1">
        <w:r w:rsidRPr="00042717">
          <w:rPr>
            <w:rStyle w:val="Hyperlink"/>
            <w:rFonts w:cs="Arial"/>
          </w:rPr>
          <w:t>Australian Sunscreen Exposure Model</w:t>
        </w:r>
      </w:hyperlink>
      <w:r>
        <w:t xml:space="preserve"> (ASEM) in July 2024,</w:t>
      </w:r>
      <w:r>
        <w:rPr>
          <w:rFonts w:eastAsia="Cambria" w:cs="Arial"/>
        </w:rPr>
        <w:t xml:space="preserve"> the release of a </w:t>
      </w:r>
      <w:hyperlink r:id="rId27" w:history="1">
        <w:r w:rsidRPr="00CD56B9">
          <w:rPr>
            <w:rStyle w:val="Hyperlink"/>
            <w:rFonts w:cs="Arial"/>
          </w:rPr>
          <w:t>literature review</w:t>
        </w:r>
      </w:hyperlink>
      <w:r w:rsidRPr="00CD56B9">
        <w:rPr>
          <w:rFonts w:cs="Arial"/>
        </w:rPr>
        <w:t xml:space="preserve"> of </w:t>
      </w:r>
      <w:r>
        <w:rPr>
          <w:rFonts w:cs="Arial"/>
        </w:rPr>
        <w:t>7</w:t>
      </w:r>
      <w:r w:rsidRPr="00CD56B9">
        <w:rPr>
          <w:rFonts w:cs="Arial"/>
        </w:rPr>
        <w:t xml:space="preserve"> active ingredients used in sunscreens</w:t>
      </w:r>
      <w:r>
        <w:t xml:space="preserve"> on 4 February 2025</w:t>
      </w:r>
      <w:r w:rsidR="00C82DD5">
        <w:t xml:space="preserve"> and</w:t>
      </w:r>
      <w:r w:rsidR="00E37602">
        <w:t xml:space="preserve"> an initial review</w:t>
      </w:r>
      <w:r w:rsidR="00C82DD5">
        <w:t xml:space="preserve"> of benzophenone as part of the </w:t>
      </w:r>
      <w:hyperlink r:id="rId28" w:history="1">
        <w:r w:rsidR="00C82DD5" w:rsidRPr="00C82DD5">
          <w:rPr>
            <w:rStyle w:val="Hyperlink"/>
          </w:rPr>
          <w:t>low-negligible risk changes to the Permissible Ingredients Determination</w:t>
        </w:r>
      </w:hyperlink>
      <w:r w:rsidR="009E60F0">
        <w:t xml:space="preserve"> in </w:t>
      </w:r>
      <w:r w:rsidR="00C66A64">
        <w:t>December</w:t>
      </w:r>
      <w:r w:rsidR="009E60F0">
        <w:t xml:space="preserve"> 2023</w:t>
      </w:r>
      <w:r w:rsidRPr="0018643A">
        <w:rPr>
          <w:rFonts w:eastAsia="Cambria" w:cs="Arial"/>
        </w:rPr>
        <w:t xml:space="preserve">. </w:t>
      </w:r>
      <w:r w:rsidRPr="003B2610">
        <w:t>T</w:t>
      </w:r>
      <w:r>
        <w:t xml:space="preserve">he ASEM model is </w:t>
      </w:r>
      <w:r w:rsidRPr="003B2610">
        <w:t xml:space="preserve">based on current sun protection practices and recommendations in Australia, </w:t>
      </w:r>
      <w:r>
        <w:t>estimating</w:t>
      </w:r>
      <w:r w:rsidRPr="003B2610">
        <w:t xml:space="preserve"> how much sunscreen Australians use, rather than relying on international models that may not reflect Australia’s unique environment and practices. The model was subject to targeted and </w:t>
      </w:r>
      <w:hyperlink r:id="rId29" w:history="1">
        <w:r w:rsidRPr="00946B5A">
          <w:rPr>
            <w:rStyle w:val="Hyperlink"/>
            <w:rFonts w:cs="Arial"/>
          </w:rPr>
          <w:t>public consultation</w:t>
        </w:r>
      </w:hyperlink>
      <w:r w:rsidRPr="003B2610">
        <w:t xml:space="preserve"> in 2024 before it was </w:t>
      </w:r>
      <w:r w:rsidR="0057102E">
        <w:t>adopted</w:t>
      </w:r>
      <w:r w:rsidR="0002570E">
        <w:t xml:space="preserve"> in January 2025</w:t>
      </w:r>
      <w:r>
        <w:t>. The model</w:t>
      </w:r>
      <w:r w:rsidRPr="00C16786">
        <w:t xml:space="preserve"> incorporates evidence-based data on sunscreen application frequency and quantity, highlighting</w:t>
      </w:r>
      <w:r>
        <w:t xml:space="preserve"> </w:t>
      </w:r>
      <w:r w:rsidRPr="00C16786">
        <w:t>that Australians apply sunscreen more often and in larger amounts than populations in other countries</w:t>
      </w:r>
      <w:r>
        <w:t>.</w:t>
      </w:r>
    </w:p>
    <w:p w14:paraId="1187DC98" w14:textId="77777777" w:rsidR="00A573A4" w:rsidRPr="00FE7EB6" w:rsidRDefault="00A573A4" w:rsidP="00A573A4">
      <w:pPr>
        <w:rPr>
          <w:rFonts w:eastAsia="Cambria" w:cs="Arial"/>
        </w:rPr>
      </w:pPr>
      <w:r w:rsidRPr="0018643A">
        <w:rPr>
          <w:rFonts w:eastAsia="Cambria" w:cs="Arial"/>
        </w:rPr>
        <w:t>Considering the high</w:t>
      </w:r>
      <w:r>
        <w:rPr>
          <w:rFonts w:eastAsia="Cambria" w:cs="Arial"/>
        </w:rPr>
        <w:t>er</w:t>
      </w:r>
      <w:r w:rsidRPr="0018643A">
        <w:rPr>
          <w:rFonts w:eastAsia="Cambria" w:cs="Arial"/>
        </w:rPr>
        <w:t xml:space="preserve"> use of sunscreens in Australia </w:t>
      </w:r>
      <w:proofErr w:type="gramStart"/>
      <w:r>
        <w:rPr>
          <w:rFonts w:eastAsia="Cambria" w:cs="Arial"/>
        </w:rPr>
        <w:t>on a daily basis</w:t>
      </w:r>
      <w:proofErr w:type="gramEnd"/>
      <w:r>
        <w:rPr>
          <w:rFonts w:eastAsia="Cambria" w:cs="Arial"/>
        </w:rPr>
        <w:t xml:space="preserve">, the TGA safety review </w:t>
      </w:r>
      <w:r w:rsidRPr="0018643A">
        <w:rPr>
          <w:rFonts w:eastAsia="Cambria" w:cs="Arial"/>
        </w:rPr>
        <w:t>recommend</w:t>
      </w:r>
      <w:r>
        <w:rPr>
          <w:rFonts w:eastAsia="Cambria" w:cs="Arial"/>
        </w:rPr>
        <w:t>s</w:t>
      </w:r>
      <w:r w:rsidRPr="0018643A">
        <w:rPr>
          <w:rFonts w:eastAsia="Cambria" w:cs="Arial"/>
        </w:rPr>
        <w:t xml:space="preserve"> restrictions on the </w:t>
      </w:r>
      <w:r>
        <w:rPr>
          <w:rFonts w:eastAsia="Cambria" w:cs="Arial"/>
        </w:rPr>
        <w:t xml:space="preserve">maximum </w:t>
      </w:r>
      <w:r w:rsidRPr="0018643A">
        <w:rPr>
          <w:rFonts w:eastAsia="Cambria" w:cs="Arial"/>
        </w:rPr>
        <w:t xml:space="preserve">concentrations and use in therapeutic sunscreens for </w:t>
      </w:r>
      <w:proofErr w:type="spellStart"/>
      <w:r w:rsidRPr="00FE7EB6">
        <w:rPr>
          <w:rFonts w:eastAsia="Cambria" w:cs="Arial"/>
        </w:rPr>
        <w:t>homosalate</w:t>
      </w:r>
      <w:proofErr w:type="spellEnd"/>
      <w:r w:rsidRPr="00FE7EB6">
        <w:rPr>
          <w:rFonts w:eastAsia="Cambria" w:cs="Arial"/>
        </w:rPr>
        <w:t>, oxybenzone and benzophenone.</w:t>
      </w:r>
    </w:p>
    <w:p w14:paraId="24266247" w14:textId="77777777" w:rsidR="00A573A4" w:rsidRPr="0018643A" w:rsidRDefault="00A573A4" w:rsidP="00A573A4">
      <w:pPr>
        <w:rPr>
          <w:rFonts w:eastAsia="Cambria" w:cs="Arial"/>
        </w:rPr>
      </w:pPr>
      <w:r>
        <w:rPr>
          <w:rFonts w:eastAsia="Cambria" w:cs="Arial"/>
        </w:rPr>
        <w:t>In addition, the Australian Industrial Chemicals Introduction Scheme (</w:t>
      </w:r>
      <w:r w:rsidRPr="0018643A">
        <w:rPr>
          <w:rFonts w:eastAsia="Cambria" w:cs="Arial"/>
        </w:rPr>
        <w:t>AICIS</w:t>
      </w:r>
      <w:r>
        <w:rPr>
          <w:rFonts w:eastAsia="Cambria" w:cs="Arial"/>
        </w:rPr>
        <w:t>)</w:t>
      </w:r>
      <w:r w:rsidRPr="0018643A">
        <w:rPr>
          <w:rFonts w:eastAsia="Cambria" w:cs="Arial"/>
        </w:rPr>
        <w:t xml:space="preserve"> published </w:t>
      </w:r>
      <w:r>
        <w:rPr>
          <w:rFonts w:eastAsia="Cambria" w:cs="Arial"/>
        </w:rPr>
        <w:t xml:space="preserve">an </w:t>
      </w:r>
      <w:r w:rsidRPr="0018643A">
        <w:rPr>
          <w:rFonts w:eastAsia="Cambria" w:cs="Arial"/>
        </w:rPr>
        <w:t xml:space="preserve">evaluation statement on </w:t>
      </w:r>
      <w:hyperlink r:id="rId30" w:history="1">
        <w:proofErr w:type="spellStart"/>
        <w:r w:rsidRPr="00DB1878">
          <w:rPr>
            <w:rStyle w:val="Hyperlink"/>
            <w:rFonts w:eastAsia="Cambria" w:cs="Arial"/>
          </w:rPr>
          <w:t>homosalate</w:t>
        </w:r>
        <w:proofErr w:type="spellEnd"/>
      </w:hyperlink>
      <w:r w:rsidRPr="0018643A">
        <w:t xml:space="preserve"> </w:t>
      </w:r>
      <w:r>
        <w:t xml:space="preserve">on 16 December 2024 </w:t>
      </w:r>
      <w:r w:rsidRPr="0018643A">
        <w:t xml:space="preserve">and </w:t>
      </w:r>
      <w:r>
        <w:t xml:space="preserve">an evaluation statement on </w:t>
      </w:r>
      <w:hyperlink r:id="rId31" w:history="1">
        <w:r w:rsidRPr="00DA5E5F">
          <w:rPr>
            <w:rStyle w:val="Hyperlink"/>
            <w:rFonts w:eastAsia="Cambria" w:cs="Arial"/>
          </w:rPr>
          <w:t>benzophenone</w:t>
        </w:r>
      </w:hyperlink>
      <w:r>
        <w:t xml:space="preserve"> on 26 June 2025</w:t>
      </w:r>
      <w:r w:rsidRPr="0018643A">
        <w:rPr>
          <w:rFonts w:eastAsia="Cambria" w:cs="Arial"/>
        </w:rPr>
        <w:t xml:space="preserve">. These </w:t>
      </w:r>
      <w:r>
        <w:rPr>
          <w:rFonts w:eastAsia="Cambria" w:cs="Arial"/>
        </w:rPr>
        <w:t>statements</w:t>
      </w:r>
      <w:r w:rsidRPr="0018643A">
        <w:rPr>
          <w:rFonts w:eastAsia="Cambria" w:cs="Arial"/>
        </w:rPr>
        <w:t xml:space="preserve"> recommend listing </w:t>
      </w:r>
      <w:proofErr w:type="spellStart"/>
      <w:r w:rsidRPr="0018643A">
        <w:rPr>
          <w:rFonts w:eastAsia="Cambria" w:cs="Arial"/>
        </w:rPr>
        <w:t>homosalate</w:t>
      </w:r>
      <w:proofErr w:type="spellEnd"/>
      <w:r w:rsidRPr="0018643A">
        <w:rPr>
          <w:rFonts w:eastAsia="Cambria" w:cs="Arial"/>
        </w:rPr>
        <w:t xml:space="preserve"> and benzophenone in the Poisons Standard with restrictions on </w:t>
      </w:r>
      <w:r>
        <w:rPr>
          <w:rFonts w:eastAsia="Cambria" w:cs="Arial"/>
        </w:rPr>
        <w:t xml:space="preserve">the </w:t>
      </w:r>
      <w:r w:rsidRPr="0018643A">
        <w:rPr>
          <w:rFonts w:eastAsia="Cambria" w:cs="Arial"/>
        </w:rPr>
        <w:t xml:space="preserve">concentration of these </w:t>
      </w:r>
      <w:r>
        <w:rPr>
          <w:rFonts w:eastAsia="Cambria" w:cs="Arial"/>
        </w:rPr>
        <w:t>substances</w:t>
      </w:r>
      <w:r w:rsidRPr="0018643A">
        <w:rPr>
          <w:rFonts w:eastAsia="Cambria" w:cs="Arial"/>
        </w:rPr>
        <w:t xml:space="preserve"> in </w:t>
      </w:r>
      <w:r>
        <w:rPr>
          <w:rFonts w:eastAsia="Cambria" w:cs="Arial"/>
        </w:rPr>
        <w:t>cosmetic products that include sunscreen ingredients</w:t>
      </w:r>
      <w:r w:rsidRPr="0018643A">
        <w:rPr>
          <w:rFonts w:eastAsia="Cambria" w:cs="Arial"/>
        </w:rPr>
        <w:t>.</w:t>
      </w:r>
    </w:p>
    <w:p w14:paraId="6F94F3F7" w14:textId="77777777" w:rsidR="00A573A4" w:rsidRDefault="00A573A4" w:rsidP="00A573A4">
      <w:pPr>
        <w:tabs>
          <w:tab w:val="num" w:pos="720"/>
        </w:tabs>
        <w:rPr>
          <w:rFonts w:eastAsia="Cambria" w:cs="Arial"/>
          <w:b/>
          <w:bCs/>
        </w:rPr>
      </w:pPr>
      <w:r w:rsidRPr="0018643A">
        <w:rPr>
          <w:rFonts w:eastAsia="Cambria" w:cs="Arial"/>
        </w:rPr>
        <w:t xml:space="preserve">The Poisons Standard is a legislative instrument that can </w:t>
      </w:r>
      <w:r>
        <w:rPr>
          <w:rFonts w:eastAsia="Cambria" w:cs="Arial"/>
        </w:rPr>
        <w:t xml:space="preserve">create controls on substances used in </w:t>
      </w:r>
      <w:r w:rsidRPr="0018643A">
        <w:rPr>
          <w:rFonts w:eastAsia="Cambria" w:cs="Arial"/>
        </w:rPr>
        <w:t xml:space="preserve">both therapeutic and cosmetic </w:t>
      </w:r>
      <w:r>
        <w:rPr>
          <w:rFonts w:eastAsia="Cambria" w:cs="Arial"/>
        </w:rPr>
        <w:t>products</w:t>
      </w:r>
      <w:r w:rsidRPr="0018643A">
        <w:rPr>
          <w:rFonts w:eastAsia="Cambria" w:cs="Arial"/>
        </w:rPr>
        <w:t xml:space="preserve">. </w:t>
      </w:r>
      <w:r w:rsidRPr="0018643A">
        <w:t xml:space="preserve">To ensure the highest standards of safety for </w:t>
      </w:r>
      <w:r>
        <w:t>long-term</w:t>
      </w:r>
      <w:r w:rsidRPr="0018643A">
        <w:t xml:space="preserve"> and </w:t>
      </w:r>
      <w:r w:rsidRPr="00451230">
        <w:t>frequent use of all sunscreens, the delegate of the Secretary of the Department of Health</w:t>
      </w:r>
      <w:r>
        <w:t>, Disability</w:t>
      </w:r>
      <w:r w:rsidRPr="00451230">
        <w:t xml:space="preserve"> and Age</w:t>
      </w:r>
      <w:r>
        <w:t>ing</w:t>
      </w:r>
      <w:r w:rsidRPr="00451230">
        <w:t xml:space="preserve"> (the Delegate) </w:t>
      </w:r>
      <w:r>
        <w:t xml:space="preserve">is </w:t>
      </w:r>
      <w:r w:rsidRPr="00451230">
        <w:t>propos</w:t>
      </w:r>
      <w:r>
        <w:t xml:space="preserve">ing to </w:t>
      </w:r>
      <w:r w:rsidRPr="00451230">
        <w:t xml:space="preserve">amend the Poisons Standard in relation to </w:t>
      </w:r>
      <w:proofErr w:type="spellStart"/>
      <w:r w:rsidRPr="00451230">
        <w:rPr>
          <w:rFonts w:eastAsia="Cambria" w:cs="Arial"/>
          <w:b/>
          <w:bCs/>
        </w:rPr>
        <w:t>homosalate</w:t>
      </w:r>
      <w:proofErr w:type="spellEnd"/>
      <w:r w:rsidRPr="00A132EA">
        <w:rPr>
          <w:rFonts w:eastAsia="Cambria" w:cs="Arial"/>
        </w:rPr>
        <w:t>,</w:t>
      </w:r>
      <w:r w:rsidRPr="00451230">
        <w:rPr>
          <w:rFonts w:eastAsia="Cambria" w:cs="Arial"/>
          <w:b/>
          <w:bCs/>
        </w:rPr>
        <w:t xml:space="preserve"> oxybenzone</w:t>
      </w:r>
      <w:r w:rsidRPr="00451230">
        <w:rPr>
          <w:rFonts w:eastAsia="Cambria" w:cs="Arial"/>
        </w:rPr>
        <w:t xml:space="preserve"> and </w:t>
      </w:r>
      <w:r w:rsidRPr="00451230">
        <w:rPr>
          <w:rFonts w:eastAsia="Cambria" w:cs="Arial"/>
          <w:b/>
          <w:bCs/>
        </w:rPr>
        <w:t>benzophenone.</w:t>
      </w:r>
    </w:p>
    <w:p w14:paraId="40603115" w14:textId="77777777" w:rsidR="00A573A4" w:rsidRPr="00451230" w:rsidRDefault="00A573A4" w:rsidP="00A573A4">
      <w:pPr>
        <w:tabs>
          <w:tab w:val="num" w:pos="720"/>
        </w:tabs>
      </w:pPr>
      <w:r w:rsidRPr="00451230">
        <w:t>The proposed amendments include</w:t>
      </w:r>
      <w:r>
        <w:t xml:space="preserve"> options for</w:t>
      </w:r>
      <w:r w:rsidRPr="00451230">
        <w:t>:</w:t>
      </w:r>
    </w:p>
    <w:p w14:paraId="4547D143" w14:textId="77777777" w:rsidR="00A573A4" w:rsidRPr="00451230" w:rsidRDefault="00A573A4" w:rsidP="00A573A4">
      <w:pPr>
        <w:pStyle w:val="ListParagraph"/>
        <w:numPr>
          <w:ilvl w:val="0"/>
          <w:numId w:val="14"/>
        </w:numPr>
      </w:pPr>
      <w:r w:rsidRPr="00451230">
        <w:t xml:space="preserve">restrictions on the maximum </w:t>
      </w:r>
      <w:r>
        <w:t>concentration</w:t>
      </w:r>
      <w:r w:rsidRPr="00451230">
        <w:t xml:space="preserve"> of these substances in sunscreens</w:t>
      </w:r>
    </w:p>
    <w:p w14:paraId="6F33E0FC" w14:textId="77777777" w:rsidR="00A573A4" w:rsidRPr="00451230" w:rsidRDefault="00A573A4" w:rsidP="00A573A4">
      <w:pPr>
        <w:pStyle w:val="ListParagraph"/>
        <w:numPr>
          <w:ilvl w:val="0"/>
          <w:numId w:val="14"/>
        </w:numPr>
      </w:pPr>
      <w:r w:rsidRPr="00451230">
        <w:t xml:space="preserve">restrictions based on application to </w:t>
      </w:r>
      <w:r>
        <w:t xml:space="preserve">parts of the </w:t>
      </w:r>
      <w:r w:rsidRPr="00451230">
        <w:t xml:space="preserve">body </w:t>
      </w:r>
    </w:p>
    <w:p w14:paraId="344B2819" w14:textId="77777777" w:rsidR="00A573A4" w:rsidRPr="00451230" w:rsidRDefault="00A573A4" w:rsidP="00A573A4">
      <w:pPr>
        <w:pStyle w:val="ListParagraph"/>
        <w:numPr>
          <w:ilvl w:val="0"/>
          <w:numId w:val="14"/>
        </w:numPr>
        <w:spacing w:before="0" w:line="259" w:lineRule="auto"/>
      </w:pPr>
      <w:r w:rsidRPr="00451230">
        <w:t xml:space="preserve">restrictions based on </w:t>
      </w:r>
      <w:r>
        <w:t>age of the consumer</w:t>
      </w:r>
    </w:p>
    <w:p w14:paraId="424E06FF" w14:textId="77777777" w:rsidR="00A573A4" w:rsidRDefault="00A573A4" w:rsidP="00A573A4">
      <w:r>
        <w:t xml:space="preserve">Each option should be considered in conjunction with the TGA Safety Review reports and the AICIS Evaluation statements. </w:t>
      </w:r>
      <w:r w:rsidRPr="00451230">
        <w:t>The Delegate is seeking public comments on the proposed amendments for further consideration at the joint meeting of the Advisory Committee on Medicines Scheduling (ACMS) and the Advisory Committee on Chemicals Scheduling (ACCS).</w:t>
      </w:r>
      <w:r w:rsidRPr="00214A5B">
        <w:t xml:space="preserve"> Following the public consultation and subsequent </w:t>
      </w:r>
      <w:r>
        <w:t xml:space="preserve">recommendations and </w:t>
      </w:r>
      <w:r w:rsidRPr="00214A5B">
        <w:t xml:space="preserve">advice from the </w:t>
      </w:r>
      <w:r>
        <w:t xml:space="preserve">Joint </w:t>
      </w:r>
      <w:r w:rsidRPr="00214A5B">
        <w:t>ACMS</w:t>
      </w:r>
      <w:r>
        <w:t>-ACCS</w:t>
      </w:r>
      <w:r w:rsidRPr="00214A5B">
        <w:t>, the Delegate will make an interim decision that may incorporate one or more of the options</w:t>
      </w:r>
      <w:r>
        <w:t xml:space="preserve"> (with modification) for each substance</w:t>
      </w:r>
      <w:r w:rsidRPr="00214A5B">
        <w:t>.</w:t>
      </w:r>
    </w:p>
    <w:p w14:paraId="466F3C27" w14:textId="77777777" w:rsidR="00A573A4" w:rsidRDefault="00A573A4" w:rsidP="00A573A4">
      <w:r w:rsidRPr="00C23B34">
        <w:rPr>
          <w:b/>
          <w:bCs/>
        </w:rPr>
        <w:t>Neither the TGA nor the Delegate have formed a view at this time as to which options should be implemented or are preferred.</w:t>
      </w:r>
    </w:p>
    <w:p w14:paraId="34638401" w14:textId="77777777" w:rsidR="00A573A4" w:rsidRPr="00451230" w:rsidRDefault="00A573A4" w:rsidP="00A573A4">
      <w:r w:rsidRPr="00451230">
        <w:t xml:space="preserve">The benefits of sunscreen in preventing sunburn and skin cancers are well established. Australians should continue to protect themselves from the sun </w:t>
      </w:r>
      <w:r>
        <w:t xml:space="preserve">by following the </w:t>
      </w:r>
      <w:r w:rsidRPr="003D7FC9">
        <w:t xml:space="preserve">5 SunSmart S’s </w:t>
      </w:r>
      <w:r>
        <w:t>–</w:t>
      </w:r>
      <w:r w:rsidRPr="003D7FC9">
        <w:t xml:space="preserve"> slip, slop, slap, seek, slide </w:t>
      </w:r>
      <w:r>
        <w:t xml:space="preserve">– the </w:t>
      </w:r>
      <w:r w:rsidRPr="003D7FC9">
        <w:t>protective measures include seeking shade, wearing a hat, wearing protective clothing and eyewear and using sunscreen.</w:t>
      </w:r>
    </w:p>
    <w:p w14:paraId="68CBDA0D" w14:textId="77777777" w:rsidR="00A573A4" w:rsidRDefault="00A573A4" w:rsidP="00A573A4">
      <w:pPr>
        <w:rPr>
          <w:rFonts w:eastAsia="Times New Roman" w:cs="Times New Roman"/>
          <w:b/>
          <w:bCs/>
          <w:color w:val="001871"/>
          <w:sz w:val="38"/>
          <w:szCs w:val="38"/>
        </w:rPr>
      </w:pPr>
      <w:r>
        <w:br w:type="page"/>
      </w:r>
    </w:p>
    <w:p w14:paraId="6F790DB2" w14:textId="77777777" w:rsidR="00A573A4" w:rsidRPr="00C417B6" w:rsidRDefault="00A573A4" w:rsidP="00A573A4">
      <w:pPr>
        <w:pStyle w:val="Heading2"/>
      </w:pPr>
      <w:bookmarkStart w:id="11" w:name="_Toc201870317"/>
      <w:bookmarkStart w:id="12" w:name="_Toc202177219"/>
      <w:r>
        <w:lastRenderedPageBreak/>
        <w:t>1</w:t>
      </w:r>
      <w:r>
        <w:tab/>
      </w:r>
      <w:r w:rsidRPr="00C417B6">
        <w:t xml:space="preserve">Proposed </w:t>
      </w:r>
      <w:proofErr w:type="gramStart"/>
      <w:r w:rsidRPr="00C417B6">
        <w:t>amendments</w:t>
      </w:r>
      <w:proofErr w:type="gramEnd"/>
      <w:r w:rsidRPr="00C417B6">
        <w:t xml:space="preserve"> referred for advice to the Joint ACMS-ACCS meeting #</w:t>
      </w:r>
      <w:bookmarkEnd w:id="9"/>
      <w:r>
        <w:t>41</w:t>
      </w:r>
      <w:bookmarkEnd w:id="11"/>
      <w:bookmarkEnd w:id="12"/>
    </w:p>
    <w:p w14:paraId="120F51DD" w14:textId="77777777" w:rsidR="00A573A4" w:rsidRPr="00C417B6" w:rsidRDefault="00A573A4" w:rsidP="00A573A4">
      <w:pPr>
        <w:pStyle w:val="Heading3"/>
      </w:pPr>
      <w:bookmarkStart w:id="13" w:name="_Toc122614238"/>
      <w:bookmarkStart w:id="14" w:name="_Toc201870318"/>
      <w:bookmarkStart w:id="15" w:name="_Toc202177220"/>
      <w:r w:rsidRPr="000817D8">
        <w:t xml:space="preserve">1.1 </w:t>
      </w:r>
      <w:bookmarkEnd w:id="13"/>
      <w:proofErr w:type="spellStart"/>
      <w:r w:rsidRPr="000817D8">
        <w:t>Homosalate</w:t>
      </w:r>
      <w:bookmarkEnd w:id="14"/>
      <w:bookmarkEnd w:id="15"/>
      <w:proofErr w:type="spellEnd"/>
    </w:p>
    <w:p w14:paraId="70C449D9" w14:textId="77777777" w:rsidR="00A573A4" w:rsidRDefault="00A573A4" w:rsidP="00A573A4">
      <w:pPr>
        <w:pStyle w:val="Heading4"/>
      </w:pPr>
      <w:bookmarkStart w:id="16" w:name="_Toc201870319"/>
      <w:bookmarkStart w:id="17" w:name="_Toc202177221"/>
      <w:bookmarkStart w:id="18" w:name="_Toc122614240"/>
      <w:r>
        <w:t>Proposed amendments</w:t>
      </w:r>
      <w:bookmarkEnd w:id="16"/>
      <w:bookmarkEnd w:id="17"/>
    </w:p>
    <w:p w14:paraId="3551FD5F" w14:textId="77777777" w:rsidR="00A573A4" w:rsidRDefault="00A573A4" w:rsidP="00A573A4">
      <w:r>
        <w:t xml:space="preserve">The Delegate is proposing several options to amend the current Poisons Standard in relation to </w:t>
      </w:r>
      <w:proofErr w:type="spellStart"/>
      <w:r>
        <w:t>homosalate</w:t>
      </w:r>
      <w:proofErr w:type="spellEnd"/>
      <w:r>
        <w:t xml:space="preserve">. Each option proposes a new CAUTION (Schedule 5) entry for </w:t>
      </w:r>
      <w:proofErr w:type="spellStart"/>
      <w:r>
        <w:t>homosalate</w:t>
      </w:r>
      <w:proofErr w:type="spellEnd"/>
      <w:r>
        <w:t xml:space="preserve"> unless the product meets certain exemption criteria. Products containing substances that are covered by a Schedule 5 entry require a Caution signal word on the main label and cannot be in Listed medicines.</w:t>
      </w:r>
    </w:p>
    <w:p w14:paraId="257202F3" w14:textId="14A7B5A5" w:rsidR="00A573A4" w:rsidRPr="00451230" w:rsidRDefault="00A573A4" w:rsidP="00A573A4">
      <w:r w:rsidRPr="00054555">
        <w:t xml:space="preserve">These are proposed </w:t>
      </w:r>
      <w:r>
        <w:t>following</w:t>
      </w:r>
      <w:r w:rsidRPr="00054555">
        <w:t xml:space="preserve"> the </w:t>
      </w:r>
      <w:r>
        <w:t>findings</w:t>
      </w:r>
      <w:r w:rsidRPr="00054555">
        <w:t xml:space="preserve"> and recommendations </w:t>
      </w:r>
      <w:r>
        <w:t xml:space="preserve">in the </w:t>
      </w:r>
      <w:hyperlink r:id="rId32" w:history="1">
        <w:r w:rsidRPr="00B20CEB">
          <w:rPr>
            <w:rStyle w:val="Hyperlink"/>
          </w:rPr>
          <w:t xml:space="preserve">TGA </w:t>
        </w:r>
        <w:r w:rsidR="00B20CEB" w:rsidRPr="00B20CEB">
          <w:rPr>
            <w:rStyle w:val="Hyperlink"/>
          </w:rPr>
          <w:t>S</w:t>
        </w:r>
        <w:r w:rsidRPr="00B20CEB">
          <w:rPr>
            <w:rStyle w:val="Hyperlink"/>
          </w:rPr>
          <w:t xml:space="preserve">afety </w:t>
        </w:r>
        <w:r w:rsidR="00B20CEB" w:rsidRPr="00B20CEB">
          <w:rPr>
            <w:rStyle w:val="Hyperlink"/>
          </w:rPr>
          <w:t>R</w:t>
        </w:r>
        <w:r w:rsidRPr="00B20CEB">
          <w:rPr>
            <w:rStyle w:val="Hyperlink"/>
          </w:rPr>
          <w:t>evi</w:t>
        </w:r>
        <w:r w:rsidRPr="00B20CEB">
          <w:rPr>
            <w:rStyle w:val="Hyperlink"/>
          </w:rPr>
          <w:t>e</w:t>
        </w:r>
        <w:r w:rsidRPr="00B20CEB">
          <w:rPr>
            <w:rStyle w:val="Hyperlink"/>
          </w:rPr>
          <w:t>w</w:t>
        </w:r>
      </w:hyperlink>
      <w:r>
        <w:t xml:space="preserve"> and the </w:t>
      </w:r>
      <w:hyperlink r:id="rId33" w:history="1">
        <w:r w:rsidRPr="00406C39">
          <w:rPr>
            <w:rStyle w:val="Hyperlink"/>
          </w:rPr>
          <w:t>AICIS evaluation statement</w:t>
        </w:r>
      </w:hyperlink>
      <w:r w:rsidRPr="00054555">
        <w:t>.</w:t>
      </w:r>
    </w:p>
    <w:p w14:paraId="21E7EB29" w14:textId="77777777" w:rsidR="00A573A4" w:rsidRDefault="00A573A4" w:rsidP="00A573A4">
      <w:pPr>
        <w:rPr>
          <w:b/>
          <w:bCs/>
        </w:rPr>
      </w:pPr>
    </w:p>
    <w:p w14:paraId="5935574A" w14:textId="77777777" w:rsidR="00A573A4" w:rsidRDefault="00A573A4" w:rsidP="00A573A4">
      <w:pPr>
        <w:rPr>
          <w:b/>
          <w:bCs/>
        </w:rPr>
      </w:pPr>
      <w:r w:rsidRPr="00807B00">
        <w:rPr>
          <w:b/>
          <w:bCs/>
        </w:rPr>
        <w:t>Option 1</w:t>
      </w:r>
      <w:r>
        <w:rPr>
          <w:b/>
          <w:bCs/>
        </w:rPr>
        <w:t>: Schedule 5 entry with a general exemption up to a specific concentration</w:t>
      </w:r>
    </w:p>
    <w:p w14:paraId="6E629217" w14:textId="77777777" w:rsidR="00A573A4" w:rsidRDefault="00A573A4" w:rsidP="00A573A4">
      <w:pPr>
        <w:spacing w:line="257" w:lineRule="auto"/>
        <w:rPr>
          <w:rFonts w:eastAsia="Arial" w:cs="Arial"/>
          <w:i/>
          <w:iCs/>
          <w:u w:val="single"/>
        </w:rPr>
      </w:pPr>
      <w:r>
        <w:rPr>
          <w:rFonts w:eastAsia="Arial" w:cs="Arial"/>
          <w:i/>
          <w:iCs/>
          <w:u w:val="single"/>
        </w:rPr>
        <w:t>Description</w:t>
      </w:r>
    </w:p>
    <w:p w14:paraId="568B5EE3" w14:textId="77777777" w:rsidR="00A573A4" w:rsidRDefault="00A573A4" w:rsidP="00A573A4">
      <w:pPr>
        <w:spacing w:line="257" w:lineRule="auto"/>
        <w:rPr>
          <w:rFonts w:eastAsia="Arial" w:cs="Arial"/>
        </w:rPr>
      </w:pPr>
      <w:r>
        <w:rPr>
          <w:rFonts w:eastAsia="Arial" w:cs="Arial"/>
        </w:rPr>
        <w:t xml:space="preserve">The TGA Safety Review concluded </w:t>
      </w:r>
      <w:proofErr w:type="spellStart"/>
      <w:r>
        <w:rPr>
          <w:rFonts w:eastAsia="Arial" w:cs="Arial"/>
        </w:rPr>
        <w:t>h</w:t>
      </w:r>
      <w:r w:rsidRPr="003E75D1">
        <w:t>omosalate</w:t>
      </w:r>
      <w:proofErr w:type="spellEnd"/>
      <w:r w:rsidRPr="003E75D1">
        <w:t xml:space="preserve"> can be deemed low-risk and appropriate for use in </w:t>
      </w:r>
      <w:r>
        <w:t xml:space="preserve">all </w:t>
      </w:r>
      <w:r w:rsidRPr="003E75D1">
        <w:t>sunscreen</w:t>
      </w:r>
      <w:r>
        <w:t xml:space="preserve"> preparation</w:t>
      </w:r>
      <w:r w:rsidRPr="003E75D1">
        <w:t xml:space="preserve">s for </w:t>
      </w:r>
      <w:r>
        <w:t xml:space="preserve">long-term </w:t>
      </w:r>
      <w:r w:rsidRPr="003E75D1">
        <w:t>daily use</w:t>
      </w:r>
      <w:r>
        <w:t xml:space="preserve"> at a concentration up to 0.28%</w:t>
      </w:r>
      <w:r>
        <w:rPr>
          <w:rFonts w:eastAsia="Arial" w:cs="Arial"/>
        </w:rPr>
        <w:t>.</w:t>
      </w:r>
      <w:r w:rsidRPr="004B6389">
        <w:rPr>
          <w:rFonts w:eastAsia="Arial" w:cs="Arial"/>
        </w:rPr>
        <w:t xml:space="preserve"> </w:t>
      </w:r>
      <w:r>
        <w:rPr>
          <w:rFonts w:eastAsia="Arial" w:cs="Arial"/>
        </w:rPr>
        <w:t>AICIS concluded that f</w:t>
      </w:r>
      <w:r w:rsidRPr="00F37B09">
        <w:rPr>
          <w:rFonts w:eastAsia="Arial" w:cs="Arial"/>
        </w:rPr>
        <w:t xml:space="preserve">or </w:t>
      </w:r>
      <w:r>
        <w:rPr>
          <w:rFonts w:eastAsia="Arial" w:cs="Arial"/>
        </w:rPr>
        <w:t xml:space="preserve">the </w:t>
      </w:r>
      <w:r w:rsidRPr="00F37B09">
        <w:rPr>
          <w:rFonts w:eastAsia="Arial" w:cs="Arial"/>
        </w:rPr>
        <w:t>combined use of face cream and lip balm</w:t>
      </w:r>
      <w:r>
        <w:rPr>
          <w:rFonts w:eastAsia="Arial" w:cs="Arial"/>
        </w:rPr>
        <w:t>,</w:t>
      </w:r>
      <w:r w:rsidRPr="00F37B09">
        <w:rPr>
          <w:rFonts w:eastAsia="Arial" w:cs="Arial"/>
        </w:rPr>
        <w:t xml:space="preserve"> a </w:t>
      </w:r>
      <w:proofErr w:type="spellStart"/>
      <w:r>
        <w:rPr>
          <w:rFonts w:eastAsia="Arial" w:cs="Arial"/>
        </w:rPr>
        <w:t>homosalate</w:t>
      </w:r>
      <w:proofErr w:type="spellEnd"/>
      <w:r>
        <w:rPr>
          <w:rFonts w:eastAsia="Arial" w:cs="Arial"/>
        </w:rPr>
        <w:t xml:space="preserve"> </w:t>
      </w:r>
      <w:r w:rsidRPr="00F37B09">
        <w:rPr>
          <w:rFonts w:eastAsia="Arial" w:cs="Arial"/>
        </w:rPr>
        <w:t>concentration of 4.35%</w:t>
      </w:r>
      <w:r>
        <w:rPr>
          <w:rFonts w:eastAsia="Arial" w:cs="Arial"/>
        </w:rPr>
        <w:t xml:space="preserve"> poses a low risk for systemic adverse effects.</w:t>
      </w:r>
    </w:p>
    <w:p w14:paraId="3BC3FEE9" w14:textId="77777777" w:rsidR="00A573A4" w:rsidRPr="00263E10" w:rsidRDefault="00A573A4" w:rsidP="00A573A4">
      <w:pPr>
        <w:spacing w:line="257" w:lineRule="auto"/>
      </w:pPr>
      <w:r>
        <w:rPr>
          <w:rFonts w:eastAsia="Arial" w:cs="Arial"/>
        </w:rPr>
        <w:t xml:space="preserve">This option provides one consistent upper limit for exempting all </w:t>
      </w:r>
      <w:proofErr w:type="spellStart"/>
      <w:r>
        <w:rPr>
          <w:rFonts w:eastAsia="Arial" w:cs="Arial"/>
        </w:rPr>
        <w:t>homosalate</w:t>
      </w:r>
      <w:proofErr w:type="spellEnd"/>
      <w:r>
        <w:rPr>
          <w:rFonts w:eastAsia="Arial" w:cs="Arial"/>
        </w:rPr>
        <w:t xml:space="preserve"> sunscreen products from the Poisons Standard. However, this option results in a lower maximum concentration in cosmetic preparations than calculated by the AICIS risk evaluation.</w:t>
      </w:r>
    </w:p>
    <w:p w14:paraId="6916FF51" w14:textId="77777777" w:rsidR="00A573A4" w:rsidRPr="00FC0C7A" w:rsidRDefault="00A573A4" w:rsidP="00A573A4">
      <w:pPr>
        <w:rPr>
          <w:i/>
          <w:iCs/>
          <w:u w:val="single"/>
        </w:rPr>
      </w:pPr>
      <w:r>
        <w:rPr>
          <w:i/>
          <w:iCs/>
          <w:u w:val="single"/>
        </w:rPr>
        <w:t>Proposed amendments</w:t>
      </w:r>
    </w:p>
    <w:p w14:paraId="324DBBFD" w14:textId="77777777" w:rsidR="00A573A4" w:rsidRDefault="00A573A4" w:rsidP="00A573A4">
      <w:pPr>
        <w:spacing w:line="257" w:lineRule="auto"/>
        <w:ind w:left="426"/>
      </w:pPr>
      <w:r w:rsidRPr="1216A510">
        <w:rPr>
          <w:rFonts w:eastAsia="Arial" w:cs="Arial"/>
          <w:b/>
          <w:bCs/>
        </w:rPr>
        <w:t>Schedule 5 – New entry</w:t>
      </w:r>
    </w:p>
    <w:p w14:paraId="6B31B286" w14:textId="77777777" w:rsidR="00A573A4" w:rsidRPr="009E7BE8" w:rsidRDefault="00A573A4" w:rsidP="00A573A4">
      <w:pPr>
        <w:spacing w:line="257" w:lineRule="auto"/>
        <w:ind w:left="709"/>
      </w:pPr>
      <w:proofErr w:type="spellStart"/>
      <w:r w:rsidRPr="009E7BE8">
        <w:rPr>
          <w:rFonts w:eastAsia="Arial" w:cs="Arial"/>
          <w:color w:val="00B050"/>
        </w:rPr>
        <w:t>HOMOSALATE</w:t>
      </w:r>
      <w:proofErr w:type="spellEnd"/>
      <w:r w:rsidRPr="009E7BE8">
        <w:rPr>
          <w:rFonts w:eastAsia="Arial" w:cs="Arial"/>
          <w:color w:val="00B050"/>
        </w:rPr>
        <w:t xml:space="preserve"> in </w:t>
      </w:r>
      <w:r>
        <w:rPr>
          <w:rFonts w:eastAsia="Arial" w:cs="Arial"/>
          <w:color w:val="00B050"/>
        </w:rPr>
        <w:t xml:space="preserve">therapeutic </w:t>
      </w:r>
      <w:r w:rsidRPr="009E7BE8">
        <w:rPr>
          <w:rFonts w:eastAsia="Arial" w:cs="Arial"/>
          <w:color w:val="00B050"/>
        </w:rPr>
        <w:t>sunscreen</w:t>
      </w:r>
      <w:r>
        <w:rPr>
          <w:rFonts w:eastAsia="Arial" w:cs="Arial"/>
          <w:color w:val="00B050"/>
        </w:rPr>
        <w:t>s and cosmetic preparations</w:t>
      </w:r>
      <w:r w:rsidRPr="009E7BE8">
        <w:rPr>
          <w:rFonts w:eastAsia="Arial" w:cs="Arial"/>
          <w:color w:val="00B050"/>
        </w:rPr>
        <w:t xml:space="preserve"> </w:t>
      </w:r>
      <w:r w:rsidRPr="009E7BE8">
        <w:rPr>
          <w:rFonts w:eastAsia="Arial" w:cs="Arial"/>
          <w:b/>
          <w:bCs/>
          <w:color w:val="00B050"/>
        </w:rPr>
        <w:t xml:space="preserve">except </w:t>
      </w:r>
      <w:r>
        <w:rPr>
          <w:rFonts w:eastAsia="Arial" w:cs="Arial"/>
          <w:color w:val="00B050"/>
        </w:rPr>
        <w:t xml:space="preserve">in preparations containing 0.28% or less of </w:t>
      </w:r>
      <w:proofErr w:type="spellStart"/>
      <w:r>
        <w:rPr>
          <w:rFonts w:eastAsia="Arial" w:cs="Arial"/>
          <w:color w:val="00B050"/>
        </w:rPr>
        <w:t>homosalate</w:t>
      </w:r>
      <w:proofErr w:type="spellEnd"/>
      <w:r w:rsidRPr="009E7BE8">
        <w:rPr>
          <w:rFonts w:eastAsia="Arial" w:cs="Arial"/>
          <w:color w:val="00B050"/>
        </w:rPr>
        <w:t>.</w:t>
      </w:r>
    </w:p>
    <w:p w14:paraId="6C9AA1CF" w14:textId="77777777" w:rsidR="00A573A4" w:rsidRDefault="00A573A4" w:rsidP="00A573A4">
      <w:pPr>
        <w:spacing w:before="180" w:after="180"/>
        <w:rPr>
          <w:rFonts w:eastAsia="Arial" w:cs="Arial"/>
          <w:b/>
          <w:bCs/>
        </w:rPr>
      </w:pPr>
    </w:p>
    <w:p w14:paraId="033E6808" w14:textId="77777777" w:rsidR="00A573A4" w:rsidRDefault="00A573A4" w:rsidP="00A573A4">
      <w:pPr>
        <w:spacing w:before="180" w:after="180"/>
        <w:rPr>
          <w:rFonts w:eastAsia="Arial" w:cs="Arial"/>
          <w:b/>
          <w:bCs/>
        </w:rPr>
      </w:pPr>
      <w:r w:rsidRPr="1216A510">
        <w:rPr>
          <w:rFonts w:eastAsia="Arial" w:cs="Arial"/>
          <w:b/>
          <w:bCs/>
        </w:rPr>
        <w:t xml:space="preserve">Option </w:t>
      </w:r>
      <w:r>
        <w:rPr>
          <w:rFonts w:eastAsia="Arial" w:cs="Arial"/>
          <w:b/>
          <w:bCs/>
        </w:rPr>
        <w:t>2</w:t>
      </w:r>
      <w:r w:rsidRPr="1216A510">
        <w:rPr>
          <w:rFonts w:eastAsia="Arial" w:cs="Arial"/>
          <w:b/>
          <w:bCs/>
        </w:rPr>
        <w:t xml:space="preserve">: </w:t>
      </w:r>
      <w:r>
        <w:rPr>
          <w:b/>
          <w:bCs/>
        </w:rPr>
        <w:t xml:space="preserve">Schedule 5 entry with </w:t>
      </w:r>
      <w:r>
        <w:rPr>
          <w:rFonts w:eastAsia="Arial" w:cs="Arial"/>
          <w:b/>
          <w:bCs/>
        </w:rPr>
        <w:t>exemptions based on use and application site</w:t>
      </w:r>
    </w:p>
    <w:p w14:paraId="0C29A8B1" w14:textId="77777777" w:rsidR="00A573A4" w:rsidRPr="00DD1973" w:rsidRDefault="00A573A4" w:rsidP="00A573A4">
      <w:pPr>
        <w:spacing w:line="257" w:lineRule="auto"/>
        <w:rPr>
          <w:rFonts w:eastAsia="Arial" w:cs="Arial"/>
          <w:i/>
          <w:iCs/>
          <w:u w:val="single"/>
        </w:rPr>
      </w:pPr>
      <w:r>
        <w:rPr>
          <w:rFonts w:eastAsia="Arial" w:cs="Arial"/>
          <w:i/>
          <w:iCs/>
          <w:u w:val="single"/>
        </w:rPr>
        <w:t>Description</w:t>
      </w:r>
    </w:p>
    <w:p w14:paraId="3539411B" w14:textId="77777777" w:rsidR="00A573A4" w:rsidRDefault="00A573A4" w:rsidP="00A573A4">
      <w:pPr>
        <w:spacing w:line="257" w:lineRule="auto"/>
        <w:rPr>
          <w:rFonts w:eastAsia="Arial" w:cs="Arial"/>
        </w:rPr>
      </w:pPr>
      <w:r w:rsidRPr="00DD1973">
        <w:rPr>
          <w:rFonts w:eastAsia="Arial" w:cs="Arial"/>
        </w:rPr>
        <w:t xml:space="preserve">The TGA Safety Review concluded </w:t>
      </w:r>
      <w:proofErr w:type="spellStart"/>
      <w:r w:rsidRPr="00DD1973">
        <w:rPr>
          <w:rFonts w:eastAsia="Arial" w:cs="Arial"/>
        </w:rPr>
        <w:t>homosalate</w:t>
      </w:r>
      <w:proofErr w:type="spellEnd"/>
      <w:r w:rsidRPr="00DD1973">
        <w:rPr>
          <w:rFonts w:eastAsia="Arial" w:cs="Arial"/>
        </w:rPr>
        <w:t xml:space="preserve"> can be deemed low-risk and appropriate for use in </w:t>
      </w:r>
      <w:r>
        <w:rPr>
          <w:rFonts w:eastAsia="Arial" w:cs="Arial"/>
        </w:rPr>
        <w:t xml:space="preserve">therapeutic </w:t>
      </w:r>
      <w:r w:rsidRPr="00DD1973">
        <w:rPr>
          <w:rFonts w:eastAsia="Arial" w:cs="Arial"/>
        </w:rPr>
        <w:t xml:space="preserve">sunscreens for </w:t>
      </w:r>
      <w:r>
        <w:rPr>
          <w:rFonts w:eastAsia="Arial" w:cs="Arial"/>
        </w:rPr>
        <w:t xml:space="preserve">long-term </w:t>
      </w:r>
      <w:r w:rsidRPr="00DD1973">
        <w:rPr>
          <w:rFonts w:eastAsia="Arial" w:cs="Arial"/>
        </w:rPr>
        <w:t xml:space="preserve">daily use when limited to </w:t>
      </w:r>
      <w:r>
        <w:rPr>
          <w:rFonts w:eastAsia="Arial" w:cs="Arial"/>
        </w:rPr>
        <w:t xml:space="preserve">products for face and </w:t>
      </w:r>
      <w:r w:rsidRPr="00DD1973">
        <w:rPr>
          <w:rFonts w:eastAsia="Arial" w:cs="Arial"/>
        </w:rPr>
        <w:t>hand application</w:t>
      </w:r>
      <w:r>
        <w:rPr>
          <w:rFonts w:eastAsia="Arial" w:cs="Arial"/>
        </w:rPr>
        <w:t xml:space="preserve"> up to certain concentrations</w:t>
      </w:r>
      <w:r w:rsidRPr="00DD1973">
        <w:rPr>
          <w:rFonts w:eastAsia="Arial" w:cs="Arial"/>
        </w:rPr>
        <w:t>.</w:t>
      </w:r>
      <w:r>
        <w:rPr>
          <w:rFonts w:eastAsia="Arial" w:cs="Arial"/>
        </w:rPr>
        <w:t xml:space="preserve"> The review recommended reducing the </w:t>
      </w:r>
      <w:r w:rsidRPr="00255ACD">
        <w:rPr>
          <w:rFonts w:eastAsia="Arial" w:cs="Arial"/>
        </w:rPr>
        <w:t>maximum concentration</w:t>
      </w:r>
      <w:r>
        <w:rPr>
          <w:rFonts w:eastAsia="Arial" w:cs="Arial"/>
        </w:rPr>
        <w:t xml:space="preserve"> of </w:t>
      </w:r>
      <w:proofErr w:type="spellStart"/>
      <w:r>
        <w:rPr>
          <w:rFonts w:eastAsia="Arial" w:cs="Arial"/>
        </w:rPr>
        <w:t>homosalate</w:t>
      </w:r>
      <w:proofErr w:type="spellEnd"/>
      <w:r>
        <w:rPr>
          <w:rFonts w:eastAsia="Arial" w:cs="Arial"/>
        </w:rPr>
        <w:t xml:space="preserve"> in the sunscreen products depending on the type of product and directions for use. The review calculated that a </w:t>
      </w:r>
      <w:proofErr w:type="spellStart"/>
      <w:r>
        <w:rPr>
          <w:rFonts w:eastAsia="Arial" w:cs="Arial"/>
        </w:rPr>
        <w:t>homosalate</w:t>
      </w:r>
      <w:proofErr w:type="spellEnd"/>
      <w:r>
        <w:rPr>
          <w:rFonts w:eastAsia="Arial" w:cs="Arial"/>
        </w:rPr>
        <w:t xml:space="preserve"> concentration of 0.68% in therapeutic sunscreens applied daily to the face and hands to be of low risk for all users. AICIS concluded that f</w:t>
      </w:r>
      <w:r w:rsidRPr="00F37B09">
        <w:rPr>
          <w:rFonts w:eastAsia="Arial" w:cs="Arial"/>
        </w:rPr>
        <w:t xml:space="preserve">or </w:t>
      </w:r>
      <w:r>
        <w:rPr>
          <w:rFonts w:eastAsia="Arial" w:cs="Arial"/>
        </w:rPr>
        <w:t xml:space="preserve">the </w:t>
      </w:r>
      <w:r w:rsidRPr="00F37B09">
        <w:rPr>
          <w:rFonts w:eastAsia="Arial" w:cs="Arial"/>
        </w:rPr>
        <w:t>combined use of face cream and lip balm</w:t>
      </w:r>
      <w:r>
        <w:rPr>
          <w:rFonts w:eastAsia="Arial" w:cs="Arial"/>
        </w:rPr>
        <w:t>,</w:t>
      </w:r>
      <w:r w:rsidRPr="00F37B09">
        <w:rPr>
          <w:rFonts w:eastAsia="Arial" w:cs="Arial"/>
        </w:rPr>
        <w:t xml:space="preserve"> a </w:t>
      </w:r>
      <w:proofErr w:type="spellStart"/>
      <w:r>
        <w:rPr>
          <w:rFonts w:eastAsia="Arial" w:cs="Arial"/>
        </w:rPr>
        <w:t>homosalate</w:t>
      </w:r>
      <w:proofErr w:type="spellEnd"/>
      <w:r>
        <w:rPr>
          <w:rFonts w:eastAsia="Arial" w:cs="Arial"/>
        </w:rPr>
        <w:t xml:space="preserve"> </w:t>
      </w:r>
      <w:r w:rsidRPr="00F37B09">
        <w:rPr>
          <w:rFonts w:eastAsia="Arial" w:cs="Arial"/>
        </w:rPr>
        <w:t>concentration of 4.35%</w:t>
      </w:r>
      <w:r w:rsidRPr="00346704">
        <w:rPr>
          <w:rFonts w:eastAsia="Arial" w:cs="Arial"/>
        </w:rPr>
        <w:t xml:space="preserve"> </w:t>
      </w:r>
      <w:r>
        <w:rPr>
          <w:rFonts w:eastAsia="Arial" w:cs="Arial"/>
        </w:rPr>
        <w:t>poses a low risk for systemic adverse effects.</w:t>
      </w:r>
    </w:p>
    <w:p w14:paraId="7083791F" w14:textId="77777777" w:rsidR="00A573A4" w:rsidRPr="00DD1973" w:rsidRDefault="00A573A4" w:rsidP="00A573A4">
      <w:pPr>
        <w:spacing w:line="257" w:lineRule="auto"/>
        <w:rPr>
          <w:rFonts w:eastAsia="Arial" w:cs="Arial"/>
        </w:rPr>
      </w:pPr>
      <w:r>
        <w:rPr>
          <w:rFonts w:eastAsia="Arial" w:cs="Arial"/>
        </w:rPr>
        <w:t xml:space="preserve">This option provides different upper limits exempting </w:t>
      </w:r>
      <w:proofErr w:type="spellStart"/>
      <w:r>
        <w:rPr>
          <w:rFonts w:eastAsia="Arial" w:cs="Arial"/>
        </w:rPr>
        <w:t>homosalate</w:t>
      </w:r>
      <w:proofErr w:type="spellEnd"/>
      <w:r>
        <w:rPr>
          <w:rFonts w:eastAsia="Arial" w:cs="Arial"/>
        </w:rPr>
        <w:t xml:space="preserve"> from the Poisons Standard based on sunscreen type and site of application. This option distinguishes between cosmetic and therapeutic sunscreens and limits </w:t>
      </w:r>
      <w:proofErr w:type="spellStart"/>
      <w:r>
        <w:rPr>
          <w:rFonts w:eastAsia="Arial" w:cs="Arial"/>
        </w:rPr>
        <w:t>homosalate</w:t>
      </w:r>
      <w:proofErr w:type="spellEnd"/>
      <w:r>
        <w:rPr>
          <w:rFonts w:eastAsia="Arial" w:cs="Arial"/>
        </w:rPr>
        <w:t xml:space="preserve"> use to products for the face and hands. The Permissible Ingredients Determination might also be amended to restrict the concentration in specified therapeutic sunscreen preparations separately to any changes to the scheduling of </w:t>
      </w:r>
      <w:proofErr w:type="spellStart"/>
      <w:r>
        <w:rPr>
          <w:rFonts w:eastAsia="Arial" w:cs="Arial"/>
        </w:rPr>
        <w:t>homosalate</w:t>
      </w:r>
      <w:proofErr w:type="spellEnd"/>
      <w:r>
        <w:rPr>
          <w:rFonts w:eastAsia="Arial" w:cs="Arial"/>
        </w:rPr>
        <w:t xml:space="preserve"> in the Poisons Standard.</w:t>
      </w:r>
    </w:p>
    <w:p w14:paraId="7ECA806C" w14:textId="77777777" w:rsidR="00A573A4" w:rsidRDefault="00A573A4" w:rsidP="00A573A4">
      <w:pPr>
        <w:rPr>
          <w:i/>
          <w:iCs/>
          <w:u w:val="single"/>
        </w:rPr>
      </w:pPr>
      <w:r>
        <w:rPr>
          <w:i/>
          <w:iCs/>
          <w:u w:val="single"/>
        </w:rPr>
        <w:br w:type="page"/>
      </w:r>
    </w:p>
    <w:p w14:paraId="39ADB5E2" w14:textId="77777777" w:rsidR="00A573A4" w:rsidRPr="00FC0C7A" w:rsidRDefault="00A573A4" w:rsidP="00A573A4">
      <w:pPr>
        <w:spacing w:before="180" w:after="180"/>
        <w:rPr>
          <w:i/>
          <w:iCs/>
          <w:u w:val="single"/>
        </w:rPr>
      </w:pPr>
      <w:r>
        <w:rPr>
          <w:i/>
          <w:iCs/>
          <w:u w:val="single"/>
        </w:rPr>
        <w:lastRenderedPageBreak/>
        <w:t>Proposed amendments</w:t>
      </w:r>
    </w:p>
    <w:p w14:paraId="58276250" w14:textId="77777777" w:rsidR="00A573A4" w:rsidRDefault="00A573A4" w:rsidP="00A573A4">
      <w:pPr>
        <w:spacing w:line="257" w:lineRule="auto"/>
        <w:ind w:left="426"/>
      </w:pPr>
      <w:r w:rsidRPr="1216A510">
        <w:rPr>
          <w:rFonts w:eastAsia="Arial" w:cs="Arial"/>
          <w:b/>
          <w:bCs/>
        </w:rPr>
        <w:t>Schedule 5 – New entry</w:t>
      </w:r>
    </w:p>
    <w:p w14:paraId="79F36E47" w14:textId="77777777" w:rsidR="00A573A4" w:rsidRPr="00B00921" w:rsidRDefault="00A573A4" w:rsidP="00A573A4">
      <w:pPr>
        <w:spacing w:line="257" w:lineRule="auto"/>
        <w:ind w:left="709"/>
        <w:rPr>
          <w:color w:val="00B050"/>
        </w:rPr>
      </w:pPr>
      <w:proofErr w:type="spellStart"/>
      <w:r w:rsidRPr="00B00921">
        <w:rPr>
          <w:rFonts w:eastAsia="Arial" w:cs="Arial"/>
          <w:color w:val="00B050"/>
        </w:rPr>
        <w:t>HOMOSALATE</w:t>
      </w:r>
      <w:proofErr w:type="spellEnd"/>
      <w:r w:rsidRPr="00B00921">
        <w:rPr>
          <w:rFonts w:eastAsia="Arial" w:cs="Arial"/>
          <w:color w:val="00B050"/>
        </w:rPr>
        <w:t xml:space="preserve"> in therapeutic sunscreen and cosmetic preparations </w:t>
      </w:r>
      <w:r w:rsidRPr="00B00921">
        <w:rPr>
          <w:rFonts w:eastAsia="Arial" w:cs="Arial"/>
          <w:b/>
          <w:bCs/>
          <w:color w:val="00B050"/>
        </w:rPr>
        <w:t>except</w:t>
      </w:r>
      <w:r w:rsidRPr="00B00921">
        <w:rPr>
          <w:rFonts w:eastAsia="Arial" w:cs="Arial"/>
          <w:color w:val="00B050"/>
        </w:rPr>
        <w:t>:</w:t>
      </w:r>
    </w:p>
    <w:p w14:paraId="0ADA841F" w14:textId="77777777" w:rsidR="00A573A4" w:rsidRPr="00214A5B" w:rsidRDefault="00A573A4" w:rsidP="00A573A4">
      <w:pPr>
        <w:pStyle w:val="ListParagraph"/>
        <w:numPr>
          <w:ilvl w:val="0"/>
          <w:numId w:val="37"/>
        </w:numPr>
        <w:rPr>
          <w:color w:val="00B050"/>
        </w:rPr>
      </w:pPr>
      <w:r w:rsidRPr="00214A5B">
        <w:rPr>
          <w:color w:val="00B050"/>
        </w:rPr>
        <w:t xml:space="preserve">in therapeutic sunscreen preparations for application to the face and hands containing 0.68% or less of </w:t>
      </w:r>
      <w:proofErr w:type="spellStart"/>
      <w:r w:rsidRPr="00214A5B">
        <w:rPr>
          <w:color w:val="00B050"/>
        </w:rPr>
        <w:t>homosalate</w:t>
      </w:r>
      <w:proofErr w:type="spellEnd"/>
      <w:r w:rsidRPr="00214A5B">
        <w:rPr>
          <w:color w:val="00B050"/>
        </w:rPr>
        <w:t>; or</w:t>
      </w:r>
    </w:p>
    <w:p w14:paraId="7C0B4325" w14:textId="77777777" w:rsidR="00A573A4" w:rsidRPr="00214A5B" w:rsidRDefault="00A573A4" w:rsidP="00A573A4">
      <w:pPr>
        <w:pStyle w:val="ListParagraph"/>
        <w:numPr>
          <w:ilvl w:val="0"/>
          <w:numId w:val="37"/>
        </w:numPr>
        <w:rPr>
          <w:color w:val="00B050"/>
        </w:rPr>
      </w:pPr>
      <w:r w:rsidRPr="00214A5B">
        <w:rPr>
          <w:color w:val="00B050"/>
        </w:rPr>
        <w:t xml:space="preserve">in cosmetic preparations for application to the face and hands containing 4.35% or less of </w:t>
      </w:r>
      <w:proofErr w:type="spellStart"/>
      <w:r w:rsidRPr="00214A5B">
        <w:rPr>
          <w:color w:val="00B050"/>
        </w:rPr>
        <w:t>homosalate</w:t>
      </w:r>
      <w:proofErr w:type="spellEnd"/>
      <w:r w:rsidRPr="00214A5B">
        <w:rPr>
          <w:color w:val="00B050"/>
        </w:rPr>
        <w:t>.</w:t>
      </w:r>
    </w:p>
    <w:p w14:paraId="571BD0E2" w14:textId="77777777" w:rsidR="00A573A4" w:rsidRDefault="00A573A4" w:rsidP="00A573A4">
      <w:pPr>
        <w:spacing w:before="180" w:after="180"/>
        <w:rPr>
          <w:rFonts w:eastAsia="Arial" w:cs="Arial"/>
          <w:b/>
          <w:bCs/>
        </w:rPr>
      </w:pPr>
    </w:p>
    <w:p w14:paraId="61296469" w14:textId="77777777" w:rsidR="00A573A4" w:rsidRDefault="00A573A4" w:rsidP="00A573A4">
      <w:pPr>
        <w:spacing w:before="180" w:after="180"/>
        <w:rPr>
          <w:rFonts w:eastAsia="Arial" w:cs="Arial"/>
          <w:b/>
          <w:bCs/>
        </w:rPr>
      </w:pPr>
      <w:r w:rsidRPr="1216A510">
        <w:rPr>
          <w:rFonts w:eastAsia="Arial" w:cs="Arial"/>
          <w:b/>
          <w:bCs/>
        </w:rPr>
        <w:t xml:space="preserve">Option </w:t>
      </w:r>
      <w:r>
        <w:rPr>
          <w:rFonts w:eastAsia="Arial" w:cs="Arial"/>
          <w:b/>
          <w:bCs/>
        </w:rPr>
        <w:t>3</w:t>
      </w:r>
      <w:r w:rsidRPr="1216A510">
        <w:rPr>
          <w:rFonts w:eastAsia="Arial" w:cs="Arial"/>
          <w:b/>
          <w:bCs/>
        </w:rPr>
        <w:t xml:space="preserve">: </w:t>
      </w:r>
      <w:r>
        <w:rPr>
          <w:b/>
          <w:bCs/>
        </w:rPr>
        <w:t xml:space="preserve">Schedule 5 entry with </w:t>
      </w:r>
      <w:r>
        <w:rPr>
          <w:rFonts w:eastAsia="Arial" w:cs="Arial"/>
          <w:b/>
          <w:bCs/>
        </w:rPr>
        <w:t>exemptions based on age, use and application site</w:t>
      </w:r>
    </w:p>
    <w:p w14:paraId="0BFE0915" w14:textId="77777777" w:rsidR="00A573A4" w:rsidRDefault="00A573A4" w:rsidP="00A573A4">
      <w:pPr>
        <w:spacing w:line="257" w:lineRule="auto"/>
        <w:rPr>
          <w:rFonts w:eastAsia="Arial" w:cs="Arial"/>
          <w:i/>
          <w:iCs/>
          <w:u w:val="single"/>
        </w:rPr>
      </w:pPr>
      <w:r>
        <w:rPr>
          <w:rFonts w:eastAsia="Arial" w:cs="Arial"/>
          <w:i/>
          <w:iCs/>
          <w:u w:val="single"/>
        </w:rPr>
        <w:t>Description</w:t>
      </w:r>
    </w:p>
    <w:p w14:paraId="2BAF248D" w14:textId="77777777" w:rsidR="00A573A4" w:rsidRDefault="00A573A4" w:rsidP="00A573A4">
      <w:pPr>
        <w:spacing w:line="257" w:lineRule="auto"/>
        <w:rPr>
          <w:rFonts w:eastAsia="Arial" w:cs="Arial"/>
        </w:rPr>
      </w:pPr>
      <w:r>
        <w:rPr>
          <w:rFonts w:eastAsia="Arial" w:cs="Arial"/>
        </w:rPr>
        <w:t xml:space="preserve">The TGA Safety Review concluded </w:t>
      </w:r>
      <w:proofErr w:type="spellStart"/>
      <w:r w:rsidRPr="001A05CE">
        <w:rPr>
          <w:rFonts w:eastAsia="Arial" w:cs="Arial"/>
        </w:rPr>
        <w:t>homosalate</w:t>
      </w:r>
      <w:proofErr w:type="spellEnd"/>
      <w:r w:rsidRPr="001A05CE">
        <w:rPr>
          <w:rFonts w:eastAsia="Arial" w:cs="Arial"/>
        </w:rPr>
        <w:t xml:space="preserve"> can be deemed low-risk and appropriate for use in sunscreen</w:t>
      </w:r>
      <w:r>
        <w:rPr>
          <w:rFonts w:eastAsia="Arial" w:cs="Arial"/>
        </w:rPr>
        <w:t xml:space="preserve"> preparation</w:t>
      </w:r>
      <w:r w:rsidRPr="001A05CE">
        <w:rPr>
          <w:rFonts w:eastAsia="Arial" w:cs="Arial"/>
        </w:rPr>
        <w:t xml:space="preserve">s for </w:t>
      </w:r>
      <w:r>
        <w:rPr>
          <w:rFonts w:eastAsia="Arial" w:cs="Arial"/>
        </w:rPr>
        <w:t xml:space="preserve">long-term </w:t>
      </w:r>
      <w:r w:rsidRPr="001A05CE">
        <w:rPr>
          <w:rFonts w:eastAsia="Arial" w:cs="Arial"/>
        </w:rPr>
        <w:t>daily use when</w:t>
      </w:r>
      <w:r>
        <w:rPr>
          <w:rFonts w:eastAsia="Arial" w:cs="Arial"/>
        </w:rPr>
        <w:t xml:space="preserve"> used by adults and when limited to products for</w:t>
      </w:r>
      <w:r w:rsidRPr="00504AA1">
        <w:rPr>
          <w:rFonts w:eastAsia="Arial" w:cs="Arial"/>
        </w:rPr>
        <w:t xml:space="preserve"> </w:t>
      </w:r>
      <w:r>
        <w:rPr>
          <w:rFonts w:eastAsia="Arial" w:cs="Arial"/>
        </w:rPr>
        <w:t>face and ha</w:t>
      </w:r>
      <w:r w:rsidRPr="00504AA1">
        <w:rPr>
          <w:rFonts w:eastAsia="Arial" w:cs="Arial"/>
        </w:rPr>
        <w:t>nd application</w:t>
      </w:r>
      <w:r>
        <w:rPr>
          <w:rFonts w:eastAsia="Arial" w:cs="Arial"/>
        </w:rPr>
        <w:t xml:space="preserve"> up to certain concentrations.</w:t>
      </w:r>
      <w:r w:rsidRPr="00AE5F9F">
        <w:rPr>
          <w:rFonts w:eastAsia="Arial" w:cs="Arial"/>
        </w:rPr>
        <w:t xml:space="preserve"> </w:t>
      </w:r>
      <w:r>
        <w:rPr>
          <w:rFonts w:eastAsia="Arial" w:cs="Arial"/>
        </w:rPr>
        <w:t xml:space="preserve">The review recommended reducing the </w:t>
      </w:r>
      <w:r w:rsidRPr="00255ACD">
        <w:rPr>
          <w:rFonts w:eastAsia="Arial" w:cs="Arial"/>
        </w:rPr>
        <w:t>maximum concentration</w:t>
      </w:r>
      <w:r>
        <w:rPr>
          <w:rFonts w:eastAsia="Arial" w:cs="Arial"/>
        </w:rPr>
        <w:t xml:space="preserve"> of </w:t>
      </w:r>
      <w:proofErr w:type="spellStart"/>
      <w:r>
        <w:rPr>
          <w:rFonts w:eastAsia="Arial" w:cs="Arial"/>
        </w:rPr>
        <w:t>homosalate</w:t>
      </w:r>
      <w:proofErr w:type="spellEnd"/>
      <w:r>
        <w:rPr>
          <w:rFonts w:eastAsia="Arial" w:cs="Arial"/>
        </w:rPr>
        <w:t xml:space="preserve"> in sunscreen products depending on the type of product and directions for use. The review calculated a </w:t>
      </w:r>
      <w:proofErr w:type="spellStart"/>
      <w:r>
        <w:rPr>
          <w:rFonts w:eastAsia="Arial" w:cs="Arial"/>
        </w:rPr>
        <w:t>homosalate</w:t>
      </w:r>
      <w:proofErr w:type="spellEnd"/>
      <w:r>
        <w:rPr>
          <w:rFonts w:eastAsia="Arial" w:cs="Arial"/>
        </w:rPr>
        <w:t xml:space="preserve"> concentration of 2.7% in therapeutic sunscreens applied daily to the face and hands to be of low risk to adults. This is a higher maximum concentration than Option 2. AICIS concluded that f</w:t>
      </w:r>
      <w:r w:rsidRPr="00F37B09">
        <w:rPr>
          <w:rFonts w:eastAsia="Arial" w:cs="Arial"/>
        </w:rPr>
        <w:t xml:space="preserve">or </w:t>
      </w:r>
      <w:r>
        <w:rPr>
          <w:rFonts w:eastAsia="Arial" w:cs="Arial"/>
        </w:rPr>
        <w:t xml:space="preserve">the </w:t>
      </w:r>
      <w:r w:rsidRPr="00F37B09">
        <w:rPr>
          <w:rFonts w:eastAsia="Arial" w:cs="Arial"/>
        </w:rPr>
        <w:t>combined use of face cream and lip balm</w:t>
      </w:r>
      <w:r>
        <w:rPr>
          <w:rFonts w:eastAsia="Arial" w:cs="Arial"/>
        </w:rPr>
        <w:t>,</w:t>
      </w:r>
      <w:r w:rsidRPr="00F37B09">
        <w:rPr>
          <w:rFonts w:eastAsia="Arial" w:cs="Arial"/>
        </w:rPr>
        <w:t xml:space="preserve"> a </w:t>
      </w:r>
      <w:proofErr w:type="spellStart"/>
      <w:r>
        <w:rPr>
          <w:rFonts w:eastAsia="Arial" w:cs="Arial"/>
        </w:rPr>
        <w:t>homosalate</w:t>
      </w:r>
      <w:proofErr w:type="spellEnd"/>
      <w:r>
        <w:rPr>
          <w:rFonts w:eastAsia="Arial" w:cs="Arial"/>
        </w:rPr>
        <w:t xml:space="preserve"> </w:t>
      </w:r>
      <w:r w:rsidRPr="00F37B09">
        <w:rPr>
          <w:rFonts w:eastAsia="Arial" w:cs="Arial"/>
        </w:rPr>
        <w:t>concentration of 4.35%</w:t>
      </w:r>
      <w:r w:rsidRPr="00346704">
        <w:rPr>
          <w:rFonts w:eastAsia="Arial" w:cs="Arial"/>
        </w:rPr>
        <w:t xml:space="preserve"> </w:t>
      </w:r>
      <w:r>
        <w:rPr>
          <w:rFonts w:eastAsia="Arial" w:cs="Arial"/>
        </w:rPr>
        <w:t>poses a low risk for systemic adverse effects.</w:t>
      </w:r>
    </w:p>
    <w:p w14:paraId="7919F85B" w14:textId="77777777" w:rsidR="00A573A4" w:rsidRPr="00DD1973" w:rsidRDefault="00A573A4" w:rsidP="00A573A4">
      <w:pPr>
        <w:spacing w:line="257" w:lineRule="auto"/>
        <w:rPr>
          <w:rFonts w:eastAsia="Arial" w:cs="Arial"/>
        </w:rPr>
      </w:pPr>
      <w:r>
        <w:rPr>
          <w:rFonts w:eastAsia="Arial" w:cs="Arial"/>
        </w:rPr>
        <w:t xml:space="preserve">This option provides different upper limits exempting </w:t>
      </w:r>
      <w:proofErr w:type="spellStart"/>
      <w:r>
        <w:rPr>
          <w:rFonts w:eastAsia="Arial" w:cs="Arial"/>
        </w:rPr>
        <w:t>homosalate</w:t>
      </w:r>
      <w:proofErr w:type="spellEnd"/>
      <w:r>
        <w:rPr>
          <w:rFonts w:eastAsia="Arial" w:cs="Arial"/>
        </w:rPr>
        <w:t xml:space="preserve"> from the Poisons Standard based on age, sunscreen type and site of application. This option applies to all sunscreen products and limits higher concentrations of </w:t>
      </w:r>
      <w:proofErr w:type="spellStart"/>
      <w:r>
        <w:rPr>
          <w:rFonts w:eastAsia="Arial" w:cs="Arial"/>
        </w:rPr>
        <w:t>homosalate</w:t>
      </w:r>
      <w:proofErr w:type="spellEnd"/>
      <w:r>
        <w:rPr>
          <w:rFonts w:eastAsia="Arial" w:cs="Arial"/>
        </w:rPr>
        <w:t xml:space="preserve"> to products for the face and hands for use by adults. This option treats all products consistently but results in a lower maximum concentration in cosmetic preparations than calculated by the AICIS risk evaluation. The Permissible Ingredients Determination might also be amended to further restrict the concentration in specific therapeutic sunscreen preparations separately to any changes to the scheduling of </w:t>
      </w:r>
      <w:proofErr w:type="spellStart"/>
      <w:r>
        <w:rPr>
          <w:rFonts w:eastAsia="Arial" w:cs="Arial"/>
        </w:rPr>
        <w:t>homosalate</w:t>
      </w:r>
      <w:proofErr w:type="spellEnd"/>
      <w:r>
        <w:rPr>
          <w:rFonts w:eastAsia="Arial" w:cs="Arial"/>
        </w:rPr>
        <w:t xml:space="preserve"> in the Poisons Standard.</w:t>
      </w:r>
    </w:p>
    <w:p w14:paraId="7459B1AB" w14:textId="77777777" w:rsidR="00A573A4" w:rsidRPr="00FC0C7A" w:rsidRDefault="00A573A4" w:rsidP="00A573A4">
      <w:pPr>
        <w:spacing w:before="180" w:after="180"/>
        <w:rPr>
          <w:i/>
          <w:iCs/>
          <w:u w:val="single"/>
        </w:rPr>
      </w:pPr>
      <w:r>
        <w:rPr>
          <w:i/>
          <w:iCs/>
          <w:u w:val="single"/>
        </w:rPr>
        <w:t>Proposed amendments</w:t>
      </w:r>
    </w:p>
    <w:p w14:paraId="3001DBA4" w14:textId="77777777" w:rsidR="00A573A4" w:rsidRDefault="00A573A4" w:rsidP="00A573A4">
      <w:pPr>
        <w:spacing w:line="257" w:lineRule="auto"/>
        <w:ind w:left="426"/>
      </w:pPr>
      <w:r w:rsidRPr="1216A510">
        <w:rPr>
          <w:rFonts w:eastAsia="Arial" w:cs="Arial"/>
          <w:b/>
          <w:bCs/>
        </w:rPr>
        <w:t>Schedule 5 – New entry</w:t>
      </w:r>
    </w:p>
    <w:p w14:paraId="5253F96B" w14:textId="77777777" w:rsidR="00A573A4" w:rsidRDefault="00A573A4" w:rsidP="00A573A4">
      <w:pPr>
        <w:spacing w:line="257" w:lineRule="auto"/>
        <w:ind w:left="709"/>
        <w:rPr>
          <w:rFonts w:eastAsia="Arial" w:cs="Arial"/>
          <w:color w:val="00B050"/>
        </w:rPr>
      </w:pPr>
      <w:proofErr w:type="spellStart"/>
      <w:r w:rsidRPr="009E7BE8">
        <w:rPr>
          <w:rFonts w:eastAsia="Arial" w:cs="Arial"/>
          <w:color w:val="00B050"/>
        </w:rPr>
        <w:t>HOMOSALATE</w:t>
      </w:r>
      <w:proofErr w:type="spellEnd"/>
      <w:r w:rsidRPr="009E7BE8">
        <w:rPr>
          <w:rFonts w:eastAsia="Arial" w:cs="Arial"/>
          <w:color w:val="00B050"/>
        </w:rPr>
        <w:t xml:space="preserve"> in therapeutic sunscreens</w:t>
      </w:r>
      <w:r>
        <w:rPr>
          <w:rFonts w:eastAsia="Arial" w:cs="Arial"/>
          <w:color w:val="00B050"/>
        </w:rPr>
        <w:t xml:space="preserve"> and cosmetics preparations </w:t>
      </w:r>
      <w:r w:rsidRPr="009E7BE8">
        <w:rPr>
          <w:rFonts w:eastAsia="Arial" w:cs="Arial"/>
          <w:b/>
          <w:bCs/>
          <w:color w:val="00B050"/>
        </w:rPr>
        <w:t xml:space="preserve">except </w:t>
      </w:r>
      <w:r>
        <w:rPr>
          <w:rFonts w:eastAsia="Arial" w:cs="Arial"/>
          <w:color w:val="00B050"/>
        </w:rPr>
        <w:t>in preparations:</w:t>
      </w:r>
    </w:p>
    <w:p w14:paraId="7A946BB6" w14:textId="77777777" w:rsidR="00A573A4" w:rsidRPr="00214A5B" w:rsidRDefault="00A573A4" w:rsidP="00A573A4">
      <w:pPr>
        <w:pStyle w:val="ListParagraph"/>
        <w:numPr>
          <w:ilvl w:val="0"/>
          <w:numId w:val="26"/>
        </w:numPr>
        <w:rPr>
          <w:color w:val="00B050"/>
        </w:rPr>
      </w:pPr>
      <w:r w:rsidRPr="00214A5B">
        <w:rPr>
          <w:color w:val="00B050"/>
        </w:rPr>
        <w:t>for use by persons aged 18 years and over; and</w:t>
      </w:r>
    </w:p>
    <w:p w14:paraId="2AF53043" w14:textId="77777777" w:rsidR="00A573A4" w:rsidRPr="00214A5B" w:rsidRDefault="00A573A4" w:rsidP="00A573A4">
      <w:pPr>
        <w:pStyle w:val="ListParagraph"/>
        <w:numPr>
          <w:ilvl w:val="0"/>
          <w:numId w:val="26"/>
        </w:numPr>
        <w:rPr>
          <w:color w:val="00B050"/>
        </w:rPr>
      </w:pPr>
      <w:r w:rsidRPr="00214A5B">
        <w:rPr>
          <w:color w:val="00B050"/>
        </w:rPr>
        <w:t>for application to the face and hands; and</w:t>
      </w:r>
    </w:p>
    <w:p w14:paraId="1B4939A8" w14:textId="77777777" w:rsidR="00A573A4" w:rsidRPr="00214A5B" w:rsidRDefault="00A573A4" w:rsidP="00A573A4">
      <w:pPr>
        <w:pStyle w:val="ListParagraph"/>
        <w:numPr>
          <w:ilvl w:val="0"/>
          <w:numId w:val="26"/>
        </w:numPr>
        <w:rPr>
          <w:color w:val="00B050"/>
        </w:rPr>
      </w:pPr>
      <w:r w:rsidRPr="00214A5B">
        <w:rPr>
          <w:color w:val="00B050"/>
        </w:rPr>
        <w:t xml:space="preserve">containing 2.7% or less of </w:t>
      </w:r>
      <w:proofErr w:type="spellStart"/>
      <w:r w:rsidRPr="00214A5B">
        <w:rPr>
          <w:color w:val="00B050"/>
        </w:rPr>
        <w:t>homosalate</w:t>
      </w:r>
      <w:proofErr w:type="spellEnd"/>
      <w:r w:rsidRPr="00214A5B">
        <w:rPr>
          <w:color w:val="00B050"/>
        </w:rPr>
        <w:t>.</w:t>
      </w:r>
    </w:p>
    <w:p w14:paraId="6335A82A" w14:textId="77777777" w:rsidR="00A573A4" w:rsidRDefault="00A573A4" w:rsidP="00A573A4">
      <w:pPr>
        <w:pStyle w:val="Heading4"/>
      </w:pPr>
      <w:bookmarkStart w:id="19" w:name="_Toc201870320"/>
      <w:bookmarkStart w:id="20" w:name="_Toc202177222"/>
      <w:r>
        <w:t>Key uses</w:t>
      </w:r>
      <w:bookmarkEnd w:id="19"/>
      <w:bookmarkEnd w:id="20"/>
    </w:p>
    <w:p w14:paraId="1C812DB3" w14:textId="77777777" w:rsidR="00A573A4" w:rsidRPr="00C417B6" w:rsidRDefault="00A573A4" w:rsidP="00A573A4">
      <w:pPr>
        <w:spacing w:line="257" w:lineRule="auto"/>
        <w:rPr>
          <w:rFonts w:eastAsia="Arial" w:cs="Arial"/>
        </w:rPr>
      </w:pPr>
      <w:proofErr w:type="spellStart"/>
      <w:r w:rsidRPr="6FABC493">
        <w:rPr>
          <w:rFonts w:eastAsia="Arial" w:cs="Arial"/>
        </w:rPr>
        <w:t>Homosalate</w:t>
      </w:r>
      <w:proofErr w:type="spellEnd"/>
      <w:r w:rsidRPr="6FABC493">
        <w:rPr>
          <w:rFonts w:eastAsia="Arial" w:cs="Arial"/>
        </w:rPr>
        <w:t xml:space="preserve"> is commonly used as a UV filter in sunscreens, and other cosmetics such as face cream and lip balms. It is also used as fragrance and skin conditioner in a variety of personal care products</w:t>
      </w:r>
      <w:r>
        <w:rPr>
          <w:rFonts w:eastAsia="Arial" w:cs="Arial"/>
        </w:rPr>
        <w:t>.</w:t>
      </w:r>
      <w:r w:rsidRPr="6FABC493">
        <w:rPr>
          <w:rFonts w:eastAsia="Arial" w:cs="Arial"/>
        </w:rPr>
        <w:t xml:space="preserve"> </w:t>
      </w:r>
      <w:proofErr w:type="spellStart"/>
      <w:r w:rsidRPr="6FABC493">
        <w:rPr>
          <w:rFonts w:eastAsia="Arial" w:cs="Arial"/>
        </w:rPr>
        <w:t>Homosalate</w:t>
      </w:r>
      <w:proofErr w:type="spellEnd"/>
      <w:r w:rsidRPr="6FABC493">
        <w:rPr>
          <w:rFonts w:eastAsia="Arial" w:cs="Arial"/>
        </w:rPr>
        <w:t xml:space="preserve"> is used in these products at concentrations of 4-15% with the highest concentrations of the substance being present in therapeutic sunscreens.</w:t>
      </w:r>
      <w:r w:rsidRPr="6FABC493">
        <w:rPr>
          <w:rStyle w:val="FootnoteReference"/>
          <w:rFonts w:eastAsia="Arial" w:cs="Arial"/>
        </w:rPr>
        <w:footnoteReference w:id="3"/>
      </w:r>
      <w:r w:rsidRPr="6FABC493">
        <w:rPr>
          <w:rFonts w:eastAsia="Arial" w:cs="Arial"/>
        </w:rPr>
        <w:t xml:space="preserve"> Preliminary data supplied by the industry indicates that </w:t>
      </w:r>
      <w:proofErr w:type="gramStart"/>
      <w:r w:rsidRPr="6FABC493">
        <w:rPr>
          <w:rFonts w:eastAsia="Arial" w:cs="Arial"/>
        </w:rPr>
        <w:t>the majority of</w:t>
      </w:r>
      <w:proofErr w:type="gramEnd"/>
      <w:r w:rsidRPr="6FABC493">
        <w:rPr>
          <w:rFonts w:eastAsia="Arial" w:cs="Arial"/>
        </w:rPr>
        <w:t xml:space="preserve"> sunscreens in the Australian </w:t>
      </w:r>
      <w:r>
        <w:rPr>
          <w:rFonts w:eastAsia="Arial" w:cs="Arial"/>
        </w:rPr>
        <w:t>m</w:t>
      </w:r>
      <w:r w:rsidRPr="6FABC493">
        <w:rPr>
          <w:rFonts w:eastAsia="Arial" w:cs="Arial"/>
        </w:rPr>
        <w:t xml:space="preserve">arket contain either </w:t>
      </w:r>
      <w:proofErr w:type="spellStart"/>
      <w:r w:rsidRPr="6FABC493">
        <w:rPr>
          <w:rFonts w:eastAsia="Arial" w:cs="Arial"/>
        </w:rPr>
        <w:t>homosalate</w:t>
      </w:r>
      <w:proofErr w:type="spellEnd"/>
      <w:r w:rsidRPr="6FABC493">
        <w:rPr>
          <w:rFonts w:eastAsia="Arial" w:cs="Arial"/>
        </w:rPr>
        <w:t xml:space="preserve"> and/or octocrylene. The AICIS evaluation statement noted that cosmetic preparations currently available contain up to 10% </w:t>
      </w:r>
      <w:proofErr w:type="spellStart"/>
      <w:r w:rsidRPr="6FABC493">
        <w:rPr>
          <w:rFonts w:eastAsia="Arial" w:cs="Arial"/>
        </w:rPr>
        <w:t>homosalate</w:t>
      </w:r>
      <w:proofErr w:type="spellEnd"/>
      <w:r w:rsidRPr="6FABC493">
        <w:rPr>
          <w:rFonts w:eastAsia="Arial" w:cs="Arial"/>
        </w:rPr>
        <w:t>.</w:t>
      </w:r>
    </w:p>
    <w:p w14:paraId="22C2E8B9" w14:textId="77777777" w:rsidR="00A573A4" w:rsidRPr="00C417B6" w:rsidRDefault="00A573A4" w:rsidP="00A573A4">
      <w:pPr>
        <w:pStyle w:val="Heading4"/>
      </w:pPr>
      <w:bookmarkStart w:id="21" w:name="_Toc201870321"/>
      <w:bookmarkStart w:id="22" w:name="_Toc202177223"/>
      <w:r>
        <w:lastRenderedPageBreak/>
        <w:t>CAS Number</w:t>
      </w:r>
      <w:bookmarkEnd w:id="21"/>
      <w:bookmarkEnd w:id="22"/>
    </w:p>
    <w:bookmarkEnd w:id="18"/>
    <w:p w14:paraId="2A66B9A1" w14:textId="77777777" w:rsidR="00A573A4" w:rsidRPr="00F41726" w:rsidRDefault="00A573A4" w:rsidP="00A573A4">
      <w:r w:rsidRPr="00F41726">
        <w:t>118-56-9</w:t>
      </w:r>
    </w:p>
    <w:p w14:paraId="41EC26B6" w14:textId="77777777" w:rsidR="00A573A4" w:rsidRPr="00C417B6" w:rsidRDefault="00A573A4" w:rsidP="00A573A4">
      <w:pPr>
        <w:pStyle w:val="Heading4"/>
        <w:rPr>
          <w:rFonts w:eastAsiaTheme="minorEastAsia" w:cstheme="minorBidi"/>
          <w:color w:val="auto"/>
          <w:sz w:val="20"/>
          <w:szCs w:val="20"/>
        </w:rPr>
      </w:pPr>
      <w:bookmarkStart w:id="23" w:name="_Toc201870322"/>
      <w:bookmarkStart w:id="24" w:name="_Toc202177224"/>
      <w:r w:rsidRPr="00C874D8">
        <w:t>Alternative names</w:t>
      </w:r>
      <w:bookmarkStart w:id="25" w:name="_Toc122614249"/>
      <w:bookmarkEnd w:id="23"/>
      <w:bookmarkEnd w:id="24"/>
    </w:p>
    <w:p w14:paraId="1B95EA10" w14:textId="77777777" w:rsidR="00A573A4" w:rsidRPr="00F41726" w:rsidRDefault="00A573A4" w:rsidP="00A573A4">
      <w:r w:rsidRPr="00F41726">
        <w:t>Benzoic acid, 2-hydroxy-, 3,3,5-</w:t>
      </w:r>
      <w:proofErr w:type="spellStart"/>
      <w:r w:rsidRPr="00F41726">
        <w:t>trimethylcyclohexyl</w:t>
      </w:r>
      <w:proofErr w:type="spellEnd"/>
      <w:r w:rsidRPr="00F41726">
        <w:t xml:space="preserve"> ester; cyclohexanol, 3,3,5-trimethyl-, salicylate; </w:t>
      </w:r>
      <w:proofErr w:type="spellStart"/>
      <w:r w:rsidRPr="00F41726">
        <w:t>homomenthyl</w:t>
      </w:r>
      <w:proofErr w:type="spellEnd"/>
      <w:r w:rsidRPr="00F41726">
        <w:t xml:space="preserve"> salicylate; salicylic acid, 3,3,5-</w:t>
      </w:r>
      <w:proofErr w:type="spellStart"/>
      <w:r w:rsidRPr="00F41726">
        <w:t>trimethylcyclohexyl</w:t>
      </w:r>
      <w:proofErr w:type="spellEnd"/>
      <w:r w:rsidRPr="00F41726">
        <w:t xml:space="preserve"> ester; salicylic acid, </w:t>
      </w:r>
      <w:r w:rsidRPr="00FF1060">
        <w:rPr>
          <w:i/>
          <w:iCs/>
        </w:rPr>
        <w:t>m</w:t>
      </w:r>
      <w:r w:rsidRPr="00F41726">
        <w:t>-</w:t>
      </w:r>
      <w:proofErr w:type="spellStart"/>
      <w:r w:rsidRPr="00F41726">
        <w:t>homomenthyl</w:t>
      </w:r>
      <w:proofErr w:type="spellEnd"/>
      <w:r w:rsidRPr="00F41726">
        <w:t xml:space="preserve"> ester.</w:t>
      </w:r>
    </w:p>
    <w:p w14:paraId="61412866" w14:textId="77777777" w:rsidR="00A573A4" w:rsidRPr="00C417B6" w:rsidRDefault="00A573A4" w:rsidP="00A573A4">
      <w:pPr>
        <w:pStyle w:val="Heading4"/>
      </w:pPr>
      <w:bookmarkStart w:id="26" w:name="_Toc201870323"/>
      <w:bookmarkStart w:id="27" w:name="_Toc202177225"/>
      <w:r w:rsidRPr="1216A510">
        <w:t>Australian regulations</w:t>
      </w:r>
      <w:bookmarkEnd w:id="26"/>
      <w:bookmarkEnd w:id="27"/>
    </w:p>
    <w:p w14:paraId="1BB7C0ED" w14:textId="77777777" w:rsidR="00A573A4" w:rsidRPr="00130D6C" w:rsidRDefault="00A573A4" w:rsidP="00A573A4">
      <w:pPr>
        <w:pStyle w:val="ListParagraph"/>
      </w:pPr>
      <w:r w:rsidRPr="00130D6C">
        <w:t xml:space="preserve">According to the </w:t>
      </w:r>
      <w:hyperlink r:id="rId34">
        <w:r w:rsidRPr="1216A510">
          <w:rPr>
            <w:rStyle w:val="Hyperlink"/>
          </w:rPr>
          <w:t>TGA Ingredient Database</w:t>
        </w:r>
      </w:hyperlink>
      <w:r w:rsidRPr="00130D6C">
        <w:t xml:space="preserve">, </w:t>
      </w:r>
      <w:proofErr w:type="spellStart"/>
      <w:r w:rsidRPr="00130D6C">
        <w:t>homosalate</w:t>
      </w:r>
      <w:proofErr w:type="spellEnd"/>
      <w:r w:rsidRPr="00130D6C">
        <w:t xml:space="preserve"> is available for use as an active ingredient in: Biologicals, Export Only, Listed Medicines, Over the Counter, Prescription Medicines.</w:t>
      </w:r>
    </w:p>
    <w:p w14:paraId="7370FED7" w14:textId="77777777" w:rsidR="00A573A4" w:rsidRPr="00130D6C" w:rsidRDefault="00A573A4" w:rsidP="00A573A4">
      <w:pPr>
        <w:pStyle w:val="ListParagraph"/>
      </w:pPr>
      <w:r w:rsidRPr="00130D6C">
        <w:t xml:space="preserve">As of </w:t>
      </w:r>
      <w:r>
        <w:t>26 June</w:t>
      </w:r>
      <w:r w:rsidRPr="00130D6C">
        <w:t xml:space="preserve"> 2025, there were </w:t>
      </w:r>
      <w:r>
        <w:t>471</w:t>
      </w:r>
      <w:r w:rsidRPr="00130D6C">
        <w:t xml:space="preserve"> medicines currently active on the </w:t>
      </w:r>
      <w:hyperlink r:id="rId35">
        <w:r w:rsidRPr="1216A510">
          <w:rPr>
            <w:rStyle w:val="Hyperlink"/>
          </w:rPr>
          <w:t>Australian Register of Therapeutic Goods (</w:t>
        </w:r>
        <w:proofErr w:type="spellStart"/>
        <w:r w:rsidRPr="1216A510">
          <w:rPr>
            <w:rStyle w:val="Hyperlink"/>
          </w:rPr>
          <w:t>ARTG</w:t>
        </w:r>
        <w:proofErr w:type="spellEnd"/>
        <w:r w:rsidRPr="1216A510">
          <w:rPr>
            <w:rStyle w:val="Hyperlink"/>
          </w:rPr>
          <w:t>)</w:t>
        </w:r>
      </w:hyperlink>
      <w:r w:rsidRPr="007D6917">
        <w:t xml:space="preserve"> </w:t>
      </w:r>
      <w:r w:rsidRPr="00130D6C">
        <w:t xml:space="preserve">that contain </w:t>
      </w:r>
      <w:proofErr w:type="spellStart"/>
      <w:r w:rsidRPr="00130D6C">
        <w:t>homosalate</w:t>
      </w:r>
      <w:proofErr w:type="spellEnd"/>
      <w:r w:rsidRPr="00130D6C">
        <w:t xml:space="preserve"> as an active ingredient. All of these are </w:t>
      </w:r>
      <w:r>
        <w:t xml:space="preserve">listed </w:t>
      </w:r>
      <w:r w:rsidRPr="00130D6C">
        <w:t>medicines</w:t>
      </w:r>
      <w:r>
        <w:t xml:space="preserve"> of which 65 are for export only</w:t>
      </w:r>
      <w:r w:rsidRPr="00130D6C">
        <w:t>.</w:t>
      </w:r>
    </w:p>
    <w:p w14:paraId="50ED6787" w14:textId="77777777" w:rsidR="00A573A4" w:rsidRPr="00C417B6" w:rsidRDefault="00A573A4" w:rsidP="00A573A4">
      <w:pPr>
        <w:pStyle w:val="ListParagraph"/>
      </w:pPr>
      <w:r w:rsidRPr="007D6917">
        <w:t xml:space="preserve">According to the </w:t>
      </w:r>
      <w:hyperlink r:id="rId36">
        <w:r w:rsidRPr="1216A510">
          <w:rPr>
            <w:rStyle w:val="Hyperlink"/>
          </w:rPr>
          <w:t>Therapeutic Goods (Permissible Ingredients) Determination</w:t>
        </w:r>
      </w:hyperlink>
      <w:r w:rsidRPr="007D6917">
        <w:t xml:space="preserve"> </w:t>
      </w:r>
      <w:proofErr w:type="spellStart"/>
      <w:r w:rsidRPr="007D6917">
        <w:t>No.</w:t>
      </w:r>
      <w:r>
        <w:t>2</w:t>
      </w:r>
      <w:proofErr w:type="spellEnd"/>
      <w:r w:rsidRPr="007D6917">
        <w:t xml:space="preserve"> of 2025, </w:t>
      </w:r>
      <w:proofErr w:type="spellStart"/>
      <w:r w:rsidRPr="007D6917">
        <w:t>homosalate</w:t>
      </w:r>
      <w:proofErr w:type="spellEnd"/>
      <w:r w:rsidRPr="007D6917">
        <w:t xml:space="preserve"> is permitted to be included in listed medicines as follows:</w:t>
      </w:r>
    </w:p>
    <w:tbl>
      <w:tblPr>
        <w:tblStyle w:val="TableGrid"/>
        <w:tblW w:w="5000" w:type="pct"/>
        <w:tblLook w:val="04A0" w:firstRow="1" w:lastRow="0" w:firstColumn="1" w:lastColumn="0" w:noHBand="0" w:noVBand="1"/>
      </w:tblPr>
      <w:tblGrid>
        <w:gridCol w:w="842"/>
        <w:gridCol w:w="2127"/>
        <w:gridCol w:w="1274"/>
        <w:gridCol w:w="4807"/>
      </w:tblGrid>
      <w:tr w:rsidR="00A573A4" w14:paraId="27DF4BF4" w14:textId="77777777" w:rsidTr="005F731A">
        <w:trPr>
          <w:trHeight w:val="300"/>
        </w:trPr>
        <w:tc>
          <w:tcPr>
            <w:tcW w:w="465"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3EA995C3" w14:textId="77777777" w:rsidR="00A573A4" w:rsidRDefault="00A573A4" w:rsidP="005F731A">
            <w:pPr>
              <w:spacing w:before="80" w:after="40" w:line="264" w:lineRule="auto"/>
              <w:ind w:left="113"/>
            </w:pPr>
            <w:r w:rsidRPr="1216A510">
              <w:rPr>
                <w:rFonts w:eastAsia="Arial" w:cs="Arial"/>
                <w:b/>
                <w:bCs/>
                <w:color w:val="263287"/>
                <w:sz w:val="22"/>
                <w:szCs w:val="22"/>
              </w:rPr>
              <w:t>Item</w:t>
            </w:r>
          </w:p>
        </w:tc>
        <w:tc>
          <w:tcPr>
            <w:tcW w:w="1175"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0AE32D04" w14:textId="77777777" w:rsidR="00A573A4" w:rsidRDefault="00A573A4" w:rsidP="005F731A">
            <w:pPr>
              <w:spacing w:before="80" w:after="40" w:line="264" w:lineRule="auto"/>
              <w:ind w:left="113"/>
            </w:pPr>
            <w:r w:rsidRPr="1216A510">
              <w:rPr>
                <w:rFonts w:eastAsia="Arial" w:cs="Arial"/>
                <w:b/>
                <w:bCs/>
                <w:color w:val="263287"/>
                <w:sz w:val="22"/>
                <w:szCs w:val="22"/>
              </w:rPr>
              <w:t>Ingredient name</w:t>
            </w:r>
          </w:p>
        </w:tc>
        <w:tc>
          <w:tcPr>
            <w:tcW w:w="704"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48429765" w14:textId="77777777" w:rsidR="00A573A4" w:rsidRDefault="00A573A4" w:rsidP="005F731A">
            <w:pPr>
              <w:spacing w:before="80" w:after="40" w:line="264" w:lineRule="auto"/>
              <w:ind w:left="113"/>
            </w:pPr>
            <w:r w:rsidRPr="1216A510">
              <w:rPr>
                <w:rFonts w:eastAsia="Arial" w:cs="Arial"/>
                <w:b/>
                <w:bCs/>
                <w:color w:val="263287"/>
                <w:sz w:val="22"/>
                <w:szCs w:val="22"/>
              </w:rPr>
              <w:t>Purpose</w:t>
            </w:r>
          </w:p>
        </w:tc>
        <w:tc>
          <w:tcPr>
            <w:tcW w:w="2656"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3DB6C639" w14:textId="77777777" w:rsidR="00A573A4" w:rsidRDefault="00A573A4" w:rsidP="005F731A">
            <w:pPr>
              <w:spacing w:before="80" w:after="40" w:line="264" w:lineRule="auto"/>
              <w:ind w:left="113"/>
            </w:pPr>
            <w:r w:rsidRPr="1216A510">
              <w:rPr>
                <w:rFonts w:eastAsia="Arial" w:cs="Arial"/>
                <w:b/>
                <w:bCs/>
                <w:color w:val="263287"/>
                <w:sz w:val="22"/>
                <w:szCs w:val="22"/>
              </w:rPr>
              <w:t>Specific requirements</w:t>
            </w:r>
          </w:p>
        </w:tc>
      </w:tr>
      <w:tr w:rsidR="00A573A4" w14:paraId="20FA615F" w14:textId="77777777" w:rsidTr="005F731A">
        <w:trPr>
          <w:trHeight w:val="300"/>
        </w:trPr>
        <w:tc>
          <w:tcPr>
            <w:tcW w:w="465"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3C71A1EA" w14:textId="77777777" w:rsidR="00A573A4" w:rsidRPr="004B5A9E" w:rsidRDefault="00A573A4" w:rsidP="005F731A">
            <w:pPr>
              <w:spacing w:before="80" w:after="40" w:line="264" w:lineRule="auto"/>
              <w:ind w:left="113"/>
              <w:rPr>
                <w:sz w:val="20"/>
                <w:szCs w:val="20"/>
              </w:rPr>
            </w:pPr>
            <w:r w:rsidRPr="004B5A9E">
              <w:rPr>
                <w:rFonts w:eastAsia="Arial" w:cs="Arial"/>
                <w:color w:val="000000" w:themeColor="text1"/>
                <w:sz w:val="20"/>
                <w:szCs w:val="20"/>
              </w:rPr>
              <w:t>2573</w:t>
            </w:r>
          </w:p>
        </w:tc>
        <w:tc>
          <w:tcPr>
            <w:tcW w:w="1175"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6E5D526A" w14:textId="77777777" w:rsidR="00A573A4" w:rsidRPr="004B5A9E" w:rsidRDefault="00A573A4" w:rsidP="005F731A">
            <w:pPr>
              <w:spacing w:before="80" w:after="40" w:line="264" w:lineRule="auto"/>
              <w:ind w:left="113"/>
              <w:rPr>
                <w:sz w:val="20"/>
                <w:szCs w:val="20"/>
              </w:rPr>
            </w:pPr>
            <w:proofErr w:type="spellStart"/>
            <w:r w:rsidRPr="004B5A9E">
              <w:rPr>
                <w:rFonts w:eastAsia="Arial" w:cs="Arial"/>
                <w:color w:val="000000" w:themeColor="text1"/>
                <w:sz w:val="20"/>
                <w:szCs w:val="20"/>
              </w:rPr>
              <w:t>Homosalate</w:t>
            </w:r>
            <w:proofErr w:type="spellEnd"/>
          </w:p>
        </w:tc>
        <w:tc>
          <w:tcPr>
            <w:tcW w:w="704"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0D2FA67F" w14:textId="77777777" w:rsidR="00A573A4" w:rsidRPr="004B5A9E" w:rsidRDefault="00A573A4" w:rsidP="005F731A">
            <w:pPr>
              <w:spacing w:before="80" w:after="40" w:line="264" w:lineRule="auto"/>
              <w:ind w:left="113"/>
              <w:rPr>
                <w:sz w:val="20"/>
                <w:szCs w:val="20"/>
              </w:rPr>
            </w:pPr>
            <w:r w:rsidRPr="004B5A9E">
              <w:rPr>
                <w:rFonts w:eastAsia="Arial" w:cs="Arial"/>
                <w:color w:val="000000" w:themeColor="text1"/>
                <w:sz w:val="20"/>
                <w:szCs w:val="20"/>
              </w:rPr>
              <w:t>A,</w:t>
            </w:r>
            <w:r>
              <w:rPr>
                <w:rFonts w:eastAsia="Arial" w:cs="Arial"/>
                <w:color w:val="000000" w:themeColor="text1"/>
                <w:sz w:val="20"/>
                <w:szCs w:val="20"/>
              </w:rPr>
              <w:t xml:space="preserve"> </w:t>
            </w:r>
            <w:r w:rsidRPr="004B5A9E">
              <w:rPr>
                <w:rFonts w:eastAsia="Arial" w:cs="Arial"/>
                <w:color w:val="000000" w:themeColor="text1"/>
                <w:sz w:val="20"/>
                <w:szCs w:val="20"/>
              </w:rPr>
              <w:t>E</w:t>
            </w:r>
          </w:p>
        </w:tc>
        <w:tc>
          <w:tcPr>
            <w:tcW w:w="2656"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7812FE85" w14:textId="77777777" w:rsidR="00A573A4" w:rsidRPr="004B5A9E" w:rsidRDefault="00A573A4" w:rsidP="005F731A">
            <w:pPr>
              <w:spacing w:before="80" w:after="40" w:line="264" w:lineRule="auto"/>
              <w:ind w:left="113"/>
              <w:rPr>
                <w:sz w:val="20"/>
                <w:szCs w:val="20"/>
              </w:rPr>
            </w:pPr>
            <w:r w:rsidRPr="004B5A9E">
              <w:rPr>
                <w:rFonts w:eastAsia="Arial" w:cs="Arial"/>
                <w:color w:val="000000" w:themeColor="text1"/>
                <w:sz w:val="20"/>
                <w:szCs w:val="20"/>
              </w:rPr>
              <w:t>For use as an active ingredient only in sunscreens for dermal application.</w:t>
            </w:r>
          </w:p>
          <w:p w14:paraId="0BBB30DA" w14:textId="77777777" w:rsidR="00A573A4" w:rsidRPr="004B5A9E" w:rsidRDefault="00A573A4" w:rsidP="005F731A">
            <w:pPr>
              <w:spacing w:before="80" w:after="40" w:line="264" w:lineRule="auto"/>
              <w:ind w:left="113"/>
              <w:rPr>
                <w:sz w:val="20"/>
                <w:szCs w:val="20"/>
              </w:rPr>
            </w:pPr>
            <w:r w:rsidRPr="004B5A9E">
              <w:rPr>
                <w:rFonts w:eastAsia="Arial" w:cs="Arial"/>
                <w:color w:val="000000" w:themeColor="text1"/>
                <w:sz w:val="20"/>
                <w:szCs w:val="20"/>
              </w:rPr>
              <w:t>For use as an excipient only in topical medicines for dermal application.</w:t>
            </w:r>
          </w:p>
          <w:p w14:paraId="274DCA7A" w14:textId="77777777" w:rsidR="00A573A4" w:rsidRPr="004B5A9E" w:rsidRDefault="00A573A4" w:rsidP="005F731A">
            <w:pPr>
              <w:spacing w:before="80" w:after="40" w:line="264" w:lineRule="auto"/>
              <w:ind w:left="113"/>
              <w:rPr>
                <w:sz w:val="20"/>
                <w:szCs w:val="20"/>
              </w:rPr>
            </w:pPr>
            <w:r w:rsidRPr="004B5A9E">
              <w:rPr>
                <w:rFonts w:eastAsia="Arial" w:cs="Arial"/>
                <w:color w:val="000000" w:themeColor="text1"/>
                <w:sz w:val="20"/>
                <w:szCs w:val="20"/>
              </w:rPr>
              <w:t>Not to be included in medicines intended for use in the eye.</w:t>
            </w:r>
          </w:p>
          <w:p w14:paraId="6E5D7565" w14:textId="77777777" w:rsidR="00A573A4" w:rsidRPr="004B5A9E" w:rsidRDefault="00A573A4" w:rsidP="005F731A">
            <w:pPr>
              <w:spacing w:before="80" w:after="40" w:line="264" w:lineRule="auto"/>
              <w:ind w:left="113"/>
              <w:rPr>
                <w:sz w:val="20"/>
                <w:szCs w:val="20"/>
              </w:rPr>
            </w:pPr>
            <w:r w:rsidRPr="004B5A9E">
              <w:rPr>
                <w:rFonts w:eastAsia="Arial" w:cs="Arial"/>
                <w:color w:val="000000" w:themeColor="text1"/>
                <w:sz w:val="20"/>
                <w:szCs w:val="20"/>
              </w:rPr>
              <w:t>The concentration in the medicine must not be more than 15%.</w:t>
            </w:r>
          </w:p>
          <w:p w14:paraId="126DA40C" w14:textId="77777777" w:rsidR="00A573A4" w:rsidRPr="004B5A9E" w:rsidRDefault="00A573A4" w:rsidP="005F731A">
            <w:pPr>
              <w:spacing w:before="80" w:after="40" w:line="264" w:lineRule="auto"/>
              <w:ind w:left="113"/>
              <w:rPr>
                <w:sz w:val="20"/>
                <w:szCs w:val="20"/>
              </w:rPr>
            </w:pPr>
            <w:r w:rsidRPr="004B5A9E">
              <w:rPr>
                <w:rFonts w:eastAsia="Arial" w:cs="Arial"/>
                <w:color w:val="000000" w:themeColor="text1"/>
                <w:sz w:val="20"/>
                <w:szCs w:val="20"/>
              </w:rPr>
              <w:t>When used in primary sunscreen products, the following warning statements are required on the label:</w:t>
            </w:r>
          </w:p>
          <w:p w14:paraId="133B19AF" w14:textId="77777777" w:rsidR="00A573A4" w:rsidRPr="004B5A9E" w:rsidRDefault="00A573A4" w:rsidP="005F731A">
            <w:pPr>
              <w:spacing w:before="80" w:after="40" w:line="264" w:lineRule="auto"/>
              <w:ind w:left="113"/>
              <w:rPr>
                <w:sz w:val="20"/>
                <w:szCs w:val="20"/>
              </w:rPr>
            </w:pPr>
            <w:r w:rsidRPr="004B5A9E">
              <w:rPr>
                <w:rFonts w:eastAsia="Arial" w:cs="Arial"/>
                <w:color w:val="000000" w:themeColor="text1"/>
                <w:sz w:val="20"/>
                <w:szCs w:val="20"/>
              </w:rPr>
              <w:t>- (AVOID) 'Avoid prolonged exposure in the sun' (or words to this effect); and</w:t>
            </w:r>
          </w:p>
          <w:p w14:paraId="5D550053" w14:textId="77777777" w:rsidR="00A573A4" w:rsidRPr="004B5A9E" w:rsidRDefault="00A573A4" w:rsidP="005F731A">
            <w:pPr>
              <w:spacing w:before="80" w:after="40" w:line="264" w:lineRule="auto"/>
              <w:ind w:left="113"/>
              <w:rPr>
                <w:sz w:val="20"/>
                <w:szCs w:val="20"/>
              </w:rPr>
            </w:pPr>
            <w:r w:rsidRPr="004B5A9E">
              <w:rPr>
                <w:rFonts w:eastAsia="Arial" w:cs="Arial"/>
                <w:color w:val="000000" w:themeColor="text1"/>
                <w:sz w:val="20"/>
                <w:szCs w:val="20"/>
              </w:rPr>
              <w:t>- (</w:t>
            </w:r>
            <w:proofErr w:type="spellStart"/>
            <w:r w:rsidRPr="004B5A9E">
              <w:rPr>
                <w:rFonts w:eastAsia="Arial" w:cs="Arial"/>
                <w:color w:val="000000" w:themeColor="text1"/>
                <w:sz w:val="20"/>
                <w:szCs w:val="20"/>
              </w:rPr>
              <w:t>SUNPRO</w:t>
            </w:r>
            <w:proofErr w:type="spellEnd"/>
            <w:r w:rsidRPr="004B5A9E">
              <w:rPr>
                <w:rFonts w:eastAsia="Arial" w:cs="Arial"/>
                <w:color w:val="000000" w:themeColor="text1"/>
                <w:sz w:val="20"/>
                <w:szCs w:val="20"/>
              </w:rPr>
              <w:t>) 'Wear protective clothing - hats and eyewear when exposed to the sun' (or words to this effect).</w:t>
            </w:r>
          </w:p>
        </w:tc>
      </w:tr>
      <w:tr w:rsidR="00A573A4" w14:paraId="134C3932" w14:textId="77777777" w:rsidTr="005F731A">
        <w:trPr>
          <w:trHeight w:val="300"/>
        </w:trPr>
        <w:tc>
          <w:tcPr>
            <w:tcW w:w="5000" w:type="pct"/>
            <w:gridSpan w:val="4"/>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40763E99" w14:textId="77777777" w:rsidR="00A573A4" w:rsidRDefault="00A573A4" w:rsidP="005F731A">
            <w:pPr>
              <w:spacing w:before="80" w:after="40" w:line="264" w:lineRule="auto"/>
              <w:ind w:left="113"/>
            </w:pPr>
            <w:r w:rsidRPr="1216A510">
              <w:rPr>
                <w:rFonts w:eastAsia="Arial" w:cs="Arial"/>
                <w:color w:val="000000" w:themeColor="text1"/>
                <w:sz w:val="18"/>
                <w:szCs w:val="18"/>
              </w:rPr>
              <w:t>A = active ingredient for a medicine has the same meaning as in the Regulations</w:t>
            </w:r>
            <w:r>
              <w:br/>
            </w:r>
            <w:r w:rsidRPr="1216A510">
              <w:rPr>
                <w:rFonts w:eastAsia="Arial" w:cs="Arial"/>
                <w:color w:val="000000" w:themeColor="text1"/>
                <w:sz w:val="18"/>
                <w:szCs w:val="18"/>
              </w:rPr>
              <w:t>E = excipient for a medicine meaning an ingredient that is not an active ingredient or a homoeopathic preparation ingredient</w:t>
            </w:r>
          </w:p>
        </w:tc>
      </w:tr>
    </w:tbl>
    <w:p w14:paraId="6E3ADCD2" w14:textId="77777777" w:rsidR="00A573A4" w:rsidRPr="007D6917" w:rsidRDefault="00A573A4" w:rsidP="00A573A4">
      <w:pPr>
        <w:pStyle w:val="ListParagraph"/>
      </w:pPr>
      <w:r w:rsidRPr="007D6917">
        <w:t xml:space="preserve">The </w:t>
      </w:r>
      <w:hyperlink r:id="rId37">
        <w:r w:rsidRPr="1216A510">
          <w:rPr>
            <w:rStyle w:val="Hyperlink"/>
          </w:rPr>
          <w:t>TGA prescribing medicines in pregnancy database</w:t>
        </w:r>
      </w:hyperlink>
      <w:r w:rsidRPr="007D6917">
        <w:t xml:space="preserve"> does not include </w:t>
      </w:r>
      <w:proofErr w:type="spellStart"/>
      <w:r w:rsidRPr="007D6917">
        <w:t>homosalate</w:t>
      </w:r>
      <w:proofErr w:type="spellEnd"/>
      <w:r w:rsidRPr="007D6917">
        <w:t>.</w:t>
      </w:r>
    </w:p>
    <w:p w14:paraId="63366431" w14:textId="77777777" w:rsidR="00A573A4" w:rsidRPr="00C22481" w:rsidRDefault="00A573A4" w:rsidP="00A573A4">
      <w:pPr>
        <w:pStyle w:val="ListParagraph"/>
        <w:rPr>
          <w:color w:val="0000FF"/>
          <w:u w:val="single"/>
        </w:rPr>
      </w:pPr>
      <w:r w:rsidRPr="007D6917">
        <w:t xml:space="preserve">There are no warning statements pertaining to </w:t>
      </w:r>
      <w:proofErr w:type="spellStart"/>
      <w:r w:rsidRPr="007D6917">
        <w:t>homosalate</w:t>
      </w:r>
      <w:proofErr w:type="spellEnd"/>
      <w:r w:rsidRPr="007D6917">
        <w:t xml:space="preserve"> in the </w:t>
      </w:r>
      <w:hyperlink r:id="rId38">
        <w:r w:rsidRPr="1216A510">
          <w:rPr>
            <w:rStyle w:val="Hyperlink"/>
          </w:rPr>
          <w:t>Therapeutic Goods (Medicines Advisory Statements) Specification 2021</w:t>
        </w:r>
      </w:hyperlink>
      <w:r w:rsidRPr="007D6917">
        <w:t>.</w:t>
      </w:r>
    </w:p>
    <w:p w14:paraId="38AE880A" w14:textId="77777777" w:rsidR="00A573A4" w:rsidRPr="00130D6C" w:rsidRDefault="00A573A4" w:rsidP="00A573A4">
      <w:pPr>
        <w:pStyle w:val="ListParagraph"/>
      </w:pPr>
      <w:r w:rsidRPr="00130D6C">
        <w:t xml:space="preserve">As of </w:t>
      </w:r>
      <w:r>
        <w:t>26 June</w:t>
      </w:r>
      <w:r w:rsidRPr="00130D6C">
        <w:t xml:space="preserve"> 2025, there were </w:t>
      </w:r>
      <w:r>
        <w:t>711</w:t>
      </w:r>
      <w:r w:rsidRPr="00130D6C">
        <w:t xml:space="preserve"> reports of adverse events for products containing </w:t>
      </w:r>
      <w:proofErr w:type="spellStart"/>
      <w:r w:rsidRPr="00130D6C">
        <w:t>homosalate</w:t>
      </w:r>
      <w:proofErr w:type="spellEnd"/>
      <w:r w:rsidRPr="00130D6C">
        <w:t xml:space="preserve"> as an active ingredient on the </w:t>
      </w:r>
      <w:hyperlink r:id="rId39" w:history="1">
        <w:r w:rsidRPr="00857E19">
          <w:rPr>
            <w:rStyle w:val="Hyperlink"/>
          </w:rPr>
          <w:t>Database of Adverse Event Notifications</w:t>
        </w:r>
      </w:hyperlink>
      <w:r w:rsidRPr="00857E19">
        <w:t xml:space="preserve"> (DAEN)</w:t>
      </w:r>
      <w:r w:rsidRPr="00130D6C">
        <w:t xml:space="preserve">, with </w:t>
      </w:r>
      <w:r>
        <w:t>703</w:t>
      </w:r>
      <w:r w:rsidRPr="00130D6C">
        <w:t xml:space="preserve"> reports where </w:t>
      </w:r>
      <w:proofErr w:type="spellStart"/>
      <w:r w:rsidRPr="00130D6C">
        <w:t>homosalate</w:t>
      </w:r>
      <w:proofErr w:type="spellEnd"/>
      <w:r w:rsidRPr="00130D6C">
        <w:t xml:space="preserve"> was the single suspected medicine.</w:t>
      </w:r>
    </w:p>
    <w:p w14:paraId="1AA5B21D" w14:textId="77777777" w:rsidR="00A573A4" w:rsidRDefault="00A573A4" w:rsidP="00A573A4">
      <w:pPr>
        <w:pStyle w:val="ListParagraph"/>
      </w:pPr>
      <w:r w:rsidRPr="00130D6C">
        <w:t xml:space="preserve">As of </w:t>
      </w:r>
      <w:r>
        <w:t>26 June</w:t>
      </w:r>
      <w:r w:rsidRPr="00130D6C">
        <w:t xml:space="preserve"> 2025, there were no products containing </w:t>
      </w:r>
      <w:proofErr w:type="spellStart"/>
      <w:r w:rsidRPr="00130D6C">
        <w:t>homosalate</w:t>
      </w:r>
      <w:proofErr w:type="spellEnd"/>
      <w:r w:rsidRPr="00130D6C">
        <w:t xml:space="preserve"> as an active ingredient/constituent or scheduled substance listed on the</w:t>
      </w:r>
      <w:r w:rsidRPr="007D6917">
        <w:t xml:space="preserve"> </w:t>
      </w:r>
      <w:hyperlink r:id="rId40">
        <w:r w:rsidRPr="1216A510">
          <w:rPr>
            <w:rStyle w:val="Hyperlink"/>
          </w:rPr>
          <w:t>Public Chemical Registration Information System Search (</w:t>
        </w:r>
        <w:proofErr w:type="spellStart"/>
        <w:r w:rsidRPr="1216A510">
          <w:rPr>
            <w:rStyle w:val="Hyperlink"/>
          </w:rPr>
          <w:t>PubCRIS</w:t>
        </w:r>
        <w:proofErr w:type="spellEnd"/>
        <w:r w:rsidRPr="1216A510">
          <w:rPr>
            <w:rStyle w:val="Hyperlink"/>
          </w:rPr>
          <w:t>)</w:t>
        </w:r>
      </w:hyperlink>
      <w:r w:rsidRPr="1216A510">
        <w:t>.</w:t>
      </w:r>
    </w:p>
    <w:p w14:paraId="61AECB24" w14:textId="77777777" w:rsidR="00A573A4" w:rsidRPr="00C417B6" w:rsidRDefault="00A573A4" w:rsidP="00A573A4">
      <w:pPr>
        <w:pStyle w:val="ListParagraph"/>
      </w:pPr>
      <w:proofErr w:type="spellStart"/>
      <w:r w:rsidRPr="00130D6C">
        <w:lastRenderedPageBreak/>
        <w:t>Homosalate</w:t>
      </w:r>
      <w:proofErr w:type="spellEnd"/>
      <w:r w:rsidRPr="00130D6C">
        <w:t xml:space="preserve"> is listed on the </w:t>
      </w:r>
      <w:hyperlink r:id="rId41" w:history="1">
        <w:r w:rsidRPr="00C34D77">
          <w:rPr>
            <w:rStyle w:val="Hyperlink"/>
          </w:rPr>
          <w:t>Australian Inventory of Industrial Chemicals</w:t>
        </w:r>
      </w:hyperlink>
      <w:r w:rsidRPr="007D6917">
        <w:t xml:space="preserve"> </w:t>
      </w:r>
      <w:r w:rsidRPr="00130D6C">
        <w:t>as Benzoic acid, 2-hydroxy-, 3,3,5-</w:t>
      </w:r>
      <w:proofErr w:type="spellStart"/>
      <w:r w:rsidRPr="00130D6C">
        <w:t>trimethylcyclohexyl</w:t>
      </w:r>
      <w:proofErr w:type="spellEnd"/>
      <w:r w:rsidRPr="00130D6C">
        <w:t xml:space="preserve"> ester.</w:t>
      </w:r>
    </w:p>
    <w:p w14:paraId="09B3FE4C" w14:textId="77777777" w:rsidR="00A573A4" w:rsidRPr="00C417B6" w:rsidRDefault="00A573A4" w:rsidP="00A573A4">
      <w:pPr>
        <w:pStyle w:val="Heading4"/>
      </w:pPr>
      <w:bookmarkStart w:id="28" w:name="_Toc201870324"/>
      <w:bookmarkStart w:id="29" w:name="_Toc202177226"/>
      <w:r w:rsidRPr="00C417B6">
        <w:t>International regulations</w:t>
      </w:r>
      <w:bookmarkEnd w:id="28"/>
      <w:bookmarkEnd w:id="29"/>
    </w:p>
    <w:p w14:paraId="592F5165" w14:textId="77777777" w:rsidR="00A573A4" w:rsidRDefault="00A573A4" w:rsidP="00A573A4">
      <w:pPr>
        <w:pStyle w:val="ListBullet"/>
        <w:ind w:left="426" w:hanging="426"/>
      </w:pPr>
      <w:r>
        <w:t xml:space="preserve">Under the US Food and Drug Administration (FDA) Federal </w:t>
      </w:r>
      <w:hyperlink r:id="rId42" w:history="1">
        <w:r w:rsidRPr="6FABC493">
          <w:rPr>
            <w:rStyle w:val="Hyperlink"/>
          </w:rPr>
          <w:t>Food, Drug, and Cosmetic Act Code of Federal Regulations Title 21</w:t>
        </w:r>
      </w:hyperlink>
      <w:r>
        <w:t xml:space="preserve">, the maximum authorised concentration of the chemical is 15% for sunscreen drug products for over the counter human use. </w:t>
      </w:r>
      <w:hyperlink r:id="rId43" w:history="1">
        <w:r w:rsidRPr="6FABC493">
          <w:rPr>
            <w:rStyle w:val="Hyperlink"/>
          </w:rPr>
          <w:t>Industry guidance</w:t>
        </w:r>
      </w:hyperlink>
      <w:r>
        <w:t xml:space="preserve"> published by the FDA in 2019 determined that there was insufficient information to classify </w:t>
      </w:r>
      <w:proofErr w:type="spellStart"/>
      <w:r>
        <w:t>homosalate</w:t>
      </w:r>
      <w:proofErr w:type="spellEnd"/>
      <w:r>
        <w:t xml:space="preserve"> as an active ingredient in sunscreens as generally recognized as safe and effective (GRASE).</w:t>
      </w:r>
    </w:p>
    <w:p w14:paraId="07527AD8" w14:textId="77777777" w:rsidR="00A573A4" w:rsidRDefault="00A573A4" w:rsidP="00A573A4">
      <w:pPr>
        <w:pStyle w:val="ListBullet"/>
        <w:ind w:left="426" w:hanging="426"/>
      </w:pPr>
      <w:r>
        <w:t xml:space="preserve">The EU introduced new requirements on </w:t>
      </w:r>
      <w:hyperlink r:id="rId44" w:history="1">
        <w:proofErr w:type="spellStart"/>
        <w:r w:rsidRPr="7CA7C145">
          <w:rPr>
            <w:rStyle w:val="Hyperlink"/>
          </w:rPr>
          <w:t>homosalate</w:t>
        </w:r>
        <w:proofErr w:type="spellEnd"/>
      </w:hyperlink>
      <w:r>
        <w:t xml:space="preserve"> in cosmetic products on 1 January 2025. Under the new requirements cosmetic products containing </w:t>
      </w:r>
      <w:proofErr w:type="spellStart"/>
      <w:r>
        <w:t>homosalate</w:t>
      </w:r>
      <w:proofErr w:type="spellEnd"/>
      <w:r>
        <w:t xml:space="preserve"> and not complying with the conditions (maximum 7.34% in face products – not permitted in propellent spray products) shall not be placed on the EU market. The European Commission database for information on cosmetic substances and ingredients database allows </w:t>
      </w:r>
      <w:proofErr w:type="spellStart"/>
      <w:r>
        <w:t>homosalate</w:t>
      </w:r>
      <w:proofErr w:type="spellEnd"/>
      <w:r>
        <w:t xml:space="preserve"> to be used in products as a UV absorber or filter and as a fragrance.</w:t>
      </w:r>
    </w:p>
    <w:p w14:paraId="023F5A35" w14:textId="77777777" w:rsidR="00A573A4" w:rsidRDefault="00A573A4" w:rsidP="00A573A4">
      <w:pPr>
        <w:pStyle w:val="ListBullet"/>
        <w:ind w:left="426" w:hanging="426"/>
      </w:pPr>
      <w:r>
        <w:t xml:space="preserve">The </w:t>
      </w:r>
      <w:hyperlink r:id="rId45" w:history="1">
        <w:r w:rsidRPr="7CA7C145">
          <w:rPr>
            <w:rStyle w:val="Hyperlink"/>
          </w:rPr>
          <w:t>Canadian (Health Canada) Drug Product Database</w:t>
        </w:r>
      </w:hyperlink>
      <w:r>
        <w:t xml:space="preserve"> lists 116 products containing </w:t>
      </w:r>
      <w:proofErr w:type="spellStart"/>
      <w:r>
        <w:t>homosalate</w:t>
      </w:r>
      <w:proofErr w:type="spellEnd"/>
      <w:r>
        <w:t xml:space="preserve"> that are approved and available for over-the-counter sale in Canada.</w:t>
      </w:r>
    </w:p>
    <w:p w14:paraId="53745D66" w14:textId="77777777" w:rsidR="00A573A4" w:rsidRDefault="00A573A4" w:rsidP="00A573A4">
      <w:pPr>
        <w:pStyle w:val="ListBullet"/>
        <w:ind w:left="426" w:hanging="426"/>
      </w:pPr>
      <w:r>
        <w:t xml:space="preserve">In New Zealand, </w:t>
      </w:r>
      <w:proofErr w:type="spellStart"/>
      <w:r>
        <w:t>homosalate</w:t>
      </w:r>
      <w:proofErr w:type="spellEnd"/>
      <w:r>
        <w:t xml:space="preserve"> is listed in the </w:t>
      </w:r>
      <w:hyperlink r:id="rId46" w:history="1">
        <w:r w:rsidRPr="6FABC493">
          <w:rPr>
            <w:rStyle w:val="Hyperlink"/>
          </w:rPr>
          <w:t>New Zealand Cosmetic Products Group Standard</w:t>
        </w:r>
      </w:hyperlink>
      <w:r>
        <w:t xml:space="preserve"> Schedule 8 list of UV filters </w:t>
      </w:r>
      <w:r w:rsidRPr="00380A9B">
        <w:t>which are permitted in cosmetic products</w:t>
      </w:r>
      <w:r>
        <w:t>. The maximum authorised concentration in finished cosmetic products is 10%.</w:t>
      </w:r>
    </w:p>
    <w:p w14:paraId="322FEA19" w14:textId="77777777" w:rsidR="00A573A4" w:rsidRDefault="00A573A4" w:rsidP="00A573A4">
      <w:pPr>
        <w:pStyle w:val="ListBullet"/>
        <w:ind w:left="426" w:hanging="426"/>
      </w:pPr>
      <w:r>
        <w:t xml:space="preserve">The Japan Ministry of Health and Welfare’s </w:t>
      </w:r>
      <w:hyperlink r:id="rId47" w:history="1">
        <w:r w:rsidRPr="6FABC493">
          <w:rPr>
            <w:rStyle w:val="Hyperlink"/>
          </w:rPr>
          <w:t xml:space="preserve">Standards for Cosmetics (Ministry of Health and Welfare Notification </w:t>
        </w:r>
        <w:proofErr w:type="spellStart"/>
        <w:r w:rsidRPr="6FABC493">
          <w:rPr>
            <w:rStyle w:val="Hyperlink"/>
          </w:rPr>
          <w:t>No.331</w:t>
        </w:r>
        <w:proofErr w:type="spellEnd"/>
        <w:r w:rsidRPr="6FABC493">
          <w:rPr>
            <w:rStyle w:val="Hyperlink"/>
          </w:rPr>
          <w:t xml:space="preserve"> of 2000)</w:t>
        </w:r>
      </w:hyperlink>
      <w:r>
        <w:t xml:space="preserve"> restricts </w:t>
      </w:r>
      <w:proofErr w:type="spellStart"/>
      <w:r>
        <w:t>homosalate</w:t>
      </w:r>
      <w:proofErr w:type="spellEnd"/>
      <w:r>
        <w:t xml:space="preserve"> use under a group entry. The entry in “Appendix 4: The ingredients restricted in all types of cosmetics” states that total concentration of </w:t>
      </w:r>
      <w:proofErr w:type="spellStart"/>
      <w:r>
        <w:t>homosalate</w:t>
      </w:r>
      <w:proofErr w:type="spellEnd"/>
      <w:r>
        <w:t xml:space="preserve"> in cosmetics has a concentration limit of 10%.</w:t>
      </w:r>
    </w:p>
    <w:p w14:paraId="73349BF8" w14:textId="77777777" w:rsidR="00A573A4" w:rsidRDefault="00A573A4" w:rsidP="00A573A4">
      <w:pPr>
        <w:pStyle w:val="ListBullet"/>
        <w:ind w:left="426" w:hanging="426"/>
      </w:pPr>
      <w:r>
        <w:t xml:space="preserve">The chemical is listed in the </w:t>
      </w:r>
      <w:hyperlink r:id="rId48" w:history="1">
        <w:r w:rsidRPr="6FABC493">
          <w:rPr>
            <w:rStyle w:val="Hyperlink"/>
          </w:rPr>
          <w:t>ASEAN Cosmetic Directive Annex VII</w:t>
        </w:r>
      </w:hyperlink>
      <w:r>
        <w:t xml:space="preserve"> – List of permitted UV filters </w:t>
      </w:r>
      <w:r w:rsidRPr="00380A9B">
        <w:t>which are permitted in cosmetic products</w:t>
      </w:r>
      <w:r>
        <w:t>. The maximum authorised concentration in finished products is 10%.</w:t>
      </w:r>
    </w:p>
    <w:p w14:paraId="44505F99" w14:textId="77777777" w:rsidR="00A573A4" w:rsidRDefault="00A573A4" w:rsidP="00A573A4">
      <w:r>
        <w:br w:type="page"/>
      </w:r>
    </w:p>
    <w:p w14:paraId="5A7036A4" w14:textId="77777777" w:rsidR="00A573A4" w:rsidRDefault="00A573A4" w:rsidP="00A573A4">
      <w:pPr>
        <w:pStyle w:val="Heading3"/>
      </w:pPr>
      <w:bookmarkStart w:id="30" w:name="_Toc201870325"/>
      <w:bookmarkStart w:id="31" w:name="_Toc202177227"/>
      <w:r>
        <w:lastRenderedPageBreak/>
        <w:t>1.2 Oxybenzone</w:t>
      </w:r>
      <w:bookmarkEnd w:id="30"/>
      <w:bookmarkEnd w:id="31"/>
    </w:p>
    <w:p w14:paraId="1DED050D" w14:textId="77777777" w:rsidR="00A573A4" w:rsidRDefault="00A573A4" w:rsidP="00A573A4">
      <w:pPr>
        <w:pStyle w:val="Heading4"/>
      </w:pPr>
      <w:bookmarkStart w:id="32" w:name="_Toc201870326"/>
      <w:bookmarkStart w:id="33" w:name="_Toc202177228"/>
      <w:r>
        <w:t>Proposed amendments</w:t>
      </w:r>
      <w:bookmarkEnd w:id="32"/>
      <w:bookmarkEnd w:id="33"/>
    </w:p>
    <w:p w14:paraId="28E7848A" w14:textId="77777777" w:rsidR="00A573A4" w:rsidRDefault="00A573A4" w:rsidP="00A573A4">
      <w:pPr>
        <w:spacing w:before="180" w:after="180"/>
      </w:pPr>
      <w:r>
        <w:t>The Delegate is proposing the following options to amend the current Poisons Standard in relation to oxybenzone. Each option proposes a new CAUTION (Schedule 5) entry for oxybenzone unless the product meets certain exemption criteria.</w:t>
      </w:r>
      <w:r w:rsidRPr="00A132EA">
        <w:t xml:space="preserve"> </w:t>
      </w:r>
      <w:r>
        <w:t>Products containing substances that are covered by a Schedule 5 entry require a Caution signal word on the main label and cannot be in Listed medicines.</w:t>
      </w:r>
    </w:p>
    <w:p w14:paraId="54D45A2E" w14:textId="6C438E5D" w:rsidR="00A573A4" w:rsidRDefault="00A573A4" w:rsidP="00A573A4">
      <w:r w:rsidRPr="00054555">
        <w:t xml:space="preserve">These are proposed in view of the findings and recommendations </w:t>
      </w:r>
      <w:r>
        <w:t xml:space="preserve">in the </w:t>
      </w:r>
      <w:hyperlink r:id="rId49" w:history="1">
        <w:r w:rsidRPr="00B20CEB">
          <w:rPr>
            <w:rStyle w:val="Hyperlink"/>
          </w:rPr>
          <w:t>TGA Safety Rev</w:t>
        </w:r>
        <w:r w:rsidRPr="00B20CEB">
          <w:rPr>
            <w:rStyle w:val="Hyperlink"/>
          </w:rPr>
          <w:t>i</w:t>
        </w:r>
        <w:r w:rsidRPr="00B20CEB">
          <w:rPr>
            <w:rStyle w:val="Hyperlink"/>
          </w:rPr>
          <w:t>ew</w:t>
        </w:r>
      </w:hyperlink>
      <w:r w:rsidRPr="00054555">
        <w:t xml:space="preserve">. </w:t>
      </w:r>
      <w:r>
        <w:t>AICIS has not conducted an evaluation of oxybenzone in cosmetic preparations. However, t</w:t>
      </w:r>
      <w:r>
        <w:rPr>
          <w:rFonts w:eastAsia="Arial" w:cs="Arial"/>
        </w:rPr>
        <w:t xml:space="preserve">he </w:t>
      </w:r>
      <w:r w:rsidRPr="001519FD">
        <w:rPr>
          <w:rFonts w:eastAsia="Arial" w:cs="Arial"/>
        </w:rPr>
        <w:t xml:space="preserve">EU has restricted </w:t>
      </w:r>
      <w:r>
        <w:rPr>
          <w:rFonts w:eastAsia="Arial" w:cs="Arial"/>
        </w:rPr>
        <w:t xml:space="preserve">oxybenzone in </w:t>
      </w:r>
      <w:r w:rsidRPr="0018643A">
        <w:rPr>
          <w:rFonts w:eastAsia="Cambria" w:cs="Arial"/>
        </w:rPr>
        <w:t>face, hand and lip products</w:t>
      </w:r>
      <w:r w:rsidRPr="00E84CAC">
        <w:rPr>
          <w:rFonts w:eastAsia="Cambria" w:cs="Arial"/>
        </w:rPr>
        <w:t xml:space="preserve"> </w:t>
      </w:r>
      <w:r>
        <w:rPr>
          <w:rFonts w:eastAsia="Cambria" w:cs="Arial"/>
        </w:rPr>
        <w:t xml:space="preserve">at a </w:t>
      </w:r>
      <w:r w:rsidRPr="0018643A">
        <w:rPr>
          <w:rFonts w:eastAsia="Cambria" w:cs="Arial"/>
        </w:rPr>
        <w:t xml:space="preserve">maximum </w:t>
      </w:r>
      <w:r>
        <w:rPr>
          <w:rFonts w:eastAsia="Cambria" w:cs="Arial"/>
        </w:rPr>
        <w:t xml:space="preserve">concentration </w:t>
      </w:r>
      <w:r w:rsidRPr="0018643A">
        <w:rPr>
          <w:rFonts w:eastAsia="Cambria" w:cs="Arial"/>
        </w:rPr>
        <w:t>of 6.0% oxybenzone</w:t>
      </w:r>
      <w:r w:rsidRPr="00E84CAC">
        <w:rPr>
          <w:rFonts w:eastAsia="Cambria" w:cs="Arial"/>
        </w:rPr>
        <w:t xml:space="preserve"> </w:t>
      </w:r>
      <w:r w:rsidRPr="0018643A">
        <w:rPr>
          <w:rFonts w:eastAsia="Cambria" w:cs="Arial"/>
        </w:rPr>
        <w:t xml:space="preserve">whereas whole body products </w:t>
      </w:r>
      <w:r>
        <w:rPr>
          <w:rFonts w:eastAsia="Cambria" w:cs="Arial"/>
        </w:rPr>
        <w:t>are limited to</w:t>
      </w:r>
      <w:r w:rsidRPr="0018643A">
        <w:rPr>
          <w:rFonts w:eastAsia="Cambria" w:cs="Arial"/>
        </w:rPr>
        <w:t xml:space="preserve"> </w:t>
      </w:r>
      <w:r>
        <w:rPr>
          <w:rFonts w:eastAsia="Cambria" w:cs="Arial"/>
        </w:rPr>
        <w:t>a maximum concentration of</w:t>
      </w:r>
      <w:r w:rsidRPr="0018643A">
        <w:rPr>
          <w:rFonts w:eastAsia="Cambria" w:cs="Arial"/>
        </w:rPr>
        <w:t xml:space="preserve"> 2.2% oxybenzone</w:t>
      </w:r>
      <w:r>
        <w:rPr>
          <w:rFonts w:eastAsia="Cambria" w:cs="Arial"/>
        </w:rPr>
        <w:t>.</w:t>
      </w:r>
    </w:p>
    <w:p w14:paraId="71946B74" w14:textId="77777777" w:rsidR="00A573A4" w:rsidRDefault="00A573A4" w:rsidP="00A573A4">
      <w:pPr>
        <w:rPr>
          <w:b/>
          <w:bCs/>
        </w:rPr>
      </w:pPr>
    </w:p>
    <w:p w14:paraId="65EB2BB0" w14:textId="77777777" w:rsidR="00A573A4" w:rsidRDefault="00A573A4" w:rsidP="00A573A4">
      <w:pPr>
        <w:rPr>
          <w:b/>
          <w:bCs/>
        </w:rPr>
      </w:pPr>
      <w:r w:rsidRPr="00807B00">
        <w:rPr>
          <w:b/>
          <w:bCs/>
        </w:rPr>
        <w:t>Option 1</w:t>
      </w:r>
      <w:r>
        <w:rPr>
          <w:b/>
          <w:bCs/>
        </w:rPr>
        <w:t>: Schedule 5 entry with a general exemption up to a specific concentration</w:t>
      </w:r>
    </w:p>
    <w:p w14:paraId="09F7E42B" w14:textId="77777777" w:rsidR="00A573A4" w:rsidRDefault="00A573A4" w:rsidP="00A573A4">
      <w:pPr>
        <w:spacing w:line="257" w:lineRule="auto"/>
        <w:rPr>
          <w:rFonts w:eastAsia="Arial" w:cs="Arial"/>
          <w:i/>
          <w:iCs/>
          <w:u w:val="single"/>
        </w:rPr>
      </w:pPr>
      <w:r>
        <w:rPr>
          <w:rFonts w:eastAsia="Arial" w:cs="Arial"/>
          <w:i/>
          <w:iCs/>
          <w:u w:val="single"/>
        </w:rPr>
        <w:t>Description</w:t>
      </w:r>
    </w:p>
    <w:p w14:paraId="05F90850" w14:textId="77777777" w:rsidR="00A573A4" w:rsidRDefault="00A573A4" w:rsidP="00A573A4">
      <w:pPr>
        <w:rPr>
          <w:rFonts w:eastAsia="Arial" w:cs="Arial"/>
        </w:rPr>
      </w:pPr>
      <w:r>
        <w:rPr>
          <w:rFonts w:eastAsia="Arial" w:cs="Arial"/>
        </w:rPr>
        <w:t>The TGA’s Safety Review concluded oxybenzone</w:t>
      </w:r>
      <w:r w:rsidRPr="001A05CE">
        <w:rPr>
          <w:rFonts w:eastAsia="Arial" w:cs="Arial"/>
        </w:rPr>
        <w:t xml:space="preserve"> </w:t>
      </w:r>
      <w:r w:rsidRPr="003E75D1">
        <w:t xml:space="preserve">can be deemed low-risk and appropriate for use in </w:t>
      </w:r>
      <w:r>
        <w:t xml:space="preserve">all </w:t>
      </w:r>
      <w:r w:rsidRPr="003E75D1">
        <w:t>sunscreen</w:t>
      </w:r>
      <w:r>
        <w:t xml:space="preserve"> preparation</w:t>
      </w:r>
      <w:r w:rsidRPr="003E75D1">
        <w:t>s for daily use</w:t>
      </w:r>
      <w:r>
        <w:t xml:space="preserve"> at a concentration up to 1% for all users</w:t>
      </w:r>
      <w:r>
        <w:rPr>
          <w:rFonts w:eastAsia="Arial" w:cs="Arial"/>
        </w:rPr>
        <w:t>.</w:t>
      </w:r>
    </w:p>
    <w:p w14:paraId="3DC08B80" w14:textId="77777777" w:rsidR="00A573A4" w:rsidRDefault="00A573A4" w:rsidP="00A573A4">
      <w:pPr>
        <w:rPr>
          <w:rFonts w:eastAsia="Arial" w:cs="Arial"/>
        </w:rPr>
      </w:pPr>
      <w:r>
        <w:rPr>
          <w:rFonts w:eastAsia="Arial" w:cs="Arial"/>
        </w:rPr>
        <w:t>This option provides one consistent upper limit exempting oxybenzone from the Poisons Standard for all product categories.</w:t>
      </w:r>
    </w:p>
    <w:p w14:paraId="1EB48E4F" w14:textId="77777777" w:rsidR="00A573A4" w:rsidRPr="00FC0C7A" w:rsidRDefault="00A573A4" w:rsidP="00A573A4">
      <w:pPr>
        <w:rPr>
          <w:i/>
          <w:iCs/>
          <w:u w:val="single"/>
        </w:rPr>
      </w:pPr>
      <w:r>
        <w:rPr>
          <w:rFonts w:eastAsia="Arial" w:cs="Arial"/>
          <w:i/>
          <w:iCs/>
          <w:u w:val="single"/>
        </w:rPr>
        <w:t>Proposed amendments</w:t>
      </w:r>
    </w:p>
    <w:p w14:paraId="0FC43A41" w14:textId="77777777" w:rsidR="00A573A4" w:rsidRDefault="00A573A4" w:rsidP="00A573A4">
      <w:pPr>
        <w:spacing w:line="257" w:lineRule="auto"/>
        <w:ind w:left="426"/>
      </w:pPr>
      <w:r w:rsidRPr="1216A510">
        <w:rPr>
          <w:rFonts w:eastAsia="Arial" w:cs="Arial"/>
          <w:b/>
          <w:bCs/>
        </w:rPr>
        <w:t>Schedule 5 – New entry</w:t>
      </w:r>
    </w:p>
    <w:p w14:paraId="75FB8303" w14:textId="77777777" w:rsidR="00A573A4" w:rsidRDefault="00A573A4" w:rsidP="00A573A4">
      <w:pPr>
        <w:spacing w:line="257" w:lineRule="auto"/>
        <w:ind w:left="709"/>
      </w:pPr>
      <w:r w:rsidRPr="006551E9">
        <w:rPr>
          <w:rFonts w:eastAsia="Arial" w:cs="Arial"/>
          <w:color w:val="00B050"/>
        </w:rPr>
        <w:t xml:space="preserve">OXYBENZONE </w:t>
      </w:r>
      <w:r w:rsidRPr="009E7BE8">
        <w:rPr>
          <w:rFonts w:eastAsia="Arial" w:cs="Arial"/>
          <w:color w:val="00B050"/>
        </w:rPr>
        <w:t xml:space="preserve">in </w:t>
      </w:r>
      <w:r>
        <w:rPr>
          <w:rFonts w:eastAsia="Arial" w:cs="Arial"/>
          <w:color w:val="00B050"/>
        </w:rPr>
        <w:t xml:space="preserve">therapeutic </w:t>
      </w:r>
      <w:r w:rsidRPr="009E7BE8">
        <w:rPr>
          <w:rFonts w:eastAsia="Arial" w:cs="Arial"/>
          <w:color w:val="00B050"/>
        </w:rPr>
        <w:t>sunscreen</w:t>
      </w:r>
      <w:r>
        <w:rPr>
          <w:rFonts w:eastAsia="Arial" w:cs="Arial"/>
          <w:color w:val="00B050"/>
        </w:rPr>
        <w:t>s and cosmetic preparations</w:t>
      </w:r>
      <w:r w:rsidRPr="009E7BE8">
        <w:rPr>
          <w:rFonts w:eastAsia="Arial" w:cs="Arial"/>
          <w:color w:val="00B050"/>
        </w:rPr>
        <w:t xml:space="preserve"> </w:t>
      </w:r>
      <w:r w:rsidRPr="009E7BE8">
        <w:rPr>
          <w:rFonts w:eastAsia="Arial" w:cs="Arial"/>
          <w:b/>
          <w:bCs/>
          <w:color w:val="00B050"/>
        </w:rPr>
        <w:t xml:space="preserve">except </w:t>
      </w:r>
      <w:r>
        <w:rPr>
          <w:rFonts w:eastAsia="Arial" w:cs="Arial"/>
          <w:color w:val="00B050"/>
        </w:rPr>
        <w:t>in preparations containing 1% or less of oxybenzone</w:t>
      </w:r>
      <w:r w:rsidRPr="1216A510">
        <w:rPr>
          <w:rFonts w:eastAsia="Arial" w:cs="Arial"/>
          <w:color w:val="00B050"/>
        </w:rPr>
        <w:t>.</w:t>
      </w:r>
    </w:p>
    <w:p w14:paraId="4CDDFB28" w14:textId="77777777" w:rsidR="00A573A4" w:rsidRDefault="00A573A4" w:rsidP="00A573A4">
      <w:pPr>
        <w:spacing w:before="180" w:after="180"/>
        <w:rPr>
          <w:rFonts w:eastAsia="Arial" w:cs="Arial"/>
          <w:b/>
          <w:bCs/>
        </w:rPr>
      </w:pPr>
    </w:p>
    <w:p w14:paraId="7AF90B1D" w14:textId="77777777" w:rsidR="00A573A4" w:rsidRDefault="00A573A4" w:rsidP="00A573A4">
      <w:pPr>
        <w:spacing w:before="180" w:after="180"/>
        <w:rPr>
          <w:rFonts w:eastAsia="Arial" w:cs="Arial"/>
          <w:b/>
          <w:bCs/>
        </w:rPr>
      </w:pPr>
      <w:r w:rsidRPr="1216A510">
        <w:rPr>
          <w:rFonts w:eastAsia="Arial" w:cs="Arial"/>
          <w:b/>
          <w:bCs/>
        </w:rPr>
        <w:t xml:space="preserve">Option </w:t>
      </w:r>
      <w:r>
        <w:rPr>
          <w:rFonts w:eastAsia="Arial" w:cs="Arial"/>
          <w:b/>
          <w:bCs/>
        </w:rPr>
        <w:t>2</w:t>
      </w:r>
      <w:r w:rsidRPr="1216A510">
        <w:rPr>
          <w:rFonts w:eastAsia="Arial" w:cs="Arial"/>
          <w:b/>
          <w:bCs/>
        </w:rPr>
        <w:t xml:space="preserve">: </w:t>
      </w:r>
      <w:r>
        <w:rPr>
          <w:b/>
          <w:bCs/>
        </w:rPr>
        <w:t xml:space="preserve">Schedule 5 entry with </w:t>
      </w:r>
      <w:r>
        <w:rPr>
          <w:rFonts w:eastAsia="Arial" w:cs="Arial"/>
          <w:b/>
          <w:bCs/>
        </w:rPr>
        <w:t>exemptions based on concentration and application site</w:t>
      </w:r>
      <w:r w:rsidDel="00206775">
        <w:rPr>
          <w:b/>
          <w:bCs/>
        </w:rPr>
        <w:t xml:space="preserve"> </w:t>
      </w:r>
    </w:p>
    <w:p w14:paraId="3F2C52B8" w14:textId="77777777" w:rsidR="00A573A4" w:rsidRPr="00DD1973" w:rsidRDefault="00A573A4" w:rsidP="00A573A4">
      <w:pPr>
        <w:spacing w:line="257" w:lineRule="auto"/>
        <w:rPr>
          <w:rFonts w:eastAsia="Arial" w:cs="Arial"/>
          <w:i/>
          <w:iCs/>
          <w:u w:val="single"/>
        </w:rPr>
      </w:pPr>
      <w:r>
        <w:rPr>
          <w:rFonts w:eastAsia="Arial" w:cs="Arial"/>
          <w:i/>
          <w:iCs/>
          <w:u w:val="single"/>
        </w:rPr>
        <w:t>Description</w:t>
      </w:r>
    </w:p>
    <w:p w14:paraId="226E2800" w14:textId="77777777" w:rsidR="00A573A4" w:rsidRDefault="00A573A4" w:rsidP="00A573A4">
      <w:pPr>
        <w:spacing w:before="180" w:after="180"/>
        <w:rPr>
          <w:rFonts w:eastAsia="Cambria" w:cs="Arial"/>
        </w:rPr>
      </w:pPr>
      <w:r w:rsidRPr="00DD1973">
        <w:rPr>
          <w:rFonts w:eastAsia="Arial" w:cs="Arial"/>
        </w:rPr>
        <w:t xml:space="preserve">The TGA’s Safety Review concluded </w:t>
      </w:r>
      <w:r>
        <w:rPr>
          <w:rFonts w:eastAsia="Arial" w:cs="Arial"/>
        </w:rPr>
        <w:t>oxybenzone</w:t>
      </w:r>
      <w:r w:rsidRPr="00DD1973">
        <w:rPr>
          <w:rFonts w:eastAsia="Arial" w:cs="Arial"/>
        </w:rPr>
        <w:t xml:space="preserve"> can be deemed low-risk and appropriate for use in therapeutic sunscreens for </w:t>
      </w:r>
      <w:r>
        <w:rPr>
          <w:rFonts w:eastAsia="Arial" w:cs="Arial"/>
        </w:rPr>
        <w:t xml:space="preserve">long-term </w:t>
      </w:r>
      <w:r w:rsidRPr="00DD1973">
        <w:rPr>
          <w:rFonts w:eastAsia="Arial" w:cs="Arial"/>
        </w:rPr>
        <w:t xml:space="preserve">daily use when limited to </w:t>
      </w:r>
      <w:r>
        <w:rPr>
          <w:rFonts w:eastAsia="Arial" w:cs="Arial"/>
        </w:rPr>
        <w:t xml:space="preserve">products for face and </w:t>
      </w:r>
      <w:r w:rsidRPr="00DD1973">
        <w:rPr>
          <w:rFonts w:eastAsia="Arial" w:cs="Arial"/>
        </w:rPr>
        <w:t>hand application</w:t>
      </w:r>
      <w:r>
        <w:rPr>
          <w:rFonts w:eastAsia="Arial" w:cs="Arial"/>
        </w:rPr>
        <w:t xml:space="preserve"> up to a certain concentration</w:t>
      </w:r>
      <w:r w:rsidRPr="00DD1973">
        <w:rPr>
          <w:rFonts w:eastAsia="Arial" w:cs="Arial"/>
        </w:rPr>
        <w:t>.</w:t>
      </w:r>
      <w:r>
        <w:rPr>
          <w:rFonts w:eastAsia="Arial" w:cs="Arial"/>
        </w:rPr>
        <w:t xml:space="preserve"> The review recommended reducing the </w:t>
      </w:r>
      <w:r w:rsidRPr="00255ACD">
        <w:rPr>
          <w:rFonts w:eastAsia="Arial" w:cs="Arial"/>
        </w:rPr>
        <w:t>maximum concentration</w:t>
      </w:r>
      <w:r>
        <w:rPr>
          <w:rFonts w:eastAsia="Arial" w:cs="Arial"/>
        </w:rPr>
        <w:t xml:space="preserve"> of oxybenzone in the sunscreen products depending on the type of product and directions for use and calculated that an oxybenzone concentration of 2.5% in therapeutic sunscreens applied to the face and hands daily for all users to be of low risk.</w:t>
      </w:r>
    </w:p>
    <w:p w14:paraId="77014297" w14:textId="77777777" w:rsidR="00A573A4" w:rsidRPr="00751349" w:rsidRDefault="00A573A4" w:rsidP="00A573A4">
      <w:pPr>
        <w:spacing w:before="180" w:after="180"/>
        <w:rPr>
          <w:rFonts w:eastAsia="Arial" w:cs="Arial"/>
          <w:color w:val="FF0000"/>
        </w:rPr>
      </w:pPr>
      <w:r>
        <w:rPr>
          <w:rFonts w:eastAsia="Arial" w:cs="Arial"/>
        </w:rPr>
        <w:t>This option provides different upper limits exempting oxybenzone from the Poisons Standard based on product type (sunscreen or cosmetic) and limits oxybenzone to use in face and hand products. For cosmetic preparations, the concentration restrictions that apply in the EU are proposed. The Permissible Ingredients Determination might also be amended to restrict the concentration in specified therapeutic sunscreen preparations separately to any changes to the scheduling of oxybenzone in the Poisons Standard.</w:t>
      </w:r>
    </w:p>
    <w:p w14:paraId="691A20F2" w14:textId="77777777" w:rsidR="00A573A4" w:rsidRDefault="00A573A4">
      <w:pPr>
        <w:rPr>
          <w:rFonts w:eastAsia="Arial" w:cs="Arial"/>
          <w:i/>
          <w:iCs/>
          <w:u w:val="single"/>
        </w:rPr>
      </w:pPr>
      <w:r>
        <w:rPr>
          <w:rFonts w:eastAsia="Arial" w:cs="Arial"/>
          <w:i/>
          <w:iCs/>
          <w:u w:val="single"/>
        </w:rPr>
        <w:br w:type="page"/>
      </w:r>
    </w:p>
    <w:p w14:paraId="06649CB6" w14:textId="5D3F8690" w:rsidR="00A573A4" w:rsidRDefault="00A573A4" w:rsidP="00A573A4">
      <w:pPr>
        <w:spacing w:before="180" w:after="180"/>
      </w:pPr>
      <w:r>
        <w:rPr>
          <w:rFonts w:eastAsia="Arial" w:cs="Arial"/>
          <w:i/>
          <w:iCs/>
          <w:u w:val="single"/>
        </w:rPr>
        <w:lastRenderedPageBreak/>
        <w:t>Proposed amendments</w:t>
      </w:r>
    </w:p>
    <w:p w14:paraId="5CDC9D59" w14:textId="77777777" w:rsidR="00A573A4" w:rsidRDefault="00A573A4" w:rsidP="00A573A4">
      <w:pPr>
        <w:spacing w:line="257" w:lineRule="auto"/>
        <w:ind w:left="426"/>
      </w:pPr>
      <w:r w:rsidRPr="1216A510">
        <w:rPr>
          <w:rFonts w:eastAsia="Arial" w:cs="Arial"/>
          <w:b/>
          <w:bCs/>
        </w:rPr>
        <w:t>Schedule 5 – New entry</w:t>
      </w:r>
    </w:p>
    <w:p w14:paraId="168D581F" w14:textId="77777777" w:rsidR="00A573A4" w:rsidRPr="00176B41" w:rsidRDefault="00A573A4" w:rsidP="00A573A4">
      <w:pPr>
        <w:spacing w:line="257" w:lineRule="auto"/>
        <w:ind w:left="709"/>
      </w:pPr>
      <w:r w:rsidRPr="00176B41">
        <w:rPr>
          <w:rFonts w:eastAsia="Arial" w:cs="Arial"/>
          <w:color w:val="00B050"/>
        </w:rPr>
        <w:t xml:space="preserve">OXYBENZONE in sunscreens and cosmetic preparations </w:t>
      </w:r>
      <w:r w:rsidRPr="00581F0E">
        <w:rPr>
          <w:rFonts w:eastAsia="Arial" w:cs="Arial"/>
          <w:b/>
          <w:bCs/>
          <w:color w:val="00B050"/>
        </w:rPr>
        <w:t>except</w:t>
      </w:r>
      <w:r w:rsidRPr="00176B41">
        <w:rPr>
          <w:rFonts w:eastAsia="Arial" w:cs="Arial"/>
          <w:color w:val="00B050"/>
        </w:rPr>
        <w:t>:</w:t>
      </w:r>
    </w:p>
    <w:p w14:paraId="477A493F" w14:textId="77777777" w:rsidR="00A573A4" w:rsidRPr="00214A5B" w:rsidRDefault="00A573A4" w:rsidP="00A573A4">
      <w:pPr>
        <w:pStyle w:val="ListParagraph"/>
        <w:numPr>
          <w:ilvl w:val="0"/>
          <w:numId w:val="36"/>
        </w:numPr>
        <w:rPr>
          <w:color w:val="00B050"/>
        </w:rPr>
      </w:pPr>
      <w:r w:rsidRPr="00214A5B">
        <w:rPr>
          <w:color w:val="00B050"/>
        </w:rPr>
        <w:t>in therapeutic sunscreen preparations for application to the face and hands containing 2.5% or less oxybenzone; or</w:t>
      </w:r>
    </w:p>
    <w:p w14:paraId="3958C144" w14:textId="77777777" w:rsidR="00A573A4" w:rsidRPr="00214A5B" w:rsidRDefault="00A573A4" w:rsidP="00A573A4">
      <w:pPr>
        <w:pStyle w:val="ListParagraph"/>
        <w:numPr>
          <w:ilvl w:val="0"/>
          <w:numId w:val="36"/>
        </w:numPr>
        <w:rPr>
          <w:color w:val="00B050"/>
        </w:rPr>
      </w:pPr>
      <w:r w:rsidRPr="00214A5B">
        <w:rPr>
          <w:color w:val="00B050"/>
        </w:rPr>
        <w:t>in cosmetic preparations for application to the face and hands containing 6.0% or less oxybenzone.</w:t>
      </w:r>
    </w:p>
    <w:p w14:paraId="1CFB1D34" w14:textId="77777777" w:rsidR="00A573A4" w:rsidRDefault="00A573A4" w:rsidP="00A573A4">
      <w:pPr>
        <w:spacing w:before="180" w:after="180"/>
        <w:rPr>
          <w:rFonts w:eastAsia="Arial" w:cs="Arial"/>
          <w:b/>
          <w:bCs/>
        </w:rPr>
      </w:pPr>
    </w:p>
    <w:p w14:paraId="689C2303" w14:textId="77777777" w:rsidR="00A573A4" w:rsidRDefault="00A573A4" w:rsidP="00A573A4">
      <w:pPr>
        <w:spacing w:before="180" w:after="180"/>
        <w:rPr>
          <w:rFonts w:eastAsia="Arial" w:cs="Arial"/>
          <w:b/>
          <w:bCs/>
        </w:rPr>
      </w:pPr>
      <w:r w:rsidRPr="1216A510">
        <w:rPr>
          <w:rFonts w:eastAsia="Arial" w:cs="Arial"/>
          <w:b/>
          <w:bCs/>
        </w:rPr>
        <w:t xml:space="preserve">Option </w:t>
      </w:r>
      <w:r>
        <w:rPr>
          <w:rFonts w:eastAsia="Arial" w:cs="Arial"/>
          <w:b/>
          <w:bCs/>
        </w:rPr>
        <w:t>3</w:t>
      </w:r>
      <w:r w:rsidRPr="1216A510">
        <w:rPr>
          <w:rFonts w:eastAsia="Arial" w:cs="Arial"/>
          <w:b/>
          <w:bCs/>
        </w:rPr>
        <w:t xml:space="preserve">: </w:t>
      </w:r>
      <w:r>
        <w:rPr>
          <w:b/>
          <w:bCs/>
        </w:rPr>
        <w:t xml:space="preserve">Schedule 5 entry with </w:t>
      </w:r>
      <w:r>
        <w:rPr>
          <w:rFonts w:eastAsia="Arial" w:cs="Arial"/>
          <w:b/>
          <w:bCs/>
        </w:rPr>
        <w:t>exemptions based on age, concentration and application site</w:t>
      </w:r>
    </w:p>
    <w:p w14:paraId="48F82319" w14:textId="77777777" w:rsidR="00A573A4" w:rsidRDefault="00A573A4" w:rsidP="00A573A4">
      <w:pPr>
        <w:spacing w:line="257" w:lineRule="auto"/>
        <w:rPr>
          <w:rFonts w:eastAsia="Arial" w:cs="Arial"/>
          <w:i/>
          <w:iCs/>
          <w:u w:val="single"/>
        </w:rPr>
      </w:pPr>
      <w:r>
        <w:rPr>
          <w:rFonts w:eastAsia="Arial" w:cs="Arial"/>
          <w:i/>
          <w:iCs/>
          <w:u w:val="single"/>
        </w:rPr>
        <w:t>Description</w:t>
      </w:r>
    </w:p>
    <w:p w14:paraId="72675D55" w14:textId="77777777" w:rsidR="00A573A4" w:rsidRDefault="00A573A4" w:rsidP="00A573A4">
      <w:pPr>
        <w:spacing w:line="257" w:lineRule="auto"/>
        <w:rPr>
          <w:rFonts w:eastAsia="Arial" w:cs="Arial"/>
        </w:rPr>
      </w:pPr>
      <w:r>
        <w:rPr>
          <w:rFonts w:eastAsia="Arial" w:cs="Arial"/>
        </w:rPr>
        <w:t>The TGA’s Safety Review concluded oxybenzone</w:t>
      </w:r>
      <w:r w:rsidRPr="001A05CE">
        <w:rPr>
          <w:rFonts w:eastAsia="Arial" w:cs="Arial"/>
        </w:rPr>
        <w:t xml:space="preserve"> can be deemed low-risk and appropriate for use in therapeutic sunscreens for </w:t>
      </w:r>
      <w:r>
        <w:rPr>
          <w:rFonts w:eastAsia="Arial" w:cs="Arial"/>
        </w:rPr>
        <w:t xml:space="preserve">long-term </w:t>
      </w:r>
      <w:r w:rsidRPr="001A05CE">
        <w:rPr>
          <w:rFonts w:eastAsia="Arial" w:cs="Arial"/>
        </w:rPr>
        <w:t>daily use when</w:t>
      </w:r>
      <w:r>
        <w:rPr>
          <w:rFonts w:eastAsia="Arial" w:cs="Arial"/>
        </w:rPr>
        <w:t xml:space="preserve"> used by adults and when limited to</w:t>
      </w:r>
      <w:r w:rsidRPr="00504AA1">
        <w:rPr>
          <w:rFonts w:eastAsia="Arial" w:cs="Arial"/>
        </w:rPr>
        <w:t xml:space="preserve"> </w:t>
      </w:r>
      <w:r>
        <w:rPr>
          <w:rFonts w:eastAsia="Arial" w:cs="Arial"/>
        </w:rPr>
        <w:t xml:space="preserve">products for face and </w:t>
      </w:r>
      <w:r w:rsidRPr="00504AA1">
        <w:rPr>
          <w:rFonts w:eastAsia="Arial" w:cs="Arial"/>
        </w:rPr>
        <w:t>hand application</w:t>
      </w:r>
      <w:r>
        <w:rPr>
          <w:rFonts w:eastAsia="Arial" w:cs="Arial"/>
        </w:rPr>
        <w:t xml:space="preserve"> up to a certain concentration.</w:t>
      </w:r>
      <w:r w:rsidRPr="007C74AB">
        <w:t xml:space="preserve"> </w:t>
      </w:r>
      <w:r w:rsidRPr="007C74AB">
        <w:rPr>
          <w:rFonts w:eastAsia="Arial" w:cs="Arial"/>
        </w:rPr>
        <w:t xml:space="preserve">The review recommended reducing the maximum concentration of </w:t>
      </w:r>
      <w:r>
        <w:rPr>
          <w:rFonts w:eastAsia="Arial" w:cs="Arial"/>
        </w:rPr>
        <w:t>oxybenzone</w:t>
      </w:r>
      <w:r w:rsidRPr="007C74AB">
        <w:rPr>
          <w:rFonts w:eastAsia="Arial" w:cs="Arial"/>
        </w:rPr>
        <w:t xml:space="preserve"> in sunscreen products depending on the type of product and directions for use and calculated a</w:t>
      </w:r>
      <w:r>
        <w:rPr>
          <w:rFonts w:eastAsia="Arial" w:cs="Arial"/>
        </w:rPr>
        <w:t xml:space="preserve">n oxybenzone </w:t>
      </w:r>
      <w:r w:rsidRPr="007C74AB">
        <w:rPr>
          <w:rFonts w:eastAsia="Arial" w:cs="Arial"/>
        </w:rPr>
        <w:t xml:space="preserve">concentration of </w:t>
      </w:r>
      <w:r>
        <w:rPr>
          <w:rFonts w:eastAsia="Arial" w:cs="Arial"/>
        </w:rPr>
        <w:t>9.8</w:t>
      </w:r>
      <w:r w:rsidRPr="007C74AB">
        <w:rPr>
          <w:rFonts w:eastAsia="Arial" w:cs="Arial"/>
        </w:rPr>
        <w:t>% in therapeutic sunscreens applied to the face and hands of adult users daily to be of low risk. This is a higher maximum concentration than Option 2.</w:t>
      </w:r>
    </w:p>
    <w:p w14:paraId="02746B43" w14:textId="77777777" w:rsidR="00A573A4" w:rsidRPr="00DD1973" w:rsidRDefault="00A573A4" w:rsidP="00A573A4">
      <w:pPr>
        <w:spacing w:line="257" w:lineRule="auto"/>
        <w:rPr>
          <w:rFonts w:eastAsia="Arial" w:cs="Arial"/>
        </w:rPr>
      </w:pPr>
      <w:r>
        <w:rPr>
          <w:rFonts w:eastAsia="Arial" w:cs="Arial"/>
        </w:rPr>
        <w:t>This option provides different upper limits exempting oxybenzone from the Poisons Standard based on age, sunscreen type and site of application. This option applies consistently to all sunscreen and cosmetic products and limits higher concentrations of oxybenzone to adult use in products for the face and hands. However, this option applies a higher maximum concentration to cosmetic preparations than in the EU. The Permissible Ingredients Determination might also be amended to further restrict the concentration in specific therapeutic sunscreen preparations separately to any changes to the scheduling of oxybenzone in the Poisons Standard.</w:t>
      </w:r>
    </w:p>
    <w:p w14:paraId="474393AD" w14:textId="77777777" w:rsidR="00A573A4" w:rsidRPr="00FC0C7A" w:rsidRDefault="00A573A4" w:rsidP="00A573A4">
      <w:pPr>
        <w:spacing w:before="180" w:after="180"/>
        <w:rPr>
          <w:i/>
          <w:iCs/>
          <w:u w:val="single"/>
        </w:rPr>
      </w:pPr>
      <w:r w:rsidRPr="00FC0C7A">
        <w:rPr>
          <w:i/>
          <w:iCs/>
          <w:u w:val="single"/>
        </w:rPr>
        <w:t>Proposed amendments</w:t>
      </w:r>
    </w:p>
    <w:p w14:paraId="06851F62" w14:textId="77777777" w:rsidR="00A573A4" w:rsidRDefault="00A573A4" w:rsidP="00A573A4">
      <w:pPr>
        <w:spacing w:line="257" w:lineRule="auto"/>
        <w:ind w:left="426"/>
      </w:pPr>
      <w:r w:rsidRPr="1216A510">
        <w:rPr>
          <w:rFonts w:eastAsia="Arial" w:cs="Arial"/>
          <w:b/>
          <w:bCs/>
        </w:rPr>
        <w:t>Schedule 5 – New entry</w:t>
      </w:r>
    </w:p>
    <w:p w14:paraId="3C119A50" w14:textId="77777777" w:rsidR="00A573A4" w:rsidRPr="003E4EA5" w:rsidRDefault="00A573A4" w:rsidP="00A573A4">
      <w:pPr>
        <w:spacing w:line="257" w:lineRule="auto"/>
        <w:ind w:left="709"/>
        <w:rPr>
          <w:rFonts w:eastAsia="Arial" w:cs="Arial"/>
          <w:color w:val="00B050"/>
        </w:rPr>
      </w:pPr>
      <w:r w:rsidRPr="003E4EA5">
        <w:rPr>
          <w:rFonts w:eastAsia="Arial" w:cs="Arial"/>
          <w:color w:val="00B050"/>
        </w:rPr>
        <w:t xml:space="preserve">OXYBENZONE in therapeutic sunscreens and cosmetics preparations </w:t>
      </w:r>
      <w:r w:rsidRPr="003E4EA5">
        <w:rPr>
          <w:rFonts w:eastAsia="Arial" w:cs="Arial"/>
          <w:b/>
          <w:bCs/>
          <w:color w:val="00B050"/>
        </w:rPr>
        <w:t xml:space="preserve">except </w:t>
      </w:r>
      <w:r w:rsidRPr="003E4EA5">
        <w:rPr>
          <w:rFonts w:eastAsia="Arial" w:cs="Arial"/>
          <w:color w:val="00B050"/>
        </w:rPr>
        <w:t>in preparations:</w:t>
      </w:r>
    </w:p>
    <w:p w14:paraId="0A59D33F" w14:textId="77777777" w:rsidR="00A573A4" w:rsidRPr="00214A5B" w:rsidRDefault="00A573A4" w:rsidP="00A573A4">
      <w:pPr>
        <w:pStyle w:val="ListParagraph"/>
        <w:numPr>
          <w:ilvl w:val="0"/>
          <w:numId w:val="35"/>
        </w:numPr>
        <w:rPr>
          <w:color w:val="00B050"/>
        </w:rPr>
      </w:pPr>
      <w:r w:rsidRPr="00214A5B">
        <w:rPr>
          <w:color w:val="00B050"/>
        </w:rPr>
        <w:t>for use by persons aged 18 years and over; and</w:t>
      </w:r>
    </w:p>
    <w:p w14:paraId="3309C5BE" w14:textId="77777777" w:rsidR="00A573A4" w:rsidRPr="00214A5B" w:rsidRDefault="00A573A4" w:rsidP="00A573A4">
      <w:pPr>
        <w:pStyle w:val="ListParagraph"/>
        <w:numPr>
          <w:ilvl w:val="0"/>
          <w:numId w:val="35"/>
        </w:numPr>
        <w:rPr>
          <w:color w:val="00B050"/>
        </w:rPr>
      </w:pPr>
      <w:r w:rsidRPr="00214A5B">
        <w:rPr>
          <w:color w:val="00B050"/>
        </w:rPr>
        <w:t>for application to the face and hands; and</w:t>
      </w:r>
    </w:p>
    <w:p w14:paraId="18F3EA29" w14:textId="77777777" w:rsidR="00A573A4" w:rsidRPr="00214A5B" w:rsidRDefault="00A573A4" w:rsidP="00A573A4">
      <w:pPr>
        <w:pStyle w:val="ListParagraph"/>
        <w:numPr>
          <w:ilvl w:val="0"/>
          <w:numId w:val="35"/>
        </w:numPr>
        <w:rPr>
          <w:color w:val="00B050"/>
        </w:rPr>
      </w:pPr>
      <w:r w:rsidRPr="00214A5B">
        <w:rPr>
          <w:color w:val="00B050"/>
        </w:rPr>
        <w:t>containing 9.8% or less of oxybenzone.</w:t>
      </w:r>
    </w:p>
    <w:p w14:paraId="606ADC18" w14:textId="77777777" w:rsidR="00A573A4" w:rsidRDefault="00A573A4" w:rsidP="00A573A4">
      <w:pPr>
        <w:pStyle w:val="Heading4"/>
      </w:pPr>
      <w:bookmarkStart w:id="34" w:name="_Toc201870327"/>
      <w:bookmarkStart w:id="35" w:name="_Toc202177229"/>
      <w:r>
        <w:t>Key uses</w:t>
      </w:r>
      <w:bookmarkEnd w:id="34"/>
      <w:bookmarkEnd w:id="35"/>
    </w:p>
    <w:p w14:paraId="7E8A5D35" w14:textId="77777777" w:rsidR="00A573A4" w:rsidRPr="00436A38" w:rsidRDefault="00A573A4" w:rsidP="00A573A4">
      <w:r w:rsidRPr="00436A38">
        <w:t>There is limited data on oxybenzone usage in Australia. In the EU it is used in cosmetic and sunscreen products as a UV filter at up to 6% concentration in ready for use preparations.</w:t>
      </w:r>
    </w:p>
    <w:p w14:paraId="1D26A7F4" w14:textId="77777777" w:rsidR="00A573A4" w:rsidRPr="004D70AB" w:rsidRDefault="00A573A4" w:rsidP="00A573A4">
      <w:r w:rsidRPr="00436A38">
        <w:t>Industry consultation has indicated that oxybenzone is not currently used in sunscreen products available on the Australia market. This is likely due to a move away from oxybenzone for alternative ‘reef safe’ ingredients.</w:t>
      </w:r>
    </w:p>
    <w:p w14:paraId="6F05EC1E" w14:textId="77777777" w:rsidR="00A573A4" w:rsidRPr="00C417B6" w:rsidRDefault="00A573A4" w:rsidP="00A573A4">
      <w:pPr>
        <w:pStyle w:val="Heading4"/>
      </w:pPr>
      <w:bookmarkStart w:id="36" w:name="_Toc201870328"/>
      <w:bookmarkStart w:id="37" w:name="_Toc202177230"/>
      <w:r>
        <w:t>CAS Number</w:t>
      </w:r>
      <w:bookmarkEnd w:id="36"/>
      <w:bookmarkEnd w:id="37"/>
    </w:p>
    <w:p w14:paraId="514028BE" w14:textId="77777777" w:rsidR="00A573A4" w:rsidRPr="00F41726" w:rsidRDefault="00A573A4" w:rsidP="00A573A4">
      <w:r>
        <w:t>131-57-7</w:t>
      </w:r>
    </w:p>
    <w:p w14:paraId="77D0EB7F" w14:textId="77777777" w:rsidR="00A573A4" w:rsidRDefault="00A573A4">
      <w:pPr>
        <w:rPr>
          <w:rFonts w:eastAsia="Cambria" w:cs="Times New Roman"/>
          <w:bCs/>
          <w:color w:val="001871"/>
          <w:sz w:val="28"/>
          <w:szCs w:val="26"/>
        </w:rPr>
      </w:pPr>
      <w:bookmarkStart w:id="38" w:name="_Toc201870329"/>
      <w:r>
        <w:br w:type="page"/>
      </w:r>
    </w:p>
    <w:p w14:paraId="2567E5F4" w14:textId="2A6ECD91" w:rsidR="00A573A4" w:rsidRPr="00C417B6" w:rsidRDefault="00A573A4" w:rsidP="00A573A4">
      <w:pPr>
        <w:pStyle w:val="Heading4"/>
        <w:rPr>
          <w:rFonts w:eastAsiaTheme="minorEastAsia" w:cstheme="minorBidi"/>
          <w:color w:val="auto"/>
          <w:sz w:val="20"/>
          <w:szCs w:val="20"/>
        </w:rPr>
      </w:pPr>
      <w:bookmarkStart w:id="39" w:name="_Toc202177231"/>
      <w:r w:rsidRPr="00C874D8">
        <w:lastRenderedPageBreak/>
        <w:t>Alternative names</w:t>
      </w:r>
      <w:bookmarkEnd w:id="38"/>
      <w:bookmarkEnd w:id="39"/>
    </w:p>
    <w:p w14:paraId="1DED8ED2" w14:textId="77777777" w:rsidR="00A573A4" w:rsidRPr="00F41726" w:rsidRDefault="00A573A4" w:rsidP="00A573A4">
      <w:r w:rsidRPr="000554A3">
        <w:t>2-Hydroxy-4-</w:t>
      </w:r>
      <w:proofErr w:type="spellStart"/>
      <w:r w:rsidRPr="000554A3">
        <w:t>methoxybenzophenone</w:t>
      </w:r>
      <w:proofErr w:type="spellEnd"/>
      <w:r>
        <w:t xml:space="preserve">; </w:t>
      </w:r>
      <w:proofErr w:type="spellStart"/>
      <w:r w:rsidRPr="00AB40AC">
        <w:t>Methanone</w:t>
      </w:r>
      <w:proofErr w:type="spellEnd"/>
      <w:r w:rsidRPr="00AB40AC">
        <w:t>, (2-hydroxy-4-</w:t>
      </w:r>
      <w:proofErr w:type="gramStart"/>
      <w:r w:rsidRPr="00AB40AC">
        <w:t>methoxyphenyl)phenyl</w:t>
      </w:r>
      <w:proofErr w:type="gramEnd"/>
      <w:r w:rsidRPr="00AB40AC">
        <w:t>-</w:t>
      </w:r>
    </w:p>
    <w:p w14:paraId="3D8CC536" w14:textId="77777777" w:rsidR="00A573A4" w:rsidRDefault="00A573A4" w:rsidP="00A573A4">
      <w:pPr>
        <w:pStyle w:val="Heading4"/>
      </w:pPr>
      <w:bookmarkStart w:id="40" w:name="_Toc201870330"/>
      <w:bookmarkStart w:id="41" w:name="_Toc202177232"/>
      <w:r w:rsidRPr="1216A510">
        <w:t>Australian regulations</w:t>
      </w:r>
      <w:bookmarkEnd w:id="40"/>
      <w:bookmarkEnd w:id="41"/>
    </w:p>
    <w:p w14:paraId="5C7687ED" w14:textId="77777777" w:rsidR="00A573A4" w:rsidRPr="007D6917" w:rsidRDefault="00A573A4" w:rsidP="00A573A4">
      <w:pPr>
        <w:pStyle w:val="ListParagraph"/>
        <w:numPr>
          <w:ilvl w:val="0"/>
          <w:numId w:val="38"/>
        </w:numPr>
      </w:pPr>
      <w:r>
        <w:t xml:space="preserve">According to the </w:t>
      </w:r>
      <w:hyperlink r:id="rId50">
        <w:r w:rsidRPr="7CA7C145">
          <w:rPr>
            <w:rStyle w:val="Hyperlink"/>
          </w:rPr>
          <w:t>TGA Ingredient Database</w:t>
        </w:r>
      </w:hyperlink>
      <w:r>
        <w:t>, oxybenzone is available for use as an active ingredient in: Biologicals, Export Only, Listed Medicines, Over the Counter, Prescription Medicines.</w:t>
      </w:r>
    </w:p>
    <w:p w14:paraId="4A496ABC" w14:textId="77777777" w:rsidR="00A573A4" w:rsidRDefault="00A573A4" w:rsidP="00A573A4">
      <w:pPr>
        <w:pStyle w:val="ListParagraph"/>
        <w:numPr>
          <w:ilvl w:val="0"/>
          <w:numId w:val="38"/>
        </w:numPr>
      </w:pPr>
      <w:r w:rsidRPr="7CA7C145">
        <w:t xml:space="preserve">As of </w:t>
      </w:r>
      <w:r>
        <w:t>26 June</w:t>
      </w:r>
      <w:r w:rsidRPr="00706504">
        <w:t xml:space="preserve"> 2025, there</w:t>
      </w:r>
      <w:r w:rsidRPr="7CA7C145">
        <w:t xml:space="preserve"> were </w:t>
      </w:r>
      <w:r>
        <w:t>39</w:t>
      </w:r>
      <w:r w:rsidRPr="7CA7C145">
        <w:t xml:space="preserve"> medicines currently active on the </w:t>
      </w:r>
      <w:hyperlink r:id="rId51" w:history="1">
        <w:r w:rsidRPr="7CA7C145">
          <w:rPr>
            <w:rStyle w:val="Hyperlink"/>
          </w:rPr>
          <w:t>Australian Register of Therapeutic Goods (</w:t>
        </w:r>
        <w:proofErr w:type="spellStart"/>
        <w:r w:rsidRPr="7CA7C145">
          <w:rPr>
            <w:rStyle w:val="Hyperlink"/>
          </w:rPr>
          <w:t>ARTG</w:t>
        </w:r>
        <w:proofErr w:type="spellEnd"/>
        <w:r w:rsidRPr="7CA7C145">
          <w:rPr>
            <w:rStyle w:val="Hyperlink"/>
          </w:rPr>
          <w:t>)</w:t>
        </w:r>
      </w:hyperlink>
      <w:r w:rsidRPr="7CA7C145">
        <w:t xml:space="preserve"> that contain oxybenzone as an active ingredient. These include </w:t>
      </w:r>
      <w:r>
        <w:t>37 listed medicines (2 are for export only) and 2</w:t>
      </w:r>
      <w:r w:rsidRPr="7CA7C145">
        <w:t xml:space="preserve"> </w:t>
      </w:r>
      <w:r>
        <w:t>over-the-counter</w:t>
      </w:r>
      <w:r w:rsidRPr="7CA7C145">
        <w:t xml:space="preserve"> medicines.</w:t>
      </w:r>
    </w:p>
    <w:p w14:paraId="7D908DC1" w14:textId="77777777" w:rsidR="00A573A4" w:rsidRPr="007D6917" w:rsidRDefault="00A573A4" w:rsidP="00A573A4">
      <w:pPr>
        <w:pStyle w:val="ListParagraph"/>
        <w:numPr>
          <w:ilvl w:val="0"/>
          <w:numId w:val="38"/>
        </w:numPr>
      </w:pPr>
      <w:r w:rsidRPr="007D6917">
        <w:t xml:space="preserve">According to the </w:t>
      </w:r>
      <w:hyperlink r:id="rId52">
        <w:r w:rsidRPr="1216A510">
          <w:rPr>
            <w:rStyle w:val="Hyperlink"/>
          </w:rPr>
          <w:t>Therapeutic Goods (Permissible Ingredients) Determination</w:t>
        </w:r>
      </w:hyperlink>
      <w:r w:rsidRPr="007D6917">
        <w:t xml:space="preserve"> No.</w:t>
      </w:r>
      <w:r>
        <w:t xml:space="preserve"> 2</w:t>
      </w:r>
      <w:r w:rsidRPr="007D6917">
        <w:t xml:space="preserve"> of 2025, benzophenone is permitted to be included in listed medicines as follows:</w:t>
      </w:r>
    </w:p>
    <w:tbl>
      <w:tblPr>
        <w:tblStyle w:val="TableGrid"/>
        <w:tblW w:w="5000" w:type="pct"/>
        <w:tblLook w:val="04A0" w:firstRow="1" w:lastRow="0" w:firstColumn="1" w:lastColumn="0" w:noHBand="0" w:noVBand="1"/>
      </w:tblPr>
      <w:tblGrid>
        <w:gridCol w:w="842"/>
        <w:gridCol w:w="2127"/>
        <w:gridCol w:w="1274"/>
        <w:gridCol w:w="4807"/>
      </w:tblGrid>
      <w:tr w:rsidR="00A573A4" w14:paraId="642F9B97" w14:textId="77777777" w:rsidTr="005F731A">
        <w:trPr>
          <w:trHeight w:val="300"/>
        </w:trPr>
        <w:tc>
          <w:tcPr>
            <w:tcW w:w="465"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2D9B0EB0" w14:textId="77777777" w:rsidR="00A573A4" w:rsidRDefault="00A573A4" w:rsidP="005F731A">
            <w:pPr>
              <w:spacing w:before="80" w:after="40" w:line="264" w:lineRule="auto"/>
              <w:ind w:left="113"/>
            </w:pPr>
            <w:r w:rsidRPr="1216A510">
              <w:rPr>
                <w:rFonts w:eastAsia="Arial" w:cs="Arial"/>
                <w:b/>
                <w:bCs/>
                <w:color w:val="263287"/>
                <w:sz w:val="22"/>
                <w:szCs w:val="22"/>
              </w:rPr>
              <w:t>Item</w:t>
            </w:r>
          </w:p>
        </w:tc>
        <w:tc>
          <w:tcPr>
            <w:tcW w:w="1175"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308F4D3B" w14:textId="77777777" w:rsidR="00A573A4" w:rsidRDefault="00A573A4" w:rsidP="005F731A">
            <w:pPr>
              <w:spacing w:before="80" w:after="40" w:line="264" w:lineRule="auto"/>
              <w:ind w:left="113"/>
            </w:pPr>
            <w:r w:rsidRPr="1216A510">
              <w:rPr>
                <w:rFonts w:eastAsia="Arial" w:cs="Arial"/>
                <w:b/>
                <w:bCs/>
                <w:color w:val="263287"/>
                <w:sz w:val="22"/>
                <w:szCs w:val="22"/>
              </w:rPr>
              <w:t>Ingredient name</w:t>
            </w:r>
          </w:p>
        </w:tc>
        <w:tc>
          <w:tcPr>
            <w:tcW w:w="704"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04929B5E" w14:textId="77777777" w:rsidR="00A573A4" w:rsidRDefault="00A573A4" w:rsidP="005F731A">
            <w:pPr>
              <w:spacing w:before="80" w:after="40" w:line="264" w:lineRule="auto"/>
              <w:ind w:left="113"/>
            </w:pPr>
            <w:r w:rsidRPr="1216A510">
              <w:rPr>
                <w:rFonts w:eastAsia="Arial" w:cs="Arial"/>
                <w:b/>
                <w:bCs/>
                <w:color w:val="263287"/>
                <w:sz w:val="22"/>
                <w:szCs w:val="22"/>
              </w:rPr>
              <w:t>Purpose</w:t>
            </w:r>
          </w:p>
        </w:tc>
        <w:tc>
          <w:tcPr>
            <w:tcW w:w="2656"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075F0AD7" w14:textId="77777777" w:rsidR="00A573A4" w:rsidRDefault="00A573A4" w:rsidP="005F731A">
            <w:pPr>
              <w:spacing w:before="80" w:after="40" w:line="264" w:lineRule="auto"/>
              <w:ind w:left="113"/>
            </w:pPr>
            <w:r w:rsidRPr="1216A510">
              <w:rPr>
                <w:rFonts w:eastAsia="Arial" w:cs="Arial"/>
                <w:b/>
                <w:bCs/>
                <w:color w:val="263287"/>
                <w:sz w:val="22"/>
                <w:szCs w:val="22"/>
              </w:rPr>
              <w:t>Specific requirements</w:t>
            </w:r>
          </w:p>
        </w:tc>
      </w:tr>
      <w:tr w:rsidR="00A573A4" w:rsidRPr="00F23562" w14:paraId="791C4B54" w14:textId="77777777" w:rsidTr="005F731A">
        <w:trPr>
          <w:trHeight w:val="300"/>
        </w:trPr>
        <w:tc>
          <w:tcPr>
            <w:tcW w:w="465"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1170E69F" w14:textId="77777777" w:rsidR="00A573A4" w:rsidRPr="00702748" w:rsidRDefault="00A573A4" w:rsidP="005F731A">
            <w:pPr>
              <w:spacing w:before="80" w:after="40" w:line="264" w:lineRule="auto"/>
              <w:ind w:left="113"/>
              <w:rPr>
                <w:rFonts w:cs="Arial"/>
              </w:rPr>
            </w:pPr>
            <w:r w:rsidRPr="00702748">
              <w:rPr>
                <w:rFonts w:cs="Arial"/>
                <w:color w:val="000000"/>
                <w:sz w:val="20"/>
                <w:szCs w:val="20"/>
              </w:rPr>
              <w:t>3635</w:t>
            </w:r>
          </w:p>
        </w:tc>
        <w:tc>
          <w:tcPr>
            <w:tcW w:w="1175"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334C116B" w14:textId="77777777" w:rsidR="00A573A4" w:rsidRPr="00702748" w:rsidRDefault="00A573A4" w:rsidP="005F731A">
            <w:pPr>
              <w:spacing w:before="80" w:after="40" w:line="264" w:lineRule="auto"/>
              <w:ind w:left="113"/>
              <w:rPr>
                <w:rFonts w:cs="Arial"/>
              </w:rPr>
            </w:pPr>
            <w:r w:rsidRPr="00702748">
              <w:rPr>
                <w:rFonts w:cs="Arial"/>
                <w:color w:val="000000"/>
                <w:sz w:val="20"/>
                <w:szCs w:val="20"/>
              </w:rPr>
              <w:t>OXYBENZONE</w:t>
            </w:r>
          </w:p>
        </w:tc>
        <w:tc>
          <w:tcPr>
            <w:tcW w:w="704"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0844FD6E" w14:textId="77777777" w:rsidR="00A573A4" w:rsidRPr="00702748" w:rsidRDefault="00A573A4" w:rsidP="005F731A">
            <w:pPr>
              <w:spacing w:before="80" w:after="40" w:line="264" w:lineRule="auto"/>
              <w:ind w:left="113"/>
              <w:rPr>
                <w:rFonts w:cs="Arial"/>
              </w:rPr>
            </w:pPr>
            <w:r w:rsidRPr="00702748">
              <w:rPr>
                <w:rFonts w:cs="Arial"/>
                <w:color w:val="000000"/>
                <w:sz w:val="20"/>
                <w:szCs w:val="20"/>
              </w:rPr>
              <w:t>A</w:t>
            </w:r>
          </w:p>
        </w:tc>
        <w:tc>
          <w:tcPr>
            <w:tcW w:w="2656"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59BB2A58" w14:textId="77777777" w:rsidR="00A573A4" w:rsidRPr="00702748" w:rsidRDefault="00A573A4" w:rsidP="005F731A">
            <w:pPr>
              <w:pStyle w:val="tabletext"/>
              <w:spacing w:before="60" w:beforeAutospacing="0" w:after="0" w:afterAutospacing="0" w:line="240" w:lineRule="atLeast"/>
              <w:rPr>
                <w:rFonts w:ascii="Arial" w:hAnsi="Arial" w:cs="Arial"/>
                <w:color w:val="000000"/>
                <w:sz w:val="20"/>
                <w:szCs w:val="20"/>
              </w:rPr>
            </w:pPr>
            <w:r w:rsidRPr="00702748">
              <w:rPr>
                <w:rFonts w:ascii="Arial" w:hAnsi="Arial" w:cs="Arial"/>
                <w:color w:val="000000"/>
                <w:sz w:val="20"/>
                <w:szCs w:val="20"/>
              </w:rPr>
              <w:t>Only for use as an active ingredient in sunscreens for dermal application and not to be included in medicines intended for use in the eye.</w:t>
            </w:r>
          </w:p>
          <w:p w14:paraId="7C545372" w14:textId="77777777" w:rsidR="00A573A4" w:rsidRPr="00702748" w:rsidRDefault="00A573A4" w:rsidP="005F731A">
            <w:pPr>
              <w:pStyle w:val="tabletext"/>
              <w:spacing w:before="60" w:beforeAutospacing="0" w:after="0" w:afterAutospacing="0" w:line="240" w:lineRule="atLeast"/>
              <w:rPr>
                <w:rFonts w:ascii="Arial" w:hAnsi="Arial" w:cs="Arial"/>
                <w:color w:val="000000"/>
                <w:sz w:val="20"/>
                <w:szCs w:val="20"/>
              </w:rPr>
            </w:pPr>
            <w:r w:rsidRPr="00702748">
              <w:rPr>
                <w:rFonts w:ascii="Arial" w:hAnsi="Arial" w:cs="Arial"/>
                <w:color w:val="000000"/>
                <w:sz w:val="20"/>
                <w:szCs w:val="20"/>
              </w:rPr>
              <w:t>The concentration in the medicine must not be more than 10%.</w:t>
            </w:r>
          </w:p>
          <w:p w14:paraId="4A1248AE" w14:textId="77777777" w:rsidR="00A573A4" w:rsidRPr="00702748" w:rsidRDefault="00A573A4" w:rsidP="005F731A">
            <w:pPr>
              <w:pStyle w:val="tabletext"/>
              <w:spacing w:before="60" w:beforeAutospacing="0" w:after="0" w:afterAutospacing="0" w:line="240" w:lineRule="atLeast"/>
              <w:rPr>
                <w:rFonts w:ascii="Arial" w:hAnsi="Arial" w:cs="Arial"/>
                <w:color w:val="000000"/>
                <w:sz w:val="20"/>
                <w:szCs w:val="20"/>
              </w:rPr>
            </w:pPr>
            <w:r w:rsidRPr="00702748">
              <w:rPr>
                <w:rFonts w:ascii="Arial" w:hAnsi="Arial" w:cs="Arial"/>
                <w:color w:val="000000"/>
                <w:sz w:val="20"/>
                <w:szCs w:val="20"/>
              </w:rPr>
              <w:t>When used in primary sunscreen products, the following warning statements are required on the label:</w:t>
            </w:r>
          </w:p>
          <w:p w14:paraId="3A7B1640" w14:textId="77777777" w:rsidR="00A573A4" w:rsidRPr="00702748" w:rsidRDefault="00A573A4" w:rsidP="005F731A">
            <w:pPr>
              <w:pStyle w:val="tabletext"/>
              <w:spacing w:before="60" w:beforeAutospacing="0" w:after="0" w:afterAutospacing="0" w:line="240" w:lineRule="atLeast"/>
              <w:rPr>
                <w:rFonts w:ascii="Arial" w:hAnsi="Arial" w:cs="Arial"/>
                <w:color w:val="000000"/>
                <w:sz w:val="20"/>
                <w:szCs w:val="20"/>
              </w:rPr>
            </w:pPr>
            <w:r w:rsidRPr="00702748">
              <w:rPr>
                <w:rFonts w:ascii="Arial" w:hAnsi="Arial" w:cs="Arial"/>
                <w:color w:val="000000"/>
                <w:sz w:val="20"/>
                <w:szCs w:val="20"/>
              </w:rPr>
              <w:t>- (AVOID) 'Avoid prolonged exposure in the sun' (or words to this effect); and</w:t>
            </w:r>
          </w:p>
          <w:p w14:paraId="1F116354" w14:textId="77777777" w:rsidR="00A573A4" w:rsidRPr="00702748" w:rsidRDefault="00A573A4" w:rsidP="005F731A">
            <w:pPr>
              <w:spacing w:before="80" w:after="40" w:line="264" w:lineRule="auto"/>
              <w:rPr>
                <w:rFonts w:cs="Arial"/>
              </w:rPr>
            </w:pPr>
            <w:r w:rsidRPr="00702748">
              <w:rPr>
                <w:rFonts w:cs="Arial"/>
                <w:color w:val="000000"/>
                <w:sz w:val="20"/>
                <w:szCs w:val="20"/>
              </w:rPr>
              <w:t>- (</w:t>
            </w:r>
            <w:proofErr w:type="spellStart"/>
            <w:r w:rsidRPr="00702748">
              <w:rPr>
                <w:rFonts w:cs="Arial"/>
                <w:color w:val="000000"/>
                <w:sz w:val="20"/>
                <w:szCs w:val="20"/>
              </w:rPr>
              <w:t>SUNPRO</w:t>
            </w:r>
            <w:proofErr w:type="spellEnd"/>
            <w:r w:rsidRPr="00702748">
              <w:rPr>
                <w:rFonts w:cs="Arial"/>
                <w:color w:val="000000"/>
                <w:sz w:val="20"/>
                <w:szCs w:val="20"/>
              </w:rPr>
              <w:t>) 'Wear protective clothing - hats and eyewear when exposed to the sun' (or words to this effect).</w:t>
            </w:r>
          </w:p>
        </w:tc>
      </w:tr>
      <w:tr w:rsidR="00A573A4" w:rsidRPr="00F23562" w14:paraId="2E762F37" w14:textId="77777777" w:rsidTr="005F731A">
        <w:trPr>
          <w:trHeight w:val="300"/>
        </w:trPr>
        <w:tc>
          <w:tcPr>
            <w:tcW w:w="5000" w:type="pct"/>
            <w:gridSpan w:val="4"/>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4D82D019" w14:textId="77777777" w:rsidR="00A573A4" w:rsidRPr="00365074" w:rsidRDefault="00A573A4" w:rsidP="005F731A">
            <w:pPr>
              <w:pStyle w:val="tabletext"/>
              <w:spacing w:before="60" w:beforeAutospacing="0" w:after="0" w:afterAutospacing="0" w:line="240" w:lineRule="atLeast"/>
              <w:rPr>
                <w:rFonts w:ascii="Arial" w:hAnsi="Arial" w:cs="Arial"/>
                <w:color w:val="000000"/>
                <w:sz w:val="20"/>
                <w:szCs w:val="20"/>
              </w:rPr>
            </w:pPr>
            <w:r w:rsidRPr="00365074">
              <w:rPr>
                <w:rFonts w:ascii="Arial" w:eastAsia="Arial" w:hAnsi="Arial" w:cs="Arial"/>
                <w:color w:val="000000" w:themeColor="text1"/>
                <w:sz w:val="20"/>
                <w:szCs w:val="20"/>
              </w:rPr>
              <w:t>A = active ingredient for a medicine has the same meaning as in the Regulations</w:t>
            </w:r>
          </w:p>
        </w:tc>
      </w:tr>
    </w:tbl>
    <w:p w14:paraId="06FE2C8C" w14:textId="77777777" w:rsidR="00A573A4" w:rsidRPr="004B0899" w:rsidRDefault="00A573A4" w:rsidP="00A573A4">
      <w:pPr>
        <w:pStyle w:val="ListParagraph"/>
        <w:numPr>
          <w:ilvl w:val="0"/>
          <w:numId w:val="39"/>
        </w:numPr>
        <w:rPr>
          <w:color w:val="000000" w:themeColor="text1"/>
        </w:rPr>
      </w:pPr>
      <w:r w:rsidRPr="004B0899">
        <w:rPr>
          <w:color w:val="000000" w:themeColor="text1"/>
        </w:rPr>
        <w:t xml:space="preserve">The </w:t>
      </w:r>
      <w:hyperlink r:id="rId53" w:history="1">
        <w:r w:rsidRPr="004B0899">
          <w:rPr>
            <w:rStyle w:val="Hyperlink"/>
          </w:rPr>
          <w:t>TGA prescribing medicines in pregnancy database</w:t>
        </w:r>
      </w:hyperlink>
      <w:r w:rsidRPr="004B0899">
        <w:rPr>
          <w:color w:val="000000" w:themeColor="text1"/>
        </w:rPr>
        <w:t xml:space="preserve"> does not include oxybenzone</w:t>
      </w:r>
    </w:p>
    <w:p w14:paraId="5FFFA8FC" w14:textId="77777777" w:rsidR="00A573A4" w:rsidRDefault="00A573A4" w:rsidP="00A573A4">
      <w:pPr>
        <w:pStyle w:val="ListParagraph"/>
        <w:numPr>
          <w:ilvl w:val="0"/>
          <w:numId w:val="39"/>
        </w:numPr>
      </w:pPr>
      <w:r w:rsidRPr="004B0899">
        <w:rPr>
          <w:color w:val="000000" w:themeColor="text1"/>
        </w:rPr>
        <w:t xml:space="preserve">There are no warning statements pertaining to oxybenzone in the </w:t>
      </w:r>
      <w:hyperlink r:id="rId54" w:history="1">
        <w:r w:rsidRPr="7CA7C145">
          <w:rPr>
            <w:rStyle w:val="Hyperlink"/>
          </w:rPr>
          <w:t>Therapeutic Goods (Medicines Advisory Statements) Specification 2021</w:t>
        </w:r>
      </w:hyperlink>
      <w:r w:rsidRPr="7CA7C145">
        <w:rPr>
          <w:rStyle w:val="Hyperlink"/>
        </w:rPr>
        <w:t>.</w:t>
      </w:r>
    </w:p>
    <w:p w14:paraId="6E02B93D" w14:textId="77777777" w:rsidR="00A573A4" w:rsidRDefault="00A573A4" w:rsidP="00A573A4">
      <w:pPr>
        <w:pStyle w:val="ListParagraph"/>
        <w:numPr>
          <w:ilvl w:val="0"/>
          <w:numId w:val="39"/>
        </w:numPr>
      </w:pPr>
      <w:r w:rsidRPr="7CA7C145">
        <w:t xml:space="preserve">As of </w:t>
      </w:r>
      <w:r>
        <w:t>26 June</w:t>
      </w:r>
      <w:r w:rsidRPr="7CA7C145">
        <w:t xml:space="preserve"> </w:t>
      </w:r>
      <w:r w:rsidRPr="00436A38">
        <w:t>2025</w:t>
      </w:r>
      <w:r w:rsidRPr="7CA7C145">
        <w:t xml:space="preserve">, there were </w:t>
      </w:r>
      <w:r>
        <w:t>857</w:t>
      </w:r>
      <w:r w:rsidRPr="7CA7C145">
        <w:t xml:space="preserve"> reports of adverse events for products containing oxybenzone as an active ingredient on the </w:t>
      </w:r>
      <w:hyperlink r:id="rId55" w:history="1">
        <w:r w:rsidRPr="7CA7C145">
          <w:rPr>
            <w:rStyle w:val="Hyperlink"/>
          </w:rPr>
          <w:t>Database of Adverse Event Notifications (DAEN)</w:t>
        </w:r>
      </w:hyperlink>
      <w:r w:rsidRPr="7CA7C145">
        <w:t xml:space="preserve">, with </w:t>
      </w:r>
      <w:r>
        <w:t>846</w:t>
      </w:r>
      <w:r w:rsidRPr="7CA7C145">
        <w:t xml:space="preserve"> reports where oxybenzone was the single suspected medicine.</w:t>
      </w:r>
    </w:p>
    <w:p w14:paraId="7989565D" w14:textId="77777777" w:rsidR="00A573A4" w:rsidRDefault="00A573A4" w:rsidP="00A573A4">
      <w:pPr>
        <w:pStyle w:val="ListParagraph"/>
        <w:numPr>
          <w:ilvl w:val="0"/>
          <w:numId w:val="39"/>
        </w:numPr>
      </w:pPr>
      <w:r w:rsidRPr="7CA7C145">
        <w:t xml:space="preserve">As of </w:t>
      </w:r>
      <w:r>
        <w:t>26 June</w:t>
      </w:r>
      <w:r w:rsidRPr="00436A38">
        <w:t xml:space="preserve"> 2025</w:t>
      </w:r>
      <w:r w:rsidRPr="7CA7C145">
        <w:t xml:space="preserve">, there were 3 products containing oxybenzone as an active ingredient/constituent or scheduled substance listed on the </w:t>
      </w:r>
      <w:hyperlink r:id="rId56" w:history="1">
        <w:r w:rsidRPr="7CA7C145">
          <w:rPr>
            <w:rStyle w:val="Hyperlink"/>
          </w:rPr>
          <w:t>Public Chemical Registration Information System Search (</w:t>
        </w:r>
        <w:proofErr w:type="spellStart"/>
        <w:r w:rsidRPr="7CA7C145">
          <w:rPr>
            <w:rStyle w:val="Hyperlink"/>
          </w:rPr>
          <w:t>PubCRIS</w:t>
        </w:r>
        <w:proofErr w:type="spellEnd"/>
        <w:r w:rsidRPr="7CA7C145">
          <w:rPr>
            <w:rStyle w:val="Hyperlink"/>
          </w:rPr>
          <w:t>)</w:t>
        </w:r>
      </w:hyperlink>
      <w:r w:rsidRPr="7CA7C145">
        <w:t>.</w:t>
      </w:r>
    </w:p>
    <w:p w14:paraId="24C31BB5" w14:textId="77777777" w:rsidR="00A573A4" w:rsidRDefault="00A573A4" w:rsidP="00A573A4">
      <w:pPr>
        <w:pStyle w:val="ListParagraph"/>
        <w:numPr>
          <w:ilvl w:val="0"/>
          <w:numId w:val="39"/>
        </w:numPr>
      </w:pPr>
      <w:r w:rsidRPr="7CA7C145">
        <w:t xml:space="preserve">In 2010-2020 there were no adverse experiences recorded for oxybenzone in the </w:t>
      </w:r>
      <w:hyperlink r:id="rId57" w:history="1">
        <w:proofErr w:type="spellStart"/>
        <w:r w:rsidRPr="7CA7C145">
          <w:rPr>
            <w:rStyle w:val="Hyperlink"/>
          </w:rPr>
          <w:t>APVMA</w:t>
        </w:r>
        <w:proofErr w:type="spellEnd"/>
        <w:r w:rsidRPr="7CA7C145">
          <w:rPr>
            <w:rStyle w:val="Hyperlink"/>
          </w:rPr>
          <w:t xml:space="preserve"> Adverse Experience Reporting Program</w:t>
        </w:r>
      </w:hyperlink>
      <w:r w:rsidRPr="7CA7C145">
        <w:t xml:space="preserve"> database (</w:t>
      </w:r>
      <w:proofErr w:type="spellStart"/>
      <w:r w:rsidRPr="7CA7C145">
        <w:t>AERP</w:t>
      </w:r>
      <w:proofErr w:type="spellEnd"/>
      <w:r w:rsidRPr="7CA7C145">
        <w:t>)</w:t>
      </w:r>
    </w:p>
    <w:p w14:paraId="6C0AB436" w14:textId="77777777" w:rsidR="00A573A4" w:rsidRPr="00C417B6" w:rsidRDefault="00A573A4" w:rsidP="00A573A4">
      <w:pPr>
        <w:pStyle w:val="ListParagraph"/>
        <w:numPr>
          <w:ilvl w:val="0"/>
          <w:numId w:val="39"/>
        </w:numPr>
      </w:pPr>
      <w:r>
        <w:t xml:space="preserve">Oxybenzone is listed on the </w:t>
      </w:r>
      <w:hyperlink r:id="rId58">
        <w:r w:rsidRPr="7CA7C145">
          <w:rPr>
            <w:rStyle w:val="Hyperlink"/>
          </w:rPr>
          <w:t>Australian Inventory of Industrial Chemicals</w:t>
        </w:r>
      </w:hyperlink>
      <w:r>
        <w:t xml:space="preserve"> as </w:t>
      </w:r>
      <w:proofErr w:type="spellStart"/>
      <w:r>
        <w:t>Methanone</w:t>
      </w:r>
      <w:proofErr w:type="spellEnd"/>
      <w:r>
        <w:t>, (2-hydroxy-4-methoxyphenyl)phenyl-.</w:t>
      </w:r>
    </w:p>
    <w:p w14:paraId="588ED327" w14:textId="77777777" w:rsidR="00A573A4" w:rsidRDefault="00A573A4">
      <w:pPr>
        <w:rPr>
          <w:rFonts w:eastAsia="Cambria" w:cs="Times New Roman"/>
          <w:bCs/>
          <w:color w:val="001871"/>
          <w:sz w:val="28"/>
          <w:szCs w:val="26"/>
        </w:rPr>
      </w:pPr>
      <w:bookmarkStart w:id="42" w:name="_Toc201870331"/>
      <w:r>
        <w:br w:type="page"/>
      </w:r>
    </w:p>
    <w:p w14:paraId="71B06411" w14:textId="24E74D57" w:rsidR="00A573A4" w:rsidRPr="005025A5" w:rsidRDefault="00A573A4" w:rsidP="00A573A4">
      <w:pPr>
        <w:pStyle w:val="Heading4"/>
      </w:pPr>
      <w:bookmarkStart w:id="43" w:name="_Toc202177233"/>
      <w:r>
        <w:lastRenderedPageBreak/>
        <w:t>International regulations</w:t>
      </w:r>
      <w:bookmarkEnd w:id="42"/>
      <w:bookmarkEnd w:id="43"/>
    </w:p>
    <w:p w14:paraId="16FBC21C" w14:textId="77777777" w:rsidR="00A573A4" w:rsidRPr="00817925" w:rsidRDefault="00A573A4" w:rsidP="00A573A4">
      <w:pPr>
        <w:pStyle w:val="ListParagraph"/>
        <w:numPr>
          <w:ilvl w:val="0"/>
          <w:numId w:val="40"/>
        </w:numPr>
      </w:pPr>
      <w:r w:rsidRPr="004B0899">
        <w:rPr>
          <w:rFonts w:eastAsiaTheme="minorEastAsia"/>
          <w:color w:val="000000" w:themeColor="text1"/>
        </w:rPr>
        <w:t>In the US, t</w:t>
      </w:r>
      <w:r w:rsidRPr="00817925">
        <w:t xml:space="preserve">he </w:t>
      </w:r>
      <w:hyperlink w:history="1">
        <w:hyperlink r:id="rId59" w:history="1">
          <w:r w:rsidRPr="00817925">
            <w:rPr>
              <w:rStyle w:val="Hyperlink"/>
            </w:rPr>
            <w:t>FDA monograph for Sunscreen Drug Products for Over-the-Counter Human Use</w:t>
          </w:r>
        </w:hyperlink>
      </w:hyperlink>
      <w:r w:rsidRPr="00817925">
        <w:t xml:space="preserve"> allows use of oxybenzone at up to 6% concentration. O</w:t>
      </w:r>
      <w:r w:rsidRPr="004B0899">
        <w:rPr>
          <w:rFonts w:eastAsiaTheme="minorEastAsia"/>
          <w:color w:val="000000" w:themeColor="text1"/>
        </w:rPr>
        <w:t xml:space="preserve">xybenzone is available for use as a pesticide according to the </w:t>
      </w:r>
      <w:hyperlink r:id="rId60" w:history="1">
        <w:hyperlink r:id="rId61" w:history="1">
          <w:r w:rsidRPr="00817925">
            <w:rPr>
              <w:rStyle w:val="Hyperlink"/>
            </w:rPr>
            <w:t>United States Environmental Protection Agency’s (US EPA) Office of Pesticides Programs</w:t>
          </w:r>
        </w:hyperlink>
      </w:hyperlink>
      <w:r w:rsidRPr="00817925">
        <w:t>.</w:t>
      </w:r>
    </w:p>
    <w:p w14:paraId="53526F3B" w14:textId="77777777" w:rsidR="00A573A4" w:rsidRPr="00214A5B" w:rsidRDefault="00A573A4" w:rsidP="00A573A4">
      <w:pPr>
        <w:pStyle w:val="ListParagraph"/>
        <w:numPr>
          <w:ilvl w:val="0"/>
          <w:numId w:val="40"/>
        </w:numPr>
        <w:rPr>
          <w:color w:val="000000" w:themeColor="text1"/>
        </w:rPr>
      </w:pPr>
      <w:r w:rsidRPr="00817925">
        <w:t xml:space="preserve">The EU limits use of </w:t>
      </w:r>
      <w:hyperlink r:id="rId62" w:history="1">
        <w:hyperlink r:id="rId63" w:history="1">
          <w:hyperlink r:id="rId64" w:history="1">
            <w:r w:rsidRPr="00817925">
              <w:rPr>
                <w:rStyle w:val="Hyperlink"/>
              </w:rPr>
              <w:t>oxybenzone</w:t>
            </w:r>
          </w:hyperlink>
        </w:hyperlink>
      </w:hyperlink>
      <w:r w:rsidRPr="004B0899">
        <w:rPr>
          <w:rFonts w:eastAsiaTheme="minorEastAsia"/>
          <w:color w:val="000000" w:themeColor="text1"/>
        </w:rPr>
        <w:t xml:space="preserve"> as a UV filter in cosmetics and sunscreen products to a 6% maximum concentration for face, hands, and lip products, excluding propellant and pump spray products.  Products for use on whole body, or in propellant and pump spray products, cannot exceed 2.2% oxybenzone. All other cosmetic preparations are allowed a maximum of 0.5% oxybenzone. This is consistent with the most recent Scientific Committee on Consumer Safety (SCCS) </w:t>
      </w:r>
      <w:r w:rsidRPr="004B0899">
        <w:rPr>
          <w:rFonts w:eastAsiaTheme="minorEastAsia" w:cstheme="minorBidi"/>
          <w:i/>
          <w:iCs/>
          <w:color w:val="000000" w:themeColor="text1"/>
        </w:rPr>
        <w:t>Opinion on Benzophenone-3</w:t>
      </w:r>
      <w:r w:rsidRPr="004B0899">
        <w:rPr>
          <w:rFonts w:eastAsiaTheme="minorEastAsia"/>
          <w:color w:val="000000" w:themeColor="text1"/>
        </w:rPr>
        <w:t xml:space="preserve"> (Oxybenzone) finalised in March 2021.</w:t>
      </w:r>
      <w:r>
        <w:rPr>
          <w:rStyle w:val="FootnoteReference"/>
          <w:rFonts w:eastAsiaTheme="minorEastAsia"/>
          <w:color w:val="000000" w:themeColor="text1"/>
        </w:rPr>
        <w:footnoteReference w:id="4"/>
      </w:r>
    </w:p>
    <w:p w14:paraId="1C821A14" w14:textId="77777777" w:rsidR="00A573A4" w:rsidRPr="004B0899" w:rsidRDefault="00A573A4" w:rsidP="00A573A4">
      <w:pPr>
        <w:pStyle w:val="ListParagraph"/>
        <w:numPr>
          <w:ilvl w:val="0"/>
          <w:numId w:val="40"/>
        </w:numPr>
      </w:pPr>
      <w:r w:rsidRPr="004B0899">
        <w:t xml:space="preserve">The </w:t>
      </w:r>
      <w:hyperlink r:id="rId65" w:history="1">
        <w:r w:rsidRPr="00817925">
          <w:rPr>
            <w:rStyle w:val="Hyperlink"/>
          </w:rPr>
          <w:t>European Chemicals Agency (ECHA)</w:t>
        </w:r>
      </w:hyperlink>
      <w:r w:rsidRPr="004B0899">
        <w:t xml:space="preserve"> classifies oxybenzone as a health hazard (</w:t>
      </w:r>
      <w:proofErr w:type="spellStart"/>
      <w:r w:rsidRPr="004B0899">
        <w:t>GHS07</w:t>
      </w:r>
      <w:proofErr w:type="spellEnd"/>
      <w:r w:rsidRPr="004B0899">
        <w:t>) and as hazardous to the environment (</w:t>
      </w:r>
      <w:proofErr w:type="spellStart"/>
      <w:r w:rsidRPr="004B0899">
        <w:t>GHS09</w:t>
      </w:r>
      <w:proofErr w:type="spellEnd"/>
      <w:r w:rsidRPr="004B0899">
        <w:t>). Chemicals containing oxybenzone require the following warning label:</w:t>
      </w:r>
    </w:p>
    <w:p w14:paraId="462F3D78" w14:textId="77777777" w:rsidR="00A573A4" w:rsidRPr="00436A38" w:rsidRDefault="00A573A4" w:rsidP="00A573A4">
      <w:pPr>
        <w:pStyle w:val="ListParagraph"/>
      </w:pPr>
      <w:r w:rsidRPr="004B0899">
        <w:rPr>
          <w:i/>
          <w:iCs/>
        </w:rPr>
        <w:t>“Warning!</w:t>
      </w:r>
      <w:r w:rsidRPr="00436A38">
        <w:t xml:space="preserve"> According to the classification provided by companies to ECHA in </w:t>
      </w:r>
      <w:r w:rsidRPr="004B0899">
        <w:rPr>
          <w:b/>
          <w:bCs/>
        </w:rPr>
        <w:t>CLP notifications</w:t>
      </w:r>
      <w:r w:rsidRPr="00436A38">
        <w:t xml:space="preserve"> this substance is toxic to aquatic life with long lasting effects, is very toxic to aquatic life, causes serious eye irritation, causes skin irritation and may cause respiratory irritation.”</w:t>
      </w:r>
    </w:p>
    <w:p w14:paraId="1D55F405" w14:textId="77777777" w:rsidR="00A573A4" w:rsidRPr="004B0899" w:rsidRDefault="00A573A4" w:rsidP="00A573A4">
      <w:pPr>
        <w:pStyle w:val="ListParagraph"/>
        <w:numPr>
          <w:ilvl w:val="0"/>
          <w:numId w:val="40"/>
        </w:numPr>
        <w:rPr>
          <w:color w:val="000000" w:themeColor="text1"/>
        </w:rPr>
      </w:pPr>
      <w:r w:rsidRPr="004B0899">
        <w:rPr>
          <w:color w:val="000000" w:themeColor="text1"/>
        </w:rPr>
        <w:t xml:space="preserve">According to the </w:t>
      </w:r>
      <w:hyperlink r:id="rId66" w:history="1">
        <w:r w:rsidRPr="00817925">
          <w:rPr>
            <w:rStyle w:val="Hyperlink"/>
          </w:rPr>
          <w:t>Canadian (Health Canada) Drug Product Database</w:t>
        </w:r>
      </w:hyperlink>
      <w:r w:rsidRPr="00817925">
        <w:t xml:space="preserve"> there are 14 products currently approved for sale containing oxybenzone. </w:t>
      </w:r>
      <w:r w:rsidRPr="004B0899">
        <w:rPr>
          <w:color w:val="000000" w:themeColor="text1"/>
        </w:rPr>
        <w:t xml:space="preserve">The </w:t>
      </w:r>
      <w:hyperlink r:id="rId67" w:history="1">
        <w:r w:rsidRPr="00817925">
          <w:rPr>
            <w:rStyle w:val="Hyperlink"/>
          </w:rPr>
          <w:t>Canadian Primary Sunscreen Monograph</w:t>
        </w:r>
      </w:hyperlink>
      <w:r w:rsidRPr="004B0899">
        <w:rPr>
          <w:color w:val="000000" w:themeColor="text1"/>
        </w:rPr>
        <w:t xml:space="preserve"> restricts oxybenzone as an ingredient in non-prescription sunscreens to less than 6% oxybenzone.</w:t>
      </w:r>
    </w:p>
    <w:p w14:paraId="057F2BFA" w14:textId="77777777" w:rsidR="00A573A4" w:rsidRPr="00817925" w:rsidRDefault="00A573A4" w:rsidP="00A573A4">
      <w:pPr>
        <w:pStyle w:val="ListParagraph"/>
        <w:numPr>
          <w:ilvl w:val="0"/>
          <w:numId w:val="40"/>
        </w:numPr>
      </w:pPr>
      <w:r w:rsidRPr="00817925">
        <w:t>In Japan, oxybenzone is allowed in cosmetic preparations (including sunscreens) up to a 5% concentration, except in cosmetic preparations not used for mucosa and to be washed away which have no upper limit.</w:t>
      </w:r>
      <w:r>
        <w:rPr>
          <w:rStyle w:val="FootnoteReference"/>
        </w:rPr>
        <w:footnoteReference w:id="5"/>
      </w:r>
    </w:p>
    <w:p w14:paraId="7AC6C639" w14:textId="77777777" w:rsidR="00A573A4" w:rsidRDefault="00A573A4" w:rsidP="00A573A4">
      <w:pPr>
        <w:rPr>
          <w:rFonts w:eastAsia="Times New Roman" w:cs="Times New Roman"/>
          <w:b/>
          <w:bCs/>
          <w:color w:val="001871"/>
          <w:sz w:val="32"/>
          <w:szCs w:val="32"/>
        </w:rPr>
      </w:pPr>
      <w:r>
        <w:br w:type="page"/>
      </w:r>
    </w:p>
    <w:p w14:paraId="36AF5F96" w14:textId="77777777" w:rsidR="00A573A4" w:rsidRDefault="00A573A4" w:rsidP="00A573A4">
      <w:pPr>
        <w:pStyle w:val="Heading3"/>
      </w:pPr>
      <w:bookmarkStart w:id="44" w:name="_Toc201870332"/>
      <w:bookmarkStart w:id="45" w:name="_Toc202177234"/>
      <w:r>
        <w:lastRenderedPageBreak/>
        <w:t>1.3 Benzophenone</w:t>
      </w:r>
      <w:bookmarkEnd w:id="44"/>
      <w:bookmarkEnd w:id="45"/>
    </w:p>
    <w:p w14:paraId="00F2C01C" w14:textId="77777777" w:rsidR="00A573A4" w:rsidRDefault="00A573A4" w:rsidP="00A573A4">
      <w:pPr>
        <w:pStyle w:val="Heading4"/>
      </w:pPr>
      <w:bookmarkStart w:id="46" w:name="_Toc201870333"/>
      <w:bookmarkStart w:id="47" w:name="_Toc202177235"/>
      <w:r>
        <w:t>Proposed amendments</w:t>
      </w:r>
      <w:bookmarkEnd w:id="46"/>
      <w:bookmarkEnd w:id="47"/>
    </w:p>
    <w:p w14:paraId="7BC091A3" w14:textId="77777777" w:rsidR="00A573A4" w:rsidRDefault="00A573A4" w:rsidP="00A573A4">
      <w:pPr>
        <w:spacing w:before="180" w:after="180"/>
        <w:rPr>
          <w:rFonts w:eastAsia="Arial" w:cs="Arial"/>
        </w:rPr>
      </w:pPr>
      <w:r w:rsidRPr="00C305B2">
        <w:rPr>
          <w:rFonts w:eastAsia="Arial" w:cs="Arial"/>
        </w:rPr>
        <w:t xml:space="preserve">The Delegate is proposing </w:t>
      </w:r>
      <w:r>
        <w:t xml:space="preserve">a new CAUTION (Schedule 5) entry </w:t>
      </w:r>
      <w:r>
        <w:rPr>
          <w:rFonts w:eastAsia="Arial" w:cs="Arial"/>
        </w:rPr>
        <w:t xml:space="preserve">amendment to </w:t>
      </w:r>
      <w:r w:rsidRPr="00C305B2">
        <w:rPr>
          <w:rFonts w:eastAsia="Arial" w:cs="Arial"/>
        </w:rPr>
        <w:t xml:space="preserve">the current Poisons Standard in relation to </w:t>
      </w:r>
      <w:r>
        <w:rPr>
          <w:rFonts w:eastAsia="Arial" w:cs="Arial"/>
        </w:rPr>
        <w:t>benzophenone</w:t>
      </w:r>
      <w:r w:rsidRPr="00C305B2">
        <w:rPr>
          <w:rFonts w:eastAsia="Arial" w:cs="Arial"/>
        </w:rPr>
        <w:t>.</w:t>
      </w:r>
      <w:r w:rsidRPr="00A132EA">
        <w:t xml:space="preserve"> </w:t>
      </w:r>
      <w:r>
        <w:t>Products containing substances that are covered by a Schedule 5 entry require a Caution signal word on the main label and cannot be in Listed medicines.</w:t>
      </w:r>
    </w:p>
    <w:p w14:paraId="25A02582" w14:textId="2D10613F" w:rsidR="00A573A4" w:rsidRPr="00451230" w:rsidRDefault="00A573A4" w:rsidP="00A573A4">
      <w:r w:rsidRPr="00054555">
        <w:t>Th</w:t>
      </w:r>
      <w:r>
        <w:t>is follows</w:t>
      </w:r>
      <w:r w:rsidRPr="00054555">
        <w:t xml:space="preserve"> the findings and recommendations </w:t>
      </w:r>
      <w:r>
        <w:t xml:space="preserve">in the </w:t>
      </w:r>
      <w:hyperlink r:id="rId68" w:history="1">
        <w:r w:rsidRPr="00B20CEB">
          <w:rPr>
            <w:rStyle w:val="Hyperlink"/>
          </w:rPr>
          <w:t>TGA Safety Review</w:t>
        </w:r>
        <w:r w:rsidR="00AA7BEC" w:rsidRPr="00B20CEB">
          <w:rPr>
            <w:rStyle w:val="Hyperlink"/>
          </w:rPr>
          <w:t xml:space="preserve"> of B</w:t>
        </w:r>
        <w:r w:rsidR="00AA7BEC" w:rsidRPr="00B20CEB">
          <w:rPr>
            <w:rStyle w:val="Hyperlink"/>
          </w:rPr>
          <w:t>e</w:t>
        </w:r>
        <w:r w:rsidR="00AA7BEC" w:rsidRPr="00B20CEB">
          <w:rPr>
            <w:rStyle w:val="Hyperlink"/>
          </w:rPr>
          <w:t>nzophenone</w:t>
        </w:r>
      </w:hyperlink>
      <w:r>
        <w:t xml:space="preserve"> and the </w:t>
      </w:r>
      <w:hyperlink r:id="rId69" w:history="1">
        <w:r w:rsidRPr="000F4C4B">
          <w:rPr>
            <w:rStyle w:val="Hyperlink"/>
          </w:rPr>
          <w:t>AICIS evaluation statement</w:t>
        </w:r>
      </w:hyperlink>
      <w:r w:rsidRPr="00054555">
        <w:t>.</w:t>
      </w:r>
    </w:p>
    <w:p w14:paraId="0BCBC505" w14:textId="77777777" w:rsidR="00A573A4" w:rsidRPr="00C305B2" w:rsidRDefault="00A573A4" w:rsidP="00A573A4">
      <w:pPr>
        <w:spacing w:line="257" w:lineRule="auto"/>
        <w:rPr>
          <w:rFonts w:eastAsia="Arial" w:cs="Arial"/>
          <w:i/>
          <w:iCs/>
          <w:u w:val="single"/>
        </w:rPr>
      </w:pPr>
      <w:r>
        <w:rPr>
          <w:rFonts w:eastAsia="Arial" w:cs="Arial"/>
          <w:i/>
          <w:iCs/>
          <w:u w:val="single"/>
        </w:rPr>
        <w:t>Description</w:t>
      </w:r>
    </w:p>
    <w:p w14:paraId="23520DA9" w14:textId="77777777" w:rsidR="00A573A4" w:rsidRDefault="00A573A4" w:rsidP="00A573A4">
      <w:pPr>
        <w:rPr>
          <w:bCs/>
        </w:rPr>
      </w:pPr>
      <w:r>
        <w:rPr>
          <w:bCs/>
        </w:rPr>
        <w:t>The TGA Safety Review noted that the presence of benzophenone in sunscreen arises as an impurity in the manufacture of products containing octocrylene, and from the degradation of octocrylene into benzophenone as the product ages.</w:t>
      </w:r>
    </w:p>
    <w:p w14:paraId="1DE2D2C1" w14:textId="77777777" w:rsidR="00A573A4" w:rsidRDefault="00A573A4" w:rsidP="00A573A4">
      <w:pPr>
        <w:rPr>
          <w:bCs/>
        </w:rPr>
      </w:pPr>
      <w:r w:rsidRPr="00FE3E30">
        <w:rPr>
          <w:bCs/>
        </w:rPr>
        <w:t xml:space="preserve">The </w:t>
      </w:r>
      <w:r>
        <w:rPr>
          <w:bCs/>
        </w:rPr>
        <w:t>TGA’s S</w:t>
      </w:r>
      <w:r w:rsidRPr="00FE3E30">
        <w:rPr>
          <w:bCs/>
        </w:rPr>
        <w:t xml:space="preserve">afety </w:t>
      </w:r>
      <w:r>
        <w:rPr>
          <w:bCs/>
        </w:rPr>
        <w:t>R</w:t>
      </w:r>
      <w:r w:rsidRPr="00FE3E30">
        <w:rPr>
          <w:bCs/>
        </w:rPr>
        <w:t>eview concluded that the maximum allowable benzophenone concentration in therapeutic sunscreens should not exceed 383 ppm (0.0383%).</w:t>
      </w:r>
      <w:r>
        <w:rPr>
          <w:bCs/>
        </w:rPr>
        <w:t xml:space="preserve"> This concentration would</w:t>
      </w:r>
      <w:r w:rsidRPr="000F709D">
        <w:rPr>
          <w:bCs/>
        </w:rPr>
        <w:t xml:space="preserve"> </w:t>
      </w:r>
      <w:r>
        <w:rPr>
          <w:bCs/>
        </w:rPr>
        <w:t xml:space="preserve">apply whether </w:t>
      </w:r>
      <w:r w:rsidRPr="000F709D">
        <w:rPr>
          <w:bCs/>
        </w:rPr>
        <w:t xml:space="preserve">benzophenone </w:t>
      </w:r>
      <w:r>
        <w:rPr>
          <w:bCs/>
        </w:rPr>
        <w:t xml:space="preserve">is present </w:t>
      </w:r>
      <w:r w:rsidRPr="000F709D">
        <w:rPr>
          <w:bCs/>
        </w:rPr>
        <w:t>as an impurity</w:t>
      </w:r>
      <w:r>
        <w:rPr>
          <w:bCs/>
        </w:rPr>
        <w:t xml:space="preserve"> </w:t>
      </w:r>
      <w:r w:rsidRPr="000F709D">
        <w:rPr>
          <w:bCs/>
        </w:rPr>
        <w:t xml:space="preserve">or </w:t>
      </w:r>
      <w:r>
        <w:rPr>
          <w:bCs/>
        </w:rPr>
        <w:t xml:space="preserve">is formed as a </w:t>
      </w:r>
      <w:r w:rsidRPr="000F709D">
        <w:rPr>
          <w:bCs/>
        </w:rPr>
        <w:t>degradation product</w:t>
      </w:r>
      <w:r>
        <w:rPr>
          <w:bCs/>
        </w:rPr>
        <w:t xml:space="preserve"> and</w:t>
      </w:r>
      <w:r w:rsidRPr="000F709D">
        <w:rPr>
          <w:bCs/>
        </w:rPr>
        <w:t xml:space="preserve"> </w:t>
      </w:r>
      <w:r>
        <w:rPr>
          <w:bCs/>
        </w:rPr>
        <w:t>should not be exceeded before the product expiry date</w:t>
      </w:r>
      <w:r w:rsidRPr="000F709D">
        <w:rPr>
          <w:bCs/>
        </w:rPr>
        <w:t>.</w:t>
      </w:r>
    </w:p>
    <w:p w14:paraId="21BBFF18" w14:textId="77777777" w:rsidR="00A573A4" w:rsidRDefault="00A573A4" w:rsidP="00A573A4">
      <w:pPr>
        <w:rPr>
          <w:bCs/>
        </w:rPr>
      </w:pPr>
      <w:r>
        <w:rPr>
          <w:bCs/>
        </w:rPr>
        <w:t>The AICIS evaluation statement</w:t>
      </w:r>
      <w:r w:rsidRPr="003569E1">
        <w:t xml:space="preserve"> </w:t>
      </w:r>
      <w:r>
        <w:rPr>
          <w:bCs/>
        </w:rPr>
        <w:t>concluded that</w:t>
      </w:r>
      <w:r w:rsidRPr="003569E1">
        <w:rPr>
          <w:bCs/>
        </w:rPr>
        <w:t xml:space="preserve"> </w:t>
      </w:r>
      <w:r>
        <w:rPr>
          <w:bCs/>
        </w:rPr>
        <w:t>“</w:t>
      </w:r>
      <w:r w:rsidRPr="003569E1">
        <w:rPr>
          <w:bCs/>
        </w:rPr>
        <w:t>given the identified potential long term systemic health hazards, the evidence indicates that there is a risk to the public following repeated, long</w:t>
      </w:r>
      <w:r>
        <w:rPr>
          <w:bCs/>
        </w:rPr>
        <w:t>-</w:t>
      </w:r>
      <w:r w:rsidRPr="003569E1">
        <w:rPr>
          <w:bCs/>
        </w:rPr>
        <w:t>term exposure to the chemical that requires management</w:t>
      </w:r>
      <w:r>
        <w:rPr>
          <w:bCs/>
        </w:rPr>
        <w:t xml:space="preserve">” </w:t>
      </w:r>
      <w:proofErr w:type="gramStart"/>
      <w:r>
        <w:rPr>
          <w:bCs/>
        </w:rPr>
        <w:t>and also</w:t>
      </w:r>
      <w:proofErr w:type="gramEnd"/>
      <w:r>
        <w:rPr>
          <w:bCs/>
        </w:rPr>
        <w:t xml:space="preserve"> recommended that the concentration of benzophenone be restricted.</w:t>
      </w:r>
    </w:p>
    <w:p w14:paraId="44361269" w14:textId="77777777" w:rsidR="00A573A4" w:rsidRDefault="00A573A4" w:rsidP="00A573A4">
      <w:pPr>
        <w:rPr>
          <w:bCs/>
        </w:rPr>
      </w:pPr>
      <w:r>
        <w:rPr>
          <w:bCs/>
        </w:rPr>
        <w:t xml:space="preserve">The </w:t>
      </w:r>
      <w:r w:rsidRPr="00CB4CE7">
        <w:rPr>
          <w:bCs/>
        </w:rPr>
        <w:t>EU has prohibited the inclusion of benzophenone as an ingredient in cosmetic products</w:t>
      </w:r>
      <w:r>
        <w:rPr>
          <w:bCs/>
        </w:rPr>
        <w:t xml:space="preserve"> and the AICIS evaluation on benzophenone noted that the </w:t>
      </w:r>
      <w:r w:rsidRPr="00384648">
        <w:rPr>
          <w:bCs/>
        </w:rPr>
        <w:t xml:space="preserve">use of </w:t>
      </w:r>
      <w:r>
        <w:rPr>
          <w:bCs/>
        </w:rPr>
        <w:t xml:space="preserve">air care products (such as </w:t>
      </w:r>
      <w:r w:rsidRPr="00384648">
        <w:rPr>
          <w:bCs/>
        </w:rPr>
        <w:t>scented candles</w:t>
      </w:r>
      <w:r>
        <w:rPr>
          <w:bCs/>
        </w:rPr>
        <w:t>)</w:t>
      </w:r>
      <w:r w:rsidRPr="00384648">
        <w:rPr>
          <w:bCs/>
        </w:rPr>
        <w:t xml:space="preserve"> containing 0.3% </w:t>
      </w:r>
      <w:r>
        <w:rPr>
          <w:bCs/>
        </w:rPr>
        <w:t>benzophenone</w:t>
      </w:r>
      <w:r w:rsidRPr="00384648">
        <w:rPr>
          <w:bCs/>
        </w:rPr>
        <w:t xml:space="preserve"> would provide exposures </w:t>
      </w:r>
      <w:proofErr w:type="gramStart"/>
      <w:r w:rsidRPr="00384648">
        <w:rPr>
          <w:bCs/>
        </w:rPr>
        <w:t>similar to</w:t>
      </w:r>
      <w:proofErr w:type="gramEnd"/>
      <w:r w:rsidRPr="00384648">
        <w:rPr>
          <w:bCs/>
        </w:rPr>
        <w:t xml:space="preserve"> the </w:t>
      </w:r>
      <w:r>
        <w:rPr>
          <w:bCs/>
        </w:rPr>
        <w:t xml:space="preserve">tolerable daily intake </w:t>
      </w:r>
      <w:r w:rsidRPr="006114FD">
        <w:rPr>
          <w:bCs/>
        </w:rPr>
        <w:t>set by the European Food Safety Authority</w:t>
      </w:r>
      <w:r>
        <w:rPr>
          <w:bCs/>
        </w:rPr>
        <w:t>.</w:t>
      </w:r>
    </w:p>
    <w:p w14:paraId="696D260D" w14:textId="6F0BB8E4" w:rsidR="00A573A4" w:rsidRDefault="00A573A4" w:rsidP="00A573A4">
      <w:pPr>
        <w:spacing w:line="257" w:lineRule="auto"/>
        <w:rPr>
          <w:bCs/>
        </w:rPr>
      </w:pPr>
      <w:r>
        <w:rPr>
          <w:rFonts w:eastAsia="Arial" w:cs="Arial"/>
        </w:rPr>
        <w:t>This proposal would create a new Schedule 5 entry for benzophenone when used as a fragrance in cosmetics, therapeutic preparations and candles. It would also provide a consistent exemption from scheduling when benzophenone is present in a therapeutic or cosmetic sunscreen product below a specific concentration.</w:t>
      </w:r>
      <w:r w:rsidR="00AA7BEC" w:rsidRPr="00AA7BEC">
        <w:rPr>
          <w:rFonts w:eastAsia="Arial" w:cs="Arial"/>
        </w:rPr>
        <w:t xml:space="preserve"> </w:t>
      </w:r>
      <w:r w:rsidR="00AA7BEC">
        <w:rPr>
          <w:rFonts w:eastAsia="Arial" w:cs="Arial"/>
        </w:rPr>
        <w:t>The Permissible Ingredients Determination might also be amended separately to any changes to the scheduling of benzophenone in the Poisons Standard.</w:t>
      </w:r>
    </w:p>
    <w:p w14:paraId="1B59ADBF" w14:textId="77777777" w:rsidR="00A573A4" w:rsidRPr="00C305B2" w:rsidRDefault="00A573A4" w:rsidP="00A573A4">
      <w:pPr>
        <w:spacing w:line="257" w:lineRule="auto"/>
        <w:rPr>
          <w:rFonts w:eastAsia="Arial" w:cs="Arial"/>
          <w:i/>
          <w:iCs/>
          <w:u w:val="single"/>
        </w:rPr>
      </w:pPr>
      <w:r>
        <w:rPr>
          <w:rFonts w:eastAsia="Arial" w:cs="Arial"/>
          <w:i/>
          <w:iCs/>
          <w:u w:val="single"/>
        </w:rPr>
        <w:t>Proposed amendment</w:t>
      </w:r>
    </w:p>
    <w:p w14:paraId="5A6B36E0" w14:textId="77777777" w:rsidR="00A573A4" w:rsidRDefault="00A573A4" w:rsidP="00A573A4">
      <w:pPr>
        <w:spacing w:line="257" w:lineRule="auto"/>
        <w:ind w:left="426"/>
      </w:pPr>
      <w:r w:rsidRPr="47EABC8C">
        <w:rPr>
          <w:rFonts w:eastAsia="Arial" w:cs="Arial"/>
          <w:b/>
          <w:bCs/>
        </w:rPr>
        <w:t>Schedule 5 – New entry</w:t>
      </w:r>
    </w:p>
    <w:p w14:paraId="5E251BF2" w14:textId="77777777" w:rsidR="00A573A4" w:rsidRPr="00FD3459" w:rsidRDefault="00A573A4" w:rsidP="00A573A4">
      <w:pPr>
        <w:spacing w:line="257" w:lineRule="auto"/>
        <w:ind w:left="709"/>
        <w:rPr>
          <w:rFonts w:eastAsia="Arial" w:cs="Arial"/>
          <w:color w:val="00B050"/>
          <w:sz w:val="21"/>
          <w:szCs w:val="21"/>
        </w:rPr>
      </w:pPr>
      <w:r w:rsidRPr="008B72EC">
        <w:rPr>
          <w:rFonts w:eastAsia="Arial" w:cs="Arial"/>
          <w:color w:val="00B050"/>
        </w:rPr>
        <w:t xml:space="preserve">BENZOPHENONE </w:t>
      </w:r>
      <w:r w:rsidRPr="00FD3459">
        <w:rPr>
          <w:rFonts w:eastAsia="Arial" w:cs="Arial"/>
          <w:color w:val="00B050"/>
          <w:sz w:val="21"/>
          <w:szCs w:val="21"/>
        </w:rPr>
        <w:t>in</w:t>
      </w:r>
    </w:p>
    <w:p w14:paraId="50ADF452" w14:textId="47E2954B" w:rsidR="00A573A4" w:rsidRPr="00214A5B" w:rsidRDefault="00551563" w:rsidP="00A573A4">
      <w:pPr>
        <w:pStyle w:val="ListParagraph"/>
        <w:numPr>
          <w:ilvl w:val="0"/>
          <w:numId w:val="32"/>
        </w:numPr>
        <w:rPr>
          <w:color w:val="00B050"/>
        </w:rPr>
      </w:pPr>
      <w:r w:rsidRPr="00214A5B">
        <w:rPr>
          <w:color w:val="00B050"/>
        </w:rPr>
        <w:t>cosmetic and therapeutic preparations when present as a fragrance</w:t>
      </w:r>
      <w:r w:rsidR="00A573A4" w:rsidRPr="00214A5B">
        <w:rPr>
          <w:color w:val="00B050"/>
        </w:rPr>
        <w:t>; or</w:t>
      </w:r>
    </w:p>
    <w:p w14:paraId="3C82CCB9" w14:textId="5A863383" w:rsidR="00A573A4" w:rsidRPr="00214A5B" w:rsidRDefault="00551563" w:rsidP="00A573A4">
      <w:pPr>
        <w:pStyle w:val="ListParagraph"/>
        <w:numPr>
          <w:ilvl w:val="0"/>
          <w:numId w:val="32"/>
        </w:numPr>
        <w:rPr>
          <w:color w:val="00B050"/>
        </w:rPr>
      </w:pPr>
      <w:r w:rsidRPr="00214A5B">
        <w:rPr>
          <w:color w:val="00B050"/>
        </w:rPr>
        <w:t xml:space="preserve">sunscreen preparations </w:t>
      </w:r>
      <w:r w:rsidRPr="00214A5B">
        <w:rPr>
          <w:b/>
          <w:bCs/>
          <w:color w:val="00B050"/>
        </w:rPr>
        <w:t xml:space="preserve">except </w:t>
      </w:r>
      <w:r w:rsidRPr="00214A5B">
        <w:rPr>
          <w:color w:val="00B050"/>
        </w:rPr>
        <w:t>when present as an impurity or degradant at 0.0383% or less of benzophenone</w:t>
      </w:r>
      <w:r w:rsidR="00A573A4" w:rsidRPr="00214A5B">
        <w:rPr>
          <w:color w:val="00B050"/>
        </w:rPr>
        <w:t>; or</w:t>
      </w:r>
    </w:p>
    <w:p w14:paraId="00F4B45F" w14:textId="77777777" w:rsidR="00A573A4" w:rsidRPr="00214A5B" w:rsidRDefault="00A573A4" w:rsidP="00A573A4">
      <w:pPr>
        <w:pStyle w:val="ListParagraph"/>
        <w:numPr>
          <w:ilvl w:val="0"/>
          <w:numId w:val="32"/>
        </w:numPr>
        <w:rPr>
          <w:color w:val="00B050"/>
        </w:rPr>
      </w:pPr>
      <w:r>
        <w:rPr>
          <w:color w:val="00B050"/>
        </w:rPr>
        <w:t>air care products</w:t>
      </w:r>
      <w:r w:rsidRPr="00214A5B">
        <w:rPr>
          <w:color w:val="00B050"/>
        </w:rPr>
        <w:t xml:space="preserve"> </w:t>
      </w:r>
      <w:r w:rsidRPr="00551563">
        <w:rPr>
          <w:b/>
          <w:bCs/>
          <w:color w:val="00B050"/>
        </w:rPr>
        <w:t>except</w:t>
      </w:r>
      <w:r w:rsidRPr="00214A5B">
        <w:rPr>
          <w:color w:val="00B050"/>
        </w:rPr>
        <w:t xml:space="preserve"> when containing 0.3% or less benzophenone</w:t>
      </w:r>
    </w:p>
    <w:p w14:paraId="46B847D9" w14:textId="77777777" w:rsidR="00A573A4" w:rsidRDefault="00A573A4" w:rsidP="00A573A4">
      <w:pPr>
        <w:ind w:left="426"/>
        <w:rPr>
          <w:rFonts w:cs="Arial"/>
        </w:rPr>
      </w:pPr>
      <w:r w:rsidRPr="00A00EA6">
        <w:rPr>
          <w:rFonts w:eastAsia="Arial" w:cs="Arial"/>
          <w:b/>
          <w:bCs/>
        </w:rPr>
        <w:t xml:space="preserve">Appendix F, clause 4 </w:t>
      </w:r>
      <w:r w:rsidRPr="00A00EA6">
        <w:rPr>
          <w:rFonts w:cs="Arial"/>
          <w:b/>
          <w:bCs/>
        </w:rPr>
        <w:t>(Warning statements and safety directions)</w:t>
      </w:r>
      <w:r>
        <w:rPr>
          <w:rFonts w:cs="Arial"/>
        </w:rPr>
        <w:t xml:space="preserve"> </w:t>
      </w:r>
      <w:r w:rsidRPr="00A00EA6">
        <w:rPr>
          <w:rFonts w:cs="Arial"/>
          <w:b/>
          <w:bCs/>
        </w:rPr>
        <w:t>– New entry</w:t>
      </w:r>
    </w:p>
    <w:tbl>
      <w:tblPr>
        <w:tblStyle w:val="TableGrid"/>
        <w:tblW w:w="5000" w:type="pct"/>
        <w:tblLook w:val="04A0" w:firstRow="1" w:lastRow="0" w:firstColumn="1" w:lastColumn="0" w:noHBand="0" w:noVBand="1"/>
      </w:tblPr>
      <w:tblGrid>
        <w:gridCol w:w="782"/>
        <w:gridCol w:w="2208"/>
        <w:gridCol w:w="2851"/>
        <w:gridCol w:w="3209"/>
      </w:tblGrid>
      <w:tr w:rsidR="00A573A4" w14:paraId="2E8B1A69" w14:textId="77777777" w:rsidTr="005F731A">
        <w:trPr>
          <w:trHeight w:val="300"/>
        </w:trPr>
        <w:tc>
          <w:tcPr>
            <w:tcW w:w="448"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26A93789" w14:textId="77777777" w:rsidR="00A573A4" w:rsidRDefault="00A573A4" w:rsidP="005F731A">
            <w:pPr>
              <w:spacing w:before="80" w:after="40" w:line="264" w:lineRule="auto"/>
              <w:ind w:left="113"/>
            </w:pPr>
            <w:r w:rsidRPr="1216A510">
              <w:rPr>
                <w:rFonts w:eastAsia="Arial" w:cs="Arial"/>
                <w:b/>
                <w:bCs/>
                <w:color w:val="263287"/>
                <w:sz w:val="22"/>
                <w:szCs w:val="22"/>
              </w:rPr>
              <w:t>Item</w:t>
            </w:r>
          </w:p>
        </w:tc>
        <w:tc>
          <w:tcPr>
            <w:tcW w:w="1157"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44C450B2" w14:textId="77777777" w:rsidR="00A573A4" w:rsidRDefault="00A573A4" w:rsidP="005F731A">
            <w:pPr>
              <w:spacing w:before="80" w:after="40" w:line="264" w:lineRule="auto"/>
              <w:ind w:left="113"/>
            </w:pPr>
            <w:r>
              <w:rPr>
                <w:rFonts w:eastAsia="Arial" w:cs="Arial"/>
                <w:b/>
                <w:bCs/>
                <w:color w:val="263287"/>
                <w:sz w:val="22"/>
                <w:szCs w:val="22"/>
              </w:rPr>
              <w:t>Poison</w:t>
            </w:r>
          </w:p>
        </w:tc>
        <w:tc>
          <w:tcPr>
            <w:tcW w:w="1601"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3A5892E8" w14:textId="77777777" w:rsidR="00A573A4" w:rsidRDefault="00A573A4" w:rsidP="005F731A">
            <w:pPr>
              <w:spacing w:before="80" w:after="40" w:line="264" w:lineRule="auto"/>
              <w:ind w:left="113"/>
            </w:pPr>
            <w:r w:rsidRPr="00A00EA6">
              <w:rPr>
                <w:rFonts w:eastAsia="Arial" w:cs="Arial"/>
                <w:b/>
                <w:bCs/>
                <w:color w:val="263287"/>
                <w:sz w:val="22"/>
                <w:szCs w:val="22"/>
              </w:rPr>
              <w:t>Warning statement item number and statement</w:t>
            </w:r>
          </w:p>
        </w:tc>
        <w:tc>
          <w:tcPr>
            <w:tcW w:w="1794"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7308AABD" w14:textId="77777777" w:rsidR="00A573A4" w:rsidRDefault="00A573A4" w:rsidP="005F731A">
            <w:pPr>
              <w:spacing w:before="80" w:after="40" w:line="264" w:lineRule="auto"/>
              <w:ind w:left="113"/>
            </w:pPr>
            <w:r w:rsidRPr="00A00EA6">
              <w:rPr>
                <w:rFonts w:eastAsia="Arial" w:cs="Arial"/>
                <w:b/>
                <w:bCs/>
                <w:color w:val="263287"/>
                <w:sz w:val="22"/>
                <w:szCs w:val="22"/>
              </w:rPr>
              <w:t>Safety direction item number and statement</w:t>
            </w:r>
          </w:p>
        </w:tc>
      </w:tr>
      <w:tr w:rsidR="00A573A4" w:rsidRPr="00F23562" w14:paraId="56D6C00C" w14:textId="77777777" w:rsidTr="005F731A">
        <w:trPr>
          <w:trHeight w:val="769"/>
        </w:trPr>
        <w:tc>
          <w:tcPr>
            <w:tcW w:w="448"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2980EA77" w14:textId="77777777" w:rsidR="00A573A4" w:rsidRPr="00702748" w:rsidRDefault="00A573A4" w:rsidP="005F731A">
            <w:pPr>
              <w:spacing w:before="80" w:after="40" w:line="264" w:lineRule="auto"/>
              <w:ind w:left="113"/>
              <w:rPr>
                <w:rFonts w:cs="Arial"/>
              </w:rPr>
            </w:pPr>
            <w:r w:rsidRPr="00610CF4">
              <w:rPr>
                <w:rFonts w:cs="Arial"/>
                <w:color w:val="00B050"/>
                <w:sz w:val="20"/>
                <w:szCs w:val="20"/>
              </w:rPr>
              <w:t>40</w:t>
            </w:r>
          </w:p>
        </w:tc>
        <w:tc>
          <w:tcPr>
            <w:tcW w:w="1157"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51AF932C" w14:textId="77777777" w:rsidR="00A573A4" w:rsidRPr="00702748" w:rsidRDefault="00A573A4" w:rsidP="005F731A">
            <w:pPr>
              <w:spacing w:before="80" w:after="40" w:line="264" w:lineRule="auto"/>
              <w:ind w:left="113"/>
              <w:rPr>
                <w:rFonts w:cs="Arial"/>
              </w:rPr>
            </w:pPr>
            <w:r w:rsidRPr="00A132EA">
              <w:rPr>
                <w:rFonts w:eastAsia="Arial" w:cs="Arial"/>
                <w:color w:val="00B050"/>
                <w:sz w:val="20"/>
                <w:szCs w:val="20"/>
              </w:rPr>
              <w:t>BENZOPHENONE—in air care products</w:t>
            </w:r>
          </w:p>
        </w:tc>
        <w:tc>
          <w:tcPr>
            <w:tcW w:w="1601"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57ADE4D0" w14:textId="77777777" w:rsidR="00A573A4" w:rsidRPr="00702748" w:rsidRDefault="00A573A4" w:rsidP="005F731A">
            <w:pPr>
              <w:spacing w:before="80" w:after="40" w:line="264" w:lineRule="auto"/>
              <w:ind w:left="113"/>
              <w:rPr>
                <w:rFonts w:cs="Arial"/>
              </w:rPr>
            </w:pPr>
            <w:r>
              <w:rPr>
                <w:rFonts w:cs="Arial"/>
              </w:rPr>
              <w:t>-</w:t>
            </w:r>
          </w:p>
        </w:tc>
        <w:tc>
          <w:tcPr>
            <w:tcW w:w="1794"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452FD3A2" w14:textId="77777777" w:rsidR="00A573A4" w:rsidRPr="00702748" w:rsidRDefault="00A573A4" w:rsidP="005F731A">
            <w:pPr>
              <w:pStyle w:val="tabletext"/>
              <w:spacing w:before="60" w:beforeAutospacing="0" w:after="0" w:afterAutospacing="0" w:line="240" w:lineRule="atLeast"/>
              <w:rPr>
                <w:rFonts w:cs="Arial"/>
              </w:rPr>
            </w:pPr>
            <w:r>
              <w:rPr>
                <w:rFonts w:ascii="Arial" w:hAnsi="Arial" w:cs="Arial"/>
                <w:color w:val="000000"/>
                <w:sz w:val="20"/>
                <w:szCs w:val="20"/>
              </w:rPr>
              <w:t xml:space="preserve">9 – </w:t>
            </w:r>
            <w:r w:rsidRPr="00A00EA6">
              <w:rPr>
                <w:rFonts w:ascii="Arial" w:hAnsi="Arial" w:cs="Arial"/>
                <w:color w:val="000000"/>
                <w:sz w:val="20"/>
                <w:szCs w:val="20"/>
              </w:rPr>
              <w:t>Use</w:t>
            </w:r>
            <w:r>
              <w:rPr>
                <w:rFonts w:ascii="Arial" w:hAnsi="Arial" w:cs="Arial"/>
                <w:color w:val="000000"/>
                <w:sz w:val="20"/>
                <w:szCs w:val="20"/>
              </w:rPr>
              <w:t xml:space="preserve"> </w:t>
            </w:r>
            <w:r w:rsidRPr="00A00EA6">
              <w:rPr>
                <w:rFonts w:ascii="Arial" w:hAnsi="Arial" w:cs="Arial"/>
                <w:color w:val="000000"/>
                <w:sz w:val="20"/>
                <w:szCs w:val="20"/>
              </w:rPr>
              <w:t>only in well</w:t>
            </w:r>
            <w:r>
              <w:rPr>
                <w:rFonts w:ascii="Arial" w:hAnsi="Arial" w:cs="Arial"/>
                <w:color w:val="000000"/>
                <w:sz w:val="20"/>
                <w:szCs w:val="20"/>
              </w:rPr>
              <w:t>-</w:t>
            </w:r>
            <w:r w:rsidRPr="00A00EA6">
              <w:rPr>
                <w:rFonts w:ascii="Arial" w:hAnsi="Arial" w:cs="Arial"/>
                <w:color w:val="000000"/>
                <w:sz w:val="20"/>
                <w:szCs w:val="20"/>
              </w:rPr>
              <w:t>ventilated area</w:t>
            </w:r>
          </w:p>
        </w:tc>
      </w:tr>
    </w:tbl>
    <w:p w14:paraId="17E5D300" w14:textId="77777777" w:rsidR="00A573A4" w:rsidRDefault="00A573A4" w:rsidP="00A573A4">
      <w:pPr>
        <w:rPr>
          <w:rFonts w:eastAsia="Cambria" w:cs="Times New Roman"/>
          <w:bCs/>
          <w:color w:val="001871"/>
          <w:sz w:val="28"/>
          <w:szCs w:val="26"/>
        </w:rPr>
      </w:pPr>
      <w:bookmarkStart w:id="48" w:name="_Toc201870334"/>
      <w:r>
        <w:br w:type="page"/>
      </w:r>
    </w:p>
    <w:p w14:paraId="66DC755F" w14:textId="77777777" w:rsidR="00A573A4" w:rsidRDefault="00A573A4" w:rsidP="00A573A4">
      <w:pPr>
        <w:pStyle w:val="Heading4"/>
      </w:pPr>
      <w:bookmarkStart w:id="49" w:name="_Toc202177236"/>
      <w:r>
        <w:lastRenderedPageBreak/>
        <w:t>Key uses</w:t>
      </w:r>
      <w:bookmarkEnd w:id="48"/>
      <w:bookmarkEnd w:id="49"/>
    </w:p>
    <w:p w14:paraId="328FBD91" w14:textId="77777777" w:rsidR="00A573A4" w:rsidRPr="00610CF4" w:rsidRDefault="00A573A4" w:rsidP="00A573A4">
      <w:r>
        <w:t>Benzophenone</w:t>
      </w:r>
      <w:r w:rsidRPr="00610CF4">
        <w:t xml:space="preserve"> has reported cosmetic uses in personal care products including</w:t>
      </w:r>
      <w:r>
        <w:t xml:space="preserve"> fragrances, body lotion, face cream, hand cream, makeup, deodorant, nail products, hair products and body wash. However, available information indicates that the use of benzophenone in personal care products is not widespread.</w:t>
      </w:r>
    </w:p>
    <w:p w14:paraId="4F682769" w14:textId="77777777" w:rsidR="00A573A4" w:rsidRPr="00C417B6" w:rsidRDefault="00A573A4" w:rsidP="00A573A4">
      <w:pPr>
        <w:pStyle w:val="Heading4"/>
      </w:pPr>
      <w:bookmarkStart w:id="50" w:name="_Toc201870335"/>
      <w:bookmarkStart w:id="51" w:name="_Toc202177237"/>
      <w:r>
        <w:t>CAS Number</w:t>
      </w:r>
      <w:bookmarkEnd w:id="50"/>
      <w:bookmarkEnd w:id="51"/>
    </w:p>
    <w:p w14:paraId="69BCC8C6" w14:textId="77777777" w:rsidR="00A573A4" w:rsidRPr="00F41726" w:rsidRDefault="00A573A4" w:rsidP="00A573A4">
      <w:r>
        <w:t>119-61-9</w:t>
      </w:r>
    </w:p>
    <w:p w14:paraId="0A6F47C6" w14:textId="77777777" w:rsidR="00A573A4" w:rsidRPr="00C417B6" w:rsidRDefault="00A573A4" w:rsidP="00A573A4">
      <w:pPr>
        <w:pStyle w:val="Heading4"/>
        <w:rPr>
          <w:rFonts w:eastAsiaTheme="minorEastAsia" w:cstheme="minorBidi"/>
          <w:color w:val="auto"/>
          <w:sz w:val="20"/>
          <w:szCs w:val="20"/>
        </w:rPr>
      </w:pPr>
      <w:bookmarkStart w:id="52" w:name="_Toc201870336"/>
      <w:bookmarkStart w:id="53" w:name="_Toc202177238"/>
      <w:r w:rsidRPr="00C874D8">
        <w:t>Alternative names</w:t>
      </w:r>
      <w:bookmarkEnd w:id="52"/>
      <w:bookmarkEnd w:id="53"/>
    </w:p>
    <w:p w14:paraId="6A21235C" w14:textId="77777777" w:rsidR="00A573A4" w:rsidRPr="00736CDE" w:rsidRDefault="00A573A4" w:rsidP="00A573A4">
      <w:proofErr w:type="spellStart"/>
      <w:r w:rsidRPr="00A02289">
        <w:t>Methanone</w:t>
      </w:r>
      <w:proofErr w:type="spellEnd"/>
      <w:r w:rsidRPr="00A02289">
        <w:t>, diphenyl-</w:t>
      </w:r>
      <w:r>
        <w:t xml:space="preserve">; </w:t>
      </w:r>
      <w:proofErr w:type="spellStart"/>
      <w:r w:rsidRPr="00736CDE">
        <w:t>Diphenylmethanone</w:t>
      </w:r>
      <w:proofErr w:type="spellEnd"/>
      <w:r>
        <w:t xml:space="preserve">; </w:t>
      </w:r>
      <w:r w:rsidRPr="00736CDE">
        <w:t>Diphenyl ketone</w:t>
      </w:r>
    </w:p>
    <w:p w14:paraId="1456759D" w14:textId="77777777" w:rsidR="00A573A4" w:rsidRDefault="00A573A4" w:rsidP="00A573A4">
      <w:pPr>
        <w:pStyle w:val="Heading4"/>
      </w:pPr>
      <w:bookmarkStart w:id="54" w:name="_Toc201870337"/>
      <w:bookmarkStart w:id="55" w:name="_Toc202177239"/>
      <w:r w:rsidRPr="1216A510">
        <w:t>Australian regulations</w:t>
      </w:r>
      <w:bookmarkEnd w:id="54"/>
      <w:bookmarkEnd w:id="55"/>
    </w:p>
    <w:p w14:paraId="53EABECF" w14:textId="77777777" w:rsidR="00A573A4" w:rsidRDefault="00A573A4" w:rsidP="00A573A4">
      <w:pPr>
        <w:pStyle w:val="ListParagraph"/>
      </w:pPr>
      <w:r w:rsidRPr="00176B41">
        <w:t xml:space="preserve">According to the </w:t>
      </w:r>
      <w:hyperlink r:id="rId70">
        <w:r w:rsidRPr="1216A510">
          <w:rPr>
            <w:rStyle w:val="Hyperlink"/>
          </w:rPr>
          <w:t>TGA Ingredient Database</w:t>
        </w:r>
      </w:hyperlink>
      <w:r w:rsidRPr="1216A510">
        <w:t xml:space="preserve">, </w:t>
      </w:r>
      <w:r>
        <w:t>benzophenone</w:t>
      </w:r>
      <w:r w:rsidRPr="1216A510">
        <w:t xml:space="preserve"> </w:t>
      </w:r>
      <w:r w:rsidRPr="00176B41">
        <w:t>is available for use as an</w:t>
      </w:r>
      <w:r>
        <w:t>:</w:t>
      </w:r>
    </w:p>
    <w:p w14:paraId="6FA6DC92" w14:textId="77777777" w:rsidR="00A573A4" w:rsidRDefault="00A573A4" w:rsidP="00A573A4">
      <w:pPr>
        <w:pStyle w:val="ListParagraph"/>
        <w:numPr>
          <w:ilvl w:val="0"/>
          <w:numId w:val="44"/>
        </w:numPr>
      </w:pPr>
      <w:r w:rsidRPr="00176B41">
        <w:t>active ingredient in Biologicals, Export Only, Over the Counter</w:t>
      </w:r>
      <w:r>
        <w:t xml:space="preserve"> and</w:t>
      </w:r>
      <w:r w:rsidRPr="00176B41">
        <w:t xml:space="preserve"> Prescription Medicines</w:t>
      </w:r>
    </w:p>
    <w:p w14:paraId="6F68B0EA" w14:textId="77777777" w:rsidR="00A573A4" w:rsidRPr="00125266" w:rsidRDefault="00A573A4" w:rsidP="00A573A4">
      <w:pPr>
        <w:pStyle w:val="ListParagraph"/>
        <w:numPr>
          <w:ilvl w:val="0"/>
          <w:numId w:val="44"/>
        </w:numPr>
      </w:pPr>
      <w:r>
        <w:t xml:space="preserve">excipient ingredient in </w:t>
      </w:r>
      <w:r w:rsidRPr="00610CF4">
        <w:t>Biologicals, Devices, Listed Medicines, Over the Counter</w:t>
      </w:r>
      <w:r>
        <w:t xml:space="preserve"> and</w:t>
      </w:r>
      <w:r w:rsidRPr="00610CF4">
        <w:t xml:space="preserve"> Prescription Medicines</w:t>
      </w:r>
    </w:p>
    <w:p w14:paraId="1E580628" w14:textId="77777777" w:rsidR="00A573A4" w:rsidRDefault="00A573A4" w:rsidP="00A573A4">
      <w:pPr>
        <w:pStyle w:val="ListParagraph"/>
      </w:pPr>
      <w:r w:rsidRPr="7CA7C145">
        <w:t xml:space="preserve">As of </w:t>
      </w:r>
      <w:r>
        <w:t>26 June</w:t>
      </w:r>
      <w:r w:rsidRPr="00706504">
        <w:t xml:space="preserve"> 2025, there</w:t>
      </w:r>
      <w:r w:rsidRPr="7CA7C145">
        <w:t xml:space="preserve"> were </w:t>
      </w:r>
      <w:r>
        <w:t>no</w:t>
      </w:r>
      <w:r w:rsidRPr="7CA7C145">
        <w:t xml:space="preserve"> medicine active on the </w:t>
      </w:r>
      <w:hyperlink r:id="rId71" w:history="1">
        <w:r w:rsidRPr="7CA7C145">
          <w:rPr>
            <w:rStyle w:val="Hyperlink"/>
          </w:rPr>
          <w:t>Australian Register of Therapeutic Goods (</w:t>
        </w:r>
        <w:proofErr w:type="spellStart"/>
        <w:r w:rsidRPr="7CA7C145">
          <w:rPr>
            <w:rStyle w:val="Hyperlink"/>
          </w:rPr>
          <w:t>ARTG</w:t>
        </w:r>
        <w:proofErr w:type="spellEnd"/>
        <w:r w:rsidRPr="7CA7C145">
          <w:rPr>
            <w:rStyle w:val="Hyperlink"/>
          </w:rPr>
          <w:t>)</w:t>
        </w:r>
      </w:hyperlink>
      <w:r w:rsidRPr="7CA7C145">
        <w:t xml:space="preserve"> that contain </w:t>
      </w:r>
      <w:r>
        <w:t>benzophenone.</w:t>
      </w:r>
    </w:p>
    <w:p w14:paraId="31F0FDD4" w14:textId="77777777" w:rsidR="00A573A4" w:rsidRPr="00125266" w:rsidRDefault="00A573A4" w:rsidP="00A573A4">
      <w:pPr>
        <w:pStyle w:val="ListParagraph"/>
      </w:pPr>
      <w:r w:rsidRPr="00125266">
        <w:t xml:space="preserve">According to the </w:t>
      </w:r>
      <w:hyperlink r:id="rId72">
        <w:r w:rsidRPr="1216A510">
          <w:rPr>
            <w:rStyle w:val="Hyperlink"/>
          </w:rPr>
          <w:t>Therapeutic Goods (Permissible Ingredients) Determination</w:t>
        </w:r>
      </w:hyperlink>
      <w:r w:rsidRPr="00125266">
        <w:t xml:space="preserve"> No.</w:t>
      </w:r>
      <w:r>
        <w:t xml:space="preserve"> 2</w:t>
      </w:r>
      <w:r w:rsidRPr="00125266">
        <w:t xml:space="preserve"> of 2025, benzophenone is permitted to be included in listed medicines as follows:</w:t>
      </w:r>
    </w:p>
    <w:tbl>
      <w:tblPr>
        <w:tblStyle w:val="TableGrid"/>
        <w:tblW w:w="5000" w:type="pct"/>
        <w:tblLook w:val="04A0" w:firstRow="1" w:lastRow="0" w:firstColumn="1" w:lastColumn="0" w:noHBand="0" w:noVBand="1"/>
      </w:tblPr>
      <w:tblGrid>
        <w:gridCol w:w="842"/>
        <w:gridCol w:w="2127"/>
        <w:gridCol w:w="1274"/>
        <w:gridCol w:w="4807"/>
      </w:tblGrid>
      <w:tr w:rsidR="00A573A4" w14:paraId="503A935C" w14:textId="77777777" w:rsidTr="005F731A">
        <w:trPr>
          <w:trHeight w:val="300"/>
        </w:trPr>
        <w:tc>
          <w:tcPr>
            <w:tcW w:w="465"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05468AEE" w14:textId="77777777" w:rsidR="00A573A4" w:rsidRDefault="00A573A4" w:rsidP="005F731A">
            <w:pPr>
              <w:spacing w:before="80" w:after="40" w:line="264" w:lineRule="auto"/>
              <w:ind w:left="113"/>
            </w:pPr>
            <w:r w:rsidRPr="1216A510">
              <w:rPr>
                <w:rFonts w:eastAsia="Arial" w:cs="Arial"/>
                <w:b/>
                <w:bCs/>
                <w:color w:val="263287"/>
                <w:sz w:val="22"/>
                <w:szCs w:val="22"/>
              </w:rPr>
              <w:t>Item</w:t>
            </w:r>
          </w:p>
        </w:tc>
        <w:tc>
          <w:tcPr>
            <w:tcW w:w="1175"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7E4C88ED" w14:textId="77777777" w:rsidR="00A573A4" w:rsidRDefault="00A573A4" w:rsidP="005F731A">
            <w:pPr>
              <w:spacing w:before="80" w:after="40" w:line="264" w:lineRule="auto"/>
              <w:ind w:left="113"/>
            </w:pPr>
            <w:r w:rsidRPr="1216A510">
              <w:rPr>
                <w:rFonts w:eastAsia="Arial" w:cs="Arial"/>
                <w:b/>
                <w:bCs/>
                <w:color w:val="263287"/>
                <w:sz w:val="22"/>
                <w:szCs w:val="22"/>
              </w:rPr>
              <w:t>Ingredient name</w:t>
            </w:r>
          </w:p>
        </w:tc>
        <w:tc>
          <w:tcPr>
            <w:tcW w:w="704"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592DDC57" w14:textId="77777777" w:rsidR="00A573A4" w:rsidRDefault="00A573A4" w:rsidP="005F731A">
            <w:pPr>
              <w:spacing w:before="80" w:after="40" w:line="264" w:lineRule="auto"/>
              <w:ind w:left="113"/>
            </w:pPr>
            <w:r w:rsidRPr="1216A510">
              <w:rPr>
                <w:rFonts w:eastAsia="Arial" w:cs="Arial"/>
                <w:b/>
                <w:bCs/>
                <w:color w:val="263287"/>
                <w:sz w:val="22"/>
                <w:szCs w:val="22"/>
              </w:rPr>
              <w:t>Purpose</w:t>
            </w:r>
          </w:p>
        </w:tc>
        <w:tc>
          <w:tcPr>
            <w:tcW w:w="2656" w:type="pct"/>
            <w:tcBorders>
              <w:top w:val="single" w:sz="8" w:space="0" w:color="263287"/>
              <w:left w:val="single" w:sz="8" w:space="0" w:color="263287"/>
              <w:bottom w:val="single" w:sz="8" w:space="0" w:color="263287"/>
              <w:right w:val="single" w:sz="8" w:space="0" w:color="263287"/>
            </w:tcBorders>
            <w:shd w:val="clear" w:color="auto" w:fill="B8CCEA"/>
            <w:tcMar>
              <w:left w:w="108" w:type="dxa"/>
              <w:right w:w="108" w:type="dxa"/>
            </w:tcMar>
          </w:tcPr>
          <w:p w14:paraId="4F6AD357" w14:textId="77777777" w:rsidR="00A573A4" w:rsidRDefault="00A573A4" w:rsidP="005F731A">
            <w:pPr>
              <w:spacing w:before="80" w:after="40" w:line="264" w:lineRule="auto"/>
              <w:ind w:left="113"/>
            </w:pPr>
            <w:r w:rsidRPr="1216A510">
              <w:rPr>
                <w:rFonts w:eastAsia="Arial" w:cs="Arial"/>
                <w:b/>
                <w:bCs/>
                <w:color w:val="263287"/>
                <w:sz w:val="22"/>
                <w:szCs w:val="22"/>
              </w:rPr>
              <w:t>Specific requirements</w:t>
            </w:r>
          </w:p>
        </w:tc>
      </w:tr>
      <w:tr w:rsidR="00A573A4" w:rsidRPr="00F23562" w14:paraId="0DE67FD6" w14:textId="77777777" w:rsidTr="005F731A">
        <w:trPr>
          <w:trHeight w:val="300"/>
        </w:trPr>
        <w:tc>
          <w:tcPr>
            <w:tcW w:w="465"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723419B2" w14:textId="77777777" w:rsidR="00A573A4" w:rsidRPr="00F23562" w:rsidRDefault="00A573A4" w:rsidP="005F731A">
            <w:pPr>
              <w:spacing w:before="80" w:after="40" w:line="264" w:lineRule="auto"/>
              <w:ind w:left="113"/>
              <w:rPr>
                <w:rFonts w:cs="Arial"/>
              </w:rPr>
            </w:pPr>
            <w:r w:rsidRPr="00F23562">
              <w:rPr>
                <w:rFonts w:cs="Arial"/>
                <w:color w:val="000000"/>
                <w:sz w:val="20"/>
                <w:szCs w:val="20"/>
              </w:rPr>
              <w:t>807</w:t>
            </w:r>
          </w:p>
        </w:tc>
        <w:tc>
          <w:tcPr>
            <w:tcW w:w="1175"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53CAA35F" w14:textId="77777777" w:rsidR="00A573A4" w:rsidRPr="00F23562" w:rsidRDefault="00A573A4" w:rsidP="005F731A">
            <w:pPr>
              <w:spacing w:before="80" w:after="40" w:line="264" w:lineRule="auto"/>
              <w:ind w:left="113"/>
              <w:rPr>
                <w:rFonts w:cs="Arial"/>
              </w:rPr>
            </w:pPr>
            <w:r w:rsidRPr="00F23562">
              <w:rPr>
                <w:rFonts w:cs="Arial"/>
                <w:color w:val="000000"/>
                <w:sz w:val="20"/>
                <w:szCs w:val="20"/>
              </w:rPr>
              <w:t>BENZOPHENONE</w:t>
            </w:r>
          </w:p>
        </w:tc>
        <w:tc>
          <w:tcPr>
            <w:tcW w:w="704"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1FEA47F5" w14:textId="77777777" w:rsidR="00A573A4" w:rsidRPr="00F23562" w:rsidRDefault="00A573A4" w:rsidP="005F731A">
            <w:pPr>
              <w:spacing w:before="80" w:after="40" w:line="264" w:lineRule="auto"/>
              <w:ind w:left="113"/>
              <w:rPr>
                <w:rFonts w:cs="Arial"/>
              </w:rPr>
            </w:pPr>
            <w:r w:rsidRPr="00F23562">
              <w:rPr>
                <w:rFonts w:cs="Arial"/>
                <w:color w:val="000000"/>
                <w:sz w:val="20"/>
                <w:szCs w:val="20"/>
              </w:rPr>
              <w:t>E</w:t>
            </w:r>
          </w:p>
        </w:tc>
        <w:tc>
          <w:tcPr>
            <w:tcW w:w="2656" w:type="pct"/>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79D750AD" w14:textId="77777777" w:rsidR="00A573A4" w:rsidRPr="00F23562" w:rsidRDefault="00A573A4" w:rsidP="005F731A">
            <w:pPr>
              <w:pStyle w:val="tabletext"/>
              <w:spacing w:before="60" w:beforeAutospacing="0" w:after="0" w:afterAutospacing="0" w:line="240" w:lineRule="atLeast"/>
              <w:rPr>
                <w:rFonts w:ascii="Arial" w:hAnsi="Arial" w:cs="Arial"/>
                <w:color w:val="000000"/>
                <w:sz w:val="20"/>
                <w:szCs w:val="20"/>
              </w:rPr>
            </w:pPr>
            <w:r w:rsidRPr="00F23562">
              <w:rPr>
                <w:rFonts w:ascii="Arial" w:hAnsi="Arial" w:cs="Arial"/>
                <w:color w:val="000000"/>
                <w:sz w:val="20"/>
                <w:szCs w:val="20"/>
              </w:rPr>
              <w:t>Permitted for topical use only in combination with other permitted ingredients as a fragrance.</w:t>
            </w:r>
          </w:p>
          <w:p w14:paraId="543EF269" w14:textId="77777777" w:rsidR="00A573A4" w:rsidRPr="00F23562" w:rsidRDefault="00A573A4" w:rsidP="005F731A">
            <w:pPr>
              <w:spacing w:before="80" w:after="40" w:line="264" w:lineRule="auto"/>
              <w:rPr>
                <w:rFonts w:cs="Arial"/>
              </w:rPr>
            </w:pPr>
            <w:r w:rsidRPr="00F23562">
              <w:rPr>
                <w:rFonts w:cs="Arial"/>
                <w:color w:val="000000"/>
                <w:sz w:val="20"/>
                <w:szCs w:val="20"/>
              </w:rPr>
              <w:t>The total concentration of fragrance proprietary excipient formulations containing benzophenone must not be more than 1% of the total medicine.</w:t>
            </w:r>
          </w:p>
        </w:tc>
      </w:tr>
      <w:tr w:rsidR="00A573A4" w:rsidRPr="00F23562" w14:paraId="78C341F3" w14:textId="77777777" w:rsidTr="005F731A">
        <w:trPr>
          <w:trHeight w:val="300"/>
        </w:trPr>
        <w:tc>
          <w:tcPr>
            <w:tcW w:w="5000" w:type="pct"/>
            <w:gridSpan w:val="4"/>
            <w:tcBorders>
              <w:top w:val="single" w:sz="8" w:space="0" w:color="263287"/>
              <w:left w:val="single" w:sz="8" w:space="0" w:color="263287"/>
              <w:bottom w:val="single" w:sz="8" w:space="0" w:color="263287"/>
              <w:right w:val="single" w:sz="8" w:space="0" w:color="263287"/>
            </w:tcBorders>
            <w:shd w:val="clear" w:color="auto" w:fill="FFFFFF" w:themeFill="background1"/>
            <w:tcMar>
              <w:left w:w="108" w:type="dxa"/>
              <w:right w:w="108" w:type="dxa"/>
            </w:tcMar>
          </w:tcPr>
          <w:p w14:paraId="5EC2F87A" w14:textId="77777777" w:rsidR="00A573A4" w:rsidRPr="000D75E8" w:rsidRDefault="00A573A4" w:rsidP="005F731A">
            <w:pPr>
              <w:pStyle w:val="tabletext"/>
              <w:spacing w:before="60" w:beforeAutospacing="0" w:after="0" w:afterAutospacing="0" w:line="240" w:lineRule="atLeast"/>
              <w:rPr>
                <w:rFonts w:ascii="Arial" w:hAnsi="Arial" w:cs="Arial"/>
                <w:color w:val="000000"/>
                <w:sz w:val="18"/>
                <w:szCs w:val="18"/>
              </w:rPr>
            </w:pPr>
            <w:r w:rsidRPr="000D75E8">
              <w:rPr>
                <w:rFonts w:ascii="Arial" w:hAnsi="Arial" w:cs="Arial"/>
                <w:color w:val="000000"/>
                <w:sz w:val="18"/>
                <w:szCs w:val="18"/>
              </w:rPr>
              <w:t>E = excipient for a medicine meaning an ingredient that is not an active ingredient or a homoeopathic preparation ingredient</w:t>
            </w:r>
            <w:r>
              <w:rPr>
                <w:rFonts w:ascii="Arial" w:hAnsi="Arial" w:cs="Arial"/>
                <w:color w:val="000000"/>
                <w:sz w:val="18"/>
                <w:szCs w:val="18"/>
              </w:rPr>
              <w:t>.</w:t>
            </w:r>
          </w:p>
        </w:tc>
      </w:tr>
    </w:tbl>
    <w:p w14:paraId="75C5FB1D" w14:textId="77777777" w:rsidR="00A573A4" w:rsidRDefault="00A573A4" w:rsidP="00A573A4"/>
    <w:p w14:paraId="473F80D8" w14:textId="77777777" w:rsidR="00A573A4" w:rsidRPr="004B0899" w:rsidRDefault="00A573A4" w:rsidP="00A573A4">
      <w:pPr>
        <w:pStyle w:val="ListParagraph"/>
        <w:rPr>
          <w:color w:val="000000" w:themeColor="text1"/>
        </w:rPr>
      </w:pPr>
      <w:r w:rsidRPr="004B0899">
        <w:rPr>
          <w:color w:val="000000" w:themeColor="text1"/>
        </w:rPr>
        <w:t xml:space="preserve">The </w:t>
      </w:r>
      <w:hyperlink r:id="rId73" w:history="1">
        <w:r w:rsidRPr="004B0899">
          <w:rPr>
            <w:rStyle w:val="Hyperlink"/>
          </w:rPr>
          <w:t>TGA prescribing medicines in pregnancy database</w:t>
        </w:r>
      </w:hyperlink>
      <w:r w:rsidRPr="004B0899">
        <w:rPr>
          <w:color w:val="000000" w:themeColor="text1"/>
        </w:rPr>
        <w:t xml:space="preserve"> does not include </w:t>
      </w:r>
      <w:r>
        <w:rPr>
          <w:color w:val="000000" w:themeColor="text1"/>
        </w:rPr>
        <w:t>benzophenone.</w:t>
      </w:r>
    </w:p>
    <w:p w14:paraId="6A3EBB4D" w14:textId="77777777" w:rsidR="00A573A4" w:rsidRDefault="00A573A4" w:rsidP="00A573A4">
      <w:pPr>
        <w:pStyle w:val="ListParagraph"/>
      </w:pPr>
      <w:r w:rsidRPr="004B0899">
        <w:rPr>
          <w:color w:val="000000" w:themeColor="text1"/>
        </w:rPr>
        <w:t xml:space="preserve">There are no warning statements pertaining to </w:t>
      </w:r>
      <w:r>
        <w:rPr>
          <w:color w:val="000000" w:themeColor="text1"/>
        </w:rPr>
        <w:t>benzophenone</w:t>
      </w:r>
      <w:r w:rsidRPr="004B0899">
        <w:rPr>
          <w:color w:val="000000" w:themeColor="text1"/>
        </w:rPr>
        <w:t xml:space="preserve"> in the </w:t>
      </w:r>
      <w:hyperlink r:id="rId74" w:history="1">
        <w:r w:rsidRPr="7CA7C145">
          <w:rPr>
            <w:rStyle w:val="Hyperlink"/>
          </w:rPr>
          <w:t>Therapeutic Goods (Medicines Advisory Statements) Specification 2021</w:t>
        </w:r>
      </w:hyperlink>
      <w:r w:rsidRPr="7CA7C145">
        <w:rPr>
          <w:rStyle w:val="Hyperlink"/>
        </w:rPr>
        <w:t>.</w:t>
      </w:r>
    </w:p>
    <w:p w14:paraId="03A47B34" w14:textId="77777777" w:rsidR="00A573A4" w:rsidRDefault="00A573A4" w:rsidP="00A573A4">
      <w:pPr>
        <w:pStyle w:val="ListParagraph"/>
      </w:pPr>
      <w:r w:rsidRPr="7CA7C145">
        <w:t xml:space="preserve">As of </w:t>
      </w:r>
      <w:r>
        <w:t>26 June</w:t>
      </w:r>
      <w:r w:rsidRPr="7CA7C145">
        <w:t xml:space="preserve"> </w:t>
      </w:r>
      <w:r w:rsidRPr="00436A38">
        <w:t>2025</w:t>
      </w:r>
      <w:r w:rsidRPr="7CA7C145">
        <w:t xml:space="preserve">, there were </w:t>
      </w:r>
      <w:r>
        <w:t>no</w:t>
      </w:r>
      <w:r w:rsidRPr="7CA7C145">
        <w:t xml:space="preserve"> report of adverse events for products containing oxybenzone.</w:t>
      </w:r>
    </w:p>
    <w:p w14:paraId="58172187" w14:textId="77777777" w:rsidR="00A573A4" w:rsidRDefault="00A573A4" w:rsidP="00A573A4">
      <w:pPr>
        <w:pStyle w:val="ListParagraph"/>
      </w:pPr>
      <w:r w:rsidRPr="7CA7C145">
        <w:t xml:space="preserve">As of </w:t>
      </w:r>
      <w:r>
        <w:t>26 June</w:t>
      </w:r>
      <w:r w:rsidRPr="00436A38">
        <w:t xml:space="preserve"> 2025</w:t>
      </w:r>
      <w:r w:rsidRPr="7CA7C145">
        <w:t xml:space="preserve">, there were </w:t>
      </w:r>
      <w:r>
        <w:t>no</w:t>
      </w:r>
      <w:r w:rsidRPr="7CA7C145">
        <w:t xml:space="preserve"> product containing oxybenzone listed on the </w:t>
      </w:r>
      <w:hyperlink r:id="rId75" w:history="1">
        <w:r w:rsidRPr="7CA7C145">
          <w:rPr>
            <w:rStyle w:val="Hyperlink"/>
          </w:rPr>
          <w:t>Public Chemical Registration Information System Search (</w:t>
        </w:r>
        <w:proofErr w:type="spellStart"/>
        <w:r w:rsidRPr="7CA7C145">
          <w:rPr>
            <w:rStyle w:val="Hyperlink"/>
          </w:rPr>
          <w:t>PubCRIS</w:t>
        </w:r>
        <w:proofErr w:type="spellEnd"/>
        <w:r w:rsidRPr="7CA7C145">
          <w:rPr>
            <w:rStyle w:val="Hyperlink"/>
          </w:rPr>
          <w:t>)</w:t>
        </w:r>
      </w:hyperlink>
      <w:r w:rsidRPr="7CA7C145">
        <w:t>.</w:t>
      </w:r>
    </w:p>
    <w:p w14:paraId="0A6E1542" w14:textId="77777777" w:rsidR="00A573A4" w:rsidRDefault="00A573A4" w:rsidP="00A573A4">
      <w:pPr>
        <w:pStyle w:val="ListParagraph"/>
      </w:pPr>
      <w:r w:rsidRPr="7CA7C145">
        <w:t xml:space="preserve">In 2010-2020 there were no adverse experiences recorded for oxybenzone in the </w:t>
      </w:r>
      <w:hyperlink r:id="rId76" w:history="1">
        <w:proofErr w:type="spellStart"/>
        <w:r w:rsidRPr="7CA7C145">
          <w:rPr>
            <w:rStyle w:val="Hyperlink"/>
          </w:rPr>
          <w:t>APVMA</w:t>
        </w:r>
        <w:proofErr w:type="spellEnd"/>
        <w:r w:rsidRPr="7CA7C145">
          <w:rPr>
            <w:rStyle w:val="Hyperlink"/>
          </w:rPr>
          <w:t xml:space="preserve"> Adverse Experience Reporting Program</w:t>
        </w:r>
      </w:hyperlink>
      <w:r w:rsidRPr="7CA7C145">
        <w:t xml:space="preserve"> database (</w:t>
      </w:r>
      <w:proofErr w:type="spellStart"/>
      <w:r w:rsidRPr="7CA7C145">
        <w:t>AERP</w:t>
      </w:r>
      <w:proofErr w:type="spellEnd"/>
      <w:r w:rsidRPr="7CA7C145">
        <w:t>)</w:t>
      </w:r>
    </w:p>
    <w:p w14:paraId="3C3236F4" w14:textId="77777777" w:rsidR="00A573A4" w:rsidRPr="00125266" w:rsidRDefault="00A573A4" w:rsidP="00A573A4">
      <w:pPr>
        <w:pStyle w:val="ListParagraph"/>
      </w:pPr>
      <w:r w:rsidRPr="00125266">
        <w:t xml:space="preserve">Benzophenone is listed on the </w:t>
      </w:r>
      <w:hyperlink r:id="rId77" w:history="1">
        <w:r w:rsidRPr="00C34D77">
          <w:rPr>
            <w:rStyle w:val="Hyperlink"/>
          </w:rPr>
          <w:t>Australian Inventory of Industrial Chemicals</w:t>
        </w:r>
      </w:hyperlink>
      <w:r w:rsidRPr="00125266">
        <w:t xml:space="preserve"> as </w:t>
      </w:r>
      <w:proofErr w:type="spellStart"/>
      <w:r w:rsidRPr="00125266">
        <w:t>Methanone</w:t>
      </w:r>
      <w:proofErr w:type="spellEnd"/>
      <w:r w:rsidRPr="00125266">
        <w:t>, diphenyl-.</w:t>
      </w:r>
    </w:p>
    <w:p w14:paraId="6D730E66" w14:textId="77777777" w:rsidR="00A573A4" w:rsidRDefault="00A573A4" w:rsidP="00A573A4">
      <w:pPr>
        <w:rPr>
          <w:rFonts w:eastAsia="Cambria" w:cs="Times New Roman"/>
          <w:bCs/>
          <w:color w:val="001871"/>
          <w:sz w:val="28"/>
          <w:szCs w:val="26"/>
        </w:rPr>
      </w:pPr>
      <w:bookmarkStart w:id="56" w:name="_Toc201870338"/>
      <w:r>
        <w:br w:type="page"/>
      </w:r>
    </w:p>
    <w:p w14:paraId="71FC3E23" w14:textId="77777777" w:rsidR="00A573A4" w:rsidRPr="005025A5" w:rsidRDefault="00A573A4" w:rsidP="00A573A4">
      <w:pPr>
        <w:pStyle w:val="Heading4"/>
      </w:pPr>
      <w:bookmarkStart w:id="57" w:name="_Toc202177240"/>
      <w:r w:rsidRPr="005025A5">
        <w:lastRenderedPageBreak/>
        <w:t>International regulations</w:t>
      </w:r>
      <w:bookmarkEnd w:id="56"/>
      <w:bookmarkEnd w:id="57"/>
    </w:p>
    <w:p w14:paraId="74E8B1E2" w14:textId="77777777" w:rsidR="00A573A4" w:rsidRDefault="00A573A4" w:rsidP="00A573A4">
      <w:pPr>
        <w:pStyle w:val="ListParagraph"/>
      </w:pPr>
      <w:r>
        <w:t>Benzophenone</w:t>
      </w:r>
      <w:r w:rsidRPr="00D44411">
        <w:t xml:space="preserve"> is listed on the Health Canada </w:t>
      </w:r>
      <w:hyperlink r:id="rId78" w:anchor="tbl2" w:history="1">
        <w:r w:rsidRPr="001D06D6">
          <w:rPr>
            <w:rStyle w:val="Hyperlink"/>
          </w:rPr>
          <w:t>Cosmetic Ingredient Hotlist</w:t>
        </w:r>
      </w:hyperlink>
      <w:r w:rsidRPr="00D44411">
        <w:t xml:space="preserve"> - List of Ingredients that are Restricted for Use in Cosmetic Products, with a maximum concentration permitted of 3%</w:t>
      </w:r>
      <w:r>
        <w:t>.</w:t>
      </w:r>
    </w:p>
    <w:p w14:paraId="1DFD1DF8" w14:textId="77777777" w:rsidR="00A573A4" w:rsidRDefault="00A573A4" w:rsidP="00A573A4">
      <w:pPr>
        <w:pStyle w:val="ListParagraph"/>
      </w:pPr>
      <w:r>
        <w:t>In the EU, benzophenone</w:t>
      </w:r>
      <w:r w:rsidRPr="00D44411">
        <w:t xml:space="preserve"> is listed on EU Regulation (EC) No 1223/2009 of the European Parliament and of the Council of 30 November 2009 - Annex II - </w:t>
      </w:r>
      <w:hyperlink r:id="rId79" w:history="1">
        <w:r w:rsidRPr="001D06D6">
          <w:rPr>
            <w:rStyle w:val="Hyperlink"/>
          </w:rPr>
          <w:t>List of Substances Prohibited in Cosmetic Products</w:t>
        </w:r>
      </w:hyperlink>
      <w:r>
        <w:t xml:space="preserve"> and only trace level of b</w:t>
      </w:r>
      <w:r w:rsidRPr="00D44411">
        <w:t xml:space="preserve">enzophenone </w:t>
      </w:r>
      <w:r>
        <w:t xml:space="preserve">can be present in a product </w:t>
      </w:r>
      <w:r w:rsidRPr="00D44411">
        <w:t>as an impurity and/or degradation product of octocrylene</w:t>
      </w:r>
      <w:r>
        <w:t>.</w:t>
      </w:r>
    </w:p>
    <w:p w14:paraId="1273781B" w14:textId="77777777" w:rsidR="00A573A4" w:rsidRDefault="00A573A4" w:rsidP="00A573A4">
      <w:pPr>
        <w:pStyle w:val="ListParagraph"/>
      </w:pPr>
      <w:r>
        <w:t>Similarly, in New Zealand, b</w:t>
      </w:r>
      <w:r w:rsidRPr="00D44411">
        <w:t xml:space="preserve">enzophenone as an impurity and/or degradation product of octocrylene </w:t>
      </w:r>
      <w:r>
        <w:t>must</w:t>
      </w:r>
      <w:r w:rsidRPr="00D44411">
        <w:t xml:space="preserve"> be kept at trace level</w:t>
      </w:r>
      <w:r>
        <w:t xml:space="preserve"> (</w:t>
      </w:r>
      <w:hyperlink r:id="rId80" w:history="1">
        <w:r w:rsidRPr="001D06D6">
          <w:rPr>
            <w:rStyle w:val="Hyperlink"/>
          </w:rPr>
          <w:t>Cosmetic Products Group Standard (Amendment) Notice 2024</w:t>
        </w:r>
      </w:hyperlink>
      <w:r>
        <w:t>).</w:t>
      </w:r>
    </w:p>
    <w:p w14:paraId="72D36272" w14:textId="77777777" w:rsidR="00A573A4" w:rsidRDefault="00A573A4" w:rsidP="00A573A4">
      <w:pPr>
        <w:pStyle w:val="ListParagraph"/>
      </w:pPr>
      <w:r>
        <w:t xml:space="preserve">The US FDA has prohibited the use of </w:t>
      </w:r>
      <w:r w:rsidRPr="00D44411">
        <w:t>benzophenone as a food additive and as a plasticiser in rubber articles intended for repeated use in contact with food</w:t>
      </w:r>
      <w:r>
        <w:t xml:space="preserve"> (</w:t>
      </w:r>
      <w:hyperlink r:id="rId81" w:history="1">
        <w:r w:rsidRPr="00933BE4">
          <w:rPr>
            <w:rStyle w:val="Hyperlink"/>
          </w:rPr>
          <w:t xml:space="preserve">Food Additive Regulations; Synthetic </w:t>
        </w:r>
        <w:proofErr w:type="spellStart"/>
        <w:r w:rsidRPr="00933BE4">
          <w:rPr>
            <w:rStyle w:val="Hyperlink"/>
          </w:rPr>
          <w:t>Flavoring</w:t>
        </w:r>
        <w:proofErr w:type="spellEnd"/>
        <w:r w:rsidRPr="00933BE4">
          <w:rPr>
            <w:rStyle w:val="Hyperlink"/>
          </w:rPr>
          <w:t xml:space="preserve"> Agents and Adjuvants</w:t>
        </w:r>
      </w:hyperlink>
      <w:r>
        <w:t>). In</w:t>
      </w:r>
      <w:r w:rsidRPr="005B3924">
        <w:t xml:space="preserve"> California</w:t>
      </w:r>
      <w:r>
        <w:t xml:space="preserve">, </w:t>
      </w:r>
      <w:proofErr w:type="spellStart"/>
      <w:r>
        <w:t>benzophenon</w:t>
      </w:r>
      <w:proofErr w:type="spellEnd"/>
      <w:r>
        <w:t xml:space="preserve"> is listed in</w:t>
      </w:r>
      <w:r w:rsidRPr="005B3924">
        <w:t xml:space="preserve"> </w:t>
      </w:r>
      <w:hyperlink r:id="rId82" w:history="1">
        <w:r w:rsidRPr="00D64B0A">
          <w:rPr>
            <w:rStyle w:val="Hyperlink"/>
          </w:rPr>
          <w:t>Proposition 65</w:t>
        </w:r>
      </w:hyperlink>
      <w:r>
        <w:t xml:space="preserve"> – </w:t>
      </w:r>
      <w:r w:rsidRPr="00D64B0A">
        <w:t>a</w:t>
      </w:r>
      <w:r>
        <w:t xml:space="preserve"> </w:t>
      </w:r>
      <w:r w:rsidRPr="00D64B0A">
        <w:t>list of chemicals known to cause cancer, birth defects or other reproductive harm</w:t>
      </w:r>
      <w:r>
        <w:t xml:space="preserve"> – and businesses must warn people of any intentional exposure to benzophenone unless the exposure is sufficiently low to not cause cancer.</w:t>
      </w:r>
    </w:p>
    <w:p w14:paraId="3274A9EC" w14:textId="77777777" w:rsidR="00A573A4" w:rsidRPr="005B3924" w:rsidRDefault="00A573A4" w:rsidP="00A573A4">
      <w:pPr>
        <w:pStyle w:val="ListParagraph"/>
      </w:pPr>
      <w:proofErr w:type="spellStart"/>
      <w:r>
        <w:t>Benzophenon</w:t>
      </w:r>
      <w:proofErr w:type="spellEnd"/>
      <w:r w:rsidRPr="00D44411">
        <w:t xml:space="preserve"> is included as a footnote to the octocrylene listing on the </w:t>
      </w:r>
      <w:hyperlink r:id="rId83" w:history="1">
        <w:r w:rsidRPr="6FABC493">
          <w:rPr>
            <w:rStyle w:val="Hyperlink"/>
          </w:rPr>
          <w:t>ASEAN Cosmetic Directive Annex VII</w:t>
        </w:r>
      </w:hyperlink>
      <w:r w:rsidRPr="00D44411">
        <w:t xml:space="preserve"> - List of UV filters which cosmetic products may contain. Benzophenone as an impurity and/or degradation product of octocrylene shall be kept at trace level</w:t>
      </w:r>
      <w:r>
        <w:t>.</w:t>
      </w:r>
      <w:r w:rsidRPr="005B3924">
        <w:t xml:space="preserve"> </w:t>
      </w:r>
      <w:r w:rsidRPr="00D44411">
        <w:rPr>
          <w:color w:val="00B050"/>
          <w:sz w:val="21"/>
          <w:szCs w:val="21"/>
        </w:rPr>
        <w:br w:type="page"/>
      </w:r>
    </w:p>
    <w:p w14:paraId="40A79BF9" w14:textId="77777777" w:rsidR="00A573A4" w:rsidRPr="00C417B6" w:rsidRDefault="00A573A4" w:rsidP="00A573A4">
      <w:pPr>
        <w:pStyle w:val="Heading2"/>
      </w:pPr>
      <w:bookmarkStart w:id="58" w:name="_Toc201870339"/>
      <w:bookmarkStart w:id="59" w:name="_Toc202177241"/>
      <w:r w:rsidRPr="001D06D6">
        <w:lastRenderedPageBreak/>
        <w:t>How to respond</w:t>
      </w:r>
      <w:bookmarkEnd w:id="25"/>
      <w:bookmarkEnd w:id="58"/>
      <w:bookmarkEnd w:id="59"/>
    </w:p>
    <w:p w14:paraId="7917861B" w14:textId="26F5028C" w:rsidR="00A573A4" w:rsidRPr="00C417B6" w:rsidRDefault="00A573A4" w:rsidP="00A573A4">
      <w:r w:rsidRPr="00C417B6">
        <w:t xml:space="preserve">Submissions must be provided by the closing date of </w:t>
      </w:r>
      <w:r w:rsidR="00A5002A" w:rsidRPr="00A5002A">
        <w:t>12</w:t>
      </w:r>
      <w:r w:rsidRPr="00A5002A">
        <w:t xml:space="preserve"> August 2025 </w:t>
      </w:r>
      <w:r w:rsidRPr="00C417B6">
        <w:t>through our </w:t>
      </w:r>
      <w:hyperlink r:id="rId84" w:history="1">
        <w:r w:rsidRPr="001D06D6">
          <w:rPr>
            <w:rStyle w:val="Hyperlink"/>
          </w:rPr>
          <w:t>consultation hub</w:t>
        </w:r>
      </w:hyperlink>
      <w:r w:rsidRPr="00C417B6">
        <w:t>. Any submission about any of the proposals to amend the Poisons Standard will be considered at the next meeting of the </w:t>
      </w:r>
      <w:hyperlink r:id="rId85" w:history="1">
        <w:r w:rsidRPr="00C417B6">
          <w:rPr>
            <w:rStyle w:val="Hyperlink"/>
          </w:rPr>
          <w:t>Advisory Committee on Medicines Scheduling (ACMS)</w:t>
        </w:r>
      </w:hyperlink>
      <w:r w:rsidRPr="00C417B6">
        <w:t>, meeting of the </w:t>
      </w:r>
      <w:hyperlink r:id="rId86" w:history="1">
        <w:r w:rsidRPr="00C417B6">
          <w:rPr>
            <w:rStyle w:val="Hyperlink"/>
          </w:rPr>
          <w:t>Advisory Committee on Chemicals Scheduling (ACCS)</w:t>
        </w:r>
      </w:hyperlink>
      <w:r w:rsidRPr="00C417B6">
        <w:t>, or a joint meeting of these two committees.</w:t>
      </w:r>
    </w:p>
    <w:p w14:paraId="1680B42B" w14:textId="77777777" w:rsidR="00A573A4" w:rsidRPr="00C417B6" w:rsidRDefault="00A573A4" w:rsidP="00A573A4">
      <w:pPr>
        <w:pStyle w:val="Heading2"/>
      </w:pPr>
      <w:bookmarkStart w:id="60" w:name="_Toc122614250"/>
      <w:bookmarkStart w:id="61" w:name="_Toc201870340"/>
      <w:bookmarkStart w:id="62" w:name="_Toc202177242"/>
      <w:r w:rsidRPr="00C417B6">
        <w:t>What will happen</w:t>
      </w:r>
      <w:bookmarkEnd w:id="60"/>
      <w:bookmarkEnd w:id="61"/>
      <w:bookmarkEnd w:id="62"/>
    </w:p>
    <w:p w14:paraId="628CA0EC" w14:textId="77777777" w:rsidR="00A573A4" w:rsidRPr="00C417B6" w:rsidRDefault="00A573A4" w:rsidP="00A573A4">
      <w:r w:rsidRPr="00C417B6">
        <w:t xml:space="preserve">All public submissions will be published on the TGA website at </w:t>
      </w:r>
      <w:hyperlink r:id="rId87" w:history="1">
        <w:r w:rsidRPr="00C417B6">
          <w:rPr>
            <w:rStyle w:val="Hyperlink"/>
          </w:rPr>
          <w:t>Public submissions on scheduling matters</w:t>
        </w:r>
      </w:hyperlink>
      <w:r w:rsidRPr="00C417B6">
        <w:t xml:space="preserve">, unless marked confidential or indicated otherwise in the submission coversheet (see </w:t>
      </w:r>
      <w:hyperlink r:id="rId88" w:history="1">
        <w:r w:rsidRPr="00C417B6">
          <w:rPr>
            <w:rStyle w:val="Hyperlink"/>
          </w:rPr>
          <w:t>Privacy information</w:t>
        </w:r>
      </w:hyperlink>
      <w:r w:rsidRPr="00C417B6">
        <w:t>).</w:t>
      </w:r>
    </w:p>
    <w:p w14:paraId="48066CA1" w14:textId="1E6BDA5B" w:rsidR="00A573A4" w:rsidRDefault="00A573A4" w:rsidP="00A573A4">
      <w:r w:rsidRPr="00C417B6">
        <w:t xml:space="preserve">Following consideration of public submissions received before the closing date and advice from the expert advisory committee/s, decisions on the proposed amendments will be published as interim decisions on the TGA website: </w:t>
      </w:r>
      <w:hyperlink r:id="rId89" w:history="1">
        <w:r w:rsidRPr="00C417B6">
          <w:rPr>
            <w:rStyle w:val="Hyperlink"/>
          </w:rPr>
          <w:t>Scheduling delegate's interim decisions &amp; invitations for further comment</w:t>
        </w:r>
      </w:hyperlink>
      <w:r w:rsidRPr="00C417B6">
        <w:t xml:space="preserve"> on </w:t>
      </w:r>
      <w:r w:rsidR="00A5002A" w:rsidRPr="00A5002A">
        <w:t>12</w:t>
      </w:r>
      <w:r w:rsidRPr="00A5002A">
        <w:t xml:space="preserve"> August 2025.</w:t>
      </w:r>
      <w:r>
        <w:br w:type="page"/>
      </w:r>
    </w:p>
    <w:p w14:paraId="39822FBC" w14:textId="77777777" w:rsidR="00A573A4" w:rsidRPr="009401F6" w:rsidRDefault="00A573A4" w:rsidP="00A573A4">
      <w:pPr>
        <w:sectPr w:rsidR="00A573A4" w:rsidRPr="009401F6" w:rsidSect="00A573A4">
          <w:headerReference w:type="default" r:id="rId90"/>
          <w:footerReference w:type="default" r:id="rId91"/>
          <w:headerReference w:type="first" r:id="rId92"/>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A573A4" w:rsidRPr="009401F6" w14:paraId="63A4D272" w14:textId="77777777" w:rsidTr="005F731A">
        <w:trPr>
          <w:trHeight w:hRule="exact" w:val="565"/>
          <w:jc w:val="center"/>
        </w:trPr>
        <w:tc>
          <w:tcPr>
            <w:tcW w:w="9145" w:type="dxa"/>
          </w:tcPr>
          <w:p w14:paraId="526E1191" w14:textId="77777777" w:rsidR="00A573A4" w:rsidRPr="009401F6" w:rsidRDefault="00A573A4" w:rsidP="005F731A">
            <w:pPr>
              <w:pStyle w:val="TGASignoff"/>
            </w:pPr>
            <w:r w:rsidRPr="009401F6">
              <w:lastRenderedPageBreak/>
              <w:t>Therapeutic Goods Administration</w:t>
            </w:r>
          </w:p>
        </w:tc>
      </w:tr>
      <w:tr w:rsidR="00A573A4" w:rsidRPr="009401F6" w14:paraId="703088DB" w14:textId="77777777" w:rsidTr="005F731A">
        <w:trPr>
          <w:trHeight w:val="963"/>
          <w:jc w:val="center"/>
        </w:trPr>
        <w:tc>
          <w:tcPr>
            <w:tcW w:w="9145" w:type="dxa"/>
            <w:tcMar>
              <w:top w:w="28" w:type="dxa"/>
            </w:tcMar>
          </w:tcPr>
          <w:p w14:paraId="452A5966" w14:textId="77777777" w:rsidR="00A573A4" w:rsidRPr="009401F6" w:rsidRDefault="00A573A4" w:rsidP="005F731A">
            <w:pPr>
              <w:pStyle w:val="Address"/>
              <w:jc w:val="center"/>
            </w:pPr>
            <w:r w:rsidRPr="009401F6">
              <w:t>PO Box 100 Woden ACT 2606 Australia</w:t>
            </w:r>
          </w:p>
          <w:p w14:paraId="04B46CCF" w14:textId="77777777" w:rsidR="00A573A4" w:rsidRPr="009401F6" w:rsidRDefault="00A573A4" w:rsidP="005F731A">
            <w:pPr>
              <w:pStyle w:val="Address"/>
              <w:jc w:val="center"/>
            </w:pPr>
            <w:r w:rsidRPr="009401F6">
              <w:t xml:space="preserve">Email: </w:t>
            </w:r>
            <w:hyperlink r:id="rId93" w:history="1">
              <w:r w:rsidRPr="009401F6">
                <w:rPr>
                  <w:rStyle w:val="Hyperlink"/>
                </w:rPr>
                <w:t>info@tga.gov.au</w:t>
              </w:r>
            </w:hyperlink>
            <w:r w:rsidRPr="009401F6">
              <w:t xml:space="preserve">  Phone: 1800 020 </w:t>
            </w:r>
            <w:proofErr w:type="gramStart"/>
            <w:r w:rsidRPr="009401F6">
              <w:t>653  Fax</w:t>
            </w:r>
            <w:proofErr w:type="gramEnd"/>
            <w:r w:rsidRPr="009401F6">
              <w:t>: 02 62</w:t>
            </w:r>
            <w:r>
              <w:t>0</w:t>
            </w:r>
            <w:r w:rsidRPr="009401F6">
              <w:t xml:space="preserve">3 </w:t>
            </w:r>
            <w:r>
              <w:t>1</w:t>
            </w:r>
            <w:r w:rsidRPr="009401F6">
              <w:t>605</w:t>
            </w:r>
          </w:p>
          <w:p w14:paraId="18BEF102" w14:textId="77777777" w:rsidR="00A573A4" w:rsidRPr="009401F6" w:rsidRDefault="00A573A4" w:rsidP="005F731A">
            <w:pPr>
              <w:pStyle w:val="Address"/>
              <w:spacing w:line="260" w:lineRule="atLeast"/>
              <w:jc w:val="center"/>
              <w:rPr>
                <w:rStyle w:val="Hyperlink"/>
                <w:b/>
              </w:rPr>
            </w:pPr>
            <w:hyperlink r:id="rId94" w:history="1">
              <w:r w:rsidRPr="009401F6">
                <w:rPr>
                  <w:rStyle w:val="Hyperlink"/>
                  <w:b/>
                </w:rPr>
                <w:t>https://www.tga.gov.au</w:t>
              </w:r>
            </w:hyperlink>
          </w:p>
        </w:tc>
      </w:tr>
      <w:tr w:rsidR="00A573A4" w:rsidRPr="009401F6" w14:paraId="260AD10C" w14:textId="77777777" w:rsidTr="005F731A">
        <w:trPr>
          <w:trHeight w:val="251"/>
          <w:jc w:val="center"/>
        </w:trPr>
        <w:tc>
          <w:tcPr>
            <w:tcW w:w="9145" w:type="dxa"/>
            <w:tcMar>
              <w:top w:w="28" w:type="dxa"/>
            </w:tcMar>
          </w:tcPr>
          <w:p w14:paraId="10FF1D11" w14:textId="2FC0FB50" w:rsidR="00A573A4" w:rsidRPr="009401F6" w:rsidRDefault="00A573A4" w:rsidP="005F731A">
            <w:pPr>
              <w:pStyle w:val="Address"/>
              <w:jc w:val="center"/>
            </w:pPr>
          </w:p>
        </w:tc>
      </w:tr>
    </w:tbl>
    <w:p w14:paraId="39E12073" w14:textId="77777777" w:rsidR="009506FA" w:rsidRPr="00A573A4" w:rsidRDefault="009506FA" w:rsidP="00A573A4"/>
    <w:sectPr w:rsidR="009506FA" w:rsidRPr="00A573A4">
      <w:headerReference w:type="first" r:id="rId95"/>
      <w:footerReference w:type="first" r:id="rId9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A810" w14:textId="77777777" w:rsidR="000F513B" w:rsidRDefault="000F513B" w:rsidP="00F02AEC">
      <w:pPr>
        <w:spacing w:after="0" w:line="240" w:lineRule="auto"/>
      </w:pPr>
      <w:r>
        <w:separator/>
      </w:r>
    </w:p>
  </w:endnote>
  <w:endnote w:type="continuationSeparator" w:id="0">
    <w:p w14:paraId="27D9D000" w14:textId="77777777" w:rsidR="000F513B" w:rsidRDefault="000F513B" w:rsidP="00F02AEC">
      <w:pPr>
        <w:spacing w:after="0" w:line="240" w:lineRule="auto"/>
      </w:pPr>
      <w:r>
        <w:continuationSeparator/>
      </w:r>
    </w:p>
  </w:endnote>
  <w:endnote w:type="continuationNotice" w:id="1">
    <w:p w14:paraId="1BD97A5D" w14:textId="77777777" w:rsidR="000F513B" w:rsidRDefault="000F5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Yu Mincho">
    <w:charset w:val="80"/>
    <w:family w:val="roman"/>
    <w:pitch w:val="variable"/>
    <w:sig w:usb0="800002E7" w:usb1="2AC7FCFF" w:usb2="00000012" w:usb3="00000000" w:csb0="0002009F"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4CB6" w14:textId="77777777" w:rsidR="00A573A4" w:rsidRDefault="00A573A4"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46"/>
    </w:tblGrid>
    <w:tr w:rsidR="00A573A4" w:rsidRPr="00257138" w14:paraId="7B0B1339" w14:textId="77777777" w:rsidTr="00A3654F">
      <w:trPr>
        <w:trHeight w:val="423"/>
      </w:trPr>
      <w:tc>
        <w:tcPr>
          <w:tcW w:w="4360" w:type="dxa"/>
          <w:tcBorders>
            <w:top w:val="single" w:sz="4" w:space="0" w:color="auto"/>
          </w:tcBorders>
        </w:tcPr>
        <w:p w14:paraId="5271A45A" w14:textId="77777777" w:rsidR="00A573A4" w:rsidRDefault="00A573A4" w:rsidP="008D4740">
          <w:pPr>
            <w:pStyle w:val="Footer"/>
          </w:pPr>
        </w:p>
        <w:p w14:paraId="6CBB0069" w14:textId="77777777" w:rsidR="00A573A4" w:rsidRPr="00257138" w:rsidRDefault="00A573A4"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Content>
            <w:p w14:paraId="5D0BB5AD" w14:textId="77777777" w:rsidR="00A573A4" w:rsidRDefault="00A573A4" w:rsidP="008D4740">
              <w:pPr>
                <w:pStyle w:val="Footer"/>
                <w:jc w:val="right"/>
              </w:pPr>
            </w:p>
            <w:p w14:paraId="25459FAA" w14:textId="77777777" w:rsidR="00A573A4" w:rsidRPr="00257138" w:rsidRDefault="00A573A4"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A573A4" w:rsidRPr="00257138" w14:paraId="1EBFFB69" w14:textId="77777777" w:rsidTr="00A3654F">
      <w:trPr>
        <w:trHeight w:val="263"/>
      </w:trPr>
      <w:tc>
        <w:tcPr>
          <w:tcW w:w="4360" w:type="dxa"/>
        </w:tcPr>
        <w:p w14:paraId="72ED6312" w14:textId="77777777" w:rsidR="00A573A4" w:rsidRPr="00257138" w:rsidRDefault="00A573A4" w:rsidP="008D4740">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17FEA300" w14:textId="77777777" w:rsidR="00A573A4" w:rsidRPr="00257138" w:rsidRDefault="00A573A4" w:rsidP="008D4740">
          <w:pPr>
            <w:pStyle w:val="Footer"/>
            <w:jc w:val="right"/>
          </w:pPr>
        </w:p>
      </w:tc>
    </w:tr>
  </w:tbl>
  <w:p w14:paraId="461CBEC4" w14:textId="77777777" w:rsidR="00A573A4" w:rsidRPr="00826007" w:rsidRDefault="00A573A4"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D844" w14:textId="77777777" w:rsidR="00A573A4" w:rsidRDefault="00A573A4"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A573A4" w:rsidRPr="00257138" w14:paraId="57D2A1A1" w14:textId="77777777" w:rsidTr="00D433BD">
      <w:trPr>
        <w:trHeight w:val="423"/>
      </w:trPr>
      <w:tc>
        <w:tcPr>
          <w:tcW w:w="7479" w:type="dxa"/>
        </w:tcPr>
        <w:p w14:paraId="6DB75A94" w14:textId="77777777" w:rsidR="00A573A4" w:rsidRPr="00257138" w:rsidRDefault="00A573A4" w:rsidP="00EB182C">
          <w:pPr>
            <w:pStyle w:val="Footer"/>
            <w:spacing w:before="120" w:after="120"/>
          </w:pPr>
          <w:r w:rsidRPr="00623A83">
            <w:t xml:space="preserve">Consultation: Proposed amendments to the Poisons Standard in relation to </w:t>
          </w:r>
          <w:proofErr w:type="spellStart"/>
          <w:r w:rsidRPr="00623A83">
            <w:t>homosalate</w:t>
          </w:r>
          <w:proofErr w:type="spellEnd"/>
          <w:r w:rsidRPr="00623A83">
            <w:t>, oxybenzone and benzophenone – Joint ACMS-ACCS #41 meeting, September 2025</w:t>
          </w:r>
          <w:r>
            <w:br/>
          </w:r>
          <w:proofErr w:type="spellStart"/>
          <w:r w:rsidRPr="00257138">
            <w:t>V1.0</w:t>
          </w:r>
          <w:proofErr w:type="spellEnd"/>
          <w:r w:rsidRPr="00257138">
            <w:t xml:space="preserve"> </w:t>
          </w:r>
          <w:r>
            <w:t>July 2025</w:t>
          </w:r>
        </w:p>
      </w:tc>
      <w:tc>
        <w:tcPr>
          <w:tcW w:w="1593" w:type="dxa"/>
        </w:tcPr>
        <w:sdt>
          <w:sdtPr>
            <w:id w:val="3702141"/>
            <w:docPartObj>
              <w:docPartGallery w:val="Page Numbers (Top of Page)"/>
              <w:docPartUnique/>
            </w:docPartObj>
          </w:sdtPr>
          <w:sdtContent>
            <w:p w14:paraId="2E1ADE65" w14:textId="77777777" w:rsidR="00A573A4" w:rsidRPr="00257138" w:rsidRDefault="00A573A4"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r>
                <w:fldChar w:fldCharType="begin"/>
              </w:r>
              <w:r>
                <w:instrText xml:space="preserve"> NUMPAGES  </w:instrText>
              </w:r>
              <w:r>
                <w:fldChar w:fldCharType="separate"/>
              </w:r>
              <w:r>
                <w:rPr>
                  <w:noProof/>
                </w:rPr>
                <w:t>6</w:t>
              </w:r>
              <w:r>
                <w:rPr>
                  <w:noProof/>
                </w:rPr>
                <w:fldChar w:fldCharType="end"/>
              </w:r>
            </w:p>
          </w:sdtContent>
        </w:sdt>
      </w:tc>
    </w:tr>
  </w:tbl>
  <w:p w14:paraId="468F8EA1" w14:textId="77777777" w:rsidR="00A573A4" w:rsidRPr="00826007" w:rsidRDefault="00A573A4"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58BA" w14:textId="77777777" w:rsidR="009506FA" w:rsidRPr="008E3C43" w:rsidRDefault="0095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A217" w14:textId="77777777" w:rsidR="000F513B" w:rsidRDefault="000F513B" w:rsidP="00F02AEC">
      <w:pPr>
        <w:spacing w:after="0" w:line="240" w:lineRule="auto"/>
      </w:pPr>
      <w:r>
        <w:separator/>
      </w:r>
    </w:p>
  </w:footnote>
  <w:footnote w:type="continuationSeparator" w:id="0">
    <w:p w14:paraId="17BA2C36" w14:textId="77777777" w:rsidR="000F513B" w:rsidRDefault="000F513B" w:rsidP="00F02AEC">
      <w:pPr>
        <w:spacing w:after="0" w:line="240" w:lineRule="auto"/>
      </w:pPr>
      <w:r>
        <w:continuationSeparator/>
      </w:r>
    </w:p>
  </w:footnote>
  <w:footnote w:type="continuationNotice" w:id="1">
    <w:p w14:paraId="6FE72FB3" w14:textId="77777777" w:rsidR="000F513B" w:rsidRDefault="000F513B">
      <w:pPr>
        <w:spacing w:after="0" w:line="240" w:lineRule="auto"/>
      </w:pPr>
    </w:p>
  </w:footnote>
  <w:footnote w:id="2">
    <w:p w14:paraId="18FAF5C3" w14:textId="77777777" w:rsidR="00A573A4" w:rsidRDefault="00A573A4" w:rsidP="00A573A4">
      <w:pPr>
        <w:pStyle w:val="FootnoteText"/>
      </w:pPr>
      <w:r>
        <w:rPr>
          <w:rStyle w:val="FootnoteReference"/>
        </w:rPr>
        <w:footnoteRef/>
      </w:r>
      <w:r>
        <w:t xml:space="preserve"> In the US, ov</w:t>
      </w:r>
      <w:r w:rsidRPr="00AB0DC0">
        <w:t xml:space="preserve">er-the-counter </w:t>
      </w:r>
      <w:r>
        <w:t>medicines</w:t>
      </w:r>
      <w:r w:rsidRPr="00AB0DC0">
        <w:t xml:space="preserve"> and therapeutic ingredients need to meet the standards of and comply with</w:t>
      </w:r>
      <w:r>
        <w:t xml:space="preserve"> </w:t>
      </w:r>
      <w:hyperlink r:id="rId1" w:tgtFrame="_blank" w:history="1">
        <w:r w:rsidRPr="00AB0DC0">
          <w:rPr>
            <w:rStyle w:val="Hyperlink"/>
          </w:rPr>
          <w:t>monographs</w:t>
        </w:r>
      </w:hyperlink>
      <w:r>
        <w:t xml:space="preserve"> </w:t>
      </w:r>
      <w:r w:rsidRPr="00AB0DC0">
        <w:t>established by the FDA</w:t>
      </w:r>
      <w:r>
        <w:t xml:space="preserve"> to be </w:t>
      </w:r>
      <w:r w:rsidRPr="00AB0DC0">
        <w:t>considered GRASE.</w:t>
      </w:r>
    </w:p>
  </w:footnote>
  <w:footnote w:id="3">
    <w:p w14:paraId="6EB30C09" w14:textId="77777777" w:rsidR="00A573A4" w:rsidRDefault="00A573A4" w:rsidP="00A573A4">
      <w:pPr>
        <w:pStyle w:val="FootnoteText"/>
      </w:pPr>
      <w:r w:rsidRPr="6FABC493">
        <w:rPr>
          <w:rStyle w:val="FootnoteReference"/>
        </w:rPr>
        <w:footnoteRef/>
      </w:r>
      <w:r>
        <w:t xml:space="preserve"> AICIS (2024) </w:t>
      </w:r>
      <w:hyperlink r:id="rId2" w:history="1">
        <w:r w:rsidRPr="6FABC493">
          <w:t xml:space="preserve">Benzoic acid, 2-hydroxy-, 3,3,5- </w:t>
        </w:r>
        <w:proofErr w:type="spellStart"/>
        <w:r w:rsidRPr="6FABC493">
          <w:t>trimethylcyclohexyl</w:t>
        </w:r>
        <w:proofErr w:type="spellEnd"/>
        <w:r w:rsidRPr="6FABC493">
          <w:t xml:space="preserve"> ester (</w:t>
        </w:r>
        <w:proofErr w:type="spellStart"/>
        <w:r w:rsidRPr="6FABC493">
          <w:t>Homosalate</w:t>
        </w:r>
        <w:proofErr w:type="spellEnd"/>
        <w:r w:rsidRPr="6FABC493">
          <w:t>)</w:t>
        </w:r>
        <w:r w:rsidRPr="6FABC493">
          <w:rPr>
            <w:rStyle w:val="Hyperlink"/>
          </w:rPr>
          <w:t xml:space="preserve"> Evaluation Statement</w:t>
        </w:r>
      </w:hyperlink>
      <w:r>
        <w:t>. Accessed 14 April 2025</w:t>
      </w:r>
    </w:p>
  </w:footnote>
  <w:footnote w:id="4">
    <w:p w14:paraId="65E19912" w14:textId="77777777" w:rsidR="00A573A4" w:rsidRDefault="00A573A4" w:rsidP="00A573A4">
      <w:pPr>
        <w:pStyle w:val="FootnoteText"/>
      </w:pPr>
      <w:r>
        <w:rPr>
          <w:rStyle w:val="FootnoteReference"/>
        </w:rPr>
        <w:footnoteRef/>
      </w:r>
      <w:r>
        <w:t xml:space="preserve"> </w:t>
      </w:r>
      <w:hyperlink r:id="rId3" w:history="1">
        <w:r>
          <w:rPr>
            <w:rStyle w:val="Hyperlink"/>
          </w:rPr>
          <w:t>health.ec.europa.eu/system/files/2022-08/sccs_o_247.pdf</w:t>
        </w:r>
      </w:hyperlink>
      <w:r>
        <w:t xml:space="preserve"> </w:t>
      </w:r>
    </w:p>
  </w:footnote>
  <w:footnote w:id="5">
    <w:p w14:paraId="1ABA45A5" w14:textId="77777777" w:rsidR="00A573A4" w:rsidRDefault="00A573A4" w:rsidP="00A573A4">
      <w:pPr>
        <w:pStyle w:val="FootnoteText"/>
      </w:pPr>
      <w:r>
        <w:rPr>
          <w:rStyle w:val="FootnoteReference"/>
        </w:rPr>
        <w:footnoteRef/>
      </w:r>
      <w:r>
        <w:t xml:space="preserve"> The Japan Ministry of Health and Welfare’s </w:t>
      </w:r>
      <w:hyperlink r:id="rId4" w:history="1">
        <w:r w:rsidRPr="6FABC493">
          <w:rPr>
            <w:rStyle w:val="Hyperlink"/>
          </w:rPr>
          <w:t xml:space="preserve">Standards for Cosmetics (Ministry of Health and Welfare Notification </w:t>
        </w:r>
        <w:proofErr w:type="spellStart"/>
        <w:r w:rsidRPr="6FABC493">
          <w:rPr>
            <w:rStyle w:val="Hyperlink"/>
          </w:rPr>
          <w:t>No.331</w:t>
        </w:r>
        <w:proofErr w:type="spellEnd"/>
        <w:r w:rsidRPr="6FABC493">
          <w:rPr>
            <w:rStyle w:val="Hyperlink"/>
          </w:rPr>
          <w:t xml:space="preserve"> of 2000)</w:t>
        </w:r>
      </w:hyperlink>
      <w:r>
        <w:t>; accessed 26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950" w14:textId="77777777" w:rsidR="00A573A4" w:rsidRPr="00920FF4" w:rsidRDefault="00A573A4"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EDCF" w14:textId="77777777" w:rsidR="00A573A4" w:rsidRPr="00E32326" w:rsidRDefault="00A573A4" w:rsidP="00F202AB">
    <w:r>
      <w:rPr>
        <w:noProof/>
        <w:lang w:eastAsia="en-AU"/>
      </w:rPr>
      <w:drawing>
        <wp:inline distT="0" distB="0" distL="0" distR="0" wp14:anchorId="4CC7B111" wp14:editId="23E0B809">
          <wp:extent cx="3344545" cy="694055"/>
          <wp:effectExtent l="0" t="0" r="8255" b="0"/>
          <wp:docPr id="1860433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p w14:paraId="4897F3B1" w14:textId="77777777" w:rsidR="00A573A4" w:rsidRPr="00E32326" w:rsidRDefault="00A573A4" w:rsidP="00F202AB">
    <w:r>
      <w:rPr>
        <w:noProof/>
        <w:lang w:eastAsia="en-AU"/>
      </w:rPr>
      <w:drawing>
        <wp:anchor distT="0" distB="0" distL="114300" distR="114300" simplePos="0" relativeHeight="251659264" behindDoc="0" locked="0" layoutInCell="0" allowOverlap="1" wp14:anchorId="7F010975" wp14:editId="65D4C5B0">
          <wp:simplePos x="0" y="0"/>
          <wp:positionH relativeFrom="page">
            <wp:align>left</wp:align>
          </wp:positionH>
          <wp:positionV relativeFrom="page">
            <wp:posOffset>2945130</wp:posOffset>
          </wp:positionV>
          <wp:extent cx="7615555" cy="4295140"/>
          <wp:effectExtent l="0" t="0" r="4445" b="0"/>
          <wp:wrapNone/>
          <wp:docPr id="8737092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15555" cy="42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2271" w14:textId="77777777" w:rsidR="00A573A4" w:rsidRPr="00920FF4" w:rsidRDefault="00A573A4"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E5D3" w14:textId="77777777" w:rsidR="00A573A4" w:rsidRPr="00920FF4" w:rsidRDefault="00A573A4"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0CB5" w14:textId="77777777" w:rsidR="009506FA" w:rsidRPr="00FE501F" w:rsidRDefault="009506FA">
    <w:pPr>
      <w:pStyle w:val="Headernoli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F7A3E"/>
    <w:multiLevelType w:val="hybridMultilevel"/>
    <w:tmpl w:val="B9A81880"/>
    <w:lvl w:ilvl="0" w:tplc="FFFFFFFF">
      <w:start w:val="1"/>
      <w:numFmt w:val="bullet"/>
      <w:pStyle w:val="Legislation-list"/>
      <w:lvlText w:val="–"/>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7116F6"/>
    <w:multiLevelType w:val="hybridMultilevel"/>
    <w:tmpl w:val="2368C436"/>
    <w:lvl w:ilvl="0" w:tplc="F60A6332">
      <w:start w:val="1"/>
      <w:numFmt w:val="lowerLetter"/>
      <w:lvlText w:val="(%1)"/>
      <w:lvlJc w:val="left"/>
      <w:pPr>
        <w:ind w:left="1440" w:hanging="360"/>
      </w:pPr>
      <w:rPr>
        <w:rFonts w:ascii="Arial" w:eastAsia="Arial" w:hAnsi="Arial" w:cs="Arial"/>
        <w:color w:val="auto"/>
      </w:rPr>
    </w:lvl>
    <w:lvl w:ilvl="1" w:tplc="54549008" w:tentative="1">
      <w:start w:val="1"/>
      <w:numFmt w:val="bullet"/>
      <w:lvlText w:val="o"/>
      <w:lvlJc w:val="left"/>
      <w:pPr>
        <w:ind w:left="2160" w:hanging="360"/>
      </w:pPr>
      <w:rPr>
        <w:rFonts w:ascii="Courier New" w:hAnsi="Courier New" w:hint="default"/>
      </w:rPr>
    </w:lvl>
    <w:lvl w:ilvl="2" w:tplc="F856C3CE" w:tentative="1">
      <w:start w:val="1"/>
      <w:numFmt w:val="bullet"/>
      <w:lvlText w:val=""/>
      <w:lvlJc w:val="left"/>
      <w:pPr>
        <w:ind w:left="2880" w:hanging="360"/>
      </w:pPr>
      <w:rPr>
        <w:rFonts w:ascii="Wingdings" w:hAnsi="Wingdings" w:hint="default"/>
      </w:rPr>
    </w:lvl>
    <w:lvl w:ilvl="3" w:tplc="442A7058" w:tentative="1">
      <w:start w:val="1"/>
      <w:numFmt w:val="bullet"/>
      <w:lvlText w:val=""/>
      <w:lvlJc w:val="left"/>
      <w:pPr>
        <w:ind w:left="3600" w:hanging="360"/>
      </w:pPr>
      <w:rPr>
        <w:rFonts w:ascii="Symbol" w:hAnsi="Symbol" w:hint="default"/>
      </w:rPr>
    </w:lvl>
    <w:lvl w:ilvl="4" w:tplc="6C0EB486" w:tentative="1">
      <w:start w:val="1"/>
      <w:numFmt w:val="bullet"/>
      <w:lvlText w:val="o"/>
      <w:lvlJc w:val="left"/>
      <w:pPr>
        <w:ind w:left="4320" w:hanging="360"/>
      </w:pPr>
      <w:rPr>
        <w:rFonts w:ascii="Courier New" w:hAnsi="Courier New" w:hint="default"/>
      </w:rPr>
    </w:lvl>
    <w:lvl w:ilvl="5" w:tplc="2BB63CB0" w:tentative="1">
      <w:start w:val="1"/>
      <w:numFmt w:val="bullet"/>
      <w:lvlText w:val=""/>
      <w:lvlJc w:val="left"/>
      <w:pPr>
        <w:ind w:left="5040" w:hanging="360"/>
      </w:pPr>
      <w:rPr>
        <w:rFonts w:ascii="Wingdings" w:hAnsi="Wingdings" w:hint="default"/>
      </w:rPr>
    </w:lvl>
    <w:lvl w:ilvl="6" w:tplc="86004524" w:tentative="1">
      <w:start w:val="1"/>
      <w:numFmt w:val="bullet"/>
      <w:lvlText w:val=""/>
      <w:lvlJc w:val="left"/>
      <w:pPr>
        <w:ind w:left="5760" w:hanging="360"/>
      </w:pPr>
      <w:rPr>
        <w:rFonts w:ascii="Symbol" w:hAnsi="Symbol" w:hint="default"/>
      </w:rPr>
    </w:lvl>
    <w:lvl w:ilvl="7" w:tplc="CCA8FF32" w:tentative="1">
      <w:start w:val="1"/>
      <w:numFmt w:val="bullet"/>
      <w:lvlText w:val="o"/>
      <w:lvlJc w:val="left"/>
      <w:pPr>
        <w:ind w:left="6480" w:hanging="360"/>
      </w:pPr>
      <w:rPr>
        <w:rFonts w:ascii="Courier New" w:hAnsi="Courier New" w:hint="default"/>
      </w:rPr>
    </w:lvl>
    <w:lvl w:ilvl="8" w:tplc="B8A63D92" w:tentative="1">
      <w:start w:val="1"/>
      <w:numFmt w:val="bullet"/>
      <w:lvlText w:val=""/>
      <w:lvlJc w:val="left"/>
      <w:pPr>
        <w:ind w:left="7200" w:hanging="360"/>
      </w:pPr>
      <w:rPr>
        <w:rFonts w:ascii="Wingdings" w:hAnsi="Wingdings" w:hint="default"/>
      </w:rPr>
    </w:lvl>
  </w:abstractNum>
  <w:abstractNum w:abstractNumId="3" w15:restartNumberingAfterBreak="0">
    <w:nsid w:val="06AF0BDB"/>
    <w:multiLevelType w:val="hybridMultilevel"/>
    <w:tmpl w:val="0660E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266C3"/>
    <w:multiLevelType w:val="hybridMultilevel"/>
    <w:tmpl w:val="19D44338"/>
    <w:lvl w:ilvl="0" w:tplc="3F4C8FFA">
      <w:start w:val="1"/>
      <w:numFmt w:val="bullet"/>
      <w:pStyle w:val="ListParagraph"/>
      <w:lvlText w:val=""/>
      <w:lvlJc w:val="left"/>
      <w:pPr>
        <w:ind w:left="360" w:hanging="360"/>
      </w:pPr>
      <w:rPr>
        <w:rFonts w:ascii="Symbol" w:hAnsi="Symbol" w:hint="default"/>
      </w:rPr>
    </w:lvl>
    <w:lvl w:ilvl="1" w:tplc="9192FE90">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6F200C"/>
    <w:multiLevelType w:val="hybridMultilevel"/>
    <w:tmpl w:val="422C20DE"/>
    <w:lvl w:ilvl="0" w:tplc="1E389F92">
      <w:start w:val="1"/>
      <w:numFmt w:val="lowerLetter"/>
      <w:lvlText w:val="%1)"/>
      <w:lvlJc w:val="left"/>
      <w:pPr>
        <w:ind w:left="1069" w:hanging="360"/>
      </w:pPr>
      <w:rPr>
        <w:rFonts w:eastAsia="Arial" w:cs="Arial" w:hint="default"/>
        <w:color w:val="00B050"/>
        <w:sz w:val="21"/>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10053F11"/>
    <w:multiLevelType w:val="multilevel"/>
    <w:tmpl w:val="E58A81F0"/>
    <w:lvl w:ilvl="0">
      <w:start w:val="1"/>
      <w:numFmt w:val="decimal"/>
      <w:pStyle w:val="Numberbullet"/>
      <w:lvlText w:val="%1."/>
      <w:lvlJc w:val="left"/>
      <w:pPr>
        <w:ind w:left="360" w:hanging="360"/>
      </w:pPr>
      <w:rPr>
        <w:rFonts w:ascii="Arial" w:hAnsi="Arial" w:hint="default"/>
      </w:rPr>
    </w:lvl>
    <w:lvl w:ilvl="1">
      <w:start w:val="1"/>
      <w:numFmt w:val="lowerLetter"/>
      <w:pStyle w:val="Numberbullet2"/>
      <w:lvlText w:val="%2."/>
      <w:lvlJc w:val="left"/>
      <w:pPr>
        <w:ind w:left="851" w:hanging="426"/>
      </w:pPr>
    </w:lvl>
    <w:lvl w:ilvl="2">
      <w:start w:val="1"/>
      <w:numFmt w:val="lowerRoman"/>
      <w:lvlText w:val="%3."/>
      <w:lvlJc w:val="left"/>
      <w:pPr>
        <w:ind w:left="1276" w:hanging="425"/>
      </w:pPr>
    </w:lvl>
    <w:lvl w:ilvl="3">
      <w:start w:val="1"/>
      <w:numFmt w:val="decimal"/>
      <w:lvlText w:val=""/>
      <w:lvlJc w:val="left"/>
      <w:pPr>
        <w:ind w:left="1276" w:hanging="425"/>
      </w:pPr>
    </w:lvl>
    <w:lvl w:ilvl="4">
      <w:start w:val="1"/>
      <w:numFmt w:val="decimal"/>
      <w:lvlText w:val=""/>
      <w:lvlJc w:val="left"/>
      <w:pPr>
        <w:ind w:left="1276" w:hanging="425"/>
      </w:pPr>
    </w:lvl>
    <w:lvl w:ilvl="5">
      <w:start w:val="1"/>
      <w:numFmt w:val="decimal"/>
      <w:lvlText w:val=""/>
      <w:lvlJc w:val="left"/>
      <w:pPr>
        <w:ind w:left="1276" w:hanging="425"/>
      </w:pPr>
    </w:lvl>
    <w:lvl w:ilvl="6">
      <w:start w:val="1"/>
      <w:numFmt w:val="decimal"/>
      <w:lvlText w:val="%7"/>
      <w:lvlJc w:val="left"/>
      <w:pPr>
        <w:ind w:left="1276" w:hanging="425"/>
      </w:pPr>
    </w:lvl>
    <w:lvl w:ilvl="7">
      <w:start w:val="1"/>
      <w:numFmt w:val="decimal"/>
      <w:lvlText w:val=""/>
      <w:lvlJc w:val="left"/>
      <w:pPr>
        <w:ind w:left="1276" w:hanging="425"/>
      </w:pPr>
    </w:lvl>
    <w:lvl w:ilvl="8">
      <w:start w:val="1"/>
      <w:numFmt w:val="decimal"/>
      <w:lvlText w:val=""/>
      <w:lvlJc w:val="left"/>
      <w:pPr>
        <w:ind w:left="1276" w:hanging="425"/>
      </w:pPr>
    </w:lvl>
  </w:abstractNum>
  <w:abstractNum w:abstractNumId="7" w15:restartNumberingAfterBreak="0">
    <w:nsid w:val="101A6580"/>
    <w:multiLevelType w:val="hybridMultilevel"/>
    <w:tmpl w:val="D1064CAE"/>
    <w:lvl w:ilvl="0" w:tplc="B1B88C96">
      <w:start w:val="1"/>
      <w:numFmt w:val="lowerLetter"/>
      <w:lvlText w:val="(%1)"/>
      <w:lvlJc w:val="left"/>
      <w:pPr>
        <w:ind w:left="1069" w:hanging="360"/>
      </w:pPr>
      <w:rPr>
        <w:rFonts w:hint="default"/>
        <w:color w:val="00B050"/>
        <w:u w:val="single"/>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10D60D5B"/>
    <w:multiLevelType w:val="hybridMultilevel"/>
    <w:tmpl w:val="17962574"/>
    <w:lvl w:ilvl="0" w:tplc="4D342CF8">
      <w:start w:val="1"/>
      <w:numFmt w:val="bullet"/>
      <w:lvlText w:val=""/>
      <w:lvlJc w:val="left"/>
      <w:pPr>
        <w:ind w:left="720" w:hanging="360"/>
      </w:pPr>
      <w:rPr>
        <w:rFonts w:ascii="Symbol" w:hAnsi="Symbol"/>
      </w:rPr>
    </w:lvl>
    <w:lvl w:ilvl="1" w:tplc="983E2D0C">
      <w:start w:val="1"/>
      <w:numFmt w:val="bullet"/>
      <w:lvlText w:val=""/>
      <w:lvlJc w:val="left"/>
      <w:pPr>
        <w:ind w:left="720" w:hanging="360"/>
      </w:pPr>
      <w:rPr>
        <w:rFonts w:ascii="Symbol" w:hAnsi="Symbol"/>
      </w:rPr>
    </w:lvl>
    <w:lvl w:ilvl="2" w:tplc="815897B8">
      <w:start w:val="1"/>
      <w:numFmt w:val="bullet"/>
      <w:lvlText w:val=""/>
      <w:lvlJc w:val="left"/>
      <w:pPr>
        <w:ind w:left="720" w:hanging="360"/>
      </w:pPr>
      <w:rPr>
        <w:rFonts w:ascii="Symbol" w:hAnsi="Symbol"/>
      </w:rPr>
    </w:lvl>
    <w:lvl w:ilvl="3" w:tplc="D28843C0">
      <w:start w:val="1"/>
      <w:numFmt w:val="bullet"/>
      <w:lvlText w:val=""/>
      <w:lvlJc w:val="left"/>
      <w:pPr>
        <w:ind w:left="720" w:hanging="360"/>
      </w:pPr>
      <w:rPr>
        <w:rFonts w:ascii="Symbol" w:hAnsi="Symbol"/>
      </w:rPr>
    </w:lvl>
    <w:lvl w:ilvl="4" w:tplc="694E725C">
      <w:start w:val="1"/>
      <w:numFmt w:val="bullet"/>
      <w:lvlText w:val=""/>
      <w:lvlJc w:val="left"/>
      <w:pPr>
        <w:ind w:left="720" w:hanging="360"/>
      </w:pPr>
      <w:rPr>
        <w:rFonts w:ascii="Symbol" w:hAnsi="Symbol"/>
      </w:rPr>
    </w:lvl>
    <w:lvl w:ilvl="5" w:tplc="92B8103A">
      <w:start w:val="1"/>
      <w:numFmt w:val="bullet"/>
      <w:lvlText w:val=""/>
      <w:lvlJc w:val="left"/>
      <w:pPr>
        <w:ind w:left="720" w:hanging="360"/>
      </w:pPr>
      <w:rPr>
        <w:rFonts w:ascii="Symbol" w:hAnsi="Symbol"/>
      </w:rPr>
    </w:lvl>
    <w:lvl w:ilvl="6" w:tplc="E2346C80">
      <w:start w:val="1"/>
      <w:numFmt w:val="bullet"/>
      <w:lvlText w:val=""/>
      <w:lvlJc w:val="left"/>
      <w:pPr>
        <w:ind w:left="720" w:hanging="360"/>
      </w:pPr>
      <w:rPr>
        <w:rFonts w:ascii="Symbol" w:hAnsi="Symbol"/>
      </w:rPr>
    </w:lvl>
    <w:lvl w:ilvl="7" w:tplc="0046B590">
      <w:start w:val="1"/>
      <w:numFmt w:val="bullet"/>
      <w:lvlText w:val=""/>
      <w:lvlJc w:val="left"/>
      <w:pPr>
        <w:ind w:left="720" w:hanging="360"/>
      </w:pPr>
      <w:rPr>
        <w:rFonts w:ascii="Symbol" w:hAnsi="Symbol"/>
      </w:rPr>
    </w:lvl>
    <w:lvl w:ilvl="8" w:tplc="DA4E9B2E">
      <w:start w:val="1"/>
      <w:numFmt w:val="bullet"/>
      <w:lvlText w:val=""/>
      <w:lvlJc w:val="left"/>
      <w:pPr>
        <w:ind w:left="720" w:hanging="360"/>
      </w:pPr>
      <w:rPr>
        <w:rFonts w:ascii="Symbol" w:hAnsi="Symbol"/>
      </w:rPr>
    </w:lvl>
  </w:abstractNum>
  <w:abstractNum w:abstractNumId="9" w15:restartNumberingAfterBreak="0">
    <w:nsid w:val="1150BEA1"/>
    <w:multiLevelType w:val="hybridMultilevel"/>
    <w:tmpl w:val="FFFFFFFF"/>
    <w:lvl w:ilvl="0" w:tplc="2AA666D2">
      <w:start w:val="1"/>
      <w:numFmt w:val="bullet"/>
      <w:lvlText w:val=""/>
      <w:lvlJc w:val="left"/>
      <w:pPr>
        <w:ind w:left="720" w:hanging="360"/>
      </w:pPr>
      <w:rPr>
        <w:rFonts w:ascii="Symbol" w:hAnsi="Symbol" w:hint="default"/>
      </w:rPr>
    </w:lvl>
    <w:lvl w:ilvl="1" w:tplc="26747A9C">
      <w:start w:val="1"/>
      <w:numFmt w:val="bullet"/>
      <w:lvlText w:val="o"/>
      <w:lvlJc w:val="left"/>
      <w:pPr>
        <w:ind w:left="1440" w:hanging="360"/>
      </w:pPr>
      <w:rPr>
        <w:rFonts w:ascii="Courier New" w:hAnsi="Courier New" w:hint="default"/>
      </w:rPr>
    </w:lvl>
    <w:lvl w:ilvl="2" w:tplc="42508798">
      <w:start w:val="1"/>
      <w:numFmt w:val="bullet"/>
      <w:lvlText w:val=""/>
      <w:lvlJc w:val="left"/>
      <w:pPr>
        <w:ind w:left="2160" w:hanging="360"/>
      </w:pPr>
      <w:rPr>
        <w:rFonts w:ascii="Wingdings" w:hAnsi="Wingdings" w:hint="default"/>
      </w:rPr>
    </w:lvl>
    <w:lvl w:ilvl="3" w:tplc="4752883E">
      <w:start w:val="1"/>
      <w:numFmt w:val="bullet"/>
      <w:lvlText w:val=""/>
      <w:lvlJc w:val="left"/>
      <w:pPr>
        <w:ind w:left="2880" w:hanging="360"/>
      </w:pPr>
      <w:rPr>
        <w:rFonts w:ascii="Symbol" w:hAnsi="Symbol" w:hint="default"/>
      </w:rPr>
    </w:lvl>
    <w:lvl w:ilvl="4" w:tplc="56706EC0">
      <w:start w:val="1"/>
      <w:numFmt w:val="bullet"/>
      <w:lvlText w:val="o"/>
      <w:lvlJc w:val="left"/>
      <w:pPr>
        <w:ind w:left="3600" w:hanging="360"/>
      </w:pPr>
      <w:rPr>
        <w:rFonts w:ascii="Courier New" w:hAnsi="Courier New" w:hint="default"/>
      </w:rPr>
    </w:lvl>
    <w:lvl w:ilvl="5" w:tplc="53904B88">
      <w:start w:val="1"/>
      <w:numFmt w:val="bullet"/>
      <w:lvlText w:val=""/>
      <w:lvlJc w:val="left"/>
      <w:pPr>
        <w:ind w:left="4320" w:hanging="360"/>
      </w:pPr>
      <w:rPr>
        <w:rFonts w:ascii="Wingdings" w:hAnsi="Wingdings" w:hint="default"/>
      </w:rPr>
    </w:lvl>
    <w:lvl w:ilvl="6" w:tplc="0B3AFEC8">
      <w:start w:val="1"/>
      <w:numFmt w:val="bullet"/>
      <w:lvlText w:val=""/>
      <w:lvlJc w:val="left"/>
      <w:pPr>
        <w:ind w:left="5040" w:hanging="360"/>
      </w:pPr>
      <w:rPr>
        <w:rFonts w:ascii="Symbol" w:hAnsi="Symbol" w:hint="default"/>
      </w:rPr>
    </w:lvl>
    <w:lvl w:ilvl="7" w:tplc="07E2BF42">
      <w:start w:val="1"/>
      <w:numFmt w:val="bullet"/>
      <w:lvlText w:val="o"/>
      <w:lvlJc w:val="left"/>
      <w:pPr>
        <w:ind w:left="5760" w:hanging="360"/>
      </w:pPr>
      <w:rPr>
        <w:rFonts w:ascii="Courier New" w:hAnsi="Courier New" w:hint="default"/>
      </w:rPr>
    </w:lvl>
    <w:lvl w:ilvl="8" w:tplc="F5C8AD78">
      <w:start w:val="1"/>
      <w:numFmt w:val="bullet"/>
      <w:lvlText w:val=""/>
      <w:lvlJc w:val="left"/>
      <w:pPr>
        <w:ind w:left="6480" w:hanging="360"/>
      </w:pPr>
      <w:rPr>
        <w:rFonts w:ascii="Wingdings" w:hAnsi="Wingdings" w:hint="default"/>
      </w:rPr>
    </w:lvl>
  </w:abstractNum>
  <w:abstractNum w:abstractNumId="10" w15:restartNumberingAfterBreak="0">
    <w:nsid w:val="163F187C"/>
    <w:multiLevelType w:val="hybridMultilevel"/>
    <w:tmpl w:val="20409048"/>
    <w:lvl w:ilvl="0" w:tplc="0A6A0100">
      <w:start w:val="4"/>
      <w:numFmt w:val="bullet"/>
      <w:pStyle w:val="ListBullet3"/>
      <w:lvlText w:val="▪"/>
      <w:lvlJc w:val="left"/>
      <w:pPr>
        <w:ind w:left="1571" w:hanging="360"/>
      </w:pPr>
      <w:rPr>
        <w:rFonts w:ascii="Arial" w:hAnsi="Arial" w:hint="default"/>
      </w:rPr>
    </w:lvl>
    <w:lvl w:ilvl="1" w:tplc="CD723454" w:tentative="1">
      <w:start w:val="1"/>
      <w:numFmt w:val="bullet"/>
      <w:lvlText w:val="o"/>
      <w:lvlJc w:val="left"/>
      <w:pPr>
        <w:ind w:left="2291" w:hanging="360"/>
      </w:pPr>
      <w:rPr>
        <w:rFonts w:ascii="Courier New" w:hAnsi="Courier New" w:hint="default"/>
      </w:rPr>
    </w:lvl>
    <w:lvl w:ilvl="2" w:tplc="F2EE582A" w:tentative="1">
      <w:start w:val="1"/>
      <w:numFmt w:val="bullet"/>
      <w:lvlText w:val=""/>
      <w:lvlJc w:val="left"/>
      <w:pPr>
        <w:ind w:left="3011" w:hanging="360"/>
      </w:pPr>
      <w:rPr>
        <w:rFonts w:ascii="Wingdings" w:hAnsi="Wingdings" w:hint="default"/>
      </w:rPr>
    </w:lvl>
    <w:lvl w:ilvl="3" w:tplc="DD685D90" w:tentative="1">
      <w:start w:val="1"/>
      <w:numFmt w:val="bullet"/>
      <w:lvlText w:val=""/>
      <w:lvlJc w:val="left"/>
      <w:pPr>
        <w:ind w:left="3731" w:hanging="360"/>
      </w:pPr>
      <w:rPr>
        <w:rFonts w:ascii="Symbol" w:hAnsi="Symbol" w:hint="default"/>
      </w:rPr>
    </w:lvl>
    <w:lvl w:ilvl="4" w:tplc="C3E23516" w:tentative="1">
      <w:start w:val="1"/>
      <w:numFmt w:val="bullet"/>
      <w:lvlText w:val="o"/>
      <w:lvlJc w:val="left"/>
      <w:pPr>
        <w:ind w:left="4451" w:hanging="360"/>
      </w:pPr>
      <w:rPr>
        <w:rFonts w:ascii="Courier New" w:hAnsi="Courier New" w:hint="default"/>
      </w:rPr>
    </w:lvl>
    <w:lvl w:ilvl="5" w:tplc="DFECFE84" w:tentative="1">
      <w:start w:val="1"/>
      <w:numFmt w:val="bullet"/>
      <w:lvlText w:val=""/>
      <w:lvlJc w:val="left"/>
      <w:pPr>
        <w:ind w:left="5171" w:hanging="360"/>
      </w:pPr>
      <w:rPr>
        <w:rFonts w:ascii="Wingdings" w:hAnsi="Wingdings" w:hint="default"/>
      </w:rPr>
    </w:lvl>
    <w:lvl w:ilvl="6" w:tplc="BF64E466" w:tentative="1">
      <w:start w:val="1"/>
      <w:numFmt w:val="bullet"/>
      <w:lvlText w:val=""/>
      <w:lvlJc w:val="left"/>
      <w:pPr>
        <w:ind w:left="5891" w:hanging="360"/>
      </w:pPr>
      <w:rPr>
        <w:rFonts w:ascii="Symbol" w:hAnsi="Symbol" w:hint="default"/>
      </w:rPr>
    </w:lvl>
    <w:lvl w:ilvl="7" w:tplc="C9F41E94" w:tentative="1">
      <w:start w:val="1"/>
      <w:numFmt w:val="bullet"/>
      <w:lvlText w:val="o"/>
      <w:lvlJc w:val="left"/>
      <w:pPr>
        <w:ind w:left="6611" w:hanging="360"/>
      </w:pPr>
      <w:rPr>
        <w:rFonts w:ascii="Courier New" w:hAnsi="Courier New" w:hint="default"/>
      </w:rPr>
    </w:lvl>
    <w:lvl w:ilvl="8" w:tplc="67CC9020"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BDCE1BCC"/>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1B83318F"/>
    <w:multiLevelType w:val="hybridMultilevel"/>
    <w:tmpl w:val="13585FFC"/>
    <w:lvl w:ilvl="0" w:tplc="209EA90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1DF75570"/>
    <w:multiLevelType w:val="hybridMultilevel"/>
    <w:tmpl w:val="D5E6971A"/>
    <w:lvl w:ilvl="0" w:tplc="40E89512">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21A32979"/>
    <w:multiLevelType w:val="hybridMultilevel"/>
    <w:tmpl w:val="8FB0E204"/>
    <w:lvl w:ilvl="0" w:tplc="6F78AA42">
      <w:start w:val="1"/>
      <w:numFmt w:val="bullet"/>
      <w:lvlText w:val=""/>
      <w:lvlJc w:val="left"/>
      <w:pPr>
        <w:ind w:left="720" w:hanging="360"/>
      </w:pPr>
      <w:rPr>
        <w:rFonts w:ascii="Symbol" w:hAnsi="Symbol"/>
      </w:rPr>
    </w:lvl>
    <w:lvl w:ilvl="1" w:tplc="4430501E">
      <w:start w:val="1"/>
      <w:numFmt w:val="bullet"/>
      <w:lvlText w:val=""/>
      <w:lvlJc w:val="left"/>
      <w:pPr>
        <w:ind w:left="720" w:hanging="360"/>
      </w:pPr>
      <w:rPr>
        <w:rFonts w:ascii="Symbol" w:hAnsi="Symbol"/>
      </w:rPr>
    </w:lvl>
    <w:lvl w:ilvl="2" w:tplc="E6DC3ACE">
      <w:start w:val="1"/>
      <w:numFmt w:val="bullet"/>
      <w:lvlText w:val=""/>
      <w:lvlJc w:val="left"/>
      <w:pPr>
        <w:ind w:left="720" w:hanging="360"/>
      </w:pPr>
      <w:rPr>
        <w:rFonts w:ascii="Symbol" w:hAnsi="Symbol"/>
      </w:rPr>
    </w:lvl>
    <w:lvl w:ilvl="3" w:tplc="5A803D0C">
      <w:start w:val="1"/>
      <w:numFmt w:val="bullet"/>
      <w:lvlText w:val=""/>
      <w:lvlJc w:val="left"/>
      <w:pPr>
        <w:ind w:left="720" w:hanging="360"/>
      </w:pPr>
      <w:rPr>
        <w:rFonts w:ascii="Symbol" w:hAnsi="Symbol"/>
      </w:rPr>
    </w:lvl>
    <w:lvl w:ilvl="4" w:tplc="85E62B30">
      <w:start w:val="1"/>
      <w:numFmt w:val="bullet"/>
      <w:lvlText w:val=""/>
      <w:lvlJc w:val="left"/>
      <w:pPr>
        <w:ind w:left="720" w:hanging="360"/>
      </w:pPr>
      <w:rPr>
        <w:rFonts w:ascii="Symbol" w:hAnsi="Symbol"/>
      </w:rPr>
    </w:lvl>
    <w:lvl w:ilvl="5" w:tplc="18E68474">
      <w:start w:val="1"/>
      <w:numFmt w:val="bullet"/>
      <w:lvlText w:val=""/>
      <w:lvlJc w:val="left"/>
      <w:pPr>
        <w:ind w:left="720" w:hanging="360"/>
      </w:pPr>
      <w:rPr>
        <w:rFonts w:ascii="Symbol" w:hAnsi="Symbol"/>
      </w:rPr>
    </w:lvl>
    <w:lvl w:ilvl="6" w:tplc="F258C850">
      <w:start w:val="1"/>
      <w:numFmt w:val="bullet"/>
      <w:lvlText w:val=""/>
      <w:lvlJc w:val="left"/>
      <w:pPr>
        <w:ind w:left="720" w:hanging="360"/>
      </w:pPr>
      <w:rPr>
        <w:rFonts w:ascii="Symbol" w:hAnsi="Symbol"/>
      </w:rPr>
    </w:lvl>
    <w:lvl w:ilvl="7" w:tplc="317A8520">
      <w:start w:val="1"/>
      <w:numFmt w:val="bullet"/>
      <w:lvlText w:val=""/>
      <w:lvlJc w:val="left"/>
      <w:pPr>
        <w:ind w:left="720" w:hanging="360"/>
      </w:pPr>
      <w:rPr>
        <w:rFonts w:ascii="Symbol" w:hAnsi="Symbol"/>
      </w:rPr>
    </w:lvl>
    <w:lvl w:ilvl="8" w:tplc="C736055A">
      <w:start w:val="1"/>
      <w:numFmt w:val="bullet"/>
      <w:lvlText w:val=""/>
      <w:lvlJc w:val="left"/>
      <w:pPr>
        <w:ind w:left="720" w:hanging="360"/>
      </w:pPr>
      <w:rPr>
        <w:rFonts w:ascii="Symbol" w:hAnsi="Symbol"/>
      </w:rPr>
    </w:lvl>
  </w:abstractNum>
  <w:abstractNum w:abstractNumId="16" w15:restartNumberingAfterBreak="0">
    <w:nsid w:val="2A3D2967"/>
    <w:multiLevelType w:val="hybridMultilevel"/>
    <w:tmpl w:val="2992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EB626A"/>
    <w:multiLevelType w:val="hybridMultilevel"/>
    <w:tmpl w:val="EF0E9F0A"/>
    <w:lvl w:ilvl="0" w:tplc="B1B88C96">
      <w:start w:val="1"/>
      <w:numFmt w:val="lowerLetter"/>
      <w:lvlText w:val="(%1)"/>
      <w:lvlJc w:val="left"/>
      <w:pPr>
        <w:ind w:left="1069" w:hanging="360"/>
      </w:pPr>
      <w:rPr>
        <w:rFonts w:hint="default"/>
        <w:color w:val="00B050"/>
        <w:u w:val="single"/>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8" w15:restartNumberingAfterBreak="0">
    <w:nsid w:val="2E924211"/>
    <w:multiLevelType w:val="hybridMultilevel"/>
    <w:tmpl w:val="743A5C20"/>
    <w:lvl w:ilvl="0" w:tplc="A9A6F82A">
      <w:start w:val="1"/>
      <w:numFmt w:val="lowerLetter"/>
      <w:pStyle w:val="ListBulleta"/>
      <w:lvlText w:val="(%1)"/>
      <w:lvlJc w:val="left"/>
      <w:pPr>
        <w:ind w:left="1146" w:hanging="360"/>
      </w:pPr>
      <w:rPr>
        <w:rFonts w:hint="default"/>
        <w:strike w:val="0"/>
        <w:color w:val="00B050"/>
        <w:u w:val="none"/>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9" w15:restartNumberingAfterBreak="0">
    <w:nsid w:val="30DB7EB2"/>
    <w:multiLevelType w:val="hybridMultilevel"/>
    <w:tmpl w:val="6B76FF98"/>
    <w:lvl w:ilvl="0" w:tplc="B1B88C96">
      <w:start w:val="1"/>
      <w:numFmt w:val="lowerLetter"/>
      <w:lvlText w:val="(%1)"/>
      <w:lvlJc w:val="left"/>
      <w:pPr>
        <w:ind w:left="786" w:hanging="360"/>
      </w:pPr>
      <w:rPr>
        <w:rFonts w:hint="default"/>
        <w:color w:val="00B050"/>
        <w:u w:val="single"/>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334E64D9"/>
    <w:multiLevelType w:val="hybridMultilevel"/>
    <w:tmpl w:val="3FA4FFB0"/>
    <w:lvl w:ilvl="0" w:tplc="FFFFFFFF">
      <w:start w:val="1"/>
      <w:numFmt w:val="bullet"/>
      <w:lvlText w:val="•"/>
      <w:lvlJc w:val="left"/>
      <w:pPr>
        <w:ind w:left="360" w:hanging="360"/>
      </w:pPr>
      <w:rPr>
        <w:rFonts w:ascii="Symbol" w:hAnsi="Symbol" w:hint="default"/>
      </w:rPr>
    </w:lvl>
    <w:lvl w:ilvl="1" w:tplc="EA0EC7BA">
      <w:start w:val="1"/>
      <w:numFmt w:val="bullet"/>
      <w:lvlText w:val=""/>
      <w:lvlJc w:val="left"/>
      <w:pPr>
        <w:ind w:left="720" w:hanging="360"/>
      </w:pPr>
      <w:rPr>
        <w:rFonts w:ascii="Symbol" w:hAnsi="Symbol"/>
      </w:rPr>
    </w:lvl>
    <w:lvl w:ilvl="2" w:tplc="A09C2202">
      <w:start w:val="1"/>
      <w:numFmt w:val="bullet"/>
      <w:lvlText w:val=""/>
      <w:lvlJc w:val="left"/>
      <w:pPr>
        <w:ind w:left="720" w:hanging="360"/>
      </w:pPr>
      <w:rPr>
        <w:rFonts w:ascii="Symbol" w:hAnsi="Symbol"/>
      </w:rPr>
    </w:lvl>
    <w:lvl w:ilvl="3" w:tplc="223E20CA">
      <w:start w:val="1"/>
      <w:numFmt w:val="bullet"/>
      <w:lvlText w:val=""/>
      <w:lvlJc w:val="left"/>
      <w:pPr>
        <w:ind w:left="720" w:hanging="360"/>
      </w:pPr>
      <w:rPr>
        <w:rFonts w:ascii="Symbol" w:hAnsi="Symbol"/>
      </w:rPr>
    </w:lvl>
    <w:lvl w:ilvl="4" w:tplc="46E8BC8A">
      <w:start w:val="1"/>
      <w:numFmt w:val="bullet"/>
      <w:lvlText w:val=""/>
      <w:lvlJc w:val="left"/>
      <w:pPr>
        <w:ind w:left="720" w:hanging="360"/>
      </w:pPr>
      <w:rPr>
        <w:rFonts w:ascii="Symbol" w:hAnsi="Symbol"/>
      </w:rPr>
    </w:lvl>
    <w:lvl w:ilvl="5" w:tplc="9AB0E1E8">
      <w:start w:val="1"/>
      <w:numFmt w:val="bullet"/>
      <w:lvlText w:val=""/>
      <w:lvlJc w:val="left"/>
      <w:pPr>
        <w:ind w:left="720" w:hanging="360"/>
      </w:pPr>
      <w:rPr>
        <w:rFonts w:ascii="Symbol" w:hAnsi="Symbol"/>
      </w:rPr>
    </w:lvl>
    <w:lvl w:ilvl="6" w:tplc="3830F67A">
      <w:start w:val="1"/>
      <w:numFmt w:val="bullet"/>
      <w:lvlText w:val=""/>
      <w:lvlJc w:val="left"/>
      <w:pPr>
        <w:ind w:left="720" w:hanging="360"/>
      </w:pPr>
      <w:rPr>
        <w:rFonts w:ascii="Symbol" w:hAnsi="Symbol"/>
      </w:rPr>
    </w:lvl>
    <w:lvl w:ilvl="7" w:tplc="3410DB5E">
      <w:start w:val="1"/>
      <w:numFmt w:val="bullet"/>
      <w:lvlText w:val=""/>
      <w:lvlJc w:val="left"/>
      <w:pPr>
        <w:ind w:left="720" w:hanging="360"/>
      </w:pPr>
      <w:rPr>
        <w:rFonts w:ascii="Symbol" w:hAnsi="Symbol"/>
      </w:rPr>
    </w:lvl>
    <w:lvl w:ilvl="8" w:tplc="5ED20668">
      <w:start w:val="1"/>
      <w:numFmt w:val="bullet"/>
      <w:lvlText w:val=""/>
      <w:lvlJc w:val="left"/>
      <w:pPr>
        <w:ind w:left="720" w:hanging="360"/>
      </w:pPr>
      <w:rPr>
        <w:rFonts w:ascii="Symbol" w:hAnsi="Symbol"/>
      </w:rPr>
    </w:lvl>
  </w:abstractNum>
  <w:abstractNum w:abstractNumId="21" w15:restartNumberingAfterBreak="0">
    <w:nsid w:val="35EC5112"/>
    <w:multiLevelType w:val="hybridMultilevel"/>
    <w:tmpl w:val="AFFCED10"/>
    <w:styleLink w:val="NumberBullet0"/>
    <w:lvl w:ilvl="0" w:tplc="31BEAFA4">
      <w:start w:val="1"/>
      <w:numFmt w:val="bullet"/>
      <w:lvlText w:val=""/>
      <w:lvlJc w:val="left"/>
      <w:pPr>
        <w:ind w:left="720" w:hanging="360"/>
      </w:pPr>
      <w:rPr>
        <w:rFonts w:ascii="Symbol" w:hAnsi="Symbol"/>
      </w:rPr>
    </w:lvl>
    <w:lvl w:ilvl="1" w:tplc="A97A16FC">
      <w:start w:val="1"/>
      <w:numFmt w:val="bullet"/>
      <w:lvlText w:val=""/>
      <w:lvlJc w:val="left"/>
      <w:pPr>
        <w:ind w:left="720" w:hanging="360"/>
      </w:pPr>
      <w:rPr>
        <w:rFonts w:ascii="Symbol" w:hAnsi="Symbol"/>
      </w:rPr>
    </w:lvl>
    <w:lvl w:ilvl="2" w:tplc="2160D792">
      <w:start w:val="1"/>
      <w:numFmt w:val="bullet"/>
      <w:lvlText w:val=""/>
      <w:lvlJc w:val="left"/>
      <w:pPr>
        <w:ind w:left="720" w:hanging="360"/>
      </w:pPr>
      <w:rPr>
        <w:rFonts w:ascii="Symbol" w:hAnsi="Symbol"/>
      </w:rPr>
    </w:lvl>
    <w:lvl w:ilvl="3" w:tplc="7CA66D96">
      <w:start w:val="1"/>
      <w:numFmt w:val="bullet"/>
      <w:lvlText w:val=""/>
      <w:lvlJc w:val="left"/>
      <w:pPr>
        <w:ind w:left="720" w:hanging="360"/>
      </w:pPr>
      <w:rPr>
        <w:rFonts w:ascii="Symbol" w:hAnsi="Symbol"/>
      </w:rPr>
    </w:lvl>
    <w:lvl w:ilvl="4" w:tplc="A7F0373A">
      <w:start w:val="1"/>
      <w:numFmt w:val="bullet"/>
      <w:lvlText w:val=""/>
      <w:lvlJc w:val="left"/>
      <w:pPr>
        <w:ind w:left="720" w:hanging="360"/>
      </w:pPr>
      <w:rPr>
        <w:rFonts w:ascii="Symbol" w:hAnsi="Symbol"/>
      </w:rPr>
    </w:lvl>
    <w:lvl w:ilvl="5" w:tplc="2D903FF0">
      <w:start w:val="1"/>
      <w:numFmt w:val="bullet"/>
      <w:lvlText w:val=""/>
      <w:lvlJc w:val="left"/>
      <w:pPr>
        <w:ind w:left="720" w:hanging="360"/>
      </w:pPr>
      <w:rPr>
        <w:rFonts w:ascii="Symbol" w:hAnsi="Symbol"/>
      </w:rPr>
    </w:lvl>
    <w:lvl w:ilvl="6" w:tplc="35FC6CF8">
      <w:start w:val="1"/>
      <w:numFmt w:val="bullet"/>
      <w:lvlText w:val=""/>
      <w:lvlJc w:val="left"/>
      <w:pPr>
        <w:ind w:left="720" w:hanging="360"/>
      </w:pPr>
      <w:rPr>
        <w:rFonts w:ascii="Symbol" w:hAnsi="Symbol"/>
      </w:rPr>
    </w:lvl>
    <w:lvl w:ilvl="7" w:tplc="D03C3B4A">
      <w:start w:val="1"/>
      <w:numFmt w:val="bullet"/>
      <w:lvlText w:val=""/>
      <w:lvlJc w:val="left"/>
      <w:pPr>
        <w:ind w:left="720" w:hanging="360"/>
      </w:pPr>
      <w:rPr>
        <w:rFonts w:ascii="Symbol" w:hAnsi="Symbol"/>
      </w:rPr>
    </w:lvl>
    <w:lvl w:ilvl="8" w:tplc="04A8EF7E">
      <w:start w:val="1"/>
      <w:numFmt w:val="bullet"/>
      <w:lvlText w:val=""/>
      <w:lvlJc w:val="left"/>
      <w:pPr>
        <w:ind w:left="720" w:hanging="360"/>
      </w:pPr>
      <w:rPr>
        <w:rFonts w:ascii="Symbol" w:hAnsi="Symbol"/>
      </w:rPr>
    </w:lvl>
  </w:abstractNum>
  <w:abstractNum w:abstractNumId="22" w15:restartNumberingAfterBreak="0">
    <w:nsid w:val="362021A4"/>
    <w:multiLevelType w:val="hybridMultilevel"/>
    <w:tmpl w:val="9632A0DE"/>
    <w:lvl w:ilvl="0" w:tplc="B878500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37CE152B"/>
    <w:multiLevelType w:val="hybridMultilevel"/>
    <w:tmpl w:val="049E6858"/>
    <w:lvl w:ilvl="0" w:tplc="B1B88C96">
      <w:start w:val="1"/>
      <w:numFmt w:val="lowerLetter"/>
      <w:lvlText w:val="(%1)"/>
      <w:lvlJc w:val="left"/>
      <w:pPr>
        <w:ind w:left="1069" w:hanging="360"/>
      </w:pPr>
      <w:rPr>
        <w:rFonts w:hint="default"/>
        <w:color w:val="00B050"/>
        <w:u w:val="singl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3A731BB0"/>
    <w:multiLevelType w:val="hybridMultilevel"/>
    <w:tmpl w:val="BACCC608"/>
    <w:lvl w:ilvl="0" w:tplc="A12819D8">
      <w:start w:val="1"/>
      <w:numFmt w:val="bullet"/>
      <w:lvlText w:val=""/>
      <w:lvlJc w:val="left"/>
      <w:pPr>
        <w:ind w:left="720" w:hanging="360"/>
      </w:pPr>
      <w:rPr>
        <w:rFonts w:ascii="Symbol" w:hAnsi="Symbol"/>
      </w:rPr>
    </w:lvl>
    <w:lvl w:ilvl="1" w:tplc="EA8A6A8C">
      <w:start w:val="1"/>
      <w:numFmt w:val="bullet"/>
      <w:lvlText w:val=""/>
      <w:lvlJc w:val="left"/>
      <w:pPr>
        <w:ind w:left="720" w:hanging="360"/>
      </w:pPr>
      <w:rPr>
        <w:rFonts w:ascii="Symbol" w:hAnsi="Symbol"/>
      </w:rPr>
    </w:lvl>
    <w:lvl w:ilvl="2" w:tplc="00646EFA">
      <w:start w:val="1"/>
      <w:numFmt w:val="bullet"/>
      <w:lvlText w:val=""/>
      <w:lvlJc w:val="left"/>
      <w:pPr>
        <w:ind w:left="720" w:hanging="360"/>
      </w:pPr>
      <w:rPr>
        <w:rFonts w:ascii="Symbol" w:hAnsi="Symbol"/>
      </w:rPr>
    </w:lvl>
    <w:lvl w:ilvl="3" w:tplc="0F2ECE28">
      <w:start w:val="1"/>
      <w:numFmt w:val="bullet"/>
      <w:lvlText w:val=""/>
      <w:lvlJc w:val="left"/>
      <w:pPr>
        <w:ind w:left="720" w:hanging="360"/>
      </w:pPr>
      <w:rPr>
        <w:rFonts w:ascii="Symbol" w:hAnsi="Symbol"/>
      </w:rPr>
    </w:lvl>
    <w:lvl w:ilvl="4" w:tplc="728A8FAA">
      <w:start w:val="1"/>
      <w:numFmt w:val="bullet"/>
      <w:lvlText w:val=""/>
      <w:lvlJc w:val="left"/>
      <w:pPr>
        <w:ind w:left="720" w:hanging="360"/>
      </w:pPr>
      <w:rPr>
        <w:rFonts w:ascii="Symbol" w:hAnsi="Symbol"/>
      </w:rPr>
    </w:lvl>
    <w:lvl w:ilvl="5" w:tplc="0E82F5C4">
      <w:start w:val="1"/>
      <w:numFmt w:val="bullet"/>
      <w:lvlText w:val=""/>
      <w:lvlJc w:val="left"/>
      <w:pPr>
        <w:ind w:left="720" w:hanging="360"/>
      </w:pPr>
      <w:rPr>
        <w:rFonts w:ascii="Symbol" w:hAnsi="Symbol"/>
      </w:rPr>
    </w:lvl>
    <w:lvl w:ilvl="6" w:tplc="22987EE4">
      <w:start w:val="1"/>
      <w:numFmt w:val="bullet"/>
      <w:lvlText w:val=""/>
      <w:lvlJc w:val="left"/>
      <w:pPr>
        <w:ind w:left="720" w:hanging="360"/>
      </w:pPr>
      <w:rPr>
        <w:rFonts w:ascii="Symbol" w:hAnsi="Symbol"/>
      </w:rPr>
    </w:lvl>
    <w:lvl w:ilvl="7" w:tplc="4F362A2C">
      <w:start w:val="1"/>
      <w:numFmt w:val="bullet"/>
      <w:lvlText w:val=""/>
      <w:lvlJc w:val="left"/>
      <w:pPr>
        <w:ind w:left="720" w:hanging="360"/>
      </w:pPr>
      <w:rPr>
        <w:rFonts w:ascii="Symbol" w:hAnsi="Symbol"/>
      </w:rPr>
    </w:lvl>
    <w:lvl w:ilvl="8" w:tplc="626EB5DE">
      <w:start w:val="1"/>
      <w:numFmt w:val="bullet"/>
      <w:lvlText w:val=""/>
      <w:lvlJc w:val="left"/>
      <w:pPr>
        <w:ind w:left="720" w:hanging="360"/>
      </w:pPr>
      <w:rPr>
        <w:rFonts w:ascii="Symbol" w:hAnsi="Symbol"/>
      </w:rPr>
    </w:lvl>
  </w:abstractNum>
  <w:abstractNum w:abstractNumId="25" w15:restartNumberingAfterBreak="0">
    <w:nsid w:val="3AA76440"/>
    <w:multiLevelType w:val="hybridMultilevel"/>
    <w:tmpl w:val="422C20DE"/>
    <w:lvl w:ilvl="0" w:tplc="FFFFFFFF">
      <w:start w:val="1"/>
      <w:numFmt w:val="lowerLetter"/>
      <w:lvlText w:val="%1)"/>
      <w:lvlJc w:val="left"/>
      <w:pPr>
        <w:ind w:left="1069" w:hanging="360"/>
      </w:pPr>
      <w:rPr>
        <w:rFonts w:eastAsia="Arial" w:cs="Arial" w:hint="default"/>
        <w:color w:val="00B050"/>
        <w:sz w:val="21"/>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F46164C"/>
    <w:multiLevelType w:val="hybridMultilevel"/>
    <w:tmpl w:val="33603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3D132C"/>
    <w:multiLevelType w:val="hybridMultilevel"/>
    <w:tmpl w:val="49E8D9CC"/>
    <w:lvl w:ilvl="0" w:tplc="185CCC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390362"/>
    <w:multiLevelType w:val="hybridMultilevel"/>
    <w:tmpl w:val="E3FCF678"/>
    <w:lvl w:ilvl="0" w:tplc="D0946C8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9" w15:restartNumberingAfterBreak="0">
    <w:nsid w:val="49870118"/>
    <w:multiLevelType w:val="hybridMultilevel"/>
    <w:tmpl w:val="2500F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AD1B102"/>
    <w:multiLevelType w:val="hybridMultilevel"/>
    <w:tmpl w:val="FFFFFFFF"/>
    <w:lvl w:ilvl="0" w:tplc="F5E03844">
      <w:start w:val="1"/>
      <w:numFmt w:val="bullet"/>
      <w:lvlText w:val=""/>
      <w:lvlJc w:val="left"/>
      <w:pPr>
        <w:ind w:left="720" w:hanging="360"/>
      </w:pPr>
      <w:rPr>
        <w:rFonts w:ascii="Symbol" w:hAnsi="Symbol" w:hint="default"/>
      </w:rPr>
    </w:lvl>
    <w:lvl w:ilvl="1" w:tplc="D4D0A6F2">
      <w:start w:val="1"/>
      <w:numFmt w:val="bullet"/>
      <w:lvlText w:val="o"/>
      <w:lvlJc w:val="left"/>
      <w:pPr>
        <w:ind w:left="1440" w:hanging="360"/>
      </w:pPr>
      <w:rPr>
        <w:rFonts w:ascii="Courier New" w:hAnsi="Courier New" w:hint="default"/>
      </w:rPr>
    </w:lvl>
    <w:lvl w:ilvl="2" w:tplc="3C46B5AA">
      <w:start w:val="1"/>
      <w:numFmt w:val="bullet"/>
      <w:lvlText w:val=""/>
      <w:lvlJc w:val="left"/>
      <w:pPr>
        <w:ind w:left="2160" w:hanging="360"/>
      </w:pPr>
      <w:rPr>
        <w:rFonts w:ascii="Wingdings" w:hAnsi="Wingdings" w:hint="default"/>
      </w:rPr>
    </w:lvl>
    <w:lvl w:ilvl="3" w:tplc="C5EA308E">
      <w:start w:val="1"/>
      <w:numFmt w:val="bullet"/>
      <w:lvlText w:val=""/>
      <w:lvlJc w:val="left"/>
      <w:pPr>
        <w:ind w:left="2880" w:hanging="360"/>
      </w:pPr>
      <w:rPr>
        <w:rFonts w:ascii="Symbol" w:hAnsi="Symbol" w:hint="default"/>
      </w:rPr>
    </w:lvl>
    <w:lvl w:ilvl="4" w:tplc="2452E1D0">
      <w:start w:val="1"/>
      <w:numFmt w:val="bullet"/>
      <w:lvlText w:val="o"/>
      <w:lvlJc w:val="left"/>
      <w:pPr>
        <w:ind w:left="3600" w:hanging="360"/>
      </w:pPr>
      <w:rPr>
        <w:rFonts w:ascii="Courier New" w:hAnsi="Courier New" w:hint="default"/>
      </w:rPr>
    </w:lvl>
    <w:lvl w:ilvl="5" w:tplc="A2F881DE">
      <w:start w:val="1"/>
      <w:numFmt w:val="bullet"/>
      <w:lvlText w:val=""/>
      <w:lvlJc w:val="left"/>
      <w:pPr>
        <w:ind w:left="4320" w:hanging="360"/>
      </w:pPr>
      <w:rPr>
        <w:rFonts w:ascii="Wingdings" w:hAnsi="Wingdings" w:hint="default"/>
      </w:rPr>
    </w:lvl>
    <w:lvl w:ilvl="6" w:tplc="92D4520C">
      <w:start w:val="1"/>
      <w:numFmt w:val="bullet"/>
      <w:lvlText w:val=""/>
      <w:lvlJc w:val="left"/>
      <w:pPr>
        <w:ind w:left="5040" w:hanging="360"/>
      </w:pPr>
      <w:rPr>
        <w:rFonts w:ascii="Symbol" w:hAnsi="Symbol" w:hint="default"/>
      </w:rPr>
    </w:lvl>
    <w:lvl w:ilvl="7" w:tplc="F52AFAE4">
      <w:start w:val="1"/>
      <w:numFmt w:val="bullet"/>
      <w:lvlText w:val="o"/>
      <w:lvlJc w:val="left"/>
      <w:pPr>
        <w:ind w:left="5760" w:hanging="360"/>
      </w:pPr>
      <w:rPr>
        <w:rFonts w:ascii="Courier New" w:hAnsi="Courier New" w:hint="default"/>
      </w:rPr>
    </w:lvl>
    <w:lvl w:ilvl="8" w:tplc="C024BD6E">
      <w:start w:val="1"/>
      <w:numFmt w:val="bullet"/>
      <w:lvlText w:val=""/>
      <w:lvlJc w:val="left"/>
      <w:pPr>
        <w:ind w:left="6480" w:hanging="360"/>
      </w:pPr>
      <w:rPr>
        <w:rFonts w:ascii="Wingdings" w:hAnsi="Wingdings" w:hint="default"/>
      </w:rPr>
    </w:lvl>
  </w:abstractNum>
  <w:abstractNum w:abstractNumId="31" w15:restartNumberingAfterBreak="0">
    <w:nsid w:val="4BF13221"/>
    <w:multiLevelType w:val="hybridMultilevel"/>
    <w:tmpl w:val="A64C220A"/>
    <w:lvl w:ilvl="0" w:tplc="42A0721A">
      <w:start w:val="1"/>
      <w:numFmt w:val="bullet"/>
      <w:lvlText w:val=""/>
      <w:lvlJc w:val="left"/>
      <w:pPr>
        <w:ind w:left="720" w:hanging="360"/>
      </w:pPr>
      <w:rPr>
        <w:rFonts w:ascii="Symbol" w:hAnsi="Symbol"/>
      </w:rPr>
    </w:lvl>
    <w:lvl w:ilvl="1" w:tplc="E478915C">
      <w:start w:val="1"/>
      <w:numFmt w:val="bullet"/>
      <w:lvlText w:val=""/>
      <w:lvlJc w:val="left"/>
      <w:pPr>
        <w:ind w:left="720" w:hanging="360"/>
      </w:pPr>
      <w:rPr>
        <w:rFonts w:ascii="Symbol" w:hAnsi="Symbol"/>
      </w:rPr>
    </w:lvl>
    <w:lvl w:ilvl="2" w:tplc="E648D6CA">
      <w:start w:val="1"/>
      <w:numFmt w:val="bullet"/>
      <w:lvlText w:val=""/>
      <w:lvlJc w:val="left"/>
      <w:pPr>
        <w:ind w:left="720" w:hanging="360"/>
      </w:pPr>
      <w:rPr>
        <w:rFonts w:ascii="Symbol" w:hAnsi="Symbol"/>
      </w:rPr>
    </w:lvl>
    <w:lvl w:ilvl="3" w:tplc="A88CA070">
      <w:start w:val="1"/>
      <w:numFmt w:val="bullet"/>
      <w:lvlText w:val=""/>
      <w:lvlJc w:val="left"/>
      <w:pPr>
        <w:ind w:left="720" w:hanging="360"/>
      </w:pPr>
      <w:rPr>
        <w:rFonts w:ascii="Symbol" w:hAnsi="Symbol"/>
      </w:rPr>
    </w:lvl>
    <w:lvl w:ilvl="4" w:tplc="6E425E1C">
      <w:start w:val="1"/>
      <w:numFmt w:val="bullet"/>
      <w:lvlText w:val=""/>
      <w:lvlJc w:val="left"/>
      <w:pPr>
        <w:ind w:left="720" w:hanging="360"/>
      </w:pPr>
      <w:rPr>
        <w:rFonts w:ascii="Symbol" w:hAnsi="Symbol"/>
      </w:rPr>
    </w:lvl>
    <w:lvl w:ilvl="5" w:tplc="C0C25436">
      <w:start w:val="1"/>
      <w:numFmt w:val="bullet"/>
      <w:lvlText w:val=""/>
      <w:lvlJc w:val="left"/>
      <w:pPr>
        <w:ind w:left="720" w:hanging="360"/>
      </w:pPr>
      <w:rPr>
        <w:rFonts w:ascii="Symbol" w:hAnsi="Symbol"/>
      </w:rPr>
    </w:lvl>
    <w:lvl w:ilvl="6" w:tplc="17206B5E">
      <w:start w:val="1"/>
      <w:numFmt w:val="bullet"/>
      <w:lvlText w:val=""/>
      <w:lvlJc w:val="left"/>
      <w:pPr>
        <w:ind w:left="720" w:hanging="360"/>
      </w:pPr>
      <w:rPr>
        <w:rFonts w:ascii="Symbol" w:hAnsi="Symbol"/>
      </w:rPr>
    </w:lvl>
    <w:lvl w:ilvl="7" w:tplc="5E58E7FC">
      <w:start w:val="1"/>
      <w:numFmt w:val="bullet"/>
      <w:lvlText w:val=""/>
      <w:lvlJc w:val="left"/>
      <w:pPr>
        <w:ind w:left="720" w:hanging="360"/>
      </w:pPr>
      <w:rPr>
        <w:rFonts w:ascii="Symbol" w:hAnsi="Symbol"/>
      </w:rPr>
    </w:lvl>
    <w:lvl w:ilvl="8" w:tplc="50E0182C">
      <w:start w:val="1"/>
      <w:numFmt w:val="bullet"/>
      <w:lvlText w:val=""/>
      <w:lvlJc w:val="left"/>
      <w:pPr>
        <w:ind w:left="720" w:hanging="360"/>
      </w:pPr>
      <w:rPr>
        <w:rFonts w:ascii="Symbol" w:hAnsi="Symbol"/>
      </w:rPr>
    </w:lvl>
  </w:abstractNum>
  <w:abstractNum w:abstractNumId="32" w15:restartNumberingAfterBreak="0">
    <w:nsid w:val="4BFD64F9"/>
    <w:multiLevelType w:val="hybridMultilevel"/>
    <w:tmpl w:val="C0F27CA0"/>
    <w:lvl w:ilvl="0" w:tplc="71286500">
      <w:start w:val="1"/>
      <w:numFmt w:val="lowerLetter"/>
      <w:lvlText w:val="%1)"/>
      <w:lvlJc w:val="left"/>
      <w:pPr>
        <w:ind w:left="1020" w:hanging="360"/>
      </w:pPr>
    </w:lvl>
    <w:lvl w:ilvl="1" w:tplc="4314B978">
      <w:start w:val="1"/>
      <w:numFmt w:val="lowerLetter"/>
      <w:lvlText w:val="%2)"/>
      <w:lvlJc w:val="left"/>
      <w:pPr>
        <w:ind w:left="1020" w:hanging="360"/>
      </w:pPr>
    </w:lvl>
    <w:lvl w:ilvl="2" w:tplc="C32890E0">
      <w:start w:val="1"/>
      <w:numFmt w:val="lowerLetter"/>
      <w:lvlText w:val="%3)"/>
      <w:lvlJc w:val="left"/>
      <w:pPr>
        <w:ind w:left="1020" w:hanging="360"/>
      </w:pPr>
    </w:lvl>
    <w:lvl w:ilvl="3" w:tplc="613002DC">
      <w:start w:val="1"/>
      <w:numFmt w:val="lowerLetter"/>
      <w:lvlText w:val="%4)"/>
      <w:lvlJc w:val="left"/>
      <w:pPr>
        <w:ind w:left="1020" w:hanging="360"/>
      </w:pPr>
    </w:lvl>
    <w:lvl w:ilvl="4" w:tplc="32D6B414">
      <w:start w:val="1"/>
      <w:numFmt w:val="lowerLetter"/>
      <w:lvlText w:val="%5)"/>
      <w:lvlJc w:val="left"/>
      <w:pPr>
        <w:ind w:left="1020" w:hanging="360"/>
      </w:pPr>
    </w:lvl>
    <w:lvl w:ilvl="5" w:tplc="E570A93E">
      <w:start w:val="1"/>
      <w:numFmt w:val="lowerLetter"/>
      <w:lvlText w:val="%6)"/>
      <w:lvlJc w:val="left"/>
      <w:pPr>
        <w:ind w:left="1020" w:hanging="360"/>
      </w:pPr>
    </w:lvl>
    <w:lvl w:ilvl="6" w:tplc="2CBC89BE">
      <w:start w:val="1"/>
      <w:numFmt w:val="lowerLetter"/>
      <w:lvlText w:val="%7)"/>
      <w:lvlJc w:val="left"/>
      <w:pPr>
        <w:ind w:left="1020" w:hanging="360"/>
      </w:pPr>
    </w:lvl>
    <w:lvl w:ilvl="7" w:tplc="A454C6C0">
      <w:start w:val="1"/>
      <w:numFmt w:val="lowerLetter"/>
      <w:lvlText w:val="%8)"/>
      <w:lvlJc w:val="left"/>
      <w:pPr>
        <w:ind w:left="1020" w:hanging="360"/>
      </w:pPr>
    </w:lvl>
    <w:lvl w:ilvl="8" w:tplc="6A48DB64">
      <w:start w:val="1"/>
      <w:numFmt w:val="lowerLetter"/>
      <w:lvlText w:val="%9)"/>
      <w:lvlJc w:val="left"/>
      <w:pPr>
        <w:ind w:left="1020" w:hanging="360"/>
      </w:pPr>
    </w:lvl>
  </w:abstractNum>
  <w:abstractNum w:abstractNumId="33" w15:restartNumberingAfterBreak="0">
    <w:nsid w:val="4D9D3F65"/>
    <w:multiLevelType w:val="hybridMultilevel"/>
    <w:tmpl w:val="84123210"/>
    <w:lvl w:ilvl="0" w:tplc="DBA25618">
      <w:start w:val="1"/>
      <w:numFmt w:val="bullet"/>
      <w:lvlText w:val=""/>
      <w:lvlJc w:val="left"/>
      <w:pPr>
        <w:ind w:left="720" w:hanging="360"/>
      </w:pPr>
      <w:rPr>
        <w:rFonts w:ascii="Symbol" w:hAnsi="Symbol"/>
      </w:rPr>
    </w:lvl>
    <w:lvl w:ilvl="1" w:tplc="40D6A470">
      <w:start w:val="1"/>
      <w:numFmt w:val="bullet"/>
      <w:lvlText w:val=""/>
      <w:lvlJc w:val="left"/>
      <w:pPr>
        <w:ind w:left="720" w:hanging="360"/>
      </w:pPr>
      <w:rPr>
        <w:rFonts w:ascii="Symbol" w:hAnsi="Symbol"/>
      </w:rPr>
    </w:lvl>
    <w:lvl w:ilvl="2" w:tplc="CF9ADB2A">
      <w:start w:val="1"/>
      <w:numFmt w:val="bullet"/>
      <w:lvlText w:val=""/>
      <w:lvlJc w:val="left"/>
      <w:pPr>
        <w:ind w:left="720" w:hanging="360"/>
      </w:pPr>
      <w:rPr>
        <w:rFonts w:ascii="Symbol" w:hAnsi="Symbol"/>
      </w:rPr>
    </w:lvl>
    <w:lvl w:ilvl="3" w:tplc="8AF41BB8">
      <w:start w:val="1"/>
      <w:numFmt w:val="bullet"/>
      <w:lvlText w:val=""/>
      <w:lvlJc w:val="left"/>
      <w:pPr>
        <w:ind w:left="720" w:hanging="360"/>
      </w:pPr>
      <w:rPr>
        <w:rFonts w:ascii="Symbol" w:hAnsi="Symbol"/>
      </w:rPr>
    </w:lvl>
    <w:lvl w:ilvl="4" w:tplc="A34ABC9C">
      <w:start w:val="1"/>
      <w:numFmt w:val="bullet"/>
      <w:lvlText w:val=""/>
      <w:lvlJc w:val="left"/>
      <w:pPr>
        <w:ind w:left="720" w:hanging="360"/>
      </w:pPr>
      <w:rPr>
        <w:rFonts w:ascii="Symbol" w:hAnsi="Symbol"/>
      </w:rPr>
    </w:lvl>
    <w:lvl w:ilvl="5" w:tplc="47F270F6">
      <w:start w:val="1"/>
      <w:numFmt w:val="bullet"/>
      <w:lvlText w:val=""/>
      <w:lvlJc w:val="left"/>
      <w:pPr>
        <w:ind w:left="720" w:hanging="360"/>
      </w:pPr>
      <w:rPr>
        <w:rFonts w:ascii="Symbol" w:hAnsi="Symbol"/>
      </w:rPr>
    </w:lvl>
    <w:lvl w:ilvl="6" w:tplc="0570EEDE">
      <w:start w:val="1"/>
      <w:numFmt w:val="bullet"/>
      <w:lvlText w:val=""/>
      <w:lvlJc w:val="left"/>
      <w:pPr>
        <w:ind w:left="720" w:hanging="360"/>
      </w:pPr>
      <w:rPr>
        <w:rFonts w:ascii="Symbol" w:hAnsi="Symbol"/>
      </w:rPr>
    </w:lvl>
    <w:lvl w:ilvl="7" w:tplc="4F6EC2EC">
      <w:start w:val="1"/>
      <w:numFmt w:val="bullet"/>
      <w:lvlText w:val=""/>
      <w:lvlJc w:val="left"/>
      <w:pPr>
        <w:ind w:left="720" w:hanging="360"/>
      </w:pPr>
      <w:rPr>
        <w:rFonts w:ascii="Symbol" w:hAnsi="Symbol"/>
      </w:rPr>
    </w:lvl>
    <w:lvl w:ilvl="8" w:tplc="8AD4524E">
      <w:start w:val="1"/>
      <w:numFmt w:val="bullet"/>
      <w:lvlText w:val=""/>
      <w:lvlJc w:val="left"/>
      <w:pPr>
        <w:ind w:left="720" w:hanging="360"/>
      </w:pPr>
      <w:rPr>
        <w:rFonts w:ascii="Symbol" w:hAnsi="Symbol"/>
      </w:rPr>
    </w:lvl>
  </w:abstractNum>
  <w:abstractNum w:abstractNumId="34" w15:restartNumberingAfterBreak="0">
    <w:nsid w:val="501E62D4"/>
    <w:multiLevelType w:val="hybridMultilevel"/>
    <w:tmpl w:val="089EEAB4"/>
    <w:lvl w:ilvl="0" w:tplc="BA4451DA">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EE6C0D"/>
    <w:multiLevelType w:val="hybridMultilevel"/>
    <w:tmpl w:val="6DBC4C5A"/>
    <w:lvl w:ilvl="0" w:tplc="A960629A">
      <w:start w:val="1"/>
      <w:numFmt w:val="bullet"/>
      <w:lvlText w:val=""/>
      <w:lvlJc w:val="left"/>
      <w:pPr>
        <w:ind w:left="1069" w:hanging="360"/>
      </w:pPr>
      <w:rPr>
        <w:rFonts w:ascii="Symbol" w:hAnsi="Symbol" w:hint="default"/>
        <w:color w:val="auto"/>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7" w15:restartNumberingAfterBreak="0">
    <w:nsid w:val="6CAD6852"/>
    <w:multiLevelType w:val="hybridMultilevel"/>
    <w:tmpl w:val="CEDA1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029126C"/>
    <w:multiLevelType w:val="hybridMultilevel"/>
    <w:tmpl w:val="D968EDFC"/>
    <w:lvl w:ilvl="0" w:tplc="93A6EF9A">
      <w:start w:val="1"/>
      <w:numFmt w:val="lowerLetter"/>
      <w:lvlText w:val="%1)"/>
      <w:lvlJc w:val="left"/>
      <w:pPr>
        <w:ind w:left="1020" w:hanging="360"/>
      </w:pPr>
    </w:lvl>
    <w:lvl w:ilvl="1" w:tplc="AF889948">
      <w:start w:val="1"/>
      <w:numFmt w:val="lowerLetter"/>
      <w:lvlText w:val="%2)"/>
      <w:lvlJc w:val="left"/>
      <w:pPr>
        <w:ind w:left="1020" w:hanging="360"/>
      </w:pPr>
    </w:lvl>
    <w:lvl w:ilvl="2" w:tplc="FB9C5946">
      <w:start w:val="1"/>
      <w:numFmt w:val="lowerLetter"/>
      <w:lvlText w:val="%3)"/>
      <w:lvlJc w:val="left"/>
      <w:pPr>
        <w:ind w:left="1020" w:hanging="360"/>
      </w:pPr>
    </w:lvl>
    <w:lvl w:ilvl="3" w:tplc="61242AE6">
      <w:start w:val="1"/>
      <w:numFmt w:val="lowerLetter"/>
      <w:lvlText w:val="%4)"/>
      <w:lvlJc w:val="left"/>
      <w:pPr>
        <w:ind w:left="1020" w:hanging="360"/>
      </w:pPr>
    </w:lvl>
    <w:lvl w:ilvl="4" w:tplc="03D8E0E8">
      <w:start w:val="1"/>
      <w:numFmt w:val="lowerLetter"/>
      <w:lvlText w:val="%5)"/>
      <w:lvlJc w:val="left"/>
      <w:pPr>
        <w:ind w:left="1020" w:hanging="360"/>
      </w:pPr>
    </w:lvl>
    <w:lvl w:ilvl="5" w:tplc="A29476EC">
      <w:start w:val="1"/>
      <w:numFmt w:val="lowerLetter"/>
      <w:lvlText w:val="%6)"/>
      <w:lvlJc w:val="left"/>
      <w:pPr>
        <w:ind w:left="1020" w:hanging="360"/>
      </w:pPr>
    </w:lvl>
    <w:lvl w:ilvl="6" w:tplc="AB1A7E1E">
      <w:start w:val="1"/>
      <w:numFmt w:val="lowerLetter"/>
      <w:lvlText w:val="%7)"/>
      <w:lvlJc w:val="left"/>
      <w:pPr>
        <w:ind w:left="1020" w:hanging="360"/>
      </w:pPr>
    </w:lvl>
    <w:lvl w:ilvl="7" w:tplc="AE8E2C18">
      <w:start w:val="1"/>
      <w:numFmt w:val="lowerLetter"/>
      <w:lvlText w:val="%8)"/>
      <w:lvlJc w:val="left"/>
      <w:pPr>
        <w:ind w:left="1020" w:hanging="360"/>
      </w:pPr>
    </w:lvl>
    <w:lvl w:ilvl="8" w:tplc="12A25068">
      <w:start w:val="1"/>
      <w:numFmt w:val="lowerLetter"/>
      <w:lvlText w:val="%9)"/>
      <w:lvlJc w:val="left"/>
      <w:pPr>
        <w:ind w:left="1020" w:hanging="360"/>
      </w:pPr>
    </w:lvl>
  </w:abstractNum>
  <w:abstractNum w:abstractNumId="39" w15:restartNumberingAfterBreak="0">
    <w:nsid w:val="70C872EB"/>
    <w:multiLevelType w:val="hybridMultilevel"/>
    <w:tmpl w:val="0988114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BD7B19"/>
    <w:multiLevelType w:val="hybridMultilevel"/>
    <w:tmpl w:val="8C68DD7A"/>
    <w:lvl w:ilvl="0" w:tplc="81B47C0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1965F1"/>
    <w:multiLevelType w:val="multilevel"/>
    <w:tmpl w:val="11CA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513156">
    <w:abstractNumId w:val="9"/>
  </w:num>
  <w:num w:numId="2" w16cid:durableId="2016111420">
    <w:abstractNumId w:val="30"/>
  </w:num>
  <w:num w:numId="3" w16cid:durableId="429472673">
    <w:abstractNumId w:val="18"/>
  </w:num>
  <w:num w:numId="4" w16cid:durableId="1326128148">
    <w:abstractNumId w:val="12"/>
  </w:num>
  <w:num w:numId="5" w16cid:durableId="942761491">
    <w:abstractNumId w:val="1"/>
  </w:num>
  <w:num w:numId="6" w16cid:durableId="417361770">
    <w:abstractNumId w:val="10"/>
  </w:num>
  <w:num w:numId="7" w16cid:durableId="587933413">
    <w:abstractNumId w:val="11"/>
  </w:num>
  <w:num w:numId="8" w16cid:durableId="1693071593">
    <w:abstractNumId w:val="35"/>
  </w:num>
  <w:num w:numId="9" w16cid:durableId="1862011606">
    <w:abstractNumId w:val="6"/>
  </w:num>
  <w:num w:numId="10" w16cid:durableId="776102209">
    <w:abstractNumId w:val="21"/>
  </w:num>
  <w:num w:numId="11" w16cid:durableId="1773891428">
    <w:abstractNumId w:val="8"/>
  </w:num>
  <w:num w:numId="12" w16cid:durableId="29886128">
    <w:abstractNumId w:val="20"/>
  </w:num>
  <w:num w:numId="13" w16cid:durableId="1947611559">
    <w:abstractNumId w:val="2"/>
  </w:num>
  <w:num w:numId="14" w16cid:durableId="1763212976">
    <w:abstractNumId w:val="3"/>
  </w:num>
  <w:num w:numId="15" w16cid:durableId="2022079198">
    <w:abstractNumId w:val="33"/>
  </w:num>
  <w:num w:numId="16" w16cid:durableId="1541820005">
    <w:abstractNumId w:val="24"/>
  </w:num>
  <w:num w:numId="17" w16cid:durableId="1425958632">
    <w:abstractNumId w:val="5"/>
  </w:num>
  <w:num w:numId="18" w16cid:durableId="1317227127">
    <w:abstractNumId w:val="15"/>
  </w:num>
  <w:num w:numId="19" w16cid:durableId="492794037">
    <w:abstractNumId w:val="38"/>
  </w:num>
  <w:num w:numId="20" w16cid:durableId="812451112">
    <w:abstractNumId w:val="25"/>
  </w:num>
  <w:num w:numId="21" w16cid:durableId="1491557771">
    <w:abstractNumId w:val="31"/>
  </w:num>
  <w:num w:numId="22" w16cid:durableId="421604936">
    <w:abstractNumId w:val="32"/>
  </w:num>
  <w:num w:numId="23" w16cid:durableId="1815180001">
    <w:abstractNumId w:val="28"/>
  </w:num>
  <w:num w:numId="24" w16cid:durableId="2052338998">
    <w:abstractNumId w:val="41"/>
  </w:num>
  <w:num w:numId="25" w16cid:durableId="57827562">
    <w:abstractNumId w:val="26"/>
  </w:num>
  <w:num w:numId="26" w16cid:durableId="613364475">
    <w:abstractNumId w:val="13"/>
  </w:num>
  <w:num w:numId="27" w16cid:durableId="893004096">
    <w:abstractNumId w:val="34"/>
  </w:num>
  <w:num w:numId="28" w16cid:durableId="2096247633">
    <w:abstractNumId w:val="34"/>
    <w:lvlOverride w:ilvl="0">
      <w:startOverride w:val="1"/>
    </w:lvlOverride>
  </w:num>
  <w:num w:numId="29" w16cid:durableId="1457405146">
    <w:abstractNumId w:val="34"/>
    <w:lvlOverride w:ilvl="0">
      <w:startOverride w:val="1"/>
    </w:lvlOverride>
  </w:num>
  <w:num w:numId="30" w16cid:durableId="1899978234">
    <w:abstractNumId w:val="34"/>
    <w:lvlOverride w:ilvl="0">
      <w:startOverride w:val="1"/>
    </w:lvlOverride>
  </w:num>
  <w:num w:numId="31" w16cid:durableId="1056054736">
    <w:abstractNumId w:val="34"/>
    <w:lvlOverride w:ilvl="0">
      <w:startOverride w:val="1"/>
    </w:lvlOverride>
  </w:num>
  <w:num w:numId="32" w16cid:durableId="1228761718">
    <w:abstractNumId w:val="23"/>
  </w:num>
  <w:num w:numId="33" w16cid:durableId="930939052">
    <w:abstractNumId w:val="34"/>
    <w:lvlOverride w:ilvl="0">
      <w:startOverride w:val="1"/>
    </w:lvlOverride>
  </w:num>
  <w:num w:numId="34" w16cid:durableId="640119050">
    <w:abstractNumId w:val="36"/>
  </w:num>
  <w:num w:numId="35" w16cid:durableId="1359895280">
    <w:abstractNumId w:val="17"/>
  </w:num>
  <w:num w:numId="36" w16cid:durableId="825320794">
    <w:abstractNumId w:val="7"/>
  </w:num>
  <w:num w:numId="37" w16cid:durableId="1599024538">
    <w:abstractNumId w:val="19"/>
  </w:num>
  <w:num w:numId="38" w16cid:durableId="172189093">
    <w:abstractNumId w:val="29"/>
  </w:num>
  <w:num w:numId="39" w16cid:durableId="1181120494">
    <w:abstractNumId w:val="16"/>
  </w:num>
  <w:num w:numId="40" w16cid:durableId="376780896">
    <w:abstractNumId w:val="37"/>
  </w:num>
  <w:num w:numId="41" w16cid:durableId="199442486">
    <w:abstractNumId w:val="4"/>
  </w:num>
  <w:num w:numId="42" w16cid:durableId="1626931671">
    <w:abstractNumId w:val="27"/>
  </w:num>
  <w:num w:numId="43" w16cid:durableId="1161888424">
    <w:abstractNumId w:val="14"/>
  </w:num>
  <w:num w:numId="44" w16cid:durableId="1907523175">
    <w:abstractNumId w:val="39"/>
  </w:num>
  <w:num w:numId="45" w16cid:durableId="74474726">
    <w:abstractNumId w:val="0"/>
  </w:num>
  <w:num w:numId="46" w16cid:durableId="858203342">
    <w:abstractNumId w:val="22"/>
  </w:num>
  <w:num w:numId="47" w16cid:durableId="1869176839">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72"/>
    <w:rsid w:val="000003DB"/>
    <w:rsid w:val="000004FC"/>
    <w:rsid w:val="00000E5C"/>
    <w:rsid w:val="00002730"/>
    <w:rsid w:val="00005E08"/>
    <w:rsid w:val="00007E5E"/>
    <w:rsid w:val="00007E6C"/>
    <w:rsid w:val="000139B8"/>
    <w:rsid w:val="00013A50"/>
    <w:rsid w:val="00013AA1"/>
    <w:rsid w:val="0001481A"/>
    <w:rsid w:val="0002062A"/>
    <w:rsid w:val="00021409"/>
    <w:rsid w:val="000222F3"/>
    <w:rsid w:val="00024A7E"/>
    <w:rsid w:val="0002570E"/>
    <w:rsid w:val="00025B56"/>
    <w:rsid w:val="00025C1A"/>
    <w:rsid w:val="00026425"/>
    <w:rsid w:val="00032463"/>
    <w:rsid w:val="00034951"/>
    <w:rsid w:val="00035A21"/>
    <w:rsid w:val="00036CBD"/>
    <w:rsid w:val="000370F5"/>
    <w:rsid w:val="000374E2"/>
    <w:rsid w:val="00040677"/>
    <w:rsid w:val="000406E9"/>
    <w:rsid w:val="00040788"/>
    <w:rsid w:val="000420AA"/>
    <w:rsid w:val="00042334"/>
    <w:rsid w:val="00042717"/>
    <w:rsid w:val="0004304C"/>
    <w:rsid w:val="000430CA"/>
    <w:rsid w:val="00046186"/>
    <w:rsid w:val="00046722"/>
    <w:rsid w:val="000477DA"/>
    <w:rsid w:val="000500F0"/>
    <w:rsid w:val="00051096"/>
    <w:rsid w:val="000523A3"/>
    <w:rsid w:val="00054555"/>
    <w:rsid w:val="000554A3"/>
    <w:rsid w:val="00055660"/>
    <w:rsid w:val="00057892"/>
    <w:rsid w:val="0006126B"/>
    <w:rsid w:val="000621E7"/>
    <w:rsid w:val="000627F5"/>
    <w:rsid w:val="0006444D"/>
    <w:rsid w:val="00065C4D"/>
    <w:rsid w:val="00072D29"/>
    <w:rsid w:val="000753C4"/>
    <w:rsid w:val="00077DFB"/>
    <w:rsid w:val="00080BF2"/>
    <w:rsid w:val="000817D8"/>
    <w:rsid w:val="00084F6D"/>
    <w:rsid w:val="00086275"/>
    <w:rsid w:val="0009069F"/>
    <w:rsid w:val="00090AB7"/>
    <w:rsid w:val="00092760"/>
    <w:rsid w:val="000941A7"/>
    <w:rsid w:val="00094808"/>
    <w:rsid w:val="00094B81"/>
    <w:rsid w:val="000965C4"/>
    <w:rsid w:val="00097246"/>
    <w:rsid w:val="00097951"/>
    <w:rsid w:val="000A0420"/>
    <w:rsid w:val="000A1692"/>
    <w:rsid w:val="000A5893"/>
    <w:rsid w:val="000B20AB"/>
    <w:rsid w:val="000B2E7B"/>
    <w:rsid w:val="000B3078"/>
    <w:rsid w:val="000B49F3"/>
    <w:rsid w:val="000B62DE"/>
    <w:rsid w:val="000B6F6C"/>
    <w:rsid w:val="000C05FE"/>
    <w:rsid w:val="000C0C12"/>
    <w:rsid w:val="000C25FF"/>
    <w:rsid w:val="000C5E7D"/>
    <w:rsid w:val="000D030C"/>
    <w:rsid w:val="000D247F"/>
    <w:rsid w:val="000D24D3"/>
    <w:rsid w:val="000D45B8"/>
    <w:rsid w:val="000D4E68"/>
    <w:rsid w:val="000D575B"/>
    <w:rsid w:val="000D6BB2"/>
    <w:rsid w:val="000D75E8"/>
    <w:rsid w:val="000E1472"/>
    <w:rsid w:val="000E4DEB"/>
    <w:rsid w:val="000E73BF"/>
    <w:rsid w:val="000E7761"/>
    <w:rsid w:val="000F0481"/>
    <w:rsid w:val="000F3924"/>
    <w:rsid w:val="000F4C4B"/>
    <w:rsid w:val="000F513B"/>
    <w:rsid w:val="000F5471"/>
    <w:rsid w:val="000F709D"/>
    <w:rsid w:val="00102EBF"/>
    <w:rsid w:val="001030EB"/>
    <w:rsid w:val="00105291"/>
    <w:rsid w:val="001054E4"/>
    <w:rsid w:val="001077A2"/>
    <w:rsid w:val="00107D1F"/>
    <w:rsid w:val="00110764"/>
    <w:rsid w:val="001110C6"/>
    <w:rsid w:val="001128A2"/>
    <w:rsid w:val="00113D37"/>
    <w:rsid w:val="00114201"/>
    <w:rsid w:val="00114EF1"/>
    <w:rsid w:val="00116825"/>
    <w:rsid w:val="00120611"/>
    <w:rsid w:val="00121003"/>
    <w:rsid w:val="001224D9"/>
    <w:rsid w:val="0012473C"/>
    <w:rsid w:val="00125266"/>
    <w:rsid w:val="001255D0"/>
    <w:rsid w:val="00127339"/>
    <w:rsid w:val="00130D6C"/>
    <w:rsid w:val="0013162C"/>
    <w:rsid w:val="001317DC"/>
    <w:rsid w:val="00131EF9"/>
    <w:rsid w:val="00132F4E"/>
    <w:rsid w:val="001330D0"/>
    <w:rsid w:val="001361DF"/>
    <w:rsid w:val="0013693B"/>
    <w:rsid w:val="00140B16"/>
    <w:rsid w:val="0014186A"/>
    <w:rsid w:val="001460A0"/>
    <w:rsid w:val="00146159"/>
    <w:rsid w:val="00146E0E"/>
    <w:rsid w:val="001477EE"/>
    <w:rsid w:val="00147C1A"/>
    <w:rsid w:val="00147E59"/>
    <w:rsid w:val="0015074A"/>
    <w:rsid w:val="00151553"/>
    <w:rsid w:val="001519FD"/>
    <w:rsid w:val="00152A29"/>
    <w:rsid w:val="00152F2C"/>
    <w:rsid w:val="00153C4B"/>
    <w:rsid w:val="00155F40"/>
    <w:rsid w:val="00156387"/>
    <w:rsid w:val="001616AB"/>
    <w:rsid w:val="00162A9D"/>
    <w:rsid w:val="00163B85"/>
    <w:rsid w:val="00165DD8"/>
    <w:rsid w:val="00165F22"/>
    <w:rsid w:val="00166C43"/>
    <w:rsid w:val="00166F3D"/>
    <w:rsid w:val="001673F3"/>
    <w:rsid w:val="00167CAF"/>
    <w:rsid w:val="00170422"/>
    <w:rsid w:val="00171EA5"/>
    <w:rsid w:val="00172F63"/>
    <w:rsid w:val="00173520"/>
    <w:rsid w:val="00173DC9"/>
    <w:rsid w:val="0017425D"/>
    <w:rsid w:val="0017456D"/>
    <w:rsid w:val="001747D5"/>
    <w:rsid w:val="00175CD8"/>
    <w:rsid w:val="00176B41"/>
    <w:rsid w:val="00176F33"/>
    <w:rsid w:val="001776C3"/>
    <w:rsid w:val="001803A4"/>
    <w:rsid w:val="001805FF"/>
    <w:rsid w:val="00181B66"/>
    <w:rsid w:val="001825A0"/>
    <w:rsid w:val="00184D24"/>
    <w:rsid w:val="00184D93"/>
    <w:rsid w:val="0018643A"/>
    <w:rsid w:val="00186AF0"/>
    <w:rsid w:val="00186B36"/>
    <w:rsid w:val="0019013C"/>
    <w:rsid w:val="00190647"/>
    <w:rsid w:val="00192200"/>
    <w:rsid w:val="00193F94"/>
    <w:rsid w:val="001944FB"/>
    <w:rsid w:val="00195F16"/>
    <w:rsid w:val="00196C9A"/>
    <w:rsid w:val="001971FA"/>
    <w:rsid w:val="001A011D"/>
    <w:rsid w:val="001A05CE"/>
    <w:rsid w:val="001A3E21"/>
    <w:rsid w:val="001A4085"/>
    <w:rsid w:val="001A7F04"/>
    <w:rsid w:val="001B12E9"/>
    <w:rsid w:val="001B34A2"/>
    <w:rsid w:val="001B4190"/>
    <w:rsid w:val="001B4CB7"/>
    <w:rsid w:val="001B5046"/>
    <w:rsid w:val="001B5DAB"/>
    <w:rsid w:val="001B7221"/>
    <w:rsid w:val="001B7DD2"/>
    <w:rsid w:val="001C17F6"/>
    <w:rsid w:val="001C368C"/>
    <w:rsid w:val="001C5383"/>
    <w:rsid w:val="001C53E0"/>
    <w:rsid w:val="001C7839"/>
    <w:rsid w:val="001C78FC"/>
    <w:rsid w:val="001D06D6"/>
    <w:rsid w:val="001D0B49"/>
    <w:rsid w:val="001D38BD"/>
    <w:rsid w:val="001D444D"/>
    <w:rsid w:val="001D488F"/>
    <w:rsid w:val="001D4AB1"/>
    <w:rsid w:val="001E0217"/>
    <w:rsid w:val="001E1152"/>
    <w:rsid w:val="001E142D"/>
    <w:rsid w:val="001E51AE"/>
    <w:rsid w:val="001E57D0"/>
    <w:rsid w:val="001E6905"/>
    <w:rsid w:val="001F4D7D"/>
    <w:rsid w:val="001F5CBA"/>
    <w:rsid w:val="001F66D3"/>
    <w:rsid w:val="001F71C9"/>
    <w:rsid w:val="001F763C"/>
    <w:rsid w:val="001F76E5"/>
    <w:rsid w:val="001F7B1D"/>
    <w:rsid w:val="00201188"/>
    <w:rsid w:val="0020123F"/>
    <w:rsid w:val="0020363E"/>
    <w:rsid w:val="002047E4"/>
    <w:rsid w:val="00206775"/>
    <w:rsid w:val="00210B47"/>
    <w:rsid w:val="002131FE"/>
    <w:rsid w:val="002139F6"/>
    <w:rsid w:val="00213FFD"/>
    <w:rsid w:val="00214A5B"/>
    <w:rsid w:val="00214B1E"/>
    <w:rsid w:val="00215B99"/>
    <w:rsid w:val="00215DC7"/>
    <w:rsid w:val="00216B4A"/>
    <w:rsid w:val="002176FA"/>
    <w:rsid w:val="002204C8"/>
    <w:rsid w:val="00221C88"/>
    <w:rsid w:val="00222ED1"/>
    <w:rsid w:val="00223487"/>
    <w:rsid w:val="00225CFE"/>
    <w:rsid w:val="00230AAE"/>
    <w:rsid w:val="002316F0"/>
    <w:rsid w:val="002327B4"/>
    <w:rsid w:val="00235FEB"/>
    <w:rsid w:val="00237645"/>
    <w:rsid w:val="00237DDA"/>
    <w:rsid w:val="00241993"/>
    <w:rsid w:val="00242961"/>
    <w:rsid w:val="00243784"/>
    <w:rsid w:val="00245132"/>
    <w:rsid w:val="00247A6E"/>
    <w:rsid w:val="0025067E"/>
    <w:rsid w:val="00250C78"/>
    <w:rsid w:val="00250E5C"/>
    <w:rsid w:val="002529D4"/>
    <w:rsid w:val="002554FA"/>
    <w:rsid w:val="00255ACD"/>
    <w:rsid w:val="00256EFC"/>
    <w:rsid w:val="00263E10"/>
    <w:rsid w:val="002652E1"/>
    <w:rsid w:val="0026612E"/>
    <w:rsid w:val="002675BE"/>
    <w:rsid w:val="00267988"/>
    <w:rsid w:val="00267CF6"/>
    <w:rsid w:val="00272F44"/>
    <w:rsid w:val="002737A1"/>
    <w:rsid w:val="00273A8D"/>
    <w:rsid w:val="0027503A"/>
    <w:rsid w:val="002801BD"/>
    <w:rsid w:val="0028066E"/>
    <w:rsid w:val="00281221"/>
    <w:rsid w:val="00281B12"/>
    <w:rsid w:val="00282659"/>
    <w:rsid w:val="0028363C"/>
    <w:rsid w:val="00284111"/>
    <w:rsid w:val="00285BE0"/>
    <w:rsid w:val="00286ACB"/>
    <w:rsid w:val="0028755E"/>
    <w:rsid w:val="00287ABB"/>
    <w:rsid w:val="00291AEB"/>
    <w:rsid w:val="00292DDB"/>
    <w:rsid w:val="0029365C"/>
    <w:rsid w:val="00295C3C"/>
    <w:rsid w:val="00296100"/>
    <w:rsid w:val="00296594"/>
    <w:rsid w:val="00296E67"/>
    <w:rsid w:val="002975EC"/>
    <w:rsid w:val="002A200B"/>
    <w:rsid w:val="002A3157"/>
    <w:rsid w:val="002A3D48"/>
    <w:rsid w:val="002A408F"/>
    <w:rsid w:val="002A4DFD"/>
    <w:rsid w:val="002A526D"/>
    <w:rsid w:val="002A7FDE"/>
    <w:rsid w:val="002B1879"/>
    <w:rsid w:val="002B32B2"/>
    <w:rsid w:val="002B3789"/>
    <w:rsid w:val="002B5B60"/>
    <w:rsid w:val="002B7024"/>
    <w:rsid w:val="002C0FEE"/>
    <w:rsid w:val="002C1C4B"/>
    <w:rsid w:val="002C358F"/>
    <w:rsid w:val="002C4CC2"/>
    <w:rsid w:val="002C5216"/>
    <w:rsid w:val="002C757B"/>
    <w:rsid w:val="002C7D1E"/>
    <w:rsid w:val="002C7F2E"/>
    <w:rsid w:val="002D21AF"/>
    <w:rsid w:val="002D2D7C"/>
    <w:rsid w:val="002D324C"/>
    <w:rsid w:val="002D4C39"/>
    <w:rsid w:val="002D4CA9"/>
    <w:rsid w:val="002D5158"/>
    <w:rsid w:val="002D6113"/>
    <w:rsid w:val="002D677E"/>
    <w:rsid w:val="002E042A"/>
    <w:rsid w:val="002E07A6"/>
    <w:rsid w:val="002E0BA7"/>
    <w:rsid w:val="002E0E4D"/>
    <w:rsid w:val="002E24F8"/>
    <w:rsid w:val="002E25FA"/>
    <w:rsid w:val="002E38CE"/>
    <w:rsid w:val="002E5C3F"/>
    <w:rsid w:val="002F1477"/>
    <w:rsid w:val="002F1A85"/>
    <w:rsid w:val="002F1DF6"/>
    <w:rsid w:val="003008D8"/>
    <w:rsid w:val="00303E9C"/>
    <w:rsid w:val="003057B8"/>
    <w:rsid w:val="0030600B"/>
    <w:rsid w:val="00306430"/>
    <w:rsid w:val="0030752A"/>
    <w:rsid w:val="0031105C"/>
    <w:rsid w:val="003115CC"/>
    <w:rsid w:val="00311D6E"/>
    <w:rsid w:val="00312957"/>
    <w:rsid w:val="00313760"/>
    <w:rsid w:val="00314AB5"/>
    <w:rsid w:val="00314CBC"/>
    <w:rsid w:val="00315BD0"/>
    <w:rsid w:val="00317F3A"/>
    <w:rsid w:val="00320A8A"/>
    <w:rsid w:val="00325A74"/>
    <w:rsid w:val="00327AFD"/>
    <w:rsid w:val="00327C27"/>
    <w:rsid w:val="00327EBC"/>
    <w:rsid w:val="003316C8"/>
    <w:rsid w:val="00332635"/>
    <w:rsid w:val="003335B0"/>
    <w:rsid w:val="0033399B"/>
    <w:rsid w:val="0033409C"/>
    <w:rsid w:val="00334172"/>
    <w:rsid w:val="00335F48"/>
    <w:rsid w:val="003362D0"/>
    <w:rsid w:val="00337081"/>
    <w:rsid w:val="00343CDE"/>
    <w:rsid w:val="00344022"/>
    <w:rsid w:val="00344844"/>
    <w:rsid w:val="003452DD"/>
    <w:rsid w:val="003458E0"/>
    <w:rsid w:val="00346704"/>
    <w:rsid w:val="00346B4D"/>
    <w:rsid w:val="00347427"/>
    <w:rsid w:val="0034762B"/>
    <w:rsid w:val="00352675"/>
    <w:rsid w:val="0035308E"/>
    <w:rsid w:val="0035444D"/>
    <w:rsid w:val="00355CF3"/>
    <w:rsid w:val="003569E1"/>
    <w:rsid w:val="003575C3"/>
    <w:rsid w:val="003579DB"/>
    <w:rsid w:val="00357D6F"/>
    <w:rsid w:val="00361238"/>
    <w:rsid w:val="0036130D"/>
    <w:rsid w:val="00361B4E"/>
    <w:rsid w:val="00361FD5"/>
    <w:rsid w:val="00365074"/>
    <w:rsid w:val="0036563A"/>
    <w:rsid w:val="00366304"/>
    <w:rsid w:val="00367C46"/>
    <w:rsid w:val="00367CA6"/>
    <w:rsid w:val="0037198A"/>
    <w:rsid w:val="003719F1"/>
    <w:rsid w:val="00375F41"/>
    <w:rsid w:val="00380A9B"/>
    <w:rsid w:val="00381C78"/>
    <w:rsid w:val="00383FD3"/>
    <w:rsid w:val="00384648"/>
    <w:rsid w:val="0038567C"/>
    <w:rsid w:val="0039205F"/>
    <w:rsid w:val="003921EB"/>
    <w:rsid w:val="00393891"/>
    <w:rsid w:val="00393AAC"/>
    <w:rsid w:val="00393D2C"/>
    <w:rsid w:val="00395107"/>
    <w:rsid w:val="00396814"/>
    <w:rsid w:val="00396CA2"/>
    <w:rsid w:val="003972C9"/>
    <w:rsid w:val="003A17F5"/>
    <w:rsid w:val="003A18F3"/>
    <w:rsid w:val="003A193F"/>
    <w:rsid w:val="003A1E37"/>
    <w:rsid w:val="003A2F8F"/>
    <w:rsid w:val="003A384F"/>
    <w:rsid w:val="003A4DA9"/>
    <w:rsid w:val="003B06D1"/>
    <w:rsid w:val="003B0844"/>
    <w:rsid w:val="003B262C"/>
    <w:rsid w:val="003B44CC"/>
    <w:rsid w:val="003B53BD"/>
    <w:rsid w:val="003C01A4"/>
    <w:rsid w:val="003C0E54"/>
    <w:rsid w:val="003C1620"/>
    <w:rsid w:val="003C322B"/>
    <w:rsid w:val="003C3B58"/>
    <w:rsid w:val="003C3B5E"/>
    <w:rsid w:val="003C45AF"/>
    <w:rsid w:val="003C4796"/>
    <w:rsid w:val="003C4DED"/>
    <w:rsid w:val="003C5308"/>
    <w:rsid w:val="003C6627"/>
    <w:rsid w:val="003C6F67"/>
    <w:rsid w:val="003C715E"/>
    <w:rsid w:val="003C7690"/>
    <w:rsid w:val="003C7F77"/>
    <w:rsid w:val="003D08A5"/>
    <w:rsid w:val="003D11E1"/>
    <w:rsid w:val="003D2FAC"/>
    <w:rsid w:val="003D3496"/>
    <w:rsid w:val="003D48E4"/>
    <w:rsid w:val="003D51C5"/>
    <w:rsid w:val="003D68A3"/>
    <w:rsid w:val="003D7FC9"/>
    <w:rsid w:val="003E0FF5"/>
    <w:rsid w:val="003E1B8C"/>
    <w:rsid w:val="003E28F0"/>
    <w:rsid w:val="003E2B6B"/>
    <w:rsid w:val="003E4EA5"/>
    <w:rsid w:val="003E59A6"/>
    <w:rsid w:val="003E624C"/>
    <w:rsid w:val="003E7F57"/>
    <w:rsid w:val="003F03CF"/>
    <w:rsid w:val="003F1675"/>
    <w:rsid w:val="003F2D24"/>
    <w:rsid w:val="003F3167"/>
    <w:rsid w:val="003F3705"/>
    <w:rsid w:val="003F614E"/>
    <w:rsid w:val="004002C8"/>
    <w:rsid w:val="0040090E"/>
    <w:rsid w:val="00402249"/>
    <w:rsid w:val="00403109"/>
    <w:rsid w:val="0040409D"/>
    <w:rsid w:val="00404356"/>
    <w:rsid w:val="00405296"/>
    <w:rsid w:val="00406C39"/>
    <w:rsid w:val="0040741D"/>
    <w:rsid w:val="00410C29"/>
    <w:rsid w:val="0041309D"/>
    <w:rsid w:val="004133E9"/>
    <w:rsid w:val="0041480F"/>
    <w:rsid w:val="004219F1"/>
    <w:rsid w:val="0042294D"/>
    <w:rsid w:val="00422C33"/>
    <w:rsid w:val="00423238"/>
    <w:rsid w:val="00423D23"/>
    <w:rsid w:val="004246B8"/>
    <w:rsid w:val="004258ED"/>
    <w:rsid w:val="00425B7B"/>
    <w:rsid w:val="00427CB5"/>
    <w:rsid w:val="00433325"/>
    <w:rsid w:val="00436A38"/>
    <w:rsid w:val="00437133"/>
    <w:rsid w:val="00437757"/>
    <w:rsid w:val="0044246F"/>
    <w:rsid w:val="00442966"/>
    <w:rsid w:val="00442DAF"/>
    <w:rsid w:val="00443677"/>
    <w:rsid w:val="00444DFD"/>
    <w:rsid w:val="00445356"/>
    <w:rsid w:val="00450D6A"/>
    <w:rsid w:val="00450F26"/>
    <w:rsid w:val="00451230"/>
    <w:rsid w:val="004515C9"/>
    <w:rsid w:val="004530DE"/>
    <w:rsid w:val="00453401"/>
    <w:rsid w:val="004535CB"/>
    <w:rsid w:val="00455705"/>
    <w:rsid w:val="00456284"/>
    <w:rsid w:val="00456828"/>
    <w:rsid w:val="0045C0A9"/>
    <w:rsid w:val="004608D3"/>
    <w:rsid w:val="0046094A"/>
    <w:rsid w:val="004627FB"/>
    <w:rsid w:val="004628A8"/>
    <w:rsid w:val="004644A3"/>
    <w:rsid w:val="004647AA"/>
    <w:rsid w:val="00467215"/>
    <w:rsid w:val="00471339"/>
    <w:rsid w:val="00472CFF"/>
    <w:rsid w:val="0047384B"/>
    <w:rsid w:val="00473A46"/>
    <w:rsid w:val="00473F5A"/>
    <w:rsid w:val="00474D44"/>
    <w:rsid w:val="004768D8"/>
    <w:rsid w:val="004768F9"/>
    <w:rsid w:val="00477ACC"/>
    <w:rsid w:val="00481DA9"/>
    <w:rsid w:val="0048781F"/>
    <w:rsid w:val="00490705"/>
    <w:rsid w:val="004918C4"/>
    <w:rsid w:val="00492EEA"/>
    <w:rsid w:val="00493178"/>
    <w:rsid w:val="00494400"/>
    <w:rsid w:val="0049635F"/>
    <w:rsid w:val="00497432"/>
    <w:rsid w:val="00497CFD"/>
    <w:rsid w:val="004A10C5"/>
    <w:rsid w:val="004A161E"/>
    <w:rsid w:val="004A1C68"/>
    <w:rsid w:val="004A2530"/>
    <w:rsid w:val="004A4AE9"/>
    <w:rsid w:val="004A5DC3"/>
    <w:rsid w:val="004A66B5"/>
    <w:rsid w:val="004A6CA2"/>
    <w:rsid w:val="004A7DA5"/>
    <w:rsid w:val="004AA1C1"/>
    <w:rsid w:val="004B0184"/>
    <w:rsid w:val="004B0899"/>
    <w:rsid w:val="004B13CE"/>
    <w:rsid w:val="004B2E51"/>
    <w:rsid w:val="004B4C3E"/>
    <w:rsid w:val="004B5734"/>
    <w:rsid w:val="004B5878"/>
    <w:rsid w:val="004B5A9E"/>
    <w:rsid w:val="004B636F"/>
    <w:rsid w:val="004B6389"/>
    <w:rsid w:val="004B7F2A"/>
    <w:rsid w:val="004C0CC8"/>
    <w:rsid w:val="004C1C46"/>
    <w:rsid w:val="004C374A"/>
    <w:rsid w:val="004C3FED"/>
    <w:rsid w:val="004C4FFA"/>
    <w:rsid w:val="004C5C5F"/>
    <w:rsid w:val="004C5CDD"/>
    <w:rsid w:val="004C6EF3"/>
    <w:rsid w:val="004C7562"/>
    <w:rsid w:val="004D17FE"/>
    <w:rsid w:val="004D3DF3"/>
    <w:rsid w:val="004D438B"/>
    <w:rsid w:val="004D4685"/>
    <w:rsid w:val="004D4B70"/>
    <w:rsid w:val="004D5454"/>
    <w:rsid w:val="004D56F2"/>
    <w:rsid w:val="004D5A44"/>
    <w:rsid w:val="004D6B21"/>
    <w:rsid w:val="004D70AB"/>
    <w:rsid w:val="004E1159"/>
    <w:rsid w:val="004E146B"/>
    <w:rsid w:val="004E1A4E"/>
    <w:rsid w:val="004E424E"/>
    <w:rsid w:val="004E441E"/>
    <w:rsid w:val="004E7E44"/>
    <w:rsid w:val="004F1278"/>
    <w:rsid w:val="004F1F22"/>
    <w:rsid w:val="004F393F"/>
    <w:rsid w:val="004F4725"/>
    <w:rsid w:val="004F4800"/>
    <w:rsid w:val="004F4A08"/>
    <w:rsid w:val="004F55B7"/>
    <w:rsid w:val="004F5CCB"/>
    <w:rsid w:val="004F5EA1"/>
    <w:rsid w:val="004F6637"/>
    <w:rsid w:val="004F73DA"/>
    <w:rsid w:val="004F7BC7"/>
    <w:rsid w:val="0050126F"/>
    <w:rsid w:val="00501DDB"/>
    <w:rsid w:val="005025A5"/>
    <w:rsid w:val="00504AA1"/>
    <w:rsid w:val="00504AC8"/>
    <w:rsid w:val="00504B1C"/>
    <w:rsid w:val="005060FD"/>
    <w:rsid w:val="00506FF3"/>
    <w:rsid w:val="005078BC"/>
    <w:rsid w:val="00507E9F"/>
    <w:rsid w:val="0051001F"/>
    <w:rsid w:val="00511A2B"/>
    <w:rsid w:val="00512256"/>
    <w:rsid w:val="005122B4"/>
    <w:rsid w:val="00513BDE"/>
    <w:rsid w:val="00514DE8"/>
    <w:rsid w:val="0051513B"/>
    <w:rsid w:val="00515894"/>
    <w:rsid w:val="005159C6"/>
    <w:rsid w:val="005167B1"/>
    <w:rsid w:val="005167B8"/>
    <w:rsid w:val="00520CD5"/>
    <w:rsid w:val="00521EAB"/>
    <w:rsid w:val="005233F9"/>
    <w:rsid w:val="00523948"/>
    <w:rsid w:val="00523EB3"/>
    <w:rsid w:val="005246AF"/>
    <w:rsid w:val="00526CA2"/>
    <w:rsid w:val="0053093D"/>
    <w:rsid w:val="00531BF6"/>
    <w:rsid w:val="00532010"/>
    <w:rsid w:val="00533756"/>
    <w:rsid w:val="00534620"/>
    <w:rsid w:val="005353C2"/>
    <w:rsid w:val="00535A99"/>
    <w:rsid w:val="005366F1"/>
    <w:rsid w:val="005404CE"/>
    <w:rsid w:val="00540F0B"/>
    <w:rsid w:val="0054409D"/>
    <w:rsid w:val="00545177"/>
    <w:rsid w:val="005455CA"/>
    <w:rsid w:val="005465B7"/>
    <w:rsid w:val="005475C5"/>
    <w:rsid w:val="00547AD9"/>
    <w:rsid w:val="00550D57"/>
    <w:rsid w:val="00551563"/>
    <w:rsid w:val="00553938"/>
    <w:rsid w:val="0056003E"/>
    <w:rsid w:val="005602E7"/>
    <w:rsid w:val="005612F4"/>
    <w:rsid w:val="00561CF0"/>
    <w:rsid w:val="00562789"/>
    <w:rsid w:val="005637EB"/>
    <w:rsid w:val="00564AAF"/>
    <w:rsid w:val="00570A0D"/>
    <w:rsid w:val="0057102E"/>
    <w:rsid w:val="005717FB"/>
    <w:rsid w:val="0057557A"/>
    <w:rsid w:val="005759AF"/>
    <w:rsid w:val="005760AC"/>
    <w:rsid w:val="005761F3"/>
    <w:rsid w:val="00577EE9"/>
    <w:rsid w:val="00581905"/>
    <w:rsid w:val="00581F0E"/>
    <w:rsid w:val="0058298C"/>
    <w:rsid w:val="00583178"/>
    <w:rsid w:val="0058575E"/>
    <w:rsid w:val="005861BE"/>
    <w:rsid w:val="00586D28"/>
    <w:rsid w:val="005912D5"/>
    <w:rsid w:val="00591C24"/>
    <w:rsid w:val="00591FBC"/>
    <w:rsid w:val="00592D21"/>
    <w:rsid w:val="0059389A"/>
    <w:rsid w:val="005971A1"/>
    <w:rsid w:val="005A0606"/>
    <w:rsid w:val="005A23B2"/>
    <w:rsid w:val="005A29DF"/>
    <w:rsid w:val="005A2B2B"/>
    <w:rsid w:val="005A3A02"/>
    <w:rsid w:val="005A480D"/>
    <w:rsid w:val="005A5684"/>
    <w:rsid w:val="005A62C8"/>
    <w:rsid w:val="005B2AF3"/>
    <w:rsid w:val="005B3924"/>
    <w:rsid w:val="005B407E"/>
    <w:rsid w:val="005B53A8"/>
    <w:rsid w:val="005B5B3E"/>
    <w:rsid w:val="005B7110"/>
    <w:rsid w:val="005C215D"/>
    <w:rsid w:val="005C2D01"/>
    <w:rsid w:val="005C41BD"/>
    <w:rsid w:val="005C484E"/>
    <w:rsid w:val="005C49BD"/>
    <w:rsid w:val="005C6B73"/>
    <w:rsid w:val="005D0A68"/>
    <w:rsid w:val="005D560D"/>
    <w:rsid w:val="005E0581"/>
    <w:rsid w:val="005E0EA4"/>
    <w:rsid w:val="005E2F60"/>
    <w:rsid w:val="005E34CF"/>
    <w:rsid w:val="005E36C0"/>
    <w:rsid w:val="005E4DF8"/>
    <w:rsid w:val="005E5D6B"/>
    <w:rsid w:val="005F04C9"/>
    <w:rsid w:val="005F0DC6"/>
    <w:rsid w:val="005F1CAD"/>
    <w:rsid w:val="005F26C7"/>
    <w:rsid w:val="005F340D"/>
    <w:rsid w:val="005F4DF4"/>
    <w:rsid w:val="005F54F6"/>
    <w:rsid w:val="005F604F"/>
    <w:rsid w:val="005F6D07"/>
    <w:rsid w:val="005F706B"/>
    <w:rsid w:val="00601378"/>
    <w:rsid w:val="006056AE"/>
    <w:rsid w:val="0060682D"/>
    <w:rsid w:val="00606D4E"/>
    <w:rsid w:val="00606FE4"/>
    <w:rsid w:val="00610CF4"/>
    <w:rsid w:val="006114BE"/>
    <w:rsid w:val="006114FD"/>
    <w:rsid w:val="00611C19"/>
    <w:rsid w:val="006126AB"/>
    <w:rsid w:val="00612B60"/>
    <w:rsid w:val="00613D59"/>
    <w:rsid w:val="00614407"/>
    <w:rsid w:val="00615B38"/>
    <w:rsid w:val="00615FF3"/>
    <w:rsid w:val="00621D01"/>
    <w:rsid w:val="00623666"/>
    <w:rsid w:val="00623E41"/>
    <w:rsid w:val="00630E2B"/>
    <w:rsid w:val="00631C3C"/>
    <w:rsid w:val="00633061"/>
    <w:rsid w:val="00633CF3"/>
    <w:rsid w:val="0063458A"/>
    <w:rsid w:val="00635DA7"/>
    <w:rsid w:val="00637832"/>
    <w:rsid w:val="0063798C"/>
    <w:rsid w:val="006423A7"/>
    <w:rsid w:val="00643193"/>
    <w:rsid w:val="00646525"/>
    <w:rsid w:val="0065030E"/>
    <w:rsid w:val="00650F21"/>
    <w:rsid w:val="00650F7A"/>
    <w:rsid w:val="006511EC"/>
    <w:rsid w:val="006551E9"/>
    <w:rsid w:val="0066028C"/>
    <w:rsid w:val="0066352E"/>
    <w:rsid w:val="006643BA"/>
    <w:rsid w:val="00666061"/>
    <w:rsid w:val="0067066C"/>
    <w:rsid w:val="006751FA"/>
    <w:rsid w:val="00675323"/>
    <w:rsid w:val="0067540A"/>
    <w:rsid w:val="0067568D"/>
    <w:rsid w:val="0068339D"/>
    <w:rsid w:val="00684B9D"/>
    <w:rsid w:val="00684E6E"/>
    <w:rsid w:val="00685E72"/>
    <w:rsid w:val="006873B9"/>
    <w:rsid w:val="006875F7"/>
    <w:rsid w:val="00687FFD"/>
    <w:rsid w:val="0069124A"/>
    <w:rsid w:val="00696005"/>
    <w:rsid w:val="006A0EA7"/>
    <w:rsid w:val="006A199B"/>
    <w:rsid w:val="006A1F0B"/>
    <w:rsid w:val="006A2B59"/>
    <w:rsid w:val="006A7757"/>
    <w:rsid w:val="006B1D58"/>
    <w:rsid w:val="006B216E"/>
    <w:rsid w:val="006B28B1"/>
    <w:rsid w:val="006B2C62"/>
    <w:rsid w:val="006B4A31"/>
    <w:rsid w:val="006B4E10"/>
    <w:rsid w:val="006B7BCF"/>
    <w:rsid w:val="006C007C"/>
    <w:rsid w:val="006C1715"/>
    <w:rsid w:val="006C1CDB"/>
    <w:rsid w:val="006C1F21"/>
    <w:rsid w:val="006C5372"/>
    <w:rsid w:val="006D010D"/>
    <w:rsid w:val="006D0D7F"/>
    <w:rsid w:val="006D137E"/>
    <w:rsid w:val="006D16DB"/>
    <w:rsid w:val="006D2B85"/>
    <w:rsid w:val="006D4E10"/>
    <w:rsid w:val="006D5F01"/>
    <w:rsid w:val="006D6761"/>
    <w:rsid w:val="006D6878"/>
    <w:rsid w:val="006D6DEF"/>
    <w:rsid w:val="006D6F3C"/>
    <w:rsid w:val="006E02F2"/>
    <w:rsid w:val="006E1E28"/>
    <w:rsid w:val="006E21BC"/>
    <w:rsid w:val="006E2F89"/>
    <w:rsid w:val="006E488B"/>
    <w:rsid w:val="006E538A"/>
    <w:rsid w:val="006F19CC"/>
    <w:rsid w:val="006F207A"/>
    <w:rsid w:val="006F26AB"/>
    <w:rsid w:val="006F4AA3"/>
    <w:rsid w:val="006F51A9"/>
    <w:rsid w:val="006F5C6C"/>
    <w:rsid w:val="006F7704"/>
    <w:rsid w:val="00700312"/>
    <w:rsid w:val="007013C4"/>
    <w:rsid w:val="00702748"/>
    <w:rsid w:val="00703168"/>
    <w:rsid w:val="007043D7"/>
    <w:rsid w:val="0070535F"/>
    <w:rsid w:val="00705A6C"/>
    <w:rsid w:val="00706504"/>
    <w:rsid w:val="00710E3C"/>
    <w:rsid w:val="00711FCF"/>
    <w:rsid w:val="00712EE8"/>
    <w:rsid w:val="00713924"/>
    <w:rsid w:val="007170F1"/>
    <w:rsid w:val="00722DA3"/>
    <w:rsid w:val="00724DFA"/>
    <w:rsid w:val="00725288"/>
    <w:rsid w:val="00725D32"/>
    <w:rsid w:val="00725DEB"/>
    <w:rsid w:val="00726319"/>
    <w:rsid w:val="00730A32"/>
    <w:rsid w:val="007313AE"/>
    <w:rsid w:val="0073182D"/>
    <w:rsid w:val="0073194F"/>
    <w:rsid w:val="007324F5"/>
    <w:rsid w:val="00736CDE"/>
    <w:rsid w:val="00740564"/>
    <w:rsid w:val="00740E44"/>
    <w:rsid w:val="00741490"/>
    <w:rsid w:val="00743B81"/>
    <w:rsid w:val="00746150"/>
    <w:rsid w:val="00746583"/>
    <w:rsid w:val="00746990"/>
    <w:rsid w:val="0075007B"/>
    <w:rsid w:val="0075099A"/>
    <w:rsid w:val="00751349"/>
    <w:rsid w:val="007514FD"/>
    <w:rsid w:val="0075173C"/>
    <w:rsid w:val="007553F4"/>
    <w:rsid w:val="007564E8"/>
    <w:rsid w:val="00760EB8"/>
    <w:rsid w:val="0076312A"/>
    <w:rsid w:val="00763996"/>
    <w:rsid w:val="00764316"/>
    <w:rsid w:val="00764438"/>
    <w:rsid w:val="007647E8"/>
    <w:rsid w:val="0076492A"/>
    <w:rsid w:val="00764D53"/>
    <w:rsid w:val="00765082"/>
    <w:rsid w:val="00765BE0"/>
    <w:rsid w:val="00766502"/>
    <w:rsid w:val="007665C2"/>
    <w:rsid w:val="0076772D"/>
    <w:rsid w:val="00767EE3"/>
    <w:rsid w:val="00770CE7"/>
    <w:rsid w:val="00772387"/>
    <w:rsid w:val="007725F9"/>
    <w:rsid w:val="00772D3F"/>
    <w:rsid w:val="00773ACA"/>
    <w:rsid w:val="00775297"/>
    <w:rsid w:val="00776AD8"/>
    <w:rsid w:val="00780BBC"/>
    <w:rsid w:val="007827EF"/>
    <w:rsid w:val="0078288E"/>
    <w:rsid w:val="007848D3"/>
    <w:rsid w:val="00785976"/>
    <w:rsid w:val="00786771"/>
    <w:rsid w:val="00790EF8"/>
    <w:rsid w:val="007945AB"/>
    <w:rsid w:val="00794ED5"/>
    <w:rsid w:val="007952AD"/>
    <w:rsid w:val="00795A88"/>
    <w:rsid w:val="0079613D"/>
    <w:rsid w:val="007970F8"/>
    <w:rsid w:val="00797480"/>
    <w:rsid w:val="007A2BEE"/>
    <w:rsid w:val="007A34AB"/>
    <w:rsid w:val="007A3892"/>
    <w:rsid w:val="007A3E35"/>
    <w:rsid w:val="007A434F"/>
    <w:rsid w:val="007A5E3F"/>
    <w:rsid w:val="007B1B07"/>
    <w:rsid w:val="007B3565"/>
    <w:rsid w:val="007B4E88"/>
    <w:rsid w:val="007B6690"/>
    <w:rsid w:val="007B6C70"/>
    <w:rsid w:val="007B7F35"/>
    <w:rsid w:val="007C00FC"/>
    <w:rsid w:val="007C1B46"/>
    <w:rsid w:val="007C1E11"/>
    <w:rsid w:val="007C4FEE"/>
    <w:rsid w:val="007C6D48"/>
    <w:rsid w:val="007C7424"/>
    <w:rsid w:val="007C74AB"/>
    <w:rsid w:val="007C7DF8"/>
    <w:rsid w:val="007D215B"/>
    <w:rsid w:val="007D6158"/>
    <w:rsid w:val="007D6917"/>
    <w:rsid w:val="007E4444"/>
    <w:rsid w:val="007E4D2D"/>
    <w:rsid w:val="007E4F45"/>
    <w:rsid w:val="007E6C6D"/>
    <w:rsid w:val="007E6D3F"/>
    <w:rsid w:val="007E6F6F"/>
    <w:rsid w:val="007E73E2"/>
    <w:rsid w:val="007E758B"/>
    <w:rsid w:val="007F0A77"/>
    <w:rsid w:val="007F13F0"/>
    <w:rsid w:val="007F3E1E"/>
    <w:rsid w:val="007F72BB"/>
    <w:rsid w:val="008007EB"/>
    <w:rsid w:val="00800C89"/>
    <w:rsid w:val="00800D2F"/>
    <w:rsid w:val="0080223E"/>
    <w:rsid w:val="00802548"/>
    <w:rsid w:val="0080377C"/>
    <w:rsid w:val="0080593B"/>
    <w:rsid w:val="00806427"/>
    <w:rsid w:val="00807B00"/>
    <w:rsid w:val="008104F3"/>
    <w:rsid w:val="00811F9E"/>
    <w:rsid w:val="008136C3"/>
    <w:rsid w:val="0081418B"/>
    <w:rsid w:val="00814360"/>
    <w:rsid w:val="00817925"/>
    <w:rsid w:val="008234DE"/>
    <w:rsid w:val="0082651E"/>
    <w:rsid w:val="0082660D"/>
    <w:rsid w:val="008301DD"/>
    <w:rsid w:val="00830FC5"/>
    <w:rsid w:val="00831520"/>
    <w:rsid w:val="008329DB"/>
    <w:rsid w:val="00840FB6"/>
    <w:rsid w:val="00841376"/>
    <w:rsid w:val="008427FC"/>
    <w:rsid w:val="00842DBB"/>
    <w:rsid w:val="0084589E"/>
    <w:rsid w:val="00846594"/>
    <w:rsid w:val="008504B7"/>
    <w:rsid w:val="00851AC5"/>
    <w:rsid w:val="00852194"/>
    <w:rsid w:val="00852968"/>
    <w:rsid w:val="00853085"/>
    <w:rsid w:val="00854D71"/>
    <w:rsid w:val="00857E19"/>
    <w:rsid w:val="0086011F"/>
    <w:rsid w:val="008618E6"/>
    <w:rsid w:val="00861F84"/>
    <w:rsid w:val="0086247B"/>
    <w:rsid w:val="00863914"/>
    <w:rsid w:val="00866447"/>
    <w:rsid w:val="0086775B"/>
    <w:rsid w:val="00870D64"/>
    <w:rsid w:val="008711F9"/>
    <w:rsid w:val="0087284F"/>
    <w:rsid w:val="008729F3"/>
    <w:rsid w:val="00873E3B"/>
    <w:rsid w:val="00875B7E"/>
    <w:rsid w:val="00875F83"/>
    <w:rsid w:val="008763B9"/>
    <w:rsid w:val="00880BFE"/>
    <w:rsid w:val="00880E38"/>
    <w:rsid w:val="00880E44"/>
    <w:rsid w:val="0088292E"/>
    <w:rsid w:val="00885493"/>
    <w:rsid w:val="0088597F"/>
    <w:rsid w:val="00885BD2"/>
    <w:rsid w:val="00890C87"/>
    <w:rsid w:val="0089227E"/>
    <w:rsid w:val="0089287A"/>
    <w:rsid w:val="008950C6"/>
    <w:rsid w:val="00896DEB"/>
    <w:rsid w:val="00897C34"/>
    <w:rsid w:val="008A07C1"/>
    <w:rsid w:val="008A0D6C"/>
    <w:rsid w:val="008A17F3"/>
    <w:rsid w:val="008A2131"/>
    <w:rsid w:val="008A27BD"/>
    <w:rsid w:val="008A3FA2"/>
    <w:rsid w:val="008A4184"/>
    <w:rsid w:val="008B02D3"/>
    <w:rsid w:val="008B1525"/>
    <w:rsid w:val="008B2D9E"/>
    <w:rsid w:val="008B70A1"/>
    <w:rsid w:val="008B72EC"/>
    <w:rsid w:val="008C135C"/>
    <w:rsid w:val="008C2DD9"/>
    <w:rsid w:val="008C3E08"/>
    <w:rsid w:val="008C3EB3"/>
    <w:rsid w:val="008C51EB"/>
    <w:rsid w:val="008C52D5"/>
    <w:rsid w:val="008C7343"/>
    <w:rsid w:val="008C7941"/>
    <w:rsid w:val="008C7B86"/>
    <w:rsid w:val="008D26FD"/>
    <w:rsid w:val="008D3215"/>
    <w:rsid w:val="008D427F"/>
    <w:rsid w:val="008D5601"/>
    <w:rsid w:val="008D5C2E"/>
    <w:rsid w:val="008E01A6"/>
    <w:rsid w:val="008E0F7A"/>
    <w:rsid w:val="008E4EC2"/>
    <w:rsid w:val="008E6C04"/>
    <w:rsid w:val="008E7437"/>
    <w:rsid w:val="008E7D4E"/>
    <w:rsid w:val="008F156B"/>
    <w:rsid w:val="008F249E"/>
    <w:rsid w:val="008F2B53"/>
    <w:rsid w:val="008F2BA7"/>
    <w:rsid w:val="008F4453"/>
    <w:rsid w:val="008F5D4F"/>
    <w:rsid w:val="008F6897"/>
    <w:rsid w:val="009000F2"/>
    <w:rsid w:val="00902F31"/>
    <w:rsid w:val="009049DE"/>
    <w:rsid w:val="00904C06"/>
    <w:rsid w:val="009059E7"/>
    <w:rsid w:val="009068EE"/>
    <w:rsid w:val="00906A49"/>
    <w:rsid w:val="00906B46"/>
    <w:rsid w:val="009116EF"/>
    <w:rsid w:val="00911E77"/>
    <w:rsid w:val="00912071"/>
    <w:rsid w:val="0091237A"/>
    <w:rsid w:val="00915099"/>
    <w:rsid w:val="009159FD"/>
    <w:rsid w:val="00915CE7"/>
    <w:rsid w:val="00917C7D"/>
    <w:rsid w:val="00921AD2"/>
    <w:rsid w:val="00923459"/>
    <w:rsid w:val="00930519"/>
    <w:rsid w:val="00930D58"/>
    <w:rsid w:val="009310FF"/>
    <w:rsid w:val="009339A7"/>
    <w:rsid w:val="00933BE4"/>
    <w:rsid w:val="00933DE6"/>
    <w:rsid w:val="00934DE1"/>
    <w:rsid w:val="00937AE2"/>
    <w:rsid w:val="00940286"/>
    <w:rsid w:val="009403AF"/>
    <w:rsid w:val="00943F93"/>
    <w:rsid w:val="00944FE5"/>
    <w:rsid w:val="00946159"/>
    <w:rsid w:val="009470F5"/>
    <w:rsid w:val="0095017D"/>
    <w:rsid w:val="009506FA"/>
    <w:rsid w:val="009511D1"/>
    <w:rsid w:val="00953171"/>
    <w:rsid w:val="00954375"/>
    <w:rsid w:val="009550BD"/>
    <w:rsid w:val="00960CAA"/>
    <w:rsid w:val="009617D1"/>
    <w:rsid w:val="009648D0"/>
    <w:rsid w:val="0096490A"/>
    <w:rsid w:val="00964A03"/>
    <w:rsid w:val="00966E05"/>
    <w:rsid w:val="00970D31"/>
    <w:rsid w:val="00971DE4"/>
    <w:rsid w:val="00972288"/>
    <w:rsid w:val="00972BE8"/>
    <w:rsid w:val="00973A15"/>
    <w:rsid w:val="009761E1"/>
    <w:rsid w:val="009765BE"/>
    <w:rsid w:val="00980FDD"/>
    <w:rsid w:val="00981C41"/>
    <w:rsid w:val="009822E6"/>
    <w:rsid w:val="009825F0"/>
    <w:rsid w:val="00985E98"/>
    <w:rsid w:val="009869FD"/>
    <w:rsid w:val="0099137E"/>
    <w:rsid w:val="009922AF"/>
    <w:rsid w:val="0099404B"/>
    <w:rsid w:val="00995181"/>
    <w:rsid w:val="00995E03"/>
    <w:rsid w:val="00995FA9"/>
    <w:rsid w:val="00996378"/>
    <w:rsid w:val="009A25D0"/>
    <w:rsid w:val="009A4CB5"/>
    <w:rsid w:val="009B293C"/>
    <w:rsid w:val="009B4AF8"/>
    <w:rsid w:val="009B5668"/>
    <w:rsid w:val="009B7168"/>
    <w:rsid w:val="009C3C0E"/>
    <w:rsid w:val="009C46D1"/>
    <w:rsid w:val="009C6831"/>
    <w:rsid w:val="009D043F"/>
    <w:rsid w:val="009D1CDC"/>
    <w:rsid w:val="009D26D6"/>
    <w:rsid w:val="009D2B9C"/>
    <w:rsid w:val="009D30AF"/>
    <w:rsid w:val="009D4016"/>
    <w:rsid w:val="009D5FCD"/>
    <w:rsid w:val="009D641A"/>
    <w:rsid w:val="009D748F"/>
    <w:rsid w:val="009D7527"/>
    <w:rsid w:val="009E1339"/>
    <w:rsid w:val="009E18EA"/>
    <w:rsid w:val="009E1997"/>
    <w:rsid w:val="009E46AC"/>
    <w:rsid w:val="009E60F0"/>
    <w:rsid w:val="009E644B"/>
    <w:rsid w:val="009E7A9C"/>
    <w:rsid w:val="009E7BE8"/>
    <w:rsid w:val="009F230E"/>
    <w:rsid w:val="009F7AAC"/>
    <w:rsid w:val="009F7FF6"/>
    <w:rsid w:val="00A008F5"/>
    <w:rsid w:val="00A00EA6"/>
    <w:rsid w:val="00A0101F"/>
    <w:rsid w:val="00A01402"/>
    <w:rsid w:val="00A02289"/>
    <w:rsid w:val="00A023F8"/>
    <w:rsid w:val="00A029BB"/>
    <w:rsid w:val="00A0372A"/>
    <w:rsid w:val="00A044FD"/>
    <w:rsid w:val="00A0453E"/>
    <w:rsid w:val="00A1001C"/>
    <w:rsid w:val="00A1138B"/>
    <w:rsid w:val="00A12501"/>
    <w:rsid w:val="00A12943"/>
    <w:rsid w:val="00A132EA"/>
    <w:rsid w:val="00A14E72"/>
    <w:rsid w:val="00A15B57"/>
    <w:rsid w:val="00A175C6"/>
    <w:rsid w:val="00A20DF9"/>
    <w:rsid w:val="00A31A3D"/>
    <w:rsid w:val="00A31FD8"/>
    <w:rsid w:val="00A3468B"/>
    <w:rsid w:val="00A3531D"/>
    <w:rsid w:val="00A357E8"/>
    <w:rsid w:val="00A357F5"/>
    <w:rsid w:val="00A365CA"/>
    <w:rsid w:val="00A414B1"/>
    <w:rsid w:val="00A428C1"/>
    <w:rsid w:val="00A432E6"/>
    <w:rsid w:val="00A44946"/>
    <w:rsid w:val="00A471A7"/>
    <w:rsid w:val="00A5002A"/>
    <w:rsid w:val="00A5026C"/>
    <w:rsid w:val="00A51907"/>
    <w:rsid w:val="00A5279B"/>
    <w:rsid w:val="00A53063"/>
    <w:rsid w:val="00A53BDF"/>
    <w:rsid w:val="00A53C0A"/>
    <w:rsid w:val="00A54009"/>
    <w:rsid w:val="00A554EE"/>
    <w:rsid w:val="00A573A4"/>
    <w:rsid w:val="00A60B03"/>
    <w:rsid w:val="00A610A3"/>
    <w:rsid w:val="00A61F3B"/>
    <w:rsid w:val="00A65134"/>
    <w:rsid w:val="00A65774"/>
    <w:rsid w:val="00A668EA"/>
    <w:rsid w:val="00A70307"/>
    <w:rsid w:val="00A71069"/>
    <w:rsid w:val="00A721C5"/>
    <w:rsid w:val="00A73828"/>
    <w:rsid w:val="00A7550B"/>
    <w:rsid w:val="00A75FCD"/>
    <w:rsid w:val="00A80EDC"/>
    <w:rsid w:val="00A82F61"/>
    <w:rsid w:val="00A8397C"/>
    <w:rsid w:val="00A849C9"/>
    <w:rsid w:val="00A84B4C"/>
    <w:rsid w:val="00A84DA6"/>
    <w:rsid w:val="00A870D8"/>
    <w:rsid w:val="00A90E75"/>
    <w:rsid w:val="00A928E8"/>
    <w:rsid w:val="00A92C89"/>
    <w:rsid w:val="00A93437"/>
    <w:rsid w:val="00A94223"/>
    <w:rsid w:val="00A94B2E"/>
    <w:rsid w:val="00AA1EB7"/>
    <w:rsid w:val="00AA2477"/>
    <w:rsid w:val="00AA280C"/>
    <w:rsid w:val="00AA46B5"/>
    <w:rsid w:val="00AA4CD2"/>
    <w:rsid w:val="00AA5421"/>
    <w:rsid w:val="00AA68F3"/>
    <w:rsid w:val="00AA694C"/>
    <w:rsid w:val="00AA7BEC"/>
    <w:rsid w:val="00AA7D0C"/>
    <w:rsid w:val="00AB140E"/>
    <w:rsid w:val="00AB2401"/>
    <w:rsid w:val="00AB40AC"/>
    <w:rsid w:val="00AB5CEA"/>
    <w:rsid w:val="00AB5DA4"/>
    <w:rsid w:val="00AB753D"/>
    <w:rsid w:val="00AB7CBF"/>
    <w:rsid w:val="00AC375E"/>
    <w:rsid w:val="00AC37E3"/>
    <w:rsid w:val="00AC6868"/>
    <w:rsid w:val="00AC76D4"/>
    <w:rsid w:val="00AC7EEE"/>
    <w:rsid w:val="00AD0488"/>
    <w:rsid w:val="00AD0C2D"/>
    <w:rsid w:val="00AD0D84"/>
    <w:rsid w:val="00AD0F20"/>
    <w:rsid w:val="00AD3FAC"/>
    <w:rsid w:val="00AD57F8"/>
    <w:rsid w:val="00AD6AAD"/>
    <w:rsid w:val="00AD6BD1"/>
    <w:rsid w:val="00AD70A8"/>
    <w:rsid w:val="00AE5611"/>
    <w:rsid w:val="00AE5DA5"/>
    <w:rsid w:val="00AE5F9F"/>
    <w:rsid w:val="00AE7ED1"/>
    <w:rsid w:val="00AF03F4"/>
    <w:rsid w:val="00AF0B7A"/>
    <w:rsid w:val="00AF1E96"/>
    <w:rsid w:val="00AF2128"/>
    <w:rsid w:val="00AF333C"/>
    <w:rsid w:val="00AF34D0"/>
    <w:rsid w:val="00AF41A5"/>
    <w:rsid w:val="00AF7AC6"/>
    <w:rsid w:val="00AF7C4E"/>
    <w:rsid w:val="00B0061A"/>
    <w:rsid w:val="00B00921"/>
    <w:rsid w:val="00B00D95"/>
    <w:rsid w:val="00B01136"/>
    <w:rsid w:val="00B03151"/>
    <w:rsid w:val="00B032A2"/>
    <w:rsid w:val="00B04549"/>
    <w:rsid w:val="00B0531E"/>
    <w:rsid w:val="00B05662"/>
    <w:rsid w:val="00B05E5C"/>
    <w:rsid w:val="00B06BAD"/>
    <w:rsid w:val="00B10D73"/>
    <w:rsid w:val="00B10DCA"/>
    <w:rsid w:val="00B13641"/>
    <w:rsid w:val="00B14473"/>
    <w:rsid w:val="00B147BE"/>
    <w:rsid w:val="00B158B5"/>
    <w:rsid w:val="00B15B0F"/>
    <w:rsid w:val="00B167DC"/>
    <w:rsid w:val="00B1759B"/>
    <w:rsid w:val="00B17DD3"/>
    <w:rsid w:val="00B17FC9"/>
    <w:rsid w:val="00B20CEB"/>
    <w:rsid w:val="00B20D21"/>
    <w:rsid w:val="00B21DBB"/>
    <w:rsid w:val="00B22249"/>
    <w:rsid w:val="00B22E91"/>
    <w:rsid w:val="00B24C9A"/>
    <w:rsid w:val="00B278F2"/>
    <w:rsid w:val="00B2791E"/>
    <w:rsid w:val="00B31C9A"/>
    <w:rsid w:val="00B35DE0"/>
    <w:rsid w:val="00B376A0"/>
    <w:rsid w:val="00B37BEB"/>
    <w:rsid w:val="00B41C06"/>
    <w:rsid w:val="00B44BA9"/>
    <w:rsid w:val="00B459DD"/>
    <w:rsid w:val="00B46BC0"/>
    <w:rsid w:val="00B51255"/>
    <w:rsid w:val="00B52E42"/>
    <w:rsid w:val="00B56F7C"/>
    <w:rsid w:val="00B577BB"/>
    <w:rsid w:val="00B57FD1"/>
    <w:rsid w:val="00B60597"/>
    <w:rsid w:val="00B60780"/>
    <w:rsid w:val="00B61180"/>
    <w:rsid w:val="00B61FDE"/>
    <w:rsid w:val="00B638DE"/>
    <w:rsid w:val="00B647E9"/>
    <w:rsid w:val="00B64C9D"/>
    <w:rsid w:val="00B6637E"/>
    <w:rsid w:val="00B66D1B"/>
    <w:rsid w:val="00B72BE4"/>
    <w:rsid w:val="00B72C6A"/>
    <w:rsid w:val="00B73C03"/>
    <w:rsid w:val="00B74FE4"/>
    <w:rsid w:val="00B764A7"/>
    <w:rsid w:val="00B80E82"/>
    <w:rsid w:val="00B817F1"/>
    <w:rsid w:val="00B855A9"/>
    <w:rsid w:val="00B85731"/>
    <w:rsid w:val="00B8582B"/>
    <w:rsid w:val="00B8631F"/>
    <w:rsid w:val="00B8784B"/>
    <w:rsid w:val="00B90A0A"/>
    <w:rsid w:val="00B90F3D"/>
    <w:rsid w:val="00B915FE"/>
    <w:rsid w:val="00B95ED0"/>
    <w:rsid w:val="00BA2678"/>
    <w:rsid w:val="00BA5776"/>
    <w:rsid w:val="00BA6385"/>
    <w:rsid w:val="00BA7CBE"/>
    <w:rsid w:val="00BB029C"/>
    <w:rsid w:val="00BB2162"/>
    <w:rsid w:val="00BB45C4"/>
    <w:rsid w:val="00BB4F02"/>
    <w:rsid w:val="00BB641F"/>
    <w:rsid w:val="00BB7882"/>
    <w:rsid w:val="00BC01EF"/>
    <w:rsid w:val="00BC2196"/>
    <w:rsid w:val="00BC2450"/>
    <w:rsid w:val="00BC26F7"/>
    <w:rsid w:val="00BC2856"/>
    <w:rsid w:val="00BC49DB"/>
    <w:rsid w:val="00BC5046"/>
    <w:rsid w:val="00BC76DD"/>
    <w:rsid w:val="00BD03D3"/>
    <w:rsid w:val="00BD0E07"/>
    <w:rsid w:val="00BD1343"/>
    <w:rsid w:val="00BD150A"/>
    <w:rsid w:val="00BD2C19"/>
    <w:rsid w:val="00BD4B50"/>
    <w:rsid w:val="00BD530F"/>
    <w:rsid w:val="00BD5D2E"/>
    <w:rsid w:val="00BE16B1"/>
    <w:rsid w:val="00BE1873"/>
    <w:rsid w:val="00BE60A5"/>
    <w:rsid w:val="00BE76F4"/>
    <w:rsid w:val="00BE7CE3"/>
    <w:rsid w:val="00BF0274"/>
    <w:rsid w:val="00BF2FE0"/>
    <w:rsid w:val="00BF38C9"/>
    <w:rsid w:val="00BF3951"/>
    <w:rsid w:val="00BF59D4"/>
    <w:rsid w:val="00BF5B1E"/>
    <w:rsid w:val="00BF5CCF"/>
    <w:rsid w:val="00BF7C88"/>
    <w:rsid w:val="00C00BDA"/>
    <w:rsid w:val="00C05638"/>
    <w:rsid w:val="00C106A3"/>
    <w:rsid w:val="00C114E7"/>
    <w:rsid w:val="00C163E6"/>
    <w:rsid w:val="00C16E06"/>
    <w:rsid w:val="00C2054A"/>
    <w:rsid w:val="00C22416"/>
    <w:rsid w:val="00C22481"/>
    <w:rsid w:val="00C23B34"/>
    <w:rsid w:val="00C27818"/>
    <w:rsid w:val="00C305B2"/>
    <w:rsid w:val="00C3094D"/>
    <w:rsid w:val="00C34870"/>
    <w:rsid w:val="00C34D77"/>
    <w:rsid w:val="00C3550B"/>
    <w:rsid w:val="00C417B6"/>
    <w:rsid w:val="00C42259"/>
    <w:rsid w:val="00C4260D"/>
    <w:rsid w:val="00C45D76"/>
    <w:rsid w:val="00C45FD8"/>
    <w:rsid w:val="00C4730A"/>
    <w:rsid w:val="00C51BDF"/>
    <w:rsid w:val="00C53DA4"/>
    <w:rsid w:val="00C54C98"/>
    <w:rsid w:val="00C54F2E"/>
    <w:rsid w:val="00C574AA"/>
    <w:rsid w:val="00C635CF"/>
    <w:rsid w:val="00C63C7D"/>
    <w:rsid w:val="00C64BEA"/>
    <w:rsid w:val="00C653CC"/>
    <w:rsid w:val="00C6571C"/>
    <w:rsid w:val="00C65D8B"/>
    <w:rsid w:val="00C66A64"/>
    <w:rsid w:val="00C67609"/>
    <w:rsid w:val="00C67715"/>
    <w:rsid w:val="00C71810"/>
    <w:rsid w:val="00C72BEB"/>
    <w:rsid w:val="00C773CE"/>
    <w:rsid w:val="00C77913"/>
    <w:rsid w:val="00C77BB6"/>
    <w:rsid w:val="00C77BEA"/>
    <w:rsid w:val="00C824FE"/>
    <w:rsid w:val="00C82B8A"/>
    <w:rsid w:val="00C82DD5"/>
    <w:rsid w:val="00C82FEC"/>
    <w:rsid w:val="00C85154"/>
    <w:rsid w:val="00C85D34"/>
    <w:rsid w:val="00C874D8"/>
    <w:rsid w:val="00C92CE7"/>
    <w:rsid w:val="00C93672"/>
    <w:rsid w:val="00C93AE5"/>
    <w:rsid w:val="00C95661"/>
    <w:rsid w:val="00C96AD9"/>
    <w:rsid w:val="00C97624"/>
    <w:rsid w:val="00CA1494"/>
    <w:rsid w:val="00CA3366"/>
    <w:rsid w:val="00CA3A70"/>
    <w:rsid w:val="00CA477B"/>
    <w:rsid w:val="00CA5DCD"/>
    <w:rsid w:val="00CA73DB"/>
    <w:rsid w:val="00CA7FBC"/>
    <w:rsid w:val="00CB0550"/>
    <w:rsid w:val="00CB4CE7"/>
    <w:rsid w:val="00CB5643"/>
    <w:rsid w:val="00CC0133"/>
    <w:rsid w:val="00CC3C04"/>
    <w:rsid w:val="00CC5F86"/>
    <w:rsid w:val="00CC6195"/>
    <w:rsid w:val="00CC70BC"/>
    <w:rsid w:val="00CD1D18"/>
    <w:rsid w:val="00CD24BF"/>
    <w:rsid w:val="00CD265C"/>
    <w:rsid w:val="00CD300E"/>
    <w:rsid w:val="00CD3445"/>
    <w:rsid w:val="00CD4C1F"/>
    <w:rsid w:val="00CD56B9"/>
    <w:rsid w:val="00CD5F31"/>
    <w:rsid w:val="00CD7EC3"/>
    <w:rsid w:val="00CE2A42"/>
    <w:rsid w:val="00CE4456"/>
    <w:rsid w:val="00CE7433"/>
    <w:rsid w:val="00CE7B73"/>
    <w:rsid w:val="00CF3743"/>
    <w:rsid w:val="00CF3D56"/>
    <w:rsid w:val="00CF4541"/>
    <w:rsid w:val="00CF55F5"/>
    <w:rsid w:val="00D00D6D"/>
    <w:rsid w:val="00D054DA"/>
    <w:rsid w:val="00D06085"/>
    <w:rsid w:val="00D0654B"/>
    <w:rsid w:val="00D078BE"/>
    <w:rsid w:val="00D07B68"/>
    <w:rsid w:val="00D102A4"/>
    <w:rsid w:val="00D10DE5"/>
    <w:rsid w:val="00D10FD9"/>
    <w:rsid w:val="00D11EA6"/>
    <w:rsid w:val="00D13F8A"/>
    <w:rsid w:val="00D149A2"/>
    <w:rsid w:val="00D15D16"/>
    <w:rsid w:val="00D15E64"/>
    <w:rsid w:val="00D16432"/>
    <w:rsid w:val="00D232B6"/>
    <w:rsid w:val="00D25660"/>
    <w:rsid w:val="00D25A01"/>
    <w:rsid w:val="00D261AC"/>
    <w:rsid w:val="00D2782A"/>
    <w:rsid w:val="00D3038E"/>
    <w:rsid w:val="00D31594"/>
    <w:rsid w:val="00D329F9"/>
    <w:rsid w:val="00D33653"/>
    <w:rsid w:val="00D341EC"/>
    <w:rsid w:val="00D34234"/>
    <w:rsid w:val="00D349A4"/>
    <w:rsid w:val="00D34AA0"/>
    <w:rsid w:val="00D35E69"/>
    <w:rsid w:val="00D36619"/>
    <w:rsid w:val="00D3751F"/>
    <w:rsid w:val="00D377E6"/>
    <w:rsid w:val="00D37F62"/>
    <w:rsid w:val="00D41529"/>
    <w:rsid w:val="00D417F1"/>
    <w:rsid w:val="00D4218F"/>
    <w:rsid w:val="00D42A65"/>
    <w:rsid w:val="00D44411"/>
    <w:rsid w:val="00D50326"/>
    <w:rsid w:val="00D503A6"/>
    <w:rsid w:val="00D52822"/>
    <w:rsid w:val="00D53492"/>
    <w:rsid w:val="00D5606C"/>
    <w:rsid w:val="00D6011F"/>
    <w:rsid w:val="00D60CF0"/>
    <w:rsid w:val="00D62B76"/>
    <w:rsid w:val="00D6337C"/>
    <w:rsid w:val="00D64B0A"/>
    <w:rsid w:val="00D65C15"/>
    <w:rsid w:val="00D66C02"/>
    <w:rsid w:val="00D71E27"/>
    <w:rsid w:val="00D7405C"/>
    <w:rsid w:val="00D77EE7"/>
    <w:rsid w:val="00D809C6"/>
    <w:rsid w:val="00D809EB"/>
    <w:rsid w:val="00D80CC2"/>
    <w:rsid w:val="00D83125"/>
    <w:rsid w:val="00D851A0"/>
    <w:rsid w:val="00D859F6"/>
    <w:rsid w:val="00D85A7B"/>
    <w:rsid w:val="00D87000"/>
    <w:rsid w:val="00D87273"/>
    <w:rsid w:val="00D873F1"/>
    <w:rsid w:val="00D90CD6"/>
    <w:rsid w:val="00D918D5"/>
    <w:rsid w:val="00D93578"/>
    <w:rsid w:val="00D93774"/>
    <w:rsid w:val="00D94172"/>
    <w:rsid w:val="00DA2DD5"/>
    <w:rsid w:val="00DA5E5F"/>
    <w:rsid w:val="00DA6B91"/>
    <w:rsid w:val="00DB1878"/>
    <w:rsid w:val="00DB24F7"/>
    <w:rsid w:val="00DB2BA8"/>
    <w:rsid w:val="00DB346F"/>
    <w:rsid w:val="00DB4B51"/>
    <w:rsid w:val="00DB54D7"/>
    <w:rsid w:val="00DB5DD4"/>
    <w:rsid w:val="00DB6CFD"/>
    <w:rsid w:val="00DB7672"/>
    <w:rsid w:val="00DC0B2C"/>
    <w:rsid w:val="00DC0C1C"/>
    <w:rsid w:val="00DC1D29"/>
    <w:rsid w:val="00DC20CF"/>
    <w:rsid w:val="00DC5309"/>
    <w:rsid w:val="00DC5821"/>
    <w:rsid w:val="00DC7FDC"/>
    <w:rsid w:val="00DD1973"/>
    <w:rsid w:val="00DD1EBF"/>
    <w:rsid w:val="00DD71E1"/>
    <w:rsid w:val="00DE022B"/>
    <w:rsid w:val="00DE165F"/>
    <w:rsid w:val="00DE4581"/>
    <w:rsid w:val="00DE47FC"/>
    <w:rsid w:val="00DE4ED8"/>
    <w:rsid w:val="00DE4FE8"/>
    <w:rsid w:val="00DE583C"/>
    <w:rsid w:val="00DE7F5F"/>
    <w:rsid w:val="00DF2F32"/>
    <w:rsid w:val="00DF338D"/>
    <w:rsid w:val="00DF3751"/>
    <w:rsid w:val="00DF4AB3"/>
    <w:rsid w:val="00DF5325"/>
    <w:rsid w:val="00DF68D9"/>
    <w:rsid w:val="00E012FF"/>
    <w:rsid w:val="00E018A2"/>
    <w:rsid w:val="00E03764"/>
    <w:rsid w:val="00E03865"/>
    <w:rsid w:val="00E055D8"/>
    <w:rsid w:val="00E119E8"/>
    <w:rsid w:val="00E126D0"/>
    <w:rsid w:val="00E15026"/>
    <w:rsid w:val="00E1576E"/>
    <w:rsid w:val="00E163F2"/>
    <w:rsid w:val="00E16926"/>
    <w:rsid w:val="00E17C62"/>
    <w:rsid w:val="00E2407B"/>
    <w:rsid w:val="00E24594"/>
    <w:rsid w:val="00E25686"/>
    <w:rsid w:val="00E258F6"/>
    <w:rsid w:val="00E30FBC"/>
    <w:rsid w:val="00E3386D"/>
    <w:rsid w:val="00E36F17"/>
    <w:rsid w:val="00E37602"/>
    <w:rsid w:val="00E37BCE"/>
    <w:rsid w:val="00E401DF"/>
    <w:rsid w:val="00E41379"/>
    <w:rsid w:val="00E4239B"/>
    <w:rsid w:val="00E44A7B"/>
    <w:rsid w:val="00E47A28"/>
    <w:rsid w:val="00E50405"/>
    <w:rsid w:val="00E5096A"/>
    <w:rsid w:val="00E5151D"/>
    <w:rsid w:val="00E530B1"/>
    <w:rsid w:val="00E534C7"/>
    <w:rsid w:val="00E53506"/>
    <w:rsid w:val="00E53562"/>
    <w:rsid w:val="00E53BD9"/>
    <w:rsid w:val="00E53D3F"/>
    <w:rsid w:val="00E553ED"/>
    <w:rsid w:val="00E574B1"/>
    <w:rsid w:val="00E578DA"/>
    <w:rsid w:val="00E6268E"/>
    <w:rsid w:val="00E66223"/>
    <w:rsid w:val="00E66A4E"/>
    <w:rsid w:val="00E678EA"/>
    <w:rsid w:val="00E740DF"/>
    <w:rsid w:val="00E74709"/>
    <w:rsid w:val="00E7753A"/>
    <w:rsid w:val="00E82BFD"/>
    <w:rsid w:val="00E84CAC"/>
    <w:rsid w:val="00E85DC3"/>
    <w:rsid w:val="00E87523"/>
    <w:rsid w:val="00E8791B"/>
    <w:rsid w:val="00E903F9"/>
    <w:rsid w:val="00E91FDD"/>
    <w:rsid w:val="00E922DB"/>
    <w:rsid w:val="00E92B14"/>
    <w:rsid w:val="00E939F0"/>
    <w:rsid w:val="00E94CA7"/>
    <w:rsid w:val="00E968AA"/>
    <w:rsid w:val="00EA1422"/>
    <w:rsid w:val="00EA2617"/>
    <w:rsid w:val="00EB1B7C"/>
    <w:rsid w:val="00EB2578"/>
    <w:rsid w:val="00EB4F72"/>
    <w:rsid w:val="00EB7236"/>
    <w:rsid w:val="00EC0AAA"/>
    <w:rsid w:val="00EC1AC4"/>
    <w:rsid w:val="00EC28E7"/>
    <w:rsid w:val="00EC2D02"/>
    <w:rsid w:val="00EC2D96"/>
    <w:rsid w:val="00EC2DDC"/>
    <w:rsid w:val="00EC4709"/>
    <w:rsid w:val="00EC6A54"/>
    <w:rsid w:val="00ED2213"/>
    <w:rsid w:val="00ED2A9F"/>
    <w:rsid w:val="00ED4E33"/>
    <w:rsid w:val="00ED5731"/>
    <w:rsid w:val="00ED69BB"/>
    <w:rsid w:val="00EE10F9"/>
    <w:rsid w:val="00EE20FF"/>
    <w:rsid w:val="00EE274A"/>
    <w:rsid w:val="00EE31CD"/>
    <w:rsid w:val="00EE3E06"/>
    <w:rsid w:val="00EE54A3"/>
    <w:rsid w:val="00EE63A8"/>
    <w:rsid w:val="00EE71AE"/>
    <w:rsid w:val="00EE72D0"/>
    <w:rsid w:val="00EE7C25"/>
    <w:rsid w:val="00EF02EC"/>
    <w:rsid w:val="00EF25B4"/>
    <w:rsid w:val="00EF2755"/>
    <w:rsid w:val="00EF39E5"/>
    <w:rsid w:val="00EF46A2"/>
    <w:rsid w:val="00EF61BC"/>
    <w:rsid w:val="00EF6C0B"/>
    <w:rsid w:val="00EF7EC2"/>
    <w:rsid w:val="00F0120F"/>
    <w:rsid w:val="00F0122C"/>
    <w:rsid w:val="00F02555"/>
    <w:rsid w:val="00F02AEC"/>
    <w:rsid w:val="00F040E8"/>
    <w:rsid w:val="00F045E2"/>
    <w:rsid w:val="00F04933"/>
    <w:rsid w:val="00F060AA"/>
    <w:rsid w:val="00F12D01"/>
    <w:rsid w:val="00F13F51"/>
    <w:rsid w:val="00F14C70"/>
    <w:rsid w:val="00F1513F"/>
    <w:rsid w:val="00F20369"/>
    <w:rsid w:val="00F211A6"/>
    <w:rsid w:val="00F21D4C"/>
    <w:rsid w:val="00F2345C"/>
    <w:rsid w:val="00F23562"/>
    <w:rsid w:val="00F246AE"/>
    <w:rsid w:val="00F248B7"/>
    <w:rsid w:val="00F2537E"/>
    <w:rsid w:val="00F258A8"/>
    <w:rsid w:val="00F2614C"/>
    <w:rsid w:val="00F26AA3"/>
    <w:rsid w:val="00F308DC"/>
    <w:rsid w:val="00F363BD"/>
    <w:rsid w:val="00F3649B"/>
    <w:rsid w:val="00F37416"/>
    <w:rsid w:val="00F37B09"/>
    <w:rsid w:val="00F37B22"/>
    <w:rsid w:val="00F40934"/>
    <w:rsid w:val="00F40CDF"/>
    <w:rsid w:val="00F41726"/>
    <w:rsid w:val="00F41EC8"/>
    <w:rsid w:val="00F420D7"/>
    <w:rsid w:val="00F4223A"/>
    <w:rsid w:val="00F42902"/>
    <w:rsid w:val="00F44FBB"/>
    <w:rsid w:val="00F464C4"/>
    <w:rsid w:val="00F50431"/>
    <w:rsid w:val="00F5245E"/>
    <w:rsid w:val="00F52EEE"/>
    <w:rsid w:val="00F53761"/>
    <w:rsid w:val="00F56598"/>
    <w:rsid w:val="00F56A28"/>
    <w:rsid w:val="00F57320"/>
    <w:rsid w:val="00F578A0"/>
    <w:rsid w:val="00F61F6E"/>
    <w:rsid w:val="00F62900"/>
    <w:rsid w:val="00F62931"/>
    <w:rsid w:val="00F62AC9"/>
    <w:rsid w:val="00F639AB"/>
    <w:rsid w:val="00F666FA"/>
    <w:rsid w:val="00F66B18"/>
    <w:rsid w:val="00F712AB"/>
    <w:rsid w:val="00F71750"/>
    <w:rsid w:val="00F721DE"/>
    <w:rsid w:val="00F75DFB"/>
    <w:rsid w:val="00F76524"/>
    <w:rsid w:val="00F815E1"/>
    <w:rsid w:val="00F852B5"/>
    <w:rsid w:val="00F86D5B"/>
    <w:rsid w:val="00F86FD0"/>
    <w:rsid w:val="00F90690"/>
    <w:rsid w:val="00F90CC8"/>
    <w:rsid w:val="00F92472"/>
    <w:rsid w:val="00F9531A"/>
    <w:rsid w:val="00F96696"/>
    <w:rsid w:val="00F967D8"/>
    <w:rsid w:val="00F97F23"/>
    <w:rsid w:val="00FA0561"/>
    <w:rsid w:val="00FA2CA7"/>
    <w:rsid w:val="00FA32CB"/>
    <w:rsid w:val="00FA387F"/>
    <w:rsid w:val="00FA3E28"/>
    <w:rsid w:val="00FA42B4"/>
    <w:rsid w:val="00FA492E"/>
    <w:rsid w:val="00FA49C3"/>
    <w:rsid w:val="00FA6ADF"/>
    <w:rsid w:val="00FB0014"/>
    <w:rsid w:val="00FB32A7"/>
    <w:rsid w:val="00FB3D01"/>
    <w:rsid w:val="00FB43B6"/>
    <w:rsid w:val="00FB5EC2"/>
    <w:rsid w:val="00FB69D1"/>
    <w:rsid w:val="00FC052F"/>
    <w:rsid w:val="00FC0B4B"/>
    <w:rsid w:val="00FC0C7A"/>
    <w:rsid w:val="00FC19B9"/>
    <w:rsid w:val="00FC34FA"/>
    <w:rsid w:val="00FC358E"/>
    <w:rsid w:val="00FC3963"/>
    <w:rsid w:val="00FC5E80"/>
    <w:rsid w:val="00FC63F1"/>
    <w:rsid w:val="00FC729E"/>
    <w:rsid w:val="00FC7CDD"/>
    <w:rsid w:val="00FD3459"/>
    <w:rsid w:val="00FD551E"/>
    <w:rsid w:val="00FD55F2"/>
    <w:rsid w:val="00FD6008"/>
    <w:rsid w:val="00FE0205"/>
    <w:rsid w:val="00FE04E3"/>
    <w:rsid w:val="00FE2040"/>
    <w:rsid w:val="00FE336D"/>
    <w:rsid w:val="00FE3E30"/>
    <w:rsid w:val="00FE5FF1"/>
    <w:rsid w:val="00FE6FB3"/>
    <w:rsid w:val="00FE7B7D"/>
    <w:rsid w:val="00FE7EB6"/>
    <w:rsid w:val="00FF0D88"/>
    <w:rsid w:val="00FF1060"/>
    <w:rsid w:val="00FF18FB"/>
    <w:rsid w:val="00FF19F7"/>
    <w:rsid w:val="00FF22BD"/>
    <w:rsid w:val="00FF27A3"/>
    <w:rsid w:val="00FF5B10"/>
    <w:rsid w:val="00FF5DEB"/>
    <w:rsid w:val="0144227C"/>
    <w:rsid w:val="01A0A9FE"/>
    <w:rsid w:val="01DF9976"/>
    <w:rsid w:val="02263532"/>
    <w:rsid w:val="024B2A5D"/>
    <w:rsid w:val="024EFFC5"/>
    <w:rsid w:val="027BBB2C"/>
    <w:rsid w:val="0300316B"/>
    <w:rsid w:val="031C2B8C"/>
    <w:rsid w:val="037A01D4"/>
    <w:rsid w:val="039EC894"/>
    <w:rsid w:val="03BB8D64"/>
    <w:rsid w:val="04376617"/>
    <w:rsid w:val="04378858"/>
    <w:rsid w:val="0453E2D6"/>
    <w:rsid w:val="045FBB81"/>
    <w:rsid w:val="0471C201"/>
    <w:rsid w:val="04965295"/>
    <w:rsid w:val="049A9548"/>
    <w:rsid w:val="04C4097F"/>
    <w:rsid w:val="04F4C41A"/>
    <w:rsid w:val="057836A9"/>
    <w:rsid w:val="05D8C5FB"/>
    <w:rsid w:val="05DA4A39"/>
    <w:rsid w:val="05DFEF77"/>
    <w:rsid w:val="05FE42E5"/>
    <w:rsid w:val="060FBF63"/>
    <w:rsid w:val="065A348D"/>
    <w:rsid w:val="0689B227"/>
    <w:rsid w:val="0691D452"/>
    <w:rsid w:val="069B666E"/>
    <w:rsid w:val="06A8078F"/>
    <w:rsid w:val="06D0311B"/>
    <w:rsid w:val="07016388"/>
    <w:rsid w:val="0721CBDA"/>
    <w:rsid w:val="07568672"/>
    <w:rsid w:val="07AA0CCE"/>
    <w:rsid w:val="0922724E"/>
    <w:rsid w:val="093043A8"/>
    <w:rsid w:val="094780B2"/>
    <w:rsid w:val="09B9F888"/>
    <w:rsid w:val="09C85B4D"/>
    <w:rsid w:val="09D5920E"/>
    <w:rsid w:val="0A73A660"/>
    <w:rsid w:val="0BAC8B90"/>
    <w:rsid w:val="0BE944FC"/>
    <w:rsid w:val="0CBF6D66"/>
    <w:rsid w:val="0CD7C2EB"/>
    <w:rsid w:val="0CE7F1D7"/>
    <w:rsid w:val="0D27158C"/>
    <w:rsid w:val="0E706808"/>
    <w:rsid w:val="0EE5E3DD"/>
    <w:rsid w:val="0F0CB61D"/>
    <w:rsid w:val="0F955A4F"/>
    <w:rsid w:val="0FC4E402"/>
    <w:rsid w:val="0FD954B6"/>
    <w:rsid w:val="0FEEC40D"/>
    <w:rsid w:val="105F8649"/>
    <w:rsid w:val="108A1289"/>
    <w:rsid w:val="1139A49C"/>
    <w:rsid w:val="11580A9F"/>
    <w:rsid w:val="116044B2"/>
    <w:rsid w:val="117515DC"/>
    <w:rsid w:val="1216A510"/>
    <w:rsid w:val="1250078C"/>
    <w:rsid w:val="12586650"/>
    <w:rsid w:val="125FB889"/>
    <w:rsid w:val="1268AFF0"/>
    <w:rsid w:val="1288DAEB"/>
    <w:rsid w:val="129433E8"/>
    <w:rsid w:val="129761E5"/>
    <w:rsid w:val="12BA5BEF"/>
    <w:rsid w:val="131EDE47"/>
    <w:rsid w:val="135AA4F0"/>
    <w:rsid w:val="145AB559"/>
    <w:rsid w:val="14909899"/>
    <w:rsid w:val="153185BE"/>
    <w:rsid w:val="15BE905E"/>
    <w:rsid w:val="1600683A"/>
    <w:rsid w:val="17691BE9"/>
    <w:rsid w:val="17976854"/>
    <w:rsid w:val="17A805D3"/>
    <w:rsid w:val="17C725E1"/>
    <w:rsid w:val="17FA7CD0"/>
    <w:rsid w:val="1826F662"/>
    <w:rsid w:val="18370165"/>
    <w:rsid w:val="186E5FCC"/>
    <w:rsid w:val="188FBE78"/>
    <w:rsid w:val="18A031AA"/>
    <w:rsid w:val="18AD8739"/>
    <w:rsid w:val="18BD53C9"/>
    <w:rsid w:val="18CA32D0"/>
    <w:rsid w:val="193230CC"/>
    <w:rsid w:val="19440519"/>
    <w:rsid w:val="1960A003"/>
    <w:rsid w:val="19830200"/>
    <w:rsid w:val="19A7B580"/>
    <w:rsid w:val="19B58E15"/>
    <w:rsid w:val="1A056BB3"/>
    <w:rsid w:val="1A46BBB4"/>
    <w:rsid w:val="1A575459"/>
    <w:rsid w:val="1AF58804"/>
    <w:rsid w:val="1B73A61C"/>
    <w:rsid w:val="1BAE6E24"/>
    <w:rsid w:val="1C2A7E38"/>
    <w:rsid w:val="1C93FBE4"/>
    <w:rsid w:val="1CC262D4"/>
    <w:rsid w:val="1D08BC28"/>
    <w:rsid w:val="1D99FC3A"/>
    <w:rsid w:val="1E699C54"/>
    <w:rsid w:val="1EB75DF7"/>
    <w:rsid w:val="1EF40284"/>
    <w:rsid w:val="1F2F00DD"/>
    <w:rsid w:val="20832675"/>
    <w:rsid w:val="2108BD8A"/>
    <w:rsid w:val="21184529"/>
    <w:rsid w:val="2218D155"/>
    <w:rsid w:val="2249916A"/>
    <w:rsid w:val="22EDC859"/>
    <w:rsid w:val="2310F144"/>
    <w:rsid w:val="233549A0"/>
    <w:rsid w:val="243B1CF5"/>
    <w:rsid w:val="24B218FC"/>
    <w:rsid w:val="24C118A3"/>
    <w:rsid w:val="24F900B2"/>
    <w:rsid w:val="24FF810B"/>
    <w:rsid w:val="256A8138"/>
    <w:rsid w:val="25865DD2"/>
    <w:rsid w:val="25C2DE38"/>
    <w:rsid w:val="262506B9"/>
    <w:rsid w:val="26A1334A"/>
    <w:rsid w:val="26B0BEC0"/>
    <w:rsid w:val="26EEFE10"/>
    <w:rsid w:val="2831D2BC"/>
    <w:rsid w:val="2878315F"/>
    <w:rsid w:val="287F9E96"/>
    <w:rsid w:val="28A38E94"/>
    <w:rsid w:val="28F3E4B5"/>
    <w:rsid w:val="29097827"/>
    <w:rsid w:val="29CAF981"/>
    <w:rsid w:val="2A08AD0E"/>
    <w:rsid w:val="2A3945AB"/>
    <w:rsid w:val="2A44559F"/>
    <w:rsid w:val="2A7237B4"/>
    <w:rsid w:val="2A7C7D19"/>
    <w:rsid w:val="2A872B49"/>
    <w:rsid w:val="2B460F74"/>
    <w:rsid w:val="2B9BE924"/>
    <w:rsid w:val="2BB6AA02"/>
    <w:rsid w:val="2BC15416"/>
    <w:rsid w:val="2C0CB707"/>
    <w:rsid w:val="2C4DDC29"/>
    <w:rsid w:val="2C93E9BD"/>
    <w:rsid w:val="2CC5914D"/>
    <w:rsid w:val="2CD1D519"/>
    <w:rsid w:val="2CEE3719"/>
    <w:rsid w:val="2DADECF6"/>
    <w:rsid w:val="2DC94E8E"/>
    <w:rsid w:val="2E2BB228"/>
    <w:rsid w:val="2E680158"/>
    <w:rsid w:val="2EB7F903"/>
    <w:rsid w:val="2EBEADDC"/>
    <w:rsid w:val="2EFD6041"/>
    <w:rsid w:val="2F439EC8"/>
    <w:rsid w:val="2F684A87"/>
    <w:rsid w:val="303F6A95"/>
    <w:rsid w:val="306EB9D5"/>
    <w:rsid w:val="307C4B4E"/>
    <w:rsid w:val="30843444"/>
    <w:rsid w:val="30CE344E"/>
    <w:rsid w:val="3141F968"/>
    <w:rsid w:val="31783164"/>
    <w:rsid w:val="31A766AC"/>
    <w:rsid w:val="31E739A0"/>
    <w:rsid w:val="3209BE85"/>
    <w:rsid w:val="3231D73E"/>
    <w:rsid w:val="327EF573"/>
    <w:rsid w:val="3318D43D"/>
    <w:rsid w:val="331A92E9"/>
    <w:rsid w:val="33205CA6"/>
    <w:rsid w:val="332C837B"/>
    <w:rsid w:val="333CC3EA"/>
    <w:rsid w:val="33BF1C35"/>
    <w:rsid w:val="34502C0E"/>
    <w:rsid w:val="34AA9291"/>
    <w:rsid w:val="34EB64DD"/>
    <w:rsid w:val="34FC2F26"/>
    <w:rsid w:val="355BEE03"/>
    <w:rsid w:val="355F21B4"/>
    <w:rsid w:val="3589D96D"/>
    <w:rsid w:val="35E11B1D"/>
    <w:rsid w:val="35FADE3D"/>
    <w:rsid w:val="36327FA3"/>
    <w:rsid w:val="36AC0C03"/>
    <w:rsid w:val="36C90699"/>
    <w:rsid w:val="36DA9F70"/>
    <w:rsid w:val="36F85843"/>
    <w:rsid w:val="376B15C0"/>
    <w:rsid w:val="3784F78E"/>
    <w:rsid w:val="37A5D0F5"/>
    <w:rsid w:val="37E07505"/>
    <w:rsid w:val="37E7F642"/>
    <w:rsid w:val="3837B38F"/>
    <w:rsid w:val="395D50B8"/>
    <w:rsid w:val="3987E684"/>
    <w:rsid w:val="399995BC"/>
    <w:rsid w:val="3A520D35"/>
    <w:rsid w:val="3B17163C"/>
    <w:rsid w:val="3B2538DC"/>
    <w:rsid w:val="3B67E663"/>
    <w:rsid w:val="3B7D582C"/>
    <w:rsid w:val="3BAD6F19"/>
    <w:rsid w:val="3BF8C851"/>
    <w:rsid w:val="3CEE7E19"/>
    <w:rsid w:val="3CFF2AA0"/>
    <w:rsid w:val="3D48F453"/>
    <w:rsid w:val="3D5F8120"/>
    <w:rsid w:val="3DE3CCCB"/>
    <w:rsid w:val="3E11A0AD"/>
    <w:rsid w:val="3E61F9CB"/>
    <w:rsid w:val="3EAEEFCD"/>
    <w:rsid w:val="3F1C70A0"/>
    <w:rsid w:val="3F4952FC"/>
    <w:rsid w:val="3F5EBCB0"/>
    <w:rsid w:val="3FF40D5C"/>
    <w:rsid w:val="4050B13C"/>
    <w:rsid w:val="4091F3D5"/>
    <w:rsid w:val="40B2A65A"/>
    <w:rsid w:val="413448A2"/>
    <w:rsid w:val="418FE3CB"/>
    <w:rsid w:val="42171CAD"/>
    <w:rsid w:val="425607A1"/>
    <w:rsid w:val="430B7B29"/>
    <w:rsid w:val="43152DF6"/>
    <w:rsid w:val="43369745"/>
    <w:rsid w:val="4360622F"/>
    <w:rsid w:val="44777814"/>
    <w:rsid w:val="447ABC00"/>
    <w:rsid w:val="4502A5BA"/>
    <w:rsid w:val="450F5233"/>
    <w:rsid w:val="451F264B"/>
    <w:rsid w:val="45B3F046"/>
    <w:rsid w:val="45E58836"/>
    <w:rsid w:val="46422446"/>
    <w:rsid w:val="4653513C"/>
    <w:rsid w:val="4678F831"/>
    <w:rsid w:val="46A0D4E4"/>
    <w:rsid w:val="46B945D7"/>
    <w:rsid w:val="46E63737"/>
    <w:rsid w:val="473E444C"/>
    <w:rsid w:val="47A02092"/>
    <w:rsid w:val="47A5D642"/>
    <w:rsid w:val="47AB7044"/>
    <w:rsid w:val="47C43D39"/>
    <w:rsid w:val="47EABC8C"/>
    <w:rsid w:val="48352530"/>
    <w:rsid w:val="48B4ABF9"/>
    <w:rsid w:val="48CEC0BF"/>
    <w:rsid w:val="49008371"/>
    <w:rsid w:val="49727B34"/>
    <w:rsid w:val="49997564"/>
    <w:rsid w:val="4A10DA44"/>
    <w:rsid w:val="4A31907F"/>
    <w:rsid w:val="4A46ACBC"/>
    <w:rsid w:val="4A516593"/>
    <w:rsid w:val="4AFEA0C2"/>
    <w:rsid w:val="4B09FE4D"/>
    <w:rsid w:val="4B57AA9D"/>
    <w:rsid w:val="4B607AD4"/>
    <w:rsid w:val="4B784EAC"/>
    <w:rsid w:val="4B89FF5F"/>
    <w:rsid w:val="4BE12E7B"/>
    <w:rsid w:val="4C2DD9EF"/>
    <w:rsid w:val="4C30867C"/>
    <w:rsid w:val="4C76BF7D"/>
    <w:rsid w:val="4C9DF3F6"/>
    <w:rsid w:val="4D1105E7"/>
    <w:rsid w:val="4DD2B80B"/>
    <w:rsid w:val="4E2AAC18"/>
    <w:rsid w:val="4E5FCC6E"/>
    <w:rsid w:val="4E6E3AE6"/>
    <w:rsid w:val="4EB7F0F0"/>
    <w:rsid w:val="4EBDB457"/>
    <w:rsid w:val="4F87140B"/>
    <w:rsid w:val="5001A2C8"/>
    <w:rsid w:val="5017E2D0"/>
    <w:rsid w:val="505FC2DF"/>
    <w:rsid w:val="5086D708"/>
    <w:rsid w:val="50CE7440"/>
    <w:rsid w:val="50DD1EDE"/>
    <w:rsid w:val="50F1F56B"/>
    <w:rsid w:val="51191261"/>
    <w:rsid w:val="526F16D4"/>
    <w:rsid w:val="527A7B52"/>
    <w:rsid w:val="52B5F217"/>
    <w:rsid w:val="52B8E940"/>
    <w:rsid w:val="535BED09"/>
    <w:rsid w:val="535D1C51"/>
    <w:rsid w:val="536A82E9"/>
    <w:rsid w:val="5441D357"/>
    <w:rsid w:val="5470AF33"/>
    <w:rsid w:val="5480DF12"/>
    <w:rsid w:val="54A504EE"/>
    <w:rsid w:val="54FEEB0A"/>
    <w:rsid w:val="5549095C"/>
    <w:rsid w:val="555C7D8C"/>
    <w:rsid w:val="555DE3A0"/>
    <w:rsid w:val="556C1A47"/>
    <w:rsid w:val="556C4546"/>
    <w:rsid w:val="56144E79"/>
    <w:rsid w:val="5645F62B"/>
    <w:rsid w:val="56AD29C1"/>
    <w:rsid w:val="56B19422"/>
    <w:rsid w:val="56D42D07"/>
    <w:rsid w:val="576CCBA0"/>
    <w:rsid w:val="579D381E"/>
    <w:rsid w:val="57AF402E"/>
    <w:rsid w:val="581A9AD6"/>
    <w:rsid w:val="583A600F"/>
    <w:rsid w:val="5846DD27"/>
    <w:rsid w:val="585BFFBE"/>
    <w:rsid w:val="5864F994"/>
    <w:rsid w:val="5882D870"/>
    <w:rsid w:val="5904633B"/>
    <w:rsid w:val="5904E325"/>
    <w:rsid w:val="59D4E1B4"/>
    <w:rsid w:val="59F46578"/>
    <w:rsid w:val="59F63C32"/>
    <w:rsid w:val="5A0F1C5B"/>
    <w:rsid w:val="5AFBD41A"/>
    <w:rsid w:val="5B6B0600"/>
    <w:rsid w:val="5C438E7B"/>
    <w:rsid w:val="5C61C3FD"/>
    <w:rsid w:val="5C620BEF"/>
    <w:rsid w:val="5CB9629B"/>
    <w:rsid w:val="5CF2984F"/>
    <w:rsid w:val="5D16EB92"/>
    <w:rsid w:val="5D553CFF"/>
    <w:rsid w:val="5DAFE54E"/>
    <w:rsid w:val="5E85F4D1"/>
    <w:rsid w:val="5ED641A4"/>
    <w:rsid w:val="5EE1F37A"/>
    <w:rsid w:val="5EFCEC6B"/>
    <w:rsid w:val="5F09C94A"/>
    <w:rsid w:val="5FE0D17F"/>
    <w:rsid w:val="5FF9B4E4"/>
    <w:rsid w:val="606AB1E1"/>
    <w:rsid w:val="608C36C8"/>
    <w:rsid w:val="6095F455"/>
    <w:rsid w:val="60A9E715"/>
    <w:rsid w:val="612D8779"/>
    <w:rsid w:val="61371AB1"/>
    <w:rsid w:val="617950ED"/>
    <w:rsid w:val="617B0909"/>
    <w:rsid w:val="61BAFD44"/>
    <w:rsid w:val="621E83AC"/>
    <w:rsid w:val="625929C6"/>
    <w:rsid w:val="62BAA10E"/>
    <w:rsid w:val="638970FA"/>
    <w:rsid w:val="63C65A27"/>
    <w:rsid w:val="63E576DB"/>
    <w:rsid w:val="63ED54ED"/>
    <w:rsid w:val="64041424"/>
    <w:rsid w:val="641A935E"/>
    <w:rsid w:val="6430CBE6"/>
    <w:rsid w:val="644929AF"/>
    <w:rsid w:val="64840E0A"/>
    <w:rsid w:val="65184778"/>
    <w:rsid w:val="6534B3A4"/>
    <w:rsid w:val="66340227"/>
    <w:rsid w:val="66DEEBD3"/>
    <w:rsid w:val="67D595DB"/>
    <w:rsid w:val="67E405D8"/>
    <w:rsid w:val="68742F79"/>
    <w:rsid w:val="68C5FD7C"/>
    <w:rsid w:val="68ED96C2"/>
    <w:rsid w:val="697C5240"/>
    <w:rsid w:val="699C0EDF"/>
    <w:rsid w:val="699E8314"/>
    <w:rsid w:val="6A192D79"/>
    <w:rsid w:val="6A5C70DF"/>
    <w:rsid w:val="6AC07895"/>
    <w:rsid w:val="6AE72AA2"/>
    <w:rsid w:val="6B1C2D51"/>
    <w:rsid w:val="6B688FDA"/>
    <w:rsid w:val="6B7AB4E5"/>
    <w:rsid w:val="6BA365BB"/>
    <w:rsid w:val="6BBD7D5D"/>
    <w:rsid w:val="6BD0468B"/>
    <w:rsid w:val="6BD619AF"/>
    <w:rsid w:val="6C173F0E"/>
    <w:rsid w:val="6C26B723"/>
    <w:rsid w:val="6CB35B24"/>
    <w:rsid w:val="6D15A17F"/>
    <w:rsid w:val="6D9CF05E"/>
    <w:rsid w:val="6ECD1FA4"/>
    <w:rsid w:val="6F896B26"/>
    <w:rsid w:val="6FABC493"/>
    <w:rsid w:val="6FE55250"/>
    <w:rsid w:val="7043CB11"/>
    <w:rsid w:val="70E8345C"/>
    <w:rsid w:val="70EB7087"/>
    <w:rsid w:val="714EBC62"/>
    <w:rsid w:val="717D80FC"/>
    <w:rsid w:val="7194ADAC"/>
    <w:rsid w:val="71AAD69E"/>
    <w:rsid w:val="71B6FFC2"/>
    <w:rsid w:val="71D9A7B2"/>
    <w:rsid w:val="71F0D23F"/>
    <w:rsid w:val="723BFF1D"/>
    <w:rsid w:val="7251E07B"/>
    <w:rsid w:val="7257BF1B"/>
    <w:rsid w:val="72B01FD2"/>
    <w:rsid w:val="72C652A4"/>
    <w:rsid w:val="72C8762D"/>
    <w:rsid w:val="739902DD"/>
    <w:rsid w:val="73F9BA3F"/>
    <w:rsid w:val="74477BAE"/>
    <w:rsid w:val="746A08C7"/>
    <w:rsid w:val="74B93CC7"/>
    <w:rsid w:val="750063ED"/>
    <w:rsid w:val="750B080D"/>
    <w:rsid w:val="75111F17"/>
    <w:rsid w:val="7517A3D9"/>
    <w:rsid w:val="755BBA09"/>
    <w:rsid w:val="757AA82D"/>
    <w:rsid w:val="75CB22A5"/>
    <w:rsid w:val="75D9C409"/>
    <w:rsid w:val="761FDF48"/>
    <w:rsid w:val="764E83CA"/>
    <w:rsid w:val="77399796"/>
    <w:rsid w:val="77D12D52"/>
    <w:rsid w:val="78707DDA"/>
    <w:rsid w:val="78C19EC4"/>
    <w:rsid w:val="78D184E5"/>
    <w:rsid w:val="791CEE26"/>
    <w:rsid w:val="796B4583"/>
    <w:rsid w:val="7A035F6C"/>
    <w:rsid w:val="7A48F955"/>
    <w:rsid w:val="7A591485"/>
    <w:rsid w:val="7A9D2DE2"/>
    <w:rsid w:val="7B132BAC"/>
    <w:rsid w:val="7B37553E"/>
    <w:rsid w:val="7B9B2E5C"/>
    <w:rsid w:val="7BA161DD"/>
    <w:rsid w:val="7BA4346E"/>
    <w:rsid w:val="7BEF2630"/>
    <w:rsid w:val="7C6D8EEC"/>
    <w:rsid w:val="7CA456A6"/>
    <w:rsid w:val="7CA7C145"/>
    <w:rsid w:val="7D621F95"/>
    <w:rsid w:val="7D91A9DA"/>
    <w:rsid w:val="7E5845A7"/>
    <w:rsid w:val="7E984FB5"/>
    <w:rsid w:val="7EBAB278"/>
    <w:rsid w:val="7EEDD412"/>
    <w:rsid w:val="7EF8CC4B"/>
    <w:rsid w:val="7F389D68"/>
    <w:rsid w:val="7FB013D3"/>
    <w:rsid w:val="7FBD9619"/>
    <w:rsid w:val="7FC58767"/>
    <w:rsid w:val="7FCC669B"/>
    <w:rsid w:val="7FE768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0F104"/>
  <w15:chartTrackingRefBased/>
  <w15:docId w15:val="{BA8CA0BA-C4C7-4B46-ACFD-B81BE27B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323"/>
    <w:rPr>
      <w:rFonts w:ascii="Arial" w:hAnsi="Arial"/>
    </w:rPr>
  </w:style>
  <w:style w:type="paragraph" w:styleId="Heading1">
    <w:name w:val="heading 1"/>
    <w:basedOn w:val="Normal"/>
    <w:next w:val="Normal"/>
    <w:link w:val="Heading1Char"/>
    <w:uiPriority w:val="9"/>
    <w:qFormat/>
    <w:rsid w:val="004647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647AA"/>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4647AA"/>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570A0D"/>
    <w:pPr>
      <w:keepNext/>
      <w:keepLines/>
      <w:spacing w:before="360" w:line="240" w:lineRule="atLeast"/>
      <w:ind w:left="426" w:hanging="426"/>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4647AA"/>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647AA"/>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685E72"/>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520CD5"/>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685E72"/>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4647AA"/>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4647AA"/>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4647AA"/>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570A0D"/>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4647AA"/>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4647AA"/>
    <w:rPr>
      <w:rFonts w:ascii="Arial" w:eastAsia="Times New Roman" w:hAnsi="Arial" w:cs="Times New Roman"/>
      <w:bCs/>
      <w:color w:val="001871"/>
      <w:sz w:val="24"/>
      <w:szCs w:val="21"/>
    </w:rPr>
  </w:style>
  <w:style w:type="paragraph" w:styleId="Date">
    <w:name w:val="Date"/>
    <w:basedOn w:val="Normal"/>
    <w:next w:val="Normal"/>
    <w:link w:val="DateChar"/>
    <w:uiPriority w:val="99"/>
    <w:rsid w:val="004647AA"/>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4647AA"/>
    <w:rPr>
      <w:rFonts w:ascii="Arial" w:eastAsia="Cambria" w:hAnsi="Arial" w:cs="Times New Roman"/>
      <w:color w:val="333F4A"/>
      <w:sz w:val="28"/>
    </w:rPr>
  </w:style>
  <w:style w:type="paragraph" w:styleId="Footer">
    <w:name w:val="footer"/>
    <w:basedOn w:val="Normal"/>
    <w:link w:val="FooterChar"/>
    <w:uiPriority w:val="99"/>
    <w:rsid w:val="004647AA"/>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4647AA"/>
    <w:rPr>
      <w:rFonts w:ascii="Arial" w:eastAsia="Cambria" w:hAnsi="Arial" w:cs="Times New Roman"/>
      <w:color w:val="333F4A"/>
      <w:sz w:val="17"/>
    </w:rPr>
  </w:style>
  <w:style w:type="paragraph" w:styleId="Header">
    <w:name w:val="header"/>
    <w:basedOn w:val="Normal"/>
    <w:link w:val="HeaderChar"/>
    <w:uiPriority w:val="99"/>
    <w:rsid w:val="004647AA"/>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4647AA"/>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4647AA"/>
    <w:rPr>
      <w:rFonts w:ascii="Arial" w:hAnsi="Arial"/>
      <w:color w:val="0000FF"/>
      <w:u w:val="single"/>
    </w:rPr>
  </w:style>
  <w:style w:type="paragraph" w:customStyle="1" w:styleId="LegalCopy">
    <w:name w:val="Legal Copy"/>
    <w:basedOn w:val="Footer"/>
    <w:rsid w:val="004647AA"/>
  </w:style>
  <w:style w:type="paragraph" w:customStyle="1" w:styleId="LegalSubheading">
    <w:name w:val="Legal Subheading"/>
    <w:basedOn w:val="Normal"/>
    <w:rsid w:val="004647AA"/>
    <w:pPr>
      <w:outlineLvl w:val="1"/>
    </w:pPr>
    <w:rPr>
      <w:sz w:val="17"/>
    </w:rPr>
  </w:style>
  <w:style w:type="paragraph" w:styleId="ListBullet">
    <w:name w:val="List Bullet"/>
    <w:basedOn w:val="Normal"/>
    <w:autoRedefine/>
    <w:uiPriority w:val="2"/>
    <w:qFormat/>
    <w:rsid w:val="004647AA"/>
    <w:pPr>
      <w:numPr>
        <w:numId w:val="7"/>
      </w:numPr>
      <w:spacing w:before="120" w:after="180" w:line="240" w:lineRule="atLeast"/>
    </w:pPr>
    <w:rPr>
      <w:rFonts w:eastAsia="Cambria" w:cs="Times New Roman"/>
    </w:rPr>
  </w:style>
  <w:style w:type="paragraph" w:styleId="ListBullet2">
    <w:name w:val="List Bullet 2"/>
    <w:basedOn w:val="Normal"/>
    <w:uiPriority w:val="2"/>
    <w:qFormat/>
    <w:rsid w:val="00114EF1"/>
    <w:pPr>
      <w:numPr>
        <w:ilvl w:val="1"/>
        <w:numId w:val="7"/>
      </w:numPr>
      <w:spacing w:before="120" w:after="180" w:line="240" w:lineRule="atLeast"/>
    </w:pPr>
    <w:rPr>
      <w:rFonts w:eastAsia="Cambria" w:cs="Times New Roman"/>
      <w:color w:val="000000" w:themeColor="text1"/>
    </w:rPr>
  </w:style>
  <w:style w:type="paragraph" w:styleId="ListBullet3">
    <w:name w:val="List Bullet 3"/>
    <w:basedOn w:val="Normal"/>
    <w:uiPriority w:val="2"/>
    <w:qFormat/>
    <w:rsid w:val="004647AA"/>
    <w:pPr>
      <w:numPr>
        <w:numId w:val="6"/>
      </w:numPr>
      <w:spacing w:before="120" w:after="180" w:line="240" w:lineRule="atLeast"/>
    </w:pPr>
    <w:rPr>
      <w:rFonts w:eastAsia="Cambria" w:cs="Times New Roman"/>
      <w:color w:val="333F48"/>
    </w:rPr>
  </w:style>
  <w:style w:type="numbering" w:customStyle="1" w:styleId="ListBullets">
    <w:name w:val="ListBullets"/>
    <w:uiPriority w:val="99"/>
    <w:locked/>
    <w:rsid w:val="004647AA"/>
    <w:pPr>
      <w:numPr>
        <w:numId w:val="7"/>
      </w:numPr>
    </w:pPr>
  </w:style>
  <w:style w:type="paragraph" w:customStyle="1" w:styleId="Numberbullet">
    <w:name w:val="Number bullet"/>
    <w:basedOn w:val="ListBullet"/>
    <w:uiPriority w:val="3"/>
    <w:qFormat/>
    <w:rsid w:val="004647AA"/>
    <w:pPr>
      <w:numPr>
        <w:numId w:val="9"/>
      </w:numPr>
    </w:pPr>
  </w:style>
  <w:style w:type="paragraph" w:customStyle="1" w:styleId="Numberbullet2">
    <w:name w:val="Number bullet 2"/>
    <w:basedOn w:val="ListBullet2"/>
    <w:uiPriority w:val="3"/>
    <w:qFormat/>
    <w:rsid w:val="004647AA"/>
    <w:pPr>
      <w:numPr>
        <w:numId w:val="9"/>
      </w:numPr>
    </w:pPr>
  </w:style>
  <w:style w:type="paragraph" w:customStyle="1" w:styleId="Numberbullet3">
    <w:name w:val="Number bullet 3"/>
    <w:basedOn w:val="Normal"/>
    <w:uiPriority w:val="3"/>
    <w:qFormat/>
    <w:rsid w:val="004647AA"/>
    <w:pPr>
      <w:numPr>
        <w:numId w:val="8"/>
      </w:numPr>
      <w:spacing w:before="120" w:after="180" w:line="240" w:lineRule="atLeast"/>
    </w:pPr>
    <w:rPr>
      <w:rFonts w:eastAsia="Cambria" w:cs="Times New Roman"/>
      <w:color w:val="333F48"/>
    </w:rPr>
  </w:style>
  <w:style w:type="numbering" w:customStyle="1" w:styleId="NumberBullet0">
    <w:name w:val="NumberBullet"/>
    <w:uiPriority w:val="99"/>
    <w:locked/>
    <w:rsid w:val="004647AA"/>
    <w:pPr>
      <w:numPr>
        <w:numId w:val="10"/>
      </w:numPr>
    </w:pPr>
  </w:style>
  <w:style w:type="paragraph" w:styleId="Subtitle">
    <w:name w:val="Subtitle"/>
    <w:basedOn w:val="Normal"/>
    <w:link w:val="SubtitleChar"/>
    <w:uiPriority w:val="11"/>
    <w:rsid w:val="004647AA"/>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4647AA"/>
    <w:rPr>
      <w:rFonts w:ascii="Arial" w:eastAsia="Times New Roman" w:hAnsi="Arial" w:cs="Times New Roman"/>
      <w:bCs/>
      <w:iCs/>
      <w:color w:val="006BA6"/>
      <w:sz w:val="40"/>
      <w:szCs w:val="24"/>
    </w:rPr>
  </w:style>
  <w:style w:type="table" w:styleId="TableGrid">
    <w:name w:val="Table Grid"/>
    <w:basedOn w:val="TableNormal"/>
    <w:uiPriority w:val="59"/>
    <w:rsid w:val="004647AA"/>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4647AA"/>
    <w:pPr>
      <w:spacing w:before="120" w:after="360" w:line="240" w:lineRule="atLeast"/>
      <w:jc w:val="center"/>
    </w:pPr>
    <w:rPr>
      <w:rFonts w:eastAsia="Cambria" w:cs="Times New Roman"/>
      <w:b/>
      <w:color w:val="333F48"/>
      <w:sz w:val="28"/>
    </w:rPr>
  </w:style>
  <w:style w:type="paragraph" w:styleId="Title">
    <w:name w:val="Title"/>
    <w:link w:val="TitleChar"/>
    <w:uiPriority w:val="10"/>
    <w:rsid w:val="004647AA"/>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4647AA"/>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4647AA"/>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647AA"/>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647AA"/>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4647AA"/>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4647AA"/>
    <w:rPr>
      <w:rFonts w:ascii="Arial" w:eastAsia="Cambria" w:hAnsi="Arial" w:cs="Times New Roman"/>
      <w:color w:val="333F48"/>
      <w:sz w:val="16"/>
    </w:rPr>
  </w:style>
  <w:style w:type="character" w:styleId="FootnoteReference">
    <w:name w:val="footnote reference"/>
    <w:basedOn w:val="DefaultParagraphFont"/>
    <w:uiPriority w:val="99"/>
    <w:unhideWhenUsed/>
    <w:rsid w:val="004647AA"/>
    <w:rPr>
      <w:vertAlign w:val="superscript"/>
    </w:rPr>
  </w:style>
  <w:style w:type="paragraph" w:customStyle="1" w:styleId="NonTOCheading2">
    <w:name w:val="Non TOC heading 2"/>
    <w:basedOn w:val="Normal"/>
    <w:next w:val="Normal"/>
    <w:rsid w:val="004647AA"/>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4647AA"/>
    <w:pPr>
      <w:pBdr>
        <w:bottom w:val="none" w:sz="0" w:space="0" w:color="auto"/>
      </w:pBdr>
      <w:spacing w:line="240" w:lineRule="atLeast"/>
    </w:pPr>
  </w:style>
  <w:style w:type="paragraph" w:customStyle="1" w:styleId="Tabledescription">
    <w:name w:val="Table description"/>
    <w:basedOn w:val="Normal"/>
    <w:next w:val="Normal"/>
    <w:rsid w:val="004647AA"/>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4647AA"/>
    <w:pPr>
      <w:keepNext/>
      <w:spacing w:before="120" w:after="180" w:line="240" w:lineRule="atLeast"/>
    </w:pPr>
    <w:rPr>
      <w:rFonts w:eastAsia="Cambria" w:cs="Times New Roman"/>
      <w:b/>
      <w:color w:val="333F48"/>
    </w:rPr>
  </w:style>
  <w:style w:type="paragraph" w:customStyle="1" w:styleId="Address">
    <w:name w:val="Address"/>
    <w:basedOn w:val="Normal"/>
    <w:rsid w:val="004647AA"/>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4647AA"/>
    <w:pPr>
      <w:tabs>
        <w:tab w:val="left" w:pos="425"/>
      </w:tabs>
    </w:pPr>
  </w:style>
  <w:style w:type="paragraph" w:customStyle="1" w:styleId="ListBullet-donotcross">
    <w:name w:val="List Bullet - do not (cross)"/>
    <w:basedOn w:val="ListBullet"/>
    <w:autoRedefine/>
    <w:uiPriority w:val="1"/>
    <w:qFormat/>
    <w:rsid w:val="004647AA"/>
    <w:pPr>
      <w:ind w:left="357" w:hanging="357"/>
    </w:pPr>
    <w:rPr>
      <w:rFonts w:eastAsiaTheme="minorHAnsi" w:cstheme="minorBidi"/>
      <w:szCs w:val="22"/>
    </w:rPr>
  </w:style>
  <w:style w:type="table" w:customStyle="1" w:styleId="TGABlack2023">
    <w:name w:val="TGA Black 2023"/>
    <w:basedOn w:val="TableTGAblue2023"/>
    <w:uiPriority w:val="99"/>
    <w:rsid w:val="004647AA"/>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uiPriority w:val="9"/>
    <w:rsid w:val="004647AA"/>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rsid w:val="00685E72"/>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520CD5"/>
    <w:rPr>
      <w:rFonts w:ascii="Arial" w:eastAsiaTheme="majorEastAsia" w:hAnsi="Arial" w:cstheme="majorBidi"/>
      <w:color w:val="000000" w:themeColor="text1"/>
      <w:sz w:val="22"/>
    </w:rPr>
  </w:style>
  <w:style w:type="character" w:customStyle="1" w:styleId="Heading9Char">
    <w:name w:val="Heading 9 Char"/>
    <w:basedOn w:val="DefaultParagraphFont"/>
    <w:link w:val="Heading9"/>
    <w:uiPriority w:val="9"/>
    <w:semiHidden/>
    <w:rsid w:val="00685E72"/>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685E7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685E72"/>
    <w:rPr>
      <w:rFonts w:ascii="Tahoma" w:eastAsia="Cambria" w:hAnsi="Tahoma" w:cs="Tahoma"/>
      <w:sz w:val="16"/>
      <w:szCs w:val="16"/>
    </w:rPr>
  </w:style>
  <w:style w:type="paragraph" w:styleId="BalloonText">
    <w:name w:val="Balloon Text"/>
    <w:basedOn w:val="Normal"/>
    <w:link w:val="BalloonTextChar"/>
    <w:uiPriority w:val="99"/>
    <w:semiHidden/>
    <w:unhideWhenUsed/>
    <w:rsid w:val="00685E7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685E72"/>
    <w:rPr>
      <w:rFonts w:ascii="Tahoma" w:eastAsia="Cambria" w:hAnsi="Tahoma" w:cs="Tahoma"/>
      <w:sz w:val="16"/>
      <w:szCs w:val="16"/>
    </w:rPr>
  </w:style>
  <w:style w:type="paragraph" w:styleId="TOC4">
    <w:name w:val="toc 4"/>
    <w:basedOn w:val="Normal"/>
    <w:next w:val="Normal"/>
    <w:autoRedefine/>
    <w:uiPriority w:val="39"/>
    <w:semiHidden/>
    <w:unhideWhenUsed/>
    <w:rsid w:val="00685E72"/>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685E72"/>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685E72"/>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685E72"/>
    <w:pPr>
      <w:spacing w:before="120" w:after="100" w:line="240" w:lineRule="atLeast"/>
      <w:ind w:left="2211"/>
    </w:pPr>
    <w:rPr>
      <w:rFonts w:ascii="Cambria" w:eastAsia="Cambria" w:hAnsi="Cambria" w:cs="Times New Roman"/>
    </w:rPr>
  </w:style>
  <w:style w:type="character" w:styleId="FollowedHyperlink">
    <w:name w:val="FollowedHyperlink"/>
    <w:basedOn w:val="DefaultParagraphFont"/>
    <w:semiHidden/>
    <w:unhideWhenUsed/>
    <w:rsid w:val="00685E72"/>
    <w:rPr>
      <w:color w:val="800080"/>
      <w:u w:val="single"/>
    </w:rPr>
  </w:style>
  <w:style w:type="paragraph" w:customStyle="1" w:styleId="HeaderNoLine0">
    <w:name w:val="Header No Line"/>
    <w:basedOn w:val="Header"/>
    <w:rsid w:val="00685E72"/>
    <w:pPr>
      <w:pBdr>
        <w:bottom w:val="none" w:sz="0" w:space="0" w:color="auto"/>
      </w:pBdr>
    </w:pPr>
    <w:rPr>
      <w:rFonts w:ascii="Cambria" w:hAnsi="Cambria"/>
      <w:color w:val="auto"/>
    </w:rPr>
  </w:style>
  <w:style w:type="table" w:styleId="LightShading-Accent2">
    <w:name w:val="Light Shading Accent 2"/>
    <w:basedOn w:val="TableNormal"/>
    <w:uiPriority w:val="60"/>
    <w:rsid w:val="00685E7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685E7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4647AA"/>
    <w:rPr>
      <w:color w:val="808080"/>
    </w:rPr>
  </w:style>
  <w:style w:type="paragraph" w:customStyle="1" w:styleId="Reference">
    <w:name w:val="Reference"/>
    <w:basedOn w:val="Normal"/>
    <w:rsid w:val="00685E72"/>
    <w:pPr>
      <w:spacing w:before="40" w:after="0" w:line="240" w:lineRule="atLeast"/>
      <w:ind w:left="170" w:hanging="170"/>
    </w:pPr>
    <w:rPr>
      <w:rFonts w:ascii="Cambria" w:eastAsia="Cambria" w:hAnsi="Cambria" w:cs="Times New Roman"/>
      <w:sz w:val="19"/>
    </w:rPr>
  </w:style>
  <w:style w:type="paragraph" w:styleId="EndnoteText">
    <w:name w:val="endnote text"/>
    <w:basedOn w:val="FootnoteText"/>
    <w:link w:val="EndnoteTextChar"/>
    <w:semiHidden/>
    <w:unhideWhenUsed/>
    <w:rsid w:val="00685E7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685E72"/>
    <w:rPr>
      <w:rFonts w:eastAsia="Cambria"/>
      <w:szCs w:val="22"/>
    </w:rPr>
  </w:style>
  <w:style w:type="table" w:customStyle="1" w:styleId="TableTGAblue">
    <w:name w:val="Table TGA blue"/>
    <w:basedOn w:val="TableNormal"/>
    <w:uiPriority w:val="99"/>
    <w:qFormat/>
    <w:rsid w:val="00685E7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SimSun-ExtB" w:hAnsi="SimSun-ExtB"/>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685E7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SimSun-ExtB" w:hAnsi="SimSun-ExtB"/>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SimSun-ExtB" w:hAnsi="SimSun-ExtB"/>
        <w:b/>
        <w:i w:val="0"/>
        <w:color w:val="FFFFFF"/>
        <w:sz w:val="22"/>
      </w:rPr>
    </w:tblStylePr>
  </w:style>
  <w:style w:type="paragraph" w:styleId="TOCHeading">
    <w:name w:val="TOC Heading"/>
    <w:basedOn w:val="Heading1"/>
    <w:next w:val="Normal"/>
    <w:uiPriority w:val="39"/>
    <w:unhideWhenUsed/>
    <w:qFormat/>
    <w:rsid w:val="004647AA"/>
    <w:pPr>
      <w:outlineLvl w:val="9"/>
    </w:pPr>
    <w:rPr>
      <w:lang w:val="en-US"/>
    </w:rPr>
  </w:style>
  <w:style w:type="numbering" w:customStyle="1" w:styleId="NumberBullet1">
    <w:name w:val="NumberBullet1"/>
    <w:uiPriority w:val="99"/>
    <w:rsid w:val="00685E72"/>
  </w:style>
  <w:style w:type="numbering" w:customStyle="1" w:styleId="ListBullets1">
    <w:name w:val="ListBullets1"/>
    <w:uiPriority w:val="99"/>
    <w:rsid w:val="00685E72"/>
  </w:style>
  <w:style w:type="character" w:styleId="EndnoteReference">
    <w:name w:val="endnote reference"/>
    <w:basedOn w:val="DefaultParagraphFont"/>
    <w:uiPriority w:val="99"/>
    <w:semiHidden/>
    <w:unhideWhenUsed/>
    <w:rsid w:val="00685E72"/>
    <w:rPr>
      <w:vertAlign w:val="superscript"/>
    </w:rPr>
  </w:style>
  <w:style w:type="table" w:customStyle="1" w:styleId="LightShading1">
    <w:name w:val="Light Shading1"/>
    <w:basedOn w:val="TableNormal"/>
    <w:uiPriority w:val="60"/>
    <w:rsid w:val="00685E7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otation">
    <w:name w:val="Quotation"/>
    <w:basedOn w:val="Normal"/>
    <w:next w:val="Normal"/>
    <w:autoRedefine/>
    <w:uiPriority w:val="4"/>
    <w:qFormat/>
    <w:rsid w:val="00B90A0A"/>
    <w:pPr>
      <w:spacing w:before="120" w:after="180" w:line="240" w:lineRule="atLeast"/>
      <w:ind w:left="425"/>
    </w:pPr>
    <w:rPr>
      <w:rFonts w:eastAsia="Cambria" w:cs="Times New Roman"/>
    </w:rPr>
  </w:style>
  <w:style w:type="character" w:styleId="CommentReference">
    <w:name w:val="annotation reference"/>
    <w:basedOn w:val="DefaultParagraphFont"/>
    <w:uiPriority w:val="99"/>
    <w:semiHidden/>
    <w:unhideWhenUsed/>
    <w:rsid w:val="00685E72"/>
    <w:rPr>
      <w:sz w:val="16"/>
      <w:szCs w:val="16"/>
    </w:rPr>
  </w:style>
  <w:style w:type="paragraph" w:styleId="CommentText">
    <w:name w:val="annotation text"/>
    <w:basedOn w:val="Normal"/>
    <w:link w:val="CommentTextChar"/>
    <w:uiPriority w:val="99"/>
    <w:unhideWhenUsed/>
    <w:rsid w:val="00685E7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685E72"/>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685E72"/>
    <w:rPr>
      <w:b/>
      <w:bCs/>
    </w:rPr>
  </w:style>
  <w:style w:type="character" w:customStyle="1" w:styleId="CommentSubjectChar">
    <w:name w:val="Comment Subject Char"/>
    <w:basedOn w:val="CommentTextChar"/>
    <w:link w:val="CommentSubject"/>
    <w:uiPriority w:val="99"/>
    <w:semiHidden/>
    <w:rsid w:val="00685E72"/>
    <w:rPr>
      <w:rFonts w:ascii="Cambria" w:eastAsia="Cambria" w:hAnsi="Cambria" w:cs="Times New Roman"/>
      <w:b/>
      <w:bCs/>
    </w:rPr>
  </w:style>
  <w:style w:type="paragraph" w:styleId="ListParagraph">
    <w:name w:val="List Paragraph"/>
    <w:basedOn w:val="ListBullet"/>
    <w:link w:val="ListParagraphChar"/>
    <w:autoRedefine/>
    <w:uiPriority w:val="34"/>
    <w:qFormat/>
    <w:rsid w:val="00214A5B"/>
    <w:pPr>
      <w:numPr>
        <w:numId w:val="41"/>
      </w:numPr>
      <w:spacing w:after="120"/>
    </w:pPr>
    <w:rPr>
      <w:rFonts w:eastAsia="Arial" w:cs="Arial"/>
    </w:rPr>
  </w:style>
  <w:style w:type="table" w:styleId="LightList-Accent1">
    <w:name w:val="Light List Accent 1"/>
    <w:basedOn w:val="TableNormal"/>
    <w:uiPriority w:val="61"/>
    <w:rsid w:val="00685E72"/>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9">
    <w:name w:val="toc 9"/>
    <w:basedOn w:val="Normal"/>
    <w:next w:val="Normal"/>
    <w:autoRedefine/>
    <w:uiPriority w:val="39"/>
    <w:semiHidden/>
    <w:unhideWhenUsed/>
    <w:rsid w:val="00685E72"/>
    <w:pPr>
      <w:spacing w:before="120" w:after="100" w:line="240" w:lineRule="atLeast"/>
      <w:ind w:left="1760"/>
    </w:pPr>
    <w:rPr>
      <w:rFonts w:ascii="Cambria" w:eastAsia="Cambria" w:hAnsi="Cambria" w:cs="Times New Roman"/>
    </w:rPr>
  </w:style>
  <w:style w:type="paragraph" w:customStyle="1" w:styleId="TableTitle0">
    <w:name w:val="Table Title"/>
    <w:basedOn w:val="Normal"/>
    <w:next w:val="Normal"/>
    <w:autoRedefine/>
    <w:qFormat/>
    <w:rsid w:val="00B147BE"/>
    <w:pPr>
      <w:spacing w:before="180" w:after="180" w:line="240" w:lineRule="atLeast"/>
    </w:pPr>
    <w:rPr>
      <w:rFonts w:eastAsia="Cambria" w:cs="Times New Roman"/>
      <w:b/>
    </w:rPr>
  </w:style>
  <w:style w:type="character" w:styleId="Strong">
    <w:name w:val="Strong"/>
    <w:basedOn w:val="DefaultParagraphFont"/>
    <w:uiPriority w:val="22"/>
    <w:qFormat/>
    <w:rsid w:val="00520CD5"/>
    <w:rPr>
      <w:rFonts w:ascii="Arial" w:hAnsi="Arial"/>
      <w:b/>
      <w:bCs/>
      <w:color w:val="000000" w:themeColor="text1"/>
    </w:rPr>
  </w:style>
  <w:style w:type="paragraph" w:customStyle="1" w:styleId="Default">
    <w:name w:val="Default"/>
    <w:rsid w:val="00685E72"/>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character" w:customStyle="1" w:styleId="fontstyle01">
    <w:name w:val="fontstyle01"/>
    <w:basedOn w:val="DefaultParagraphFont"/>
    <w:rsid w:val="00685E72"/>
    <w:rPr>
      <w:rFonts w:ascii="Cambria" w:hAnsi="Cambria" w:hint="default"/>
      <w:b w:val="0"/>
      <w:bCs w:val="0"/>
      <w:i w:val="0"/>
      <w:iCs w:val="0"/>
      <w:color w:val="000000"/>
      <w:sz w:val="22"/>
      <w:szCs w:val="22"/>
    </w:rPr>
  </w:style>
  <w:style w:type="character" w:customStyle="1" w:styleId="fontstyle21">
    <w:name w:val="fontstyle21"/>
    <w:basedOn w:val="DefaultParagraphFont"/>
    <w:rsid w:val="00685E72"/>
    <w:rPr>
      <w:rFonts w:ascii="Cambria-Bold" w:hAnsi="Cambria-Bold" w:hint="default"/>
      <w:b/>
      <w:bCs/>
      <w:i w:val="0"/>
      <w:iCs w:val="0"/>
      <w:color w:val="000000"/>
      <w:sz w:val="22"/>
      <w:szCs w:val="22"/>
    </w:rPr>
  </w:style>
  <w:style w:type="paragraph" w:styleId="Revision">
    <w:name w:val="Revision"/>
    <w:hidden/>
    <w:uiPriority w:val="99"/>
    <w:semiHidden/>
    <w:rsid w:val="00685E72"/>
    <w:pPr>
      <w:spacing w:after="0" w:line="240" w:lineRule="auto"/>
    </w:pPr>
    <w:rPr>
      <w:rFonts w:ascii="Cambria" w:eastAsia="Cambria" w:hAnsi="Cambria" w:cs="Times New Roman"/>
      <w:sz w:val="22"/>
    </w:rPr>
  </w:style>
  <w:style w:type="paragraph" w:customStyle="1" w:styleId="ListBulleta0">
    <w:name w:val="List Bullet a)"/>
    <w:basedOn w:val="ListBullet"/>
    <w:autoRedefine/>
    <w:uiPriority w:val="1"/>
    <w:qFormat/>
    <w:rsid w:val="001805FF"/>
    <w:pPr>
      <w:numPr>
        <w:numId w:val="0"/>
      </w:numPr>
    </w:pPr>
  </w:style>
  <w:style w:type="paragraph" w:customStyle="1" w:styleId="ListBulleti">
    <w:name w:val="List Bullet i)"/>
    <w:basedOn w:val="ListBullet"/>
    <w:autoRedefine/>
    <w:uiPriority w:val="1"/>
    <w:qFormat/>
    <w:rsid w:val="00520CD5"/>
    <w:pPr>
      <w:numPr>
        <w:numId w:val="4"/>
      </w:numPr>
    </w:pPr>
  </w:style>
  <w:style w:type="character" w:customStyle="1" w:styleId="Style1">
    <w:name w:val="Style1"/>
    <w:basedOn w:val="DefaultParagraphFont"/>
    <w:uiPriority w:val="1"/>
    <w:rsid w:val="00685E72"/>
    <w:rPr>
      <w:rFonts w:ascii="Cambria" w:hAnsi="Cambria"/>
      <w:sz w:val="22"/>
    </w:rPr>
  </w:style>
  <w:style w:type="paragraph" w:styleId="NormalWeb">
    <w:name w:val="Normal (Web)"/>
    <w:basedOn w:val="Normal"/>
    <w:uiPriority w:val="99"/>
    <w:semiHidden/>
    <w:unhideWhenUsed/>
    <w:rsid w:val="00685E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85E72"/>
    <w:rPr>
      <w:color w:val="605E5C"/>
      <w:shd w:val="clear" w:color="auto" w:fill="E1DFDD"/>
    </w:rPr>
  </w:style>
  <w:style w:type="paragraph" w:styleId="NoSpacing">
    <w:name w:val="No Spacing"/>
    <w:autoRedefine/>
    <w:uiPriority w:val="1"/>
    <w:qFormat/>
    <w:rsid w:val="00520CD5"/>
    <w:pPr>
      <w:spacing w:after="0" w:line="240" w:lineRule="auto"/>
    </w:pPr>
    <w:rPr>
      <w:rFonts w:ascii="Arial" w:hAnsi="Arial"/>
      <w:color w:val="000000" w:themeColor="text1"/>
      <w:sz w:val="22"/>
    </w:rPr>
  </w:style>
  <w:style w:type="character" w:styleId="SubtleReference">
    <w:name w:val="Subtle Reference"/>
    <w:basedOn w:val="DefaultParagraphFont"/>
    <w:uiPriority w:val="31"/>
    <w:qFormat/>
    <w:rsid w:val="00520CD5"/>
    <w:rPr>
      <w:rFonts w:ascii="Arial" w:hAnsi="Arial"/>
      <w:smallCaps/>
      <w:color w:val="0D0D0D" w:themeColor="text1" w:themeTint="F2"/>
    </w:rPr>
  </w:style>
  <w:style w:type="paragraph" w:styleId="Quote">
    <w:name w:val="Quote"/>
    <w:basedOn w:val="Normal"/>
    <w:next w:val="Normal"/>
    <w:link w:val="QuoteChar"/>
    <w:autoRedefine/>
    <w:uiPriority w:val="29"/>
    <w:qFormat/>
    <w:rsid w:val="00E530B1"/>
    <w:pPr>
      <w:spacing w:before="200" w:after="160"/>
      <w:ind w:left="864" w:right="864"/>
      <w:jc w:val="center"/>
    </w:pPr>
    <w:rPr>
      <w:i/>
      <w:iCs/>
    </w:rPr>
  </w:style>
  <w:style w:type="character" w:customStyle="1" w:styleId="QuoteChar">
    <w:name w:val="Quote Char"/>
    <w:basedOn w:val="DefaultParagraphFont"/>
    <w:link w:val="Quote"/>
    <w:uiPriority w:val="29"/>
    <w:rsid w:val="00E530B1"/>
    <w:rPr>
      <w:i/>
      <w:iCs/>
      <w:color w:val="000000" w:themeColor="text1"/>
      <w:sz w:val="22"/>
    </w:rPr>
  </w:style>
  <w:style w:type="character" w:styleId="SubtleEmphasis">
    <w:name w:val="Subtle Emphasis"/>
    <w:basedOn w:val="DefaultParagraphFont"/>
    <w:uiPriority w:val="19"/>
    <w:qFormat/>
    <w:rsid w:val="00520CD5"/>
    <w:rPr>
      <w:rFonts w:ascii="Arial" w:hAnsi="Arial"/>
      <w:i/>
      <w:iCs/>
      <w:color w:val="000000" w:themeColor="text1"/>
    </w:rPr>
  </w:style>
  <w:style w:type="character" w:styleId="IntenseEmphasis">
    <w:name w:val="Intense Emphasis"/>
    <w:basedOn w:val="DefaultParagraphFont"/>
    <w:uiPriority w:val="21"/>
    <w:qFormat/>
    <w:rsid w:val="00520CD5"/>
    <w:rPr>
      <w:rFonts w:ascii="Arial" w:hAnsi="Arial"/>
      <w:i/>
      <w:iCs/>
      <w:color w:val="auto"/>
    </w:rPr>
  </w:style>
  <w:style w:type="character" w:styleId="Emphasis">
    <w:name w:val="Emphasis"/>
    <w:basedOn w:val="DefaultParagraphFont"/>
    <w:uiPriority w:val="20"/>
    <w:qFormat/>
    <w:rsid w:val="00520CD5"/>
    <w:rPr>
      <w:rFonts w:ascii="Arial" w:hAnsi="Arial"/>
      <w:i/>
      <w:iCs/>
    </w:rPr>
  </w:style>
  <w:style w:type="character" w:styleId="IntenseReference">
    <w:name w:val="Intense Reference"/>
    <w:basedOn w:val="DefaultParagraphFont"/>
    <w:uiPriority w:val="32"/>
    <w:qFormat/>
    <w:rsid w:val="00520CD5"/>
    <w:rPr>
      <w:rFonts w:ascii="Arial" w:hAnsi="Arial"/>
      <w:b/>
      <w:bCs/>
      <w:smallCaps/>
      <w:color w:val="1F3864" w:themeColor="accent1" w:themeShade="80"/>
      <w:spacing w:val="5"/>
    </w:rPr>
  </w:style>
  <w:style w:type="character" w:styleId="BookTitle">
    <w:name w:val="Book Title"/>
    <w:basedOn w:val="DefaultParagraphFont"/>
    <w:uiPriority w:val="33"/>
    <w:qFormat/>
    <w:rsid w:val="00520CD5"/>
    <w:rPr>
      <w:rFonts w:ascii="Arial" w:hAnsi="Arial"/>
      <w:b/>
      <w:bCs/>
      <w:i/>
      <w:iCs/>
      <w:spacing w:val="5"/>
    </w:rPr>
  </w:style>
  <w:style w:type="paragraph" w:customStyle="1" w:styleId="Legislation">
    <w:name w:val="Legislation"/>
    <w:basedOn w:val="Normal"/>
    <w:qFormat/>
    <w:rsid w:val="004647AA"/>
    <w:pPr>
      <w:jc w:val="center"/>
    </w:pPr>
    <w:rPr>
      <w:i/>
      <w:color w:val="333F48"/>
    </w:rPr>
  </w:style>
  <w:style w:type="paragraph" w:customStyle="1" w:styleId="Legislation-list">
    <w:name w:val="Legislation-list"/>
    <w:basedOn w:val="Numberbullet"/>
    <w:rsid w:val="004647AA"/>
    <w:pPr>
      <w:numPr>
        <w:numId w:val="5"/>
      </w:numPr>
      <w:jc w:val="center"/>
    </w:pPr>
    <w:rPr>
      <w:i/>
    </w:rPr>
  </w:style>
  <w:style w:type="character" w:customStyle="1" w:styleId="ListParagraphChar">
    <w:name w:val="List Paragraph Char"/>
    <w:basedOn w:val="DefaultParagraphFont"/>
    <w:link w:val="ListParagraph"/>
    <w:uiPriority w:val="34"/>
    <w:locked/>
    <w:rsid w:val="00214A5B"/>
    <w:rPr>
      <w:rFonts w:ascii="Arial" w:eastAsia="Arial" w:hAnsi="Arial" w:cs="Arial"/>
    </w:rPr>
  </w:style>
  <w:style w:type="paragraph" w:customStyle="1" w:styleId="ListBulleta">
    <w:name w:val="List Bullet (a)"/>
    <w:basedOn w:val="Normal"/>
    <w:rsid w:val="001805FF"/>
    <w:pPr>
      <w:numPr>
        <w:numId w:val="3"/>
      </w:numPr>
    </w:pPr>
  </w:style>
  <w:style w:type="paragraph" w:customStyle="1" w:styleId="tabletext">
    <w:name w:val="tabletext"/>
    <w:basedOn w:val="Normal"/>
    <w:rsid w:val="00F2356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6402">
      <w:bodyDiv w:val="1"/>
      <w:marLeft w:val="0"/>
      <w:marRight w:val="0"/>
      <w:marTop w:val="0"/>
      <w:marBottom w:val="0"/>
      <w:divBdr>
        <w:top w:val="none" w:sz="0" w:space="0" w:color="auto"/>
        <w:left w:val="none" w:sz="0" w:space="0" w:color="auto"/>
        <w:bottom w:val="none" w:sz="0" w:space="0" w:color="auto"/>
        <w:right w:val="none" w:sz="0" w:space="0" w:color="auto"/>
      </w:divBdr>
    </w:div>
    <w:div w:id="306863021">
      <w:bodyDiv w:val="1"/>
      <w:marLeft w:val="0"/>
      <w:marRight w:val="0"/>
      <w:marTop w:val="0"/>
      <w:marBottom w:val="0"/>
      <w:divBdr>
        <w:top w:val="none" w:sz="0" w:space="0" w:color="auto"/>
        <w:left w:val="none" w:sz="0" w:space="0" w:color="auto"/>
        <w:bottom w:val="none" w:sz="0" w:space="0" w:color="auto"/>
        <w:right w:val="none" w:sz="0" w:space="0" w:color="auto"/>
      </w:divBdr>
    </w:div>
    <w:div w:id="470831889">
      <w:bodyDiv w:val="1"/>
      <w:marLeft w:val="0"/>
      <w:marRight w:val="0"/>
      <w:marTop w:val="0"/>
      <w:marBottom w:val="0"/>
      <w:divBdr>
        <w:top w:val="none" w:sz="0" w:space="0" w:color="auto"/>
        <w:left w:val="none" w:sz="0" w:space="0" w:color="auto"/>
        <w:bottom w:val="none" w:sz="0" w:space="0" w:color="auto"/>
        <w:right w:val="none" w:sz="0" w:space="0" w:color="auto"/>
      </w:divBdr>
    </w:div>
    <w:div w:id="661399128">
      <w:bodyDiv w:val="1"/>
      <w:marLeft w:val="0"/>
      <w:marRight w:val="0"/>
      <w:marTop w:val="0"/>
      <w:marBottom w:val="0"/>
      <w:divBdr>
        <w:top w:val="none" w:sz="0" w:space="0" w:color="auto"/>
        <w:left w:val="none" w:sz="0" w:space="0" w:color="auto"/>
        <w:bottom w:val="none" w:sz="0" w:space="0" w:color="auto"/>
        <w:right w:val="none" w:sz="0" w:space="0" w:color="auto"/>
      </w:divBdr>
    </w:div>
    <w:div w:id="723219203">
      <w:bodyDiv w:val="1"/>
      <w:marLeft w:val="0"/>
      <w:marRight w:val="0"/>
      <w:marTop w:val="0"/>
      <w:marBottom w:val="0"/>
      <w:divBdr>
        <w:top w:val="none" w:sz="0" w:space="0" w:color="auto"/>
        <w:left w:val="none" w:sz="0" w:space="0" w:color="auto"/>
        <w:bottom w:val="none" w:sz="0" w:space="0" w:color="auto"/>
        <w:right w:val="none" w:sz="0" w:space="0" w:color="auto"/>
      </w:divBdr>
    </w:div>
    <w:div w:id="776368768">
      <w:bodyDiv w:val="1"/>
      <w:marLeft w:val="0"/>
      <w:marRight w:val="0"/>
      <w:marTop w:val="0"/>
      <w:marBottom w:val="0"/>
      <w:divBdr>
        <w:top w:val="none" w:sz="0" w:space="0" w:color="auto"/>
        <w:left w:val="none" w:sz="0" w:space="0" w:color="auto"/>
        <w:bottom w:val="none" w:sz="0" w:space="0" w:color="auto"/>
        <w:right w:val="none" w:sz="0" w:space="0" w:color="auto"/>
      </w:divBdr>
    </w:div>
    <w:div w:id="1131557153">
      <w:bodyDiv w:val="1"/>
      <w:marLeft w:val="0"/>
      <w:marRight w:val="0"/>
      <w:marTop w:val="0"/>
      <w:marBottom w:val="0"/>
      <w:divBdr>
        <w:top w:val="none" w:sz="0" w:space="0" w:color="auto"/>
        <w:left w:val="none" w:sz="0" w:space="0" w:color="auto"/>
        <w:bottom w:val="none" w:sz="0" w:space="0" w:color="auto"/>
        <w:right w:val="none" w:sz="0" w:space="0" w:color="auto"/>
      </w:divBdr>
    </w:div>
    <w:div w:id="1207181011">
      <w:bodyDiv w:val="1"/>
      <w:marLeft w:val="0"/>
      <w:marRight w:val="0"/>
      <w:marTop w:val="0"/>
      <w:marBottom w:val="0"/>
      <w:divBdr>
        <w:top w:val="none" w:sz="0" w:space="0" w:color="auto"/>
        <w:left w:val="none" w:sz="0" w:space="0" w:color="auto"/>
        <w:bottom w:val="none" w:sz="0" w:space="0" w:color="auto"/>
        <w:right w:val="none" w:sz="0" w:space="0" w:color="auto"/>
      </w:divBdr>
    </w:div>
    <w:div w:id="1388259420">
      <w:bodyDiv w:val="1"/>
      <w:marLeft w:val="0"/>
      <w:marRight w:val="0"/>
      <w:marTop w:val="0"/>
      <w:marBottom w:val="0"/>
      <w:divBdr>
        <w:top w:val="none" w:sz="0" w:space="0" w:color="auto"/>
        <w:left w:val="none" w:sz="0" w:space="0" w:color="auto"/>
        <w:bottom w:val="none" w:sz="0" w:space="0" w:color="auto"/>
        <w:right w:val="none" w:sz="0" w:space="0" w:color="auto"/>
      </w:divBdr>
    </w:div>
    <w:div w:id="1591281212">
      <w:bodyDiv w:val="1"/>
      <w:marLeft w:val="0"/>
      <w:marRight w:val="0"/>
      <w:marTop w:val="0"/>
      <w:marBottom w:val="0"/>
      <w:divBdr>
        <w:top w:val="none" w:sz="0" w:space="0" w:color="auto"/>
        <w:left w:val="none" w:sz="0" w:space="0" w:color="auto"/>
        <w:bottom w:val="none" w:sz="0" w:space="0" w:color="auto"/>
        <w:right w:val="none" w:sz="0" w:space="0" w:color="auto"/>
      </w:divBdr>
    </w:div>
    <w:div w:id="1619141667">
      <w:bodyDiv w:val="1"/>
      <w:marLeft w:val="0"/>
      <w:marRight w:val="0"/>
      <w:marTop w:val="0"/>
      <w:marBottom w:val="0"/>
      <w:divBdr>
        <w:top w:val="none" w:sz="0" w:space="0" w:color="auto"/>
        <w:left w:val="none" w:sz="0" w:space="0" w:color="auto"/>
        <w:bottom w:val="none" w:sz="0" w:space="0" w:color="auto"/>
        <w:right w:val="none" w:sz="0" w:space="0" w:color="auto"/>
      </w:divBdr>
    </w:div>
    <w:div w:id="1713188892">
      <w:bodyDiv w:val="1"/>
      <w:marLeft w:val="0"/>
      <w:marRight w:val="0"/>
      <w:marTop w:val="0"/>
      <w:marBottom w:val="0"/>
      <w:divBdr>
        <w:top w:val="none" w:sz="0" w:space="0" w:color="auto"/>
        <w:left w:val="none" w:sz="0" w:space="0" w:color="auto"/>
        <w:bottom w:val="none" w:sz="0" w:space="0" w:color="auto"/>
        <w:right w:val="none" w:sz="0" w:space="0" w:color="auto"/>
      </w:divBdr>
    </w:div>
    <w:div w:id="2001959034">
      <w:bodyDiv w:val="1"/>
      <w:marLeft w:val="0"/>
      <w:marRight w:val="0"/>
      <w:marTop w:val="0"/>
      <w:marBottom w:val="0"/>
      <w:divBdr>
        <w:top w:val="none" w:sz="0" w:space="0" w:color="auto"/>
        <w:left w:val="none" w:sz="0" w:space="0" w:color="auto"/>
        <w:bottom w:val="none" w:sz="0" w:space="0" w:color="auto"/>
        <w:right w:val="none" w:sz="0" w:space="0" w:color="auto"/>
      </w:divBdr>
    </w:div>
    <w:div w:id="2108844910">
      <w:bodyDiv w:val="1"/>
      <w:marLeft w:val="0"/>
      <w:marRight w:val="0"/>
      <w:marTop w:val="0"/>
      <w:marBottom w:val="0"/>
      <w:divBdr>
        <w:top w:val="none" w:sz="0" w:space="0" w:color="auto"/>
        <w:left w:val="none" w:sz="0" w:space="0" w:color="auto"/>
        <w:bottom w:val="none" w:sz="0" w:space="0" w:color="auto"/>
        <w:right w:val="none" w:sz="0" w:space="0" w:color="auto"/>
      </w:divBdr>
    </w:div>
    <w:div w:id="21421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sultations.tga.gov.au/tga/proposed-model-for-assessing-sunscreen-ingredients/" TargetMode="External"/><Relationship Id="rId21" Type="http://schemas.openxmlformats.org/officeDocument/2006/relationships/hyperlink" Target="https://www.tga.gov.au/committee/advisory-committee-medicines-scheduling-acms" TargetMode="External"/><Relationship Id="rId34" Type="http://schemas.openxmlformats.org/officeDocument/2006/relationships/hyperlink" Target="https://www.ebs.tga.gov.au/" TargetMode="External"/><Relationship Id="rId42" Type="http://schemas.openxmlformats.org/officeDocument/2006/relationships/hyperlink" Target="https://www.ecfr.gov/current/title-21/chapter-I/subchapter-D/part-352/subpart-B/section-352.10" TargetMode="External"/><Relationship Id="rId47" Type="http://schemas.openxmlformats.org/officeDocument/2006/relationships/hyperlink" Target="https://www.mhlw.go.jp/english/dl/cosmetics.pdf" TargetMode="External"/><Relationship Id="rId50" Type="http://schemas.openxmlformats.org/officeDocument/2006/relationships/hyperlink" Target="https://www.ebs.tga.gov.au/" TargetMode="External"/><Relationship Id="rId55" Type="http://schemas.openxmlformats.org/officeDocument/2006/relationships/hyperlink" Target="https://apps.tga.gov.au/Prod/daen/daen-entry.aspx" TargetMode="External"/><Relationship Id="rId63" Type="http://schemas.openxmlformats.org/officeDocument/2006/relationships/hyperlink" Target="https://eur-lex.europa.eu/legal-content/EN/TXT/?uri=celex%3A32022R1176" TargetMode="External"/><Relationship Id="rId68" Type="http://schemas.openxmlformats.org/officeDocument/2006/relationships/hyperlink" Target="https://www.tga.gov.au/resources/publication/publications/safety-review-benzophenone" TargetMode="External"/><Relationship Id="rId76" Type="http://schemas.openxmlformats.org/officeDocument/2006/relationships/hyperlink" Target="https://apvma.gov.au/node/10946" TargetMode="External"/><Relationship Id="rId84" Type="http://schemas.openxmlformats.org/officeDocument/2006/relationships/hyperlink" Target="https://consultations.tga.gov.au/" TargetMode="External"/><Relationship Id="rId89" Type="http://schemas.openxmlformats.org/officeDocument/2006/relationships/hyperlink" Target="https://www.tga.gov.au/resources/publication/scheduling-decisions-interim/notice-interim-decisions-proposed-amendments-poisons-standard-acms-accs-and-joint-acms-accs-meetings-november-2020/41-azelaic-acid"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tga.gov.au/artg" TargetMode="External"/><Relationship Id="rId9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onsultations.tga.gov.au/tga/november_2021_interim" TargetMode="External"/><Relationship Id="rId29" Type="http://schemas.openxmlformats.org/officeDocument/2006/relationships/hyperlink" Target="https://consultations.tga.gov.au/tga/proposed-model-for-assessing-sunscreen-ingredients/" TargetMode="External"/><Relationship Id="rId11" Type="http://schemas.openxmlformats.org/officeDocument/2006/relationships/header" Target="header1.xml"/><Relationship Id="rId24" Type="http://schemas.openxmlformats.org/officeDocument/2006/relationships/hyperlink" Target="https://www.legislation.gov.au/F2025L00683/asmade/text" TargetMode="External"/><Relationship Id="rId32" Type="http://schemas.openxmlformats.org/officeDocument/2006/relationships/hyperlink" Target="https://www.tga.gov.au/resources/publication/publications/safety-review-seven-active-sunscreen-ingredients" TargetMode="External"/><Relationship Id="rId37" Type="http://schemas.openxmlformats.org/officeDocument/2006/relationships/hyperlink" Target="https://www.tga.gov.au/prescribing-medicines-pregnancy-database" TargetMode="External"/><Relationship Id="rId40" Type="http://schemas.openxmlformats.org/officeDocument/2006/relationships/hyperlink" Target="https://portal.apvma.gov.au/pubcris" TargetMode="External"/><Relationship Id="rId45" Type="http://schemas.openxmlformats.org/officeDocument/2006/relationships/hyperlink" Target="https://health-products.canada.ca/dpd-bdpp/index-eng.jsp" TargetMode="External"/><Relationship Id="rId53" Type="http://schemas.openxmlformats.org/officeDocument/2006/relationships/hyperlink" Target="https://www.tga.gov.au/prescribing-medicines-pregnancy-database" TargetMode="External"/><Relationship Id="rId58" Type="http://schemas.openxmlformats.org/officeDocument/2006/relationships/hyperlink" Target="https://services.industrialchemicals.gov.au/search-inventory/" TargetMode="External"/><Relationship Id="rId66" Type="http://schemas.openxmlformats.org/officeDocument/2006/relationships/hyperlink" Target="https://health-products.canada.ca/dpd-bdpp/index-eng.jsp" TargetMode="External"/><Relationship Id="rId74" Type="http://schemas.openxmlformats.org/officeDocument/2006/relationships/hyperlink" Target="https://www.legislation.gov.au/Details/F2021L01888" TargetMode="External"/><Relationship Id="rId79" Type="http://schemas.openxmlformats.org/officeDocument/2006/relationships/hyperlink" Target="https://ec.europa.eu/growth/tools-databases/cosing/reference/annexes/list/II" TargetMode="External"/><Relationship Id="rId87" Type="http://schemas.openxmlformats.org/officeDocument/2006/relationships/hyperlink" Target="https://www.tga.gov.au/resources/publication/scheduling-submissions" TargetMode="External"/><Relationship Id="rId5" Type="http://schemas.openxmlformats.org/officeDocument/2006/relationships/numbering" Target="numbering.xml"/><Relationship Id="rId61" Type="http://schemas.openxmlformats.org/officeDocument/2006/relationships/hyperlink" Target="https://iaspub.epa.gov/apex/pesticides/f?p=CHEMICALSEARCH:1:" TargetMode="External"/><Relationship Id="rId82" Type="http://schemas.openxmlformats.org/officeDocument/2006/relationships/hyperlink" Target="https://www.p65warnings.ca.gov/" TargetMode="External"/><Relationship Id="rId90" Type="http://schemas.openxmlformats.org/officeDocument/2006/relationships/header" Target="header3.xml"/><Relationship Id="rId95" Type="http://schemas.openxmlformats.org/officeDocument/2006/relationships/header" Target="header5.xml"/><Relationship Id="rId19" Type="http://schemas.openxmlformats.org/officeDocument/2006/relationships/hyperlink" Target="mailto:medicines.scheduling@health.gov.au" TargetMode="External"/><Relationship Id="rId14" Type="http://schemas.openxmlformats.org/officeDocument/2006/relationships/footer" Target="footer2.xml"/><Relationship Id="rId22" Type="http://schemas.openxmlformats.org/officeDocument/2006/relationships/hyperlink" Target="https://www.tga.gov.au/committee/advisory-committee-chemicals-scheduling-accs" TargetMode="External"/><Relationship Id="rId27" Type="http://schemas.openxmlformats.org/officeDocument/2006/relationships/hyperlink" Target="https://www.tga.gov.au/resources/publication/publications/literature-search-and-summaries-seven-sunscreen-active-ingredients" TargetMode="External"/><Relationship Id="rId30" Type="http://schemas.openxmlformats.org/officeDocument/2006/relationships/hyperlink" Target="https://www.industrialchemicals.gov.au/sites/default/files/2024-12/EVA00162%20-%20Evaluation%20Statement%20-%2016%20December%202024.pdf" TargetMode="External"/><Relationship Id="rId35" Type="http://schemas.openxmlformats.org/officeDocument/2006/relationships/hyperlink" Target="https://www.tga.gov.au/artg" TargetMode="External"/><Relationship Id="rId43" Type="http://schemas.openxmlformats.org/officeDocument/2006/relationships/hyperlink" Target="https://www.fda.gov/media/125080/download" TargetMode="External"/><Relationship Id="rId48" Type="http://schemas.openxmlformats.org/officeDocument/2006/relationships/hyperlink" Target="https://aseancosmetics.org/wp-content/uploads/2019/11/Annex-VII_Release_29102019.pdf" TargetMode="External"/><Relationship Id="rId56" Type="http://schemas.openxmlformats.org/officeDocument/2006/relationships/hyperlink" Target="https://portal.apvma.gov.au/pubcris" TargetMode="External"/><Relationship Id="rId64" Type="http://schemas.openxmlformats.org/officeDocument/2006/relationships/hyperlink" Target="https://eur-lex.europa.eu/legal-content/EN/TXT/?uri=celex%3A32022R1176" TargetMode="External"/><Relationship Id="rId69" Type="http://schemas.openxmlformats.org/officeDocument/2006/relationships/hyperlink" Target="https://www.industrialchemicals.gov.au/sites/default/files/2025-06/EVA00184%20-%20Evaluation%20statement%20-%2026%20June%202025.pdf" TargetMode="External"/><Relationship Id="rId77" Type="http://schemas.openxmlformats.org/officeDocument/2006/relationships/hyperlink" Target="https://services.industrialchemicals.gov.au/search-inventory/" TargetMode="External"/><Relationship Id="rId8" Type="http://schemas.openxmlformats.org/officeDocument/2006/relationships/webSettings" Target="webSettings.xml"/><Relationship Id="rId51" Type="http://schemas.openxmlformats.org/officeDocument/2006/relationships/hyperlink" Target="https://www.tga.gov.au/artg" TargetMode="External"/><Relationship Id="rId72" Type="http://schemas.openxmlformats.org/officeDocument/2006/relationships/hyperlink" Target="https://www.legislation.gov.au/F2025L00683/asmade/text" TargetMode="External"/><Relationship Id="rId80" Type="http://schemas.openxmlformats.org/officeDocument/2006/relationships/hyperlink" Target="https://gazette.govt.nz/notice/id/2024-sl388" TargetMode="External"/><Relationship Id="rId85" Type="http://schemas.openxmlformats.org/officeDocument/2006/relationships/hyperlink" Target="https://www.tga.gov.au/about-tga/advisory-bodies-and-committees/advisory-committee-medicines-scheduling-acms" TargetMode="External"/><Relationship Id="rId93" Type="http://schemas.openxmlformats.org/officeDocument/2006/relationships/hyperlink" Target="mailto:info@tga.gov.au"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tga.gov.au/committee/advisory-committee-medicines-scheduling-acms" TargetMode="External"/><Relationship Id="rId25" Type="http://schemas.openxmlformats.org/officeDocument/2006/relationships/hyperlink" Target="https://www.tga.gov.au/resources/publication/publications/safety-review-seven-active-sunscreen-ingredients" TargetMode="External"/><Relationship Id="rId33" Type="http://schemas.openxmlformats.org/officeDocument/2006/relationships/hyperlink" Target="https://www.industrialchemicals.gov.au/sites/default/files/2024-12/EVA00162%20-%20Evaluation%20Statement%20-%2016%20December%202024.pdf" TargetMode="External"/><Relationship Id="rId38" Type="http://schemas.openxmlformats.org/officeDocument/2006/relationships/hyperlink" Target="https://www.legislation.gov.au/Details/F2021L01888" TargetMode="External"/><Relationship Id="rId46" Type="http://schemas.openxmlformats.org/officeDocument/2006/relationships/hyperlink" Target="https://www.epa.govt.nz/assets/FileAPI/hsno-ar/APP204297/Cosmetic-Products-Group-Standard-2020-HSR002552-Consolidated-and-current.pdf" TargetMode="External"/><Relationship Id="rId59" Type="http://schemas.openxmlformats.org/officeDocument/2006/relationships/hyperlink" Target="https://www.accessdata.fda.gov/drugsatfda_docs/omuf/OTCMonograph_M020-SunscreenDrugProductsforOTCHumanUse09242021.pdf" TargetMode="External"/><Relationship Id="rId67" Type="http://schemas.openxmlformats.org/officeDocument/2006/relationships/hyperlink" Target="file:///C:/Users/MartiQ/Downloads/mono_primary-sunscreen-monograph_english.pdf" TargetMode="External"/><Relationship Id="rId20" Type="http://schemas.openxmlformats.org/officeDocument/2006/relationships/hyperlink" Target="https://consultations.tga.gov.au/tga/november_2021_interim" TargetMode="External"/><Relationship Id="rId41" Type="http://schemas.openxmlformats.org/officeDocument/2006/relationships/hyperlink" Target="https://services.industrialchemicals.gov.au/search-inventory/" TargetMode="External"/><Relationship Id="rId54" Type="http://schemas.openxmlformats.org/officeDocument/2006/relationships/hyperlink" Target="https://www.legislation.gov.au/Details/F2021L01888" TargetMode="External"/><Relationship Id="rId62" Type="http://schemas.openxmlformats.org/officeDocument/2006/relationships/hyperlink" Target="https://eur-lex.europa.eu/legal-content/EN/TXT/?uri=celex%3A32022R1176" TargetMode="External"/><Relationship Id="rId70" Type="http://schemas.openxmlformats.org/officeDocument/2006/relationships/hyperlink" Target="https://www.ebs.tga.gov.au/" TargetMode="External"/><Relationship Id="rId75" Type="http://schemas.openxmlformats.org/officeDocument/2006/relationships/hyperlink" Target="https://portal.apvma.gov.au/pubcris" TargetMode="External"/><Relationship Id="rId83" Type="http://schemas.openxmlformats.org/officeDocument/2006/relationships/hyperlink" Target="https://aseancosmetics.org/wp-content/uploads/2019/11/Annex-VII_Release_29102019.pdf" TargetMode="External"/><Relationship Id="rId88" Type="http://schemas.openxmlformats.org/officeDocument/2006/relationships/hyperlink" Target="https://www.tga.gov.au/resources/resource/forms/scheduling-consultation-coversheets" TargetMode="External"/><Relationship Id="rId91" Type="http://schemas.openxmlformats.org/officeDocument/2006/relationships/footer" Target="footer3.xm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ga.copyright@tga.gov.au" TargetMode="External"/><Relationship Id="rId23" Type="http://schemas.openxmlformats.org/officeDocument/2006/relationships/hyperlink" Target="mailto:medicines.scheduling@health.gov.au" TargetMode="External"/><Relationship Id="rId28" Type="http://schemas.openxmlformats.org/officeDocument/2006/relationships/hyperlink" Target="https://consultations.tga.gov.au/medicines-regulation-division/low-neg-risk-2023-2024/user_uploads/cmes---low-negligible-risk-annual-consultation---2023-2024---final-decisions-document.pdf" TargetMode="External"/><Relationship Id="rId36" Type="http://schemas.openxmlformats.org/officeDocument/2006/relationships/hyperlink" Target="https://www.legislation.gov.au/F2025L00683/asmade/text" TargetMode="External"/><Relationship Id="rId49" Type="http://schemas.openxmlformats.org/officeDocument/2006/relationships/hyperlink" Target="https://www.tga.gov.au/resources/publication/publications/safety-review-seven-active-sunscreen-ingredients" TargetMode="External"/><Relationship Id="rId57" Type="http://schemas.openxmlformats.org/officeDocument/2006/relationships/hyperlink" Target="https://apvma.gov.au/node/10946" TargetMode="External"/><Relationship Id="rId10" Type="http://schemas.openxmlformats.org/officeDocument/2006/relationships/endnotes" Target="endnotes.xml"/><Relationship Id="rId31" Type="http://schemas.openxmlformats.org/officeDocument/2006/relationships/hyperlink" Target="https://www.industrialchemicals.gov.au/sites/default/files/2025-06/EVA00184%20-%20Evaluation%20statement%20-%2026%20June%202025.pdf" TargetMode="External"/><Relationship Id="rId44" Type="http://schemas.openxmlformats.org/officeDocument/2006/relationships/hyperlink" Target="https://eur-lex.europa.eu/legal-content/EN/TXT/PDF/?uri=CELEX:32022R2195&amp;from=EN" TargetMode="External"/><Relationship Id="rId52" Type="http://schemas.openxmlformats.org/officeDocument/2006/relationships/hyperlink" Target="https://www.legislation.gov.au/F2025L00683/asmade/text" TargetMode="External"/><Relationship Id="rId60" Type="http://schemas.openxmlformats.org/officeDocument/2006/relationships/hyperlink" Target="https://iaspub.epa.gov/apex/pesticides/f?p=CHEMICALSEARCH:1:" TargetMode="External"/><Relationship Id="rId65" Type="http://schemas.openxmlformats.org/officeDocument/2006/relationships/hyperlink" Target="https://echa.europa.eu/search-for-chemicals" TargetMode="External"/><Relationship Id="rId73" Type="http://schemas.openxmlformats.org/officeDocument/2006/relationships/hyperlink" Target="https://www.tga.gov.au/prescribing-medicines-pregnancy-database" TargetMode="External"/><Relationship Id="rId78" Type="http://schemas.openxmlformats.org/officeDocument/2006/relationships/hyperlink" Target="https://www.canada.ca/en/health-canada/services/consumer-product-safety/cosmetics/cosmetic-ingredient-hotlist-prohibited-restricted-ingredients/hotlist.html" TargetMode="External"/><Relationship Id="rId81" Type="http://schemas.openxmlformats.org/officeDocument/2006/relationships/hyperlink" Target="https://www.federalregister.gov/documents/2018/10/09/2018-21807/food-additive-regulations-synthetic-flavoring-agents-and-adjuvants" TargetMode="External"/><Relationship Id="rId86" Type="http://schemas.openxmlformats.org/officeDocument/2006/relationships/hyperlink" Target="https://www.tga.gov.au/about-tga/advisory-bodies-and-committees/advisory-committee-chemicals-scheduling-accs" TargetMode="External"/><Relationship Id="rId94" Type="http://schemas.openxmlformats.org/officeDocument/2006/relationships/hyperlink" Target="https://www.tga.gov.au" TargetMode="External"/><Relationship Id="rId9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tga.gov.au/committee/advisory-committee-chemicals-scheduling-accs" TargetMode="External"/><Relationship Id="rId39" Type="http://schemas.openxmlformats.org/officeDocument/2006/relationships/hyperlink" Target="https://www.tga.gov.au/safety/database-adverse-event-notifications-da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lth.ec.europa.eu/system/files/2022-08/sccs_o_247.pdf" TargetMode="External"/><Relationship Id="rId2" Type="http://schemas.openxmlformats.org/officeDocument/2006/relationships/hyperlink" Target="https://www.industrialchemicals.gov.au/sites/default/files/2024-10/EVA00162%20Draft%20Evaluation%20Statement%20-%20Homosalate%20%281%29.pdf" TargetMode="External"/><Relationship Id="rId1" Type="http://schemas.openxmlformats.org/officeDocument/2006/relationships/hyperlink" Target="https://www.accessdata.fda.gov/scripts/cdrh/cfdocs/cfcfr/CFRSearch.cfm?fr=330.1" TargetMode="External"/><Relationship Id="rId4" Type="http://schemas.openxmlformats.org/officeDocument/2006/relationships/hyperlink" Target="https://www.mhlw.go.jp/english/dl/cosmetic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03199239860395dab1fafd8be6e51fce">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b540c1c2e264c0e950e837a68e89ba49"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4D721-CE07-4F64-A597-9E4AE5501E0A}">
  <ds:schemaRefs>
    <ds:schemaRef ds:uri="http://schemas.microsoft.com/sharepoint/v3/contenttype/forms"/>
  </ds:schemaRefs>
</ds:datastoreItem>
</file>

<file path=customXml/itemProps2.xml><?xml version="1.0" encoding="utf-8"?>
<ds:datastoreItem xmlns:ds="http://schemas.openxmlformats.org/officeDocument/2006/customXml" ds:itemID="{269A8CBC-B2FD-424B-98E3-6D577660883A}">
  <ds:schemaRefs>
    <ds:schemaRef ds:uri="http://schemas.openxmlformats.org/officeDocument/2006/bibliography"/>
  </ds:schemaRefs>
</ds:datastoreItem>
</file>

<file path=customXml/itemProps3.xml><?xml version="1.0" encoding="utf-8"?>
<ds:datastoreItem xmlns:ds="http://schemas.openxmlformats.org/officeDocument/2006/customXml" ds:itemID="{08F6C859-E96C-45BF-866B-CD84FEEB782A}">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4.xml><?xml version="1.0" encoding="utf-8"?>
<ds:datastoreItem xmlns:ds="http://schemas.openxmlformats.org/officeDocument/2006/customXml" ds:itemID="{068760C5-33F3-4A17-8CF0-DEAAB0BEF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19</Pages>
  <Words>6703</Words>
  <Characters>38212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CHAKRABARTI, Apratim</cp:lastModifiedBy>
  <cp:revision>698</cp:revision>
  <dcterms:created xsi:type="dcterms:W3CDTF">2025-04-11T05:47:00Z</dcterms:created>
  <dcterms:modified xsi:type="dcterms:W3CDTF">2025-07-08T00:31:00Z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MediaServiceImageTags">
    <vt:lpwstr/>
  </property>
</Properties>
</file>