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14:paraId="62DE66A1" w14:textId="77777777" w:rsidTr="00ED0C8B">
        <w:tc>
          <w:tcPr>
            <w:tcW w:w="8720" w:type="dxa"/>
          </w:tcPr>
          <w:p w14:paraId="27EDA4F7" w14:textId="2F9CCB32" w:rsidR="001D480A" w:rsidRPr="009401F6" w:rsidRDefault="00AD13C3" w:rsidP="00AD13C3">
            <w:pPr>
              <w:pStyle w:val="Title"/>
            </w:pPr>
            <w:r>
              <w:t xml:space="preserve">Removing redundant processes for entering </w:t>
            </w:r>
            <w:r w:rsidR="00772174">
              <w:t xml:space="preserve">certain </w:t>
            </w:r>
            <w:r w:rsidR="00375392">
              <w:t>formulation</w:t>
            </w:r>
            <w:r w:rsidR="009A1604">
              <w:t xml:space="preserve"> </w:t>
            </w:r>
            <w:r>
              <w:t xml:space="preserve">information </w:t>
            </w:r>
            <w:r w:rsidR="009A1604">
              <w:t>in</w:t>
            </w:r>
            <w:r w:rsidR="00AC1FC6">
              <w:t>to</w:t>
            </w:r>
            <w:r w:rsidR="009A1604">
              <w:t xml:space="preserve"> a </w:t>
            </w:r>
            <w:r w:rsidR="00375392">
              <w:t>therapeutic goods</w:t>
            </w:r>
            <w:r w:rsidR="009A1604">
              <w:t xml:space="preserve"> application</w:t>
            </w:r>
          </w:p>
        </w:tc>
      </w:tr>
      <w:tr w:rsidR="00ED0C8B" w:rsidRPr="009401F6" w14:paraId="621A1E78" w14:textId="77777777" w:rsidTr="00ED0C8B">
        <w:trPr>
          <w:trHeight w:val="1387"/>
        </w:trPr>
        <w:tc>
          <w:tcPr>
            <w:tcW w:w="8720" w:type="dxa"/>
          </w:tcPr>
          <w:p w14:paraId="09141299" w14:textId="5C702BA7" w:rsidR="001D480A" w:rsidRPr="009401F6" w:rsidRDefault="009A1604" w:rsidP="00452AA3">
            <w:pPr>
              <w:pStyle w:val="Subtitle"/>
              <w:ind w:left="0"/>
              <w:rPr>
                <w:lang w:eastAsia="en-AU"/>
              </w:rPr>
            </w:pPr>
            <w:r>
              <w:rPr>
                <w:lang w:eastAsia="en-AU"/>
              </w:rPr>
              <w:t>Public consultation</w:t>
            </w:r>
          </w:p>
        </w:tc>
      </w:tr>
      <w:tr w:rsidR="00ED0C8B" w:rsidRPr="009401F6" w14:paraId="3B25F105" w14:textId="77777777" w:rsidTr="00ED0C8B">
        <w:tc>
          <w:tcPr>
            <w:tcW w:w="8720" w:type="dxa"/>
          </w:tcPr>
          <w:p w14:paraId="1F0FC5DA" w14:textId="46D60E76" w:rsidR="00ED0C8B" w:rsidRPr="009401F6" w:rsidRDefault="00DF1FFC" w:rsidP="00AD00DE">
            <w:pPr>
              <w:pStyle w:val="Date"/>
              <w:rPr>
                <w:lang w:eastAsia="en-AU"/>
              </w:rPr>
            </w:pPr>
            <w:r>
              <w:rPr>
                <w:lang w:eastAsia="en-AU"/>
              </w:rPr>
              <w:t>Version 1.0</w:t>
            </w:r>
            <w:r w:rsidR="00ED0C8B" w:rsidRPr="009401F6">
              <w:rPr>
                <w:lang w:eastAsia="en-AU"/>
              </w:rPr>
              <w:t xml:space="preserve">, </w:t>
            </w:r>
            <w:r w:rsidR="00AD00DE">
              <w:rPr>
                <w:lang w:eastAsia="en-AU"/>
              </w:rPr>
              <w:t>January</w:t>
            </w:r>
            <w:r w:rsidR="00BE7058" w:rsidRPr="009401F6">
              <w:rPr>
                <w:lang w:eastAsia="en-AU"/>
              </w:rPr>
              <w:t xml:space="preserve"> </w:t>
            </w:r>
            <w:r w:rsidR="00AD00DE">
              <w:rPr>
                <w:lang w:eastAsia="en-AU"/>
              </w:rPr>
              <w:t>2021</w:t>
            </w:r>
          </w:p>
        </w:tc>
      </w:tr>
    </w:tbl>
    <w:p w14:paraId="399C28D4" w14:textId="77777777" w:rsidR="00BA6FF1" w:rsidRPr="009401F6" w:rsidRDefault="00BA6FF1" w:rsidP="007C7B5B">
      <w:pPr>
        <w:rPr>
          <w:lang w:eastAsia="en-AU"/>
        </w:rPr>
      </w:pPr>
    </w:p>
    <w:p w14:paraId="36D728F4" w14:textId="77777777" w:rsidR="001D480A" w:rsidRPr="009401F6" w:rsidRDefault="001D480A" w:rsidP="0054583D">
      <w:pPr>
        <w:rPr>
          <w:lang w:eastAsia="en-AU"/>
        </w:rPr>
        <w:sectPr w:rsidR="001D480A" w:rsidRPr="009401F6" w:rsidSect="00F8404D">
          <w:headerReference w:type="default" r:id="rId8"/>
          <w:footerReference w:type="default" r:id="rId9"/>
          <w:headerReference w:type="first" r:id="rId10"/>
          <w:footerReference w:type="first" r:id="rId11"/>
          <w:type w:val="continuous"/>
          <w:pgSz w:w="11906" w:h="16838" w:code="9"/>
          <w:pgMar w:top="6923" w:right="1418" w:bottom="709" w:left="1418" w:header="998" w:footer="0" w:gutter="0"/>
          <w:cols w:space="708"/>
          <w:titlePg/>
          <w:docGrid w:linePitch="360"/>
        </w:sectPr>
      </w:pPr>
    </w:p>
    <w:p w14:paraId="774AED9B" w14:textId="77777777" w:rsidR="00BA6FF1" w:rsidRPr="005D4EA1" w:rsidRDefault="00BA6FF1" w:rsidP="00FE1941">
      <w:pPr>
        <w:pStyle w:val="LegalSubheading"/>
        <w:pageBreakBefore/>
      </w:pPr>
      <w:r w:rsidRPr="00691723">
        <w:lastRenderedPageBreak/>
        <w:t>Copyright</w:t>
      </w:r>
    </w:p>
    <w:p w14:paraId="108A52C4" w14:textId="20111739" w:rsidR="00611B57" w:rsidRDefault="00EA453A" w:rsidP="00FE1941">
      <w:pPr>
        <w:pStyle w:val="LegalCopy"/>
        <w:spacing w:after="0"/>
      </w:pPr>
      <w:r w:rsidRPr="009401F6">
        <w:t xml:space="preserve">© Commonwealth of Australia </w:t>
      </w:r>
      <w:r w:rsidR="00AD00DE">
        <w:t>2021</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w:t>
      </w:r>
      <w:proofErr w:type="gramStart"/>
      <w:r w:rsidRPr="009401F6">
        <w:t>reserved</w:t>
      </w:r>
      <w:proofErr w:type="gramEnd"/>
      <w:r w:rsidRPr="009401F6">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9401F6">
          <w:rPr>
            <w:rStyle w:val="Hyperlink"/>
            <w:rFonts w:cs="Arial"/>
          </w:rPr>
          <w:t>tga.copyright@tga.gov.au</w:t>
        </w:r>
      </w:hyperlink>
      <w:r w:rsidR="004169A8" w:rsidRPr="009401F6">
        <w:t>&gt;</w:t>
      </w:r>
    </w:p>
    <w:bookmarkStart w:id="0" w:name="_Toc323738670" w:displacedByCustomXml="next"/>
    <w:sdt>
      <w:sdtPr>
        <w:rPr>
          <w:rFonts w:ascii="Cambria" w:hAnsi="Cambria"/>
          <w:b w:val="0"/>
          <w:sz w:val="22"/>
        </w:rPr>
        <w:id w:val="3701955"/>
        <w:docPartObj>
          <w:docPartGallery w:val="Table of Contents"/>
          <w:docPartUnique/>
        </w:docPartObj>
      </w:sdtPr>
      <w:sdtEndPr/>
      <w:sdtContent>
        <w:p w14:paraId="00637D07" w14:textId="77777777" w:rsidR="00B92C72" w:rsidRPr="009401F6" w:rsidRDefault="00B92C72" w:rsidP="00B92C72">
          <w:pPr>
            <w:pStyle w:val="NonTOCheading2"/>
          </w:pPr>
          <w:r w:rsidRPr="009401F6">
            <w:t>Contents</w:t>
          </w:r>
        </w:p>
        <w:p w14:paraId="749881C3" w14:textId="0649B902" w:rsidR="00AD00DE" w:rsidRDefault="006C626D">
          <w:pPr>
            <w:pStyle w:val="TOC1"/>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61239948" w:history="1">
            <w:r w:rsidR="00AD00DE" w:rsidRPr="003C0A45">
              <w:rPr>
                <w:rStyle w:val="Hyperlink"/>
                <w:noProof/>
              </w:rPr>
              <w:t>Overview</w:t>
            </w:r>
            <w:r w:rsidR="00AD00DE">
              <w:rPr>
                <w:noProof/>
                <w:webHidden/>
              </w:rPr>
              <w:tab/>
            </w:r>
            <w:r w:rsidR="00AD00DE">
              <w:rPr>
                <w:noProof/>
                <w:webHidden/>
              </w:rPr>
              <w:fldChar w:fldCharType="begin"/>
            </w:r>
            <w:r w:rsidR="00AD00DE">
              <w:rPr>
                <w:noProof/>
                <w:webHidden/>
              </w:rPr>
              <w:instrText xml:space="preserve"> PAGEREF _Toc61239948 \h </w:instrText>
            </w:r>
            <w:r w:rsidR="00AD00DE">
              <w:rPr>
                <w:noProof/>
                <w:webHidden/>
              </w:rPr>
            </w:r>
            <w:r w:rsidR="00AD00DE">
              <w:rPr>
                <w:noProof/>
                <w:webHidden/>
              </w:rPr>
              <w:fldChar w:fldCharType="separate"/>
            </w:r>
            <w:r w:rsidR="00AD00DE">
              <w:rPr>
                <w:noProof/>
                <w:webHidden/>
              </w:rPr>
              <w:t>4</w:t>
            </w:r>
            <w:r w:rsidR="00AD00DE">
              <w:rPr>
                <w:noProof/>
                <w:webHidden/>
              </w:rPr>
              <w:fldChar w:fldCharType="end"/>
            </w:r>
          </w:hyperlink>
        </w:p>
        <w:p w14:paraId="19B71154" w14:textId="4BA488C2" w:rsidR="00AD00DE" w:rsidRDefault="00D12A84">
          <w:pPr>
            <w:pStyle w:val="TOC2"/>
            <w:rPr>
              <w:rFonts w:asciiTheme="minorHAnsi" w:eastAsiaTheme="minorEastAsia" w:hAnsiTheme="minorHAnsi" w:cstheme="minorBidi"/>
              <w:b w:val="0"/>
              <w:noProof/>
              <w:sz w:val="22"/>
              <w:szCs w:val="22"/>
              <w:lang w:eastAsia="en-AU"/>
            </w:rPr>
          </w:pPr>
          <w:hyperlink w:anchor="_Toc61239949" w:history="1">
            <w:r w:rsidR="00AD00DE" w:rsidRPr="003C0A45">
              <w:rPr>
                <w:rStyle w:val="Hyperlink"/>
                <w:noProof/>
              </w:rPr>
              <w:t>Scope</w:t>
            </w:r>
            <w:r w:rsidR="00AD00DE">
              <w:rPr>
                <w:noProof/>
                <w:webHidden/>
              </w:rPr>
              <w:tab/>
            </w:r>
            <w:r w:rsidR="00AD00DE">
              <w:rPr>
                <w:noProof/>
                <w:webHidden/>
              </w:rPr>
              <w:fldChar w:fldCharType="begin"/>
            </w:r>
            <w:r w:rsidR="00AD00DE">
              <w:rPr>
                <w:noProof/>
                <w:webHidden/>
              </w:rPr>
              <w:instrText xml:space="preserve"> PAGEREF _Toc61239949 \h </w:instrText>
            </w:r>
            <w:r w:rsidR="00AD00DE">
              <w:rPr>
                <w:noProof/>
                <w:webHidden/>
              </w:rPr>
            </w:r>
            <w:r w:rsidR="00AD00DE">
              <w:rPr>
                <w:noProof/>
                <w:webHidden/>
              </w:rPr>
              <w:fldChar w:fldCharType="separate"/>
            </w:r>
            <w:r w:rsidR="00AD00DE">
              <w:rPr>
                <w:noProof/>
                <w:webHidden/>
              </w:rPr>
              <w:t>4</w:t>
            </w:r>
            <w:r w:rsidR="00AD00DE">
              <w:rPr>
                <w:noProof/>
                <w:webHidden/>
              </w:rPr>
              <w:fldChar w:fldCharType="end"/>
            </w:r>
          </w:hyperlink>
        </w:p>
        <w:p w14:paraId="1F2074E5" w14:textId="1B11C7E9" w:rsidR="00AD00DE" w:rsidRDefault="00D12A84">
          <w:pPr>
            <w:pStyle w:val="TOC1"/>
            <w:rPr>
              <w:rFonts w:asciiTheme="minorHAnsi" w:eastAsiaTheme="minorEastAsia" w:hAnsiTheme="minorHAnsi" w:cstheme="minorBidi"/>
              <w:b w:val="0"/>
              <w:noProof/>
              <w:sz w:val="22"/>
              <w:szCs w:val="22"/>
              <w:lang w:eastAsia="en-AU"/>
            </w:rPr>
          </w:pPr>
          <w:hyperlink w:anchor="_Toc61239950" w:history="1">
            <w:r w:rsidR="00AD00DE" w:rsidRPr="003C0A45">
              <w:rPr>
                <w:rStyle w:val="Hyperlink"/>
                <w:noProof/>
              </w:rPr>
              <w:t>Why we are consulting</w:t>
            </w:r>
            <w:r w:rsidR="00AD00DE">
              <w:rPr>
                <w:noProof/>
                <w:webHidden/>
              </w:rPr>
              <w:tab/>
            </w:r>
            <w:r w:rsidR="00AD00DE">
              <w:rPr>
                <w:noProof/>
                <w:webHidden/>
              </w:rPr>
              <w:fldChar w:fldCharType="begin"/>
            </w:r>
            <w:r w:rsidR="00AD00DE">
              <w:rPr>
                <w:noProof/>
                <w:webHidden/>
              </w:rPr>
              <w:instrText xml:space="preserve"> PAGEREF _Toc61239950 \h </w:instrText>
            </w:r>
            <w:r w:rsidR="00AD00DE">
              <w:rPr>
                <w:noProof/>
                <w:webHidden/>
              </w:rPr>
            </w:r>
            <w:r w:rsidR="00AD00DE">
              <w:rPr>
                <w:noProof/>
                <w:webHidden/>
              </w:rPr>
              <w:fldChar w:fldCharType="separate"/>
            </w:r>
            <w:r w:rsidR="00AD00DE">
              <w:rPr>
                <w:noProof/>
                <w:webHidden/>
              </w:rPr>
              <w:t>4</w:t>
            </w:r>
            <w:r w:rsidR="00AD00DE">
              <w:rPr>
                <w:noProof/>
                <w:webHidden/>
              </w:rPr>
              <w:fldChar w:fldCharType="end"/>
            </w:r>
          </w:hyperlink>
        </w:p>
        <w:p w14:paraId="3B314391" w14:textId="583878B7" w:rsidR="00AD00DE" w:rsidRDefault="00D12A84">
          <w:pPr>
            <w:pStyle w:val="TOC1"/>
            <w:rPr>
              <w:rFonts w:asciiTheme="minorHAnsi" w:eastAsiaTheme="minorEastAsia" w:hAnsiTheme="minorHAnsi" w:cstheme="minorBidi"/>
              <w:b w:val="0"/>
              <w:noProof/>
              <w:sz w:val="22"/>
              <w:szCs w:val="22"/>
              <w:lang w:eastAsia="en-AU"/>
            </w:rPr>
          </w:pPr>
          <w:hyperlink w:anchor="_Toc61239951" w:history="1">
            <w:r w:rsidR="00AD00DE" w:rsidRPr="003C0A45">
              <w:rPr>
                <w:rStyle w:val="Hyperlink"/>
                <w:noProof/>
              </w:rPr>
              <w:t>Background</w:t>
            </w:r>
            <w:r w:rsidR="00AD00DE">
              <w:rPr>
                <w:noProof/>
                <w:webHidden/>
              </w:rPr>
              <w:tab/>
            </w:r>
            <w:r w:rsidR="00AD00DE">
              <w:rPr>
                <w:noProof/>
                <w:webHidden/>
              </w:rPr>
              <w:fldChar w:fldCharType="begin"/>
            </w:r>
            <w:r w:rsidR="00AD00DE">
              <w:rPr>
                <w:noProof/>
                <w:webHidden/>
              </w:rPr>
              <w:instrText xml:space="preserve"> PAGEREF _Toc61239951 \h </w:instrText>
            </w:r>
            <w:r w:rsidR="00AD00DE">
              <w:rPr>
                <w:noProof/>
                <w:webHidden/>
              </w:rPr>
            </w:r>
            <w:r w:rsidR="00AD00DE">
              <w:rPr>
                <w:noProof/>
                <w:webHidden/>
              </w:rPr>
              <w:fldChar w:fldCharType="separate"/>
            </w:r>
            <w:r w:rsidR="00AD00DE">
              <w:rPr>
                <w:noProof/>
                <w:webHidden/>
              </w:rPr>
              <w:t>6</w:t>
            </w:r>
            <w:r w:rsidR="00AD00DE">
              <w:rPr>
                <w:noProof/>
                <w:webHidden/>
              </w:rPr>
              <w:fldChar w:fldCharType="end"/>
            </w:r>
          </w:hyperlink>
        </w:p>
        <w:p w14:paraId="6BF9EB5D" w14:textId="54EC3C57" w:rsidR="00AD00DE" w:rsidRDefault="00D12A84">
          <w:pPr>
            <w:pStyle w:val="TOC2"/>
            <w:rPr>
              <w:rFonts w:asciiTheme="minorHAnsi" w:eastAsiaTheme="minorEastAsia" w:hAnsiTheme="minorHAnsi" w:cstheme="minorBidi"/>
              <w:b w:val="0"/>
              <w:noProof/>
              <w:sz w:val="22"/>
              <w:szCs w:val="22"/>
              <w:lang w:eastAsia="en-AU"/>
            </w:rPr>
          </w:pPr>
          <w:hyperlink w:anchor="_Toc61239952" w:history="1">
            <w:r w:rsidR="00AD00DE" w:rsidRPr="003C0A45">
              <w:rPr>
                <w:rStyle w:val="Hyperlink"/>
                <w:noProof/>
              </w:rPr>
              <w:t>Formulations of therapeutic goods in ARTG entries</w:t>
            </w:r>
            <w:r w:rsidR="00AD00DE">
              <w:rPr>
                <w:noProof/>
                <w:webHidden/>
              </w:rPr>
              <w:tab/>
            </w:r>
            <w:r w:rsidR="00AD00DE">
              <w:rPr>
                <w:noProof/>
                <w:webHidden/>
              </w:rPr>
              <w:fldChar w:fldCharType="begin"/>
            </w:r>
            <w:r w:rsidR="00AD00DE">
              <w:rPr>
                <w:noProof/>
                <w:webHidden/>
              </w:rPr>
              <w:instrText xml:space="preserve"> PAGEREF _Toc61239952 \h </w:instrText>
            </w:r>
            <w:r w:rsidR="00AD00DE">
              <w:rPr>
                <w:noProof/>
                <w:webHidden/>
              </w:rPr>
            </w:r>
            <w:r w:rsidR="00AD00DE">
              <w:rPr>
                <w:noProof/>
                <w:webHidden/>
              </w:rPr>
              <w:fldChar w:fldCharType="separate"/>
            </w:r>
            <w:r w:rsidR="00AD00DE">
              <w:rPr>
                <w:noProof/>
                <w:webHidden/>
              </w:rPr>
              <w:t>6</w:t>
            </w:r>
            <w:r w:rsidR="00AD00DE">
              <w:rPr>
                <w:noProof/>
                <w:webHidden/>
              </w:rPr>
              <w:fldChar w:fldCharType="end"/>
            </w:r>
          </w:hyperlink>
        </w:p>
        <w:p w14:paraId="6DC738E2" w14:textId="75EE5414" w:rsidR="00AD00DE" w:rsidRDefault="00D12A84">
          <w:pPr>
            <w:pStyle w:val="TOC2"/>
            <w:rPr>
              <w:rFonts w:asciiTheme="minorHAnsi" w:eastAsiaTheme="minorEastAsia" w:hAnsiTheme="minorHAnsi" w:cstheme="minorBidi"/>
              <w:b w:val="0"/>
              <w:noProof/>
              <w:sz w:val="22"/>
              <w:szCs w:val="22"/>
              <w:lang w:eastAsia="en-AU"/>
            </w:rPr>
          </w:pPr>
          <w:hyperlink w:anchor="_Toc61239953" w:history="1">
            <w:r w:rsidR="00AD00DE" w:rsidRPr="003C0A45">
              <w:rPr>
                <w:rStyle w:val="Hyperlink"/>
                <w:noProof/>
              </w:rPr>
              <w:t>Ingredients Repository</w:t>
            </w:r>
            <w:r w:rsidR="00AD00DE">
              <w:rPr>
                <w:noProof/>
                <w:webHidden/>
              </w:rPr>
              <w:tab/>
            </w:r>
            <w:r w:rsidR="00AD00DE">
              <w:rPr>
                <w:noProof/>
                <w:webHidden/>
              </w:rPr>
              <w:fldChar w:fldCharType="begin"/>
            </w:r>
            <w:r w:rsidR="00AD00DE">
              <w:rPr>
                <w:noProof/>
                <w:webHidden/>
              </w:rPr>
              <w:instrText xml:space="preserve"> PAGEREF _Toc61239953 \h </w:instrText>
            </w:r>
            <w:r w:rsidR="00AD00DE">
              <w:rPr>
                <w:noProof/>
                <w:webHidden/>
              </w:rPr>
            </w:r>
            <w:r w:rsidR="00AD00DE">
              <w:rPr>
                <w:noProof/>
                <w:webHidden/>
              </w:rPr>
              <w:fldChar w:fldCharType="separate"/>
            </w:r>
            <w:r w:rsidR="00AD00DE">
              <w:rPr>
                <w:noProof/>
                <w:webHidden/>
              </w:rPr>
              <w:t>6</w:t>
            </w:r>
            <w:r w:rsidR="00AD00DE">
              <w:rPr>
                <w:noProof/>
                <w:webHidden/>
              </w:rPr>
              <w:fldChar w:fldCharType="end"/>
            </w:r>
          </w:hyperlink>
        </w:p>
        <w:p w14:paraId="0EDE17BD" w14:textId="0D579AA8" w:rsidR="00AD00DE" w:rsidRDefault="00D12A84">
          <w:pPr>
            <w:pStyle w:val="TOC3"/>
            <w:rPr>
              <w:rFonts w:asciiTheme="minorHAnsi" w:eastAsiaTheme="minorEastAsia" w:hAnsiTheme="minorHAnsi" w:cstheme="minorBidi"/>
              <w:b w:val="0"/>
              <w:noProof/>
              <w:szCs w:val="22"/>
              <w:lang w:eastAsia="en-AU"/>
            </w:rPr>
          </w:pPr>
          <w:hyperlink w:anchor="_Toc61239954" w:history="1">
            <w:r w:rsidR="00AD00DE" w:rsidRPr="003C0A45">
              <w:rPr>
                <w:rStyle w:val="Hyperlink"/>
                <w:noProof/>
              </w:rPr>
              <w:t>Types of formulations in the Proprietary Ingredients Table</w:t>
            </w:r>
            <w:r w:rsidR="00AD00DE">
              <w:rPr>
                <w:noProof/>
                <w:webHidden/>
              </w:rPr>
              <w:tab/>
            </w:r>
            <w:r w:rsidR="00AD00DE">
              <w:rPr>
                <w:noProof/>
                <w:webHidden/>
              </w:rPr>
              <w:fldChar w:fldCharType="begin"/>
            </w:r>
            <w:r w:rsidR="00AD00DE">
              <w:rPr>
                <w:noProof/>
                <w:webHidden/>
              </w:rPr>
              <w:instrText xml:space="preserve"> PAGEREF _Toc61239954 \h </w:instrText>
            </w:r>
            <w:r w:rsidR="00AD00DE">
              <w:rPr>
                <w:noProof/>
                <w:webHidden/>
              </w:rPr>
            </w:r>
            <w:r w:rsidR="00AD00DE">
              <w:rPr>
                <w:noProof/>
                <w:webHidden/>
              </w:rPr>
              <w:fldChar w:fldCharType="separate"/>
            </w:r>
            <w:r w:rsidR="00AD00DE">
              <w:rPr>
                <w:noProof/>
                <w:webHidden/>
              </w:rPr>
              <w:t>6</w:t>
            </w:r>
            <w:r w:rsidR="00AD00DE">
              <w:rPr>
                <w:noProof/>
                <w:webHidden/>
              </w:rPr>
              <w:fldChar w:fldCharType="end"/>
            </w:r>
          </w:hyperlink>
        </w:p>
        <w:p w14:paraId="794154D8" w14:textId="209D851B" w:rsidR="00AD00DE" w:rsidRDefault="00D12A84">
          <w:pPr>
            <w:pStyle w:val="TOC3"/>
            <w:rPr>
              <w:rFonts w:asciiTheme="minorHAnsi" w:eastAsiaTheme="minorEastAsia" w:hAnsiTheme="minorHAnsi" w:cstheme="minorBidi"/>
              <w:b w:val="0"/>
              <w:noProof/>
              <w:szCs w:val="22"/>
              <w:lang w:eastAsia="en-AU"/>
            </w:rPr>
          </w:pPr>
          <w:hyperlink w:anchor="_Toc61239955" w:history="1">
            <w:r w:rsidR="00AD00DE" w:rsidRPr="003C0A45">
              <w:rPr>
                <w:rStyle w:val="Hyperlink"/>
                <w:noProof/>
              </w:rPr>
              <w:t>Creating entries in the Proprietary Ingredients Table</w:t>
            </w:r>
            <w:r w:rsidR="00AD00DE">
              <w:rPr>
                <w:noProof/>
                <w:webHidden/>
              </w:rPr>
              <w:tab/>
            </w:r>
            <w:r w:rsidR="00AD00DE">
              <w:rPr>
                <w:noProof/>
                <w:webHidden/>
              </w:rPr>
              <w:fldChar w:fldCharType="begin"/>
            </w:r>
            <w:r w:rsidR="00AD00DE">
              <w:rPr>
                <w:noProof/>
                <w:webHidden/>
              </w:rPr>
              <w:instrText xml:space="preserve"> PAGEREF _Toc61239955 \h </w:instrText>
            </w:r>
            <w:r w:rsidR="00AD00DE">
              <w:rPr>
                <w:noProof/>
                <w:webHidden/>
              </w:rPr>
            </w:r>
            <w:r w:rsidR="00AD00DE">
              <w:rPr>
                <w:noProof/>
                <w:webHidden/>
              </w:rPr>
              <w:fldChar w:fldCharType="separate"/>
            </w:r>
            <w:r w:rsidR="00AD00DE">
              <w:rPr>
                <w:noProof/>
                <w:webHidden/>
              </w:rPr>
              <w:t>7</w:t>
            </w:r>
            <w:r w:rsidR="00AD00DE">
              <w:rPr>
                <w:noProof/>
                <w:webHidden/>
              </w:rPr>
              <w:fldChar w:fldCharType="end"/>
            </w:r>
          </w:hyperlink>
        </w:p>
        <w:p w14:paraId="5A60E298" w14:textId="00D45B42" w:rsidR="00AD00DE" w:rsidRDefault="00D12A84">
          <w:pPr>
            <w:pStyle w:val="TOC2"/>
            <w:rPr>
              <w:rFonts w:asciiTheme="minorHAnsi" w:eastAsiaTheme="minorEastAsia" w:hAnsiTheme="minorHAnsi" w:cstheme="minorBidi"/>
              <w:b w:val="0"/>
              <w:noProof/>
              <w:sz w:val="22"/>
              <w:szCs w:val="22"/>
              <w:lang w:eastAsia="en-AU"/>
            </w:rPr>
          </w:pPr>
          <w:hyperlink w:anchor="_Toc61239956" w:history="1">
            <w:r w:rsidR="00AD00DE" w:rsidRPr="003C0A45">
              <w:rPr>
                <w:rStyle w:val="Hyperlink"/>
                <w:noProof/>
              </w:rPr>
              <w:t>How data from the Ingredients Repository is used in ARTG entries</w:t>
            </w:r>
            <w:r w:rsidR="00AD00DE">
              <w:rPr>
                <w:noProof/>
                <w:webHidden/>
              </w:rPr>
              <w:tab/>
            </w:r>
            <w:r w:rsidR="00AD00DE">
              <w:rPr>
                <w:noProof/>
                <w:webHidden/>
              </w:rPr>
              <w:fldChar w:fldCharType="begin"/>
            </w:r>
            <w:r w:rsidR="00AD00DE">
              <w:rPr>
                <w:noProof/>
                <w:webHidden/>
              </w:rPr>
              <w:instrText xml:space="preserve"> PAGEREF _Toc61239956 \h </w:instrText>
            </w:r>
            <w:r w:rsidR="00AD00DE">
              <w:rPr>
                <w:noProof/>
                <w:webHidden/>
              </w:rPr>
            </w:r>
            <w:r w:rsidR="00AD00DE">
              <w:rPr>
                <w:noProof/>
                <w:webHidden/>
              </w:rPr>
              <w:fldChar w:fldCharType="separate"/>
            </w:r>
            <w:r w:rsidR="00AD00DE">
              <w:rPr>
                <w:noProof/>
                <w:webHidden/>
              </w:rPr>
              <w:t>7</w:t>
            </w:r>
            <w:r w:rsidR="00AD00DE">
              <w:rPr>
                <w:noProof/>
                <w:webHidden/>
              </w:rPr>
              <w:fldChar w:fldCharType="end"/>
            </w:r>
          </w:hyperlink>
        </w:p>
        <w:p w14:paraId="51E1D26F" w14:textId="0745FC42" w:rsidR="00AD00DE" w:rsidRDefault="00D12A84">
          <w:pPr>
            <w:pStyle w:val="TOC3"/>
            <w:rPr>
              <w:rFonts w:asciiTheme="minorHAnsi" w:eastAsiaTheme="minorEastAsia" w:hAnsiTheme="minorHAnsi" w:cstheme="minorBidi"/>
              <w:b w:val="0"/>
              <w:noProof/>
              <w:szCs w:val="22"/>
              <w:lang w:eastAsia="en-AU"/>
            </w:rPr>
          </w:pPr>
          <w:hyperlink w:anchor="_Toc61239957" w:history="1">
            <w:r w:rsidR="00AD00DE" w:rsidRPr="003C0A45">
              <w:rPr>
                <w:rStyle w:val="Hyperlink"/>
                <w:noProof/>
              </w:rPr>
              <w:t>Changes to ingredient mixtures</w:t>
            </w:r>
            <w:r w:rsidR="00AD00DE">
              <w:rPr>
                <w:noProof/>
                <w:webHidden/>
              </w:rPr>
              <w:tab/>
            </w:r>
            <w:r w:rsidR="00AD00DE">
              <w:rPr>
                <w:noProof/>
                <w:webHidden/>
              </w:rPr>
              <w:fldChar w:fldCharType="begin"/>
            </w:r>
            <w:r w:rsidR="00AD00DE">
              <w:rPr>
                <w:noProof/>
                <w:webHidden/>
              </w:rPr>
              <w:instrText xml:space="preserve"> PAGEREF _Toc61239957 \h </w:instrText>
            </w:r>
            <w:r w:rsidR="00AD00DE">
              <w:rPr>
                <w:noProof/>
                <w:webHidden/>
              </w:rPr>
            </w:r>
            <w:r w:rsidR="00AD00DE">
              <w:rPr>
                <w:noProof/>
                <w:webHidden/>
              </w:rPr>
              <w:fldChar w:fldCharType="separate"/>
            </w:r>
            <w:r w:rsidR="00AD00DE">
              <w:rPr>
                <w:noProof/>
                <w:webHidden/>
              </w:rPr>
              <w:t>8</w:t>
            </w:r>
            <w:r w:rsidR="00AD00DE">
              <w:rPr>
                <w:noProof/>
                <w:webHidden/>
              </w:rPr>
              <w:fldChar w:fldCharType="end"/>
            </w:r>
          </w:hyperlink>
        </w:p>
        <w:p w14:paraId="5F52D7C5" w14:textId="3E8D7E3B" w:rsidR="00AD00DE" w:rsidRDefault="00D12A84">
          <w:pPr>
            <w:pStyle w:val="TOC3"/>
            <w:rPr>
              <w:rFonts w:asciiTheme="minorHAnsi" w:eastAsiaTheme="minorEastAsia" w:hAnsiTheme="minorHAnsi" w:cstheme="minorBidi"/>
              <w:b w:val="0"/>
              <w:noProof/>
              <w:szCs w:val="22"/>
              <w:lang w:eastAsia="en-AU"/>
            </w:rPr>
          </w:pPr>
          <w:hyperlink w:anchor="_Toc61239958" w:history="1">
            <w:r w:rsidR="00AD00DE" w:rsidRPr="003C0A45">
              <w:rPr>
                <w:rStyle w:val="Hyperlink"/>
                <w:noProof/>
              </w:rPr>
              <w:t>Discontinued ingredient mixtures</w:t>
            </w:r>
            <w:r w:rsidR="00AD00DE">
              <w:rPr>
                <w:noProof/>
                <w:webHidden/>
              </w:rPr>
              <w:tab/>
            </w:r>
            <w:r w:rsidR="00AD00DE">
              <w:rPr>
                <w:noProof/>
                <w:webHidden/>
              </w:rPr>
              <w:fldChar w:fldCharType="begin"/>
            </w:r>
            <w:r w:rsidR="00AD00DE">
              <w:rPr>
                <w:noProof/>
                <w:webHidden/>
              </w:rPr>
              <w:instrText xml:space="preserve"> PAGEREF _Toc61239958 \h </w:instrText>
            </w:r>
            <w:r w:rsidR="00AD00DE">
              <w:rPr>
                <w:noProof/>
                <w:webHidden/>
              </w:rPr>
            </w:r>
            <w:r w:rsidR="00AD00DE">
              <w:rPr>
                <w:noProof/>
                <w:webHidden/>
              </w:rPr>
              <w:fldChar w:fldCharType="separate"/>
            </w:r>
            <w:r w:rsidR="00AD00DE">
              <w:rPr>
                <w:noProof/>
                <w:webHidden/>
              </w:rPr>
              <w:t>8</w:t>
            </w:r>
            <w:r w:rsidR="00AD00DE">
              <w:rPr>
                <w:noProof/>
                <w:webHidden/>
              </w:rPr>
              <w:fldChar w:fldCharType="end"/>
            </w:r>
          </w:hyperlink>
        </w:p>
        <w:p w14:paraId="082C8C8B" w14:textId="658310B1" w:rsidR="00AD00DE" w:rsidRDefault="00D12A84">
          <w:pPr>
            <w:pStyle w:val="TOC2"/>
            <w:rPr>
              <w:rFonts w:asciiTheme="minorHAnsi" w:eastAsiaTheme="minorEastAsia" w:hAnsiTheme="minorHAnsi" w:cstheme="minorBidi"/>
              <w:b w:val="0"/>
              <w:noProof/>
              <w:sz w:val="22"/>
              <w:szCs w:val="22"/>
              <w:lang w:eastAsia="en-AU"/>
            </w:rPr>
          </w:pPr>
          <w:hyperlink w:anchor="_Toc61239959" w:history="1">
            <w:r w:rsidR="00AD00DE" w:rsidRPr="003C0A45">
              <w:rPr>
                <w:rStyle w:val="Hyperlink"/>
                <w:noProof/>
              </w:rPr>
              <w:t>Opportunity to streamline administrative steps</w:t>
            </w:r>
            <w:r w:rsidR="00AD00DE">
              <w:rPr>
                <w:noProof/>
                <w:webHidden/>
              </w:rPr>
              <w:tab/>
            </w:r>
            <w:r w:rsidR="00AD00DE">
              <w:rPr>
                <w:noProof/>
                <w:webHidden/>
              </w:rPr>
              <w:fldChar w:fldCharType="begin"/>
            </w:r>
            <w:r w:rsidR="00AD00DE">
              <w:rPr>
                <w:noProof/>
                <w:webHidden/>
              </w:rPr>
              <w:instrText xml:space="preserve"> PAGEREF _Toc61239959 \h </w:instrText>
            </w:r>
            <w:r w:rsidR="00AD00DE">
              <w:rPr>
                <w:noProof/>
                <w:webHidden/>
              </w:rPr>
            </w:r>
            <w:r w:rsidR="00AD00DE">
              <w:rPr>
                <w:noProof/>
                <w:webHidden/>
              </w:rPr>
              <w:fldChar w:fldCharType="separate"/>
            </w:r>
            <w:r w:rsidR="00AD00DE">
              <w:rPr>
                <w:noProof/>
                <w:webHidden/>
              </w:rPr>
              <w:t>8</w:t>
            </w:r>
            <w:r w:rsidR="00AD00DE">
              <w:rPr>
                <w:noProof/>
                <w:webHidden/>
              </w:rPr>
              <w:fldChar w:fldCharType="end"/>
            </w:r>
          </w:hyperlink>
        </w:p>
        <w:p w14:paraId="30185A28" w14:textId="64001549" w:rsidR="00AD00DE" w:rsidRDefault="00D12A84">
          <w:pPr>
            <w:pStyle w:val="TOC1"/>
            <w:rPr>
              <w:rFonts w:asciiTheme="minorHAnsi" w:eastAsiaTheme="minorEastAsia" w:hAnsiTheme="minorHAnsi" w:cstheme="minorBidi"/>
              <w:b w:val="0"/>
              <w:noProof/>
              <w:sz w:val="22"/>
              <w:szCs w:val="22"/>
              <w:lang w:eastAsia="en-AU"/>
            </w:rPr>
          </w:pPr>
          <w:hyperlink w:anchor="_Toc61239960" w:history="1">
            <w:r w:rsidR="00AD00DE" w:rsidRPr="003C0A45">
              <w:rPr>
                <w:rStyle w:val="Hyperlink"/>
                <w:noProof/>
              </w:rPr>
              <w:t>Proposal 1: Discontinue processing of active ingredient mixtures into the Proprietary Ingredients Table</w:t>
            </w:r>
            <w:r w:rsidR="00AD00DE">
              <w:rPr>
                <w:noProof/>
                <w:webHidden/>
              </w:rPr>
              <w:tab/>
            </w:r>
            <w:r w:rsidR="00AD00DE">
              <w:rPr>
                <w:noProof/>
                <w:webHidden/>
              </w:rPr>
              <w:fldChar w:fldCharType="begin"/>
            </w:r>
            <w:r w:rsidR="00AD00DE">
              <w:rPr>
                <w:noProof/>
                <w:webHidden/>
              </w:rPr>
              <w:instrText xml:space="preserve"> PAGEREF _Toc61239960 \h </w:instrText>
            </w:r>
            <w:r w:rsidR="00AD00DE">
              <w:rPr>
                <w:noProof/>
                <w:webHidden/>
              </w:rPr>
            </w:r>
            <w:r w:rsidR="00AD00DE">
              <w:rPr>
                <w:noProof/>
                <w:webHidden/>
              </w:rPr>
              <w:fldChar w:fldCharType="separate"/>
            </w:r>
            <w:r w:rsidR="00AD00DE">
              <w:rPr>
                <w:noProof/>
                <w:webHidden/>
              </w:rPr>
              <w:t>9</w:t>
            </w:r>
            <w:r w:rsidR="00AD00DE">
              <w:rPr>
                <w:noProof/>
                <w:webHidden/>
              </w:rPr>
              <w:fldChar w:fldCharType="end"/>
            </w:r>
          </w:hyperlink>
        </w:p>
        <w:p w14:paraId="31478A12" w14:textId="6558C526" w:rsidR="00AD00DE" w:rsidRDefault="00D12A84">
          <w:pPr>
            <w:pStyle w:val="TOC2"/>
            <w:rPr>
              <w:rFonts w:asciiTheme="minorHAnsi" w:eastAsiaTheme="minorEastAsia" w:hAnsiTheme="minorHAnsi" w:cstheme="minorBidi"/>
              <w:b w:val="0"/>
              <w:noProof/>
              <w:sz w:val="22"/>
              <w:szCs w:val="22"/>
              <w:lang w:eastAsia="en-AU"/>
            </w:rPr>
          </w:pPr>
          <w:hyperlink w:anchor="_Toc61239961" w:history="1">
            <w:r w:rsidR="00AD00DE" w:rsidRPr="003C0A45">
              <w:rPr>
                <w:rStyle w:val="Hyperlink"/>
                <w:noProof/>
              </w:rPr>
              <w:t>About active ingredient mixtures</w:t>
            </w:r>
            <w:r w:rsidR="00AD00DE">
              <w:rPr>
                <w:noProof/>
                <w:webHidden/>
              </w:rPr>
              <w:tab/>
            </w:r>
            <w:r w:rsidR="00AD00DE">
              <w:rPr>
                <w:noProof/>
                <w:webHidden/>
              </w:rPr>
              <w:fldChar w:fldCharType="begin"/>
            </w:r>
            <w:r w:rsidR="00AD00DE">
              <w:rPr>
                <w:noProof/>
                <w:webHidden/>
              </w:rPr>
              <w:instrText xml:space="preserve"> PAGEREF _Toc61239961 \h </w:instrText>
            </w:r>
            <w:r w:rsidR="00AD00DE">
              <w:rPr>
                <w:noProof/>
                <w:webHidden/>
              </w:rPr>
            </w:r>
            <w:r w:rsidR="00AD00DE">
              <w:rPr>
                <w:noProof/>
                <w:webHidden/>
              </w:rPr>
              <w:fldChar w:fldCharType="separate"/>
            </w:r>
            <w:r w:rsidR="00AD00DE">
              <w:rPr>
                <w:noProof/>
                <w:webHidden/>
              </w:rPr>
              <w:t>9</w:t>
            </w:r>
            <w:r w:rsidR="00AD00DE">
              <w:rPr>
                <w:noProof/>
                <w:webHidden/>
              </w:rPr>
              <w:fldChar w:fldCharType="end"/>
            </w:r>
          </w:hyperlink>
        </w:p>
        <w:p w14:paraId="2088B0B4" w14:textId="095A5A32" w:rsidR="00AD00DE" w:rsidRDefault="00D12A84">
          <w:pPr>
            <w:pStyle w:val="TOC2"/>
            <w:rPr>
              <w:rFonts w:asciiTheme="minorHAnsi" w:eastAsiaTheme="minorEastAsia" w:hAnsiTheme="minorHAnsi" w:cstheme="minorBidi"/>
              <w:b w:val="0"/>
              <w:noProof/>
              <w:sz w:val="22"/>
              <w:szCs w:val="22"/>
              <w:lang w:eastAsia="en-AU"/>
            </w:rPr>
          </w:pPr>
          <w:hyperlink w:anchor="_Toc61239962" w:history="1">
            <w:r w:rsidR="00AD00DE" w:rsidRPr="003C0A45">
              <w:rPr>
                <w:rStyle w:val="Hyperlink"/>
                <w:noProof/>
              </w:rPr>
              <w:t>Streamlining administrative steps</w:t>
            </w:r>
            <w:r w:rsidR="00AD00DE">
              <w:rPr>
                <w:noProof/>
                <w:webHidden/>
              </w:rPr>
              <w:tab/>
            </w:r>
            <w:r w:rsidR="00AD00DE">
              <w:rPr>
                <w:noProof/>
                <w:webHidden/>
              </w:rPr>
              <w:fldChar w:fldCharType="begin"/>
            </w:r>
            <w:r w:rsidR="00AD00DE">
              <w:rPr>
                <w:noProof/>
                <w:webHidden/>
              </w:rPr>
              <w:instrText xml:space="preserve"> PAGEREF _Toc61239962 \h </w:instrText>
            </w:r>
            <w:r w:rsidR="00AD00DE">
              <w:rPr>
                <w:noProof/>
                <w:webHidden/>
              </w:rPr>
            </w:r>
            <w:r w:rsidR="00AD00DE">
              <w:rPr>
                <w:noProof/>
                <w:webHidden/>
              </w:rPr>
              <w:fldChar w:fldCharType="separate"/>
            </w:r>
            <w:r w:rsidR="00AD00DE">
              <w:rPr>
                <w:noProof/>
                <w:webHidden/>
              </w:rPr>
              <w:t>9</w:t>
            </w:r>
            <w:r w:rsidR="00AD00DE">
              <w:rPr>
                <w:noProof/>
                <w:webHidden/>
              </w:rPr>
              <w:fldChar w:fldCharType="end"/>
            </w:r>
          </w:hyperlink>
        </w:p>
        <w:p w14:paraId="36EFACE7" w14:textId="08BCDB4C" w:rsidR="00AD00DE" w:rsidRDefault="00D12A84">
          <w:pPr>
            <w:pStyle w:val="TOC3"/>
            <w:rPr>
              <w:rFonts w:asciiTheme="minorHAnsi" w:eastAsiaTheme="minorEastAsia" w:hAnsiTheme="minorHAnsi" w:cstheme="minorBidi"/>
              <w:b w:val="0"/>
              <w:noProof/>
              <w:szCs w:val="22"/>
              <w:lang w:eastAsia="en-AU"/>
            </w:rPr>
          </w:pPr>
          <w:hyperlink w:anchor="_Toc61239963" w:history="1">
            <w:r w:rsidR="00AD00DE" w:rsidRPr="003C0A45">
              <w:rPr>
                <w:rStyle w:val="Hyperlink"/>
                <w:noProof/>
              </w:rPr>
              <w:t>How does this affect suppliers and sponsors?</w:t>
            </w:r>
            <w:r w:rsidR="00AD00DE">
              <w:rPr>
                <w:noProof/>
                <w:webHidden/>
              </w:rPr>
              <w:tab/>
            </w:r>
            <w:r w:rsidR="00AD00DE">
              <w:rPr>
                <w:noProof/>
                <w:webHidden/>
              </w:rPr>
              <w:fldChar w:fldCharType="begin"/>
            </w:r>
            <w:r w:rsidR="00AD00DE">
              <w:rPr>
                <w:noProof/>
                <w:webHidden/>
              </w:rPr>
              <w:instrText xml:space="preserve"> PAGEREF _Toc61239963 \h </w:instrText>
            </w:r>
            <w:r w:rsidR="00AD00DE">
              <w:rPr>
                <w:noProof/>
                <w:webHidden/>
              </w:rPr>
            </w:r>
            <w:r w:rsidR="00AD00DE">
              <w:rPr>
                <w:noProof/>
                <w:webHidden/>
              </w:rPr>
              <w:fldChar w:fldCharType="separate"/>
            </w:r>
            <w:r w:rsidR="00AD00DE">
              <w:rPr>
                <w:noProof/>
                <w:webHidden/>
              </w:rPr>
              <w:t>10</w:t>
            </w:r>
            <w:r w:rsidR="00AD00DE">
              <w:rPr>
                <w:noProof/>
                <w:webHidden/>
              </w:rPr>
              <w:fldChar w:fldCharType="end"/>
            </w:r>
          </w:hyperlink>
        </w:p>
        <w:p w14:paraId="23C8E6A6" w14:textId="10716272" w:rsidR="00AD00DE" w:rsidRDefault="00D12A84">
          <w:pPr>
            <w:pStyle w:val="TOC3"/>
            <w:rPr>
              <w:rFonts w:asciiTheme="minorHAnsi" w:eastAsiaTheme="minorEastAsia" w:hAnsiTheme="minorHAnsi" w:cstheme="minorBidi"/>
              <w:b w:val="0"/>
              <w:noProof/>
              <w:szCs w:val="22"/>
              <w:lang w:eastAsia="en-AU"/>
            </w:rPr>
          </w:pPr>
          <w:hyperlink w:anchor="_Toc61239964" w:history="1">
            <w:r w:rsidR="00AD00DE" w:rsidRPr="003C0A45">
              <w:rPr>
                <w:rStyle w:val="Hyperlink"/>
                <w:noProof/>
              </w:rPr>
              <w:t>What is not changing?</w:t>
            </w:r>
            <w:r w:rsidR="00AD00DE">
              <w:rPr>
                <w:noProof/>
                <w:webHidden/>
              </w:rPr>
              <w:tab/>
            </w:r>
            <w:r w:rsidR="00AD00DE">
              <w:rPr>
                <w:noProof/>
                <w:webHidden/>
              </w:rPr>
              <w:fldChar w:fldCharType="begin"/>
            </w:r>
            <w:r w:rsidR="00AD00DE">
              <w:rPr>
                <w:noProof/>
                <w:webHidden/>
              </w:rPr>
              <w:instrText xml:space="preserve"> PAGEREF _Toc61239964 \h </w:instrText>
            </w:r>
            <w:r w:rsidR="00AD00DE">
              <w:rPr>
                <w:noProof/>
                <w:webHidden/>
              </w:rPr>
            </w:r>
            <w:r w:rsidR="00AD00DE">
              <w:rPr>
                <w:noProof/>
                <w:webHidden/>
              </w:rPr>
              <w:fldChar w:fldCharType="separate"/>
            </w:r>
            <w:r w:rsidR="00AD00DE">
              <w:rPr>
                <w:noProof/>
                <w:webHidden/>
              </w:rPr>
              <w:t>10</w:t>
            </w:r>
            <w:r w:rsidR="00AD00DE">
              <w:rPr>
                <w:noProof/>
                <w:webHidden/>
              </w:rPr>
              <w:fldChar w:fldCharType="end"/>
            </w:r>
          </w:hyperlink>
        </w:p>
        <w:p w14:paraId="6D4521C7" w14:textId="43AA55D0" w:rsidR="00AD00DE" w:rsidRDefault="00D12A84">
          <w:pPr>
            <w:pStyle w:val="TOC2"/>
            <w:rPr>
              <w:rFonts w:asciiTheme="minorHAnsi" w:eastAsiaTheme="minorEastAsia" w:hAnsiTheme="minorHAnsi" w:cstheme="minorBidi"/>
              <w:b w:val="0"/>
              <w:noProof/>
              <w:sz w:val="22"/>
              <w:szCs w:val="22"/>
              <w:lang w:eastAsia="en-AU"/>
            </w:rPr>
          </w:pPr>
          <w:hyperlink w:anchor="_Toc61239965" w:history="1">
            <w:r w:rsidR="00AD00DE" w:rsidRPr="003C0A45">
              <w:rPr>
                <w:rStyle w:val="Hyperlink"/>
                <w:noProof/>
              </w:rPr>
              <w:t>Questions</w:t>
            </w:r>
            <w:r w:rsidR="00AD00DE">
              <w:rPr>
                <w:noProof/>
                <w:webHidden/>
              </w:rPr>
              <w:tab/>
            </w:r>
            <w:r w:rsidR="00AD00DE">
              <w:rPr>
                <w:noProof/>
                <w:webHidden/>
              </w:rPr>
              <w:fldChar w:fldCharType="begin"/>
            </w:r>
            <w:r w:rsidR="00AD00DE">
              <w:rPr>
                <w:noProof/>
                <w:webHidden/>
              </w:rPr>
              <w:instrText xml:space="preserve"> PAGEREF _Toc61239965 \h </w:instrText>
            </w:r>
            <w:r w:rsidR="00AD00DE">
              <w:rPr>
                <w:noProof/>
                <w:webHidden/>
              </w:rPr>
            </w:r>
            <w:r w:rsidR="00AD00DE">
              <w:rPr>
                <w:noProof/>
                <w:webHidden/>
              </w:rPr>
              <w:fldChar w:fldCharType="separate"/>
            </w:r>
            <w:r w:rsidR="00AD00DE">
              <w:rPr>
                <w:noProof/>
                <w:webHidden/>
              </w:rPr>
              <w:t>10</w:t>
            </w:r>
            <w:r w:rsidR="00AD00DE">
              <w:rPr>
                <w:noProof/>
                <w:webHidden/>
              </w:rPr>
              <w:fldChar w:fldCharType="end"/>
            </w:r>
          </w:hyperlink>
        </w:p>
        <w:p w14:paraId="102DC755" w14:textId="4B8FEEEC" w:rsidR="00AD00DE" w:rsidRDefault="00D12A84">
          <w:pPr>
            <w:pStyle w:val="TOC1"/>
            <w:rPr>
              <w:rFonts w:asciiTheme="minorHAnsi" w:eastAsiaTheme="minorEastAsia" w:hAnsiTheme="minorHAnsi" w:cstheme="minorBidi"/>
              <w:b w:val="0"/>
              <w:noProof/>
              <w:sz w:val="22"/>
              <w:szCs w:val="22"/>
              <w:lang w:eastAsia="en-AU"/>
            </w:rPr>
          </w:pPr>
          <w:hyperlink w:anchor="_Toc61239966" w:history="1">
            <w:r w:rsidR="00AD00DE" w:rsidRPr="003C0A45">
              <w:rPr>
                <w:rStyle w:val="Hyperlink"/>
                <w:noProof/>
              </w:rPr>
              <w:t>Proposal 2: Discontinue processing of non-specific Excipient Mixes into the Proprietary Ingredients Table</w:t>
            </w:r>
            <w:r w:rsidR="00AD00DE">
              <w:rPr>
                <w:noProof/>
                <w:webHidden/>
              </w:rPr>
              <w:tab/>
            </w:r>
            <w:r w:rsidR="00AD00DE">
              <w:rPr>
                <w:noProof/>
                <w:webHidden/>
              </w:rPr>
              <w:fldChar w:fldCharType="begin"/>
            </w:r>
            <w:r w:rsidR="00AD00DE">
              <w:rPr>
                <w:noProof/>
                <w:webHidden/>
              </w:rPr>
              <w:instrText xml:space="preserve"> PAGEREF _Toc61239966 \h </w:instrText>
            </w:r>
            <w:r w:rsidR="00AD00DE">
              <w:rPr>
                <w:noProof/>
                <w:webHidden/>
              </w:rPr>
            </w:r>
            <w:r w:rsidR="00AD00DE">
              <w:rPr>
                <w:noProof/>
                <w:webHidden/>
              </w:rPr>
              <w:fldChar w:fldCharType="separate"/>
            </w:r>
            <w:r w:rsidR="00AD00DE">
              <w:rPr>
                <w:noProof/>
                <w:webHidden/>
              </w:rPr>
              <w:t>11</w:t>
            </w:r>
            <w:r w:rsidR="00AD00DE">
              <w:rPr>
                <w:noProof/>
                <w:webHidden/>
              </w:rPr>
              <w:fldChar w:fldCharType="end"/>
            </w:r>
          </w:hyperlink>
        </w:p>
        <w:p w14:paraId="4744BB0E" w14:textId="05977DAC" w:rsidR="00AD00DE" w:rsidRDefault="00D12A84">
          <w:pPr>
            <w:pStyle w:val="TOC2"/>
            <w:rPr>
              <w:rFonts w:asciiTheme="minorHAnsi" w:eastAsiaTheme="minorEastAsia" w:hAnsiTheme="minorHAnsi" w:cstheme="minorBidi"/>
              <w:b w:val="0"/>
              <w:noProof/>
              <w:sz w:val="22"/>
              <w:szCs w:val="22"/>
              <w:lang w:eastAsia="en-AU"/>
            </w:rPr>
          </w:pPr>
          <w:hyperlink w:anchor="_Toc61239967" w:history="1">
            <w:r w:rsidR="00AD00DE" w:rsidRPr="003C0A45">
              <w:rPr>
                <w:rStyle w:val="Hyperlink"/>
                <w:noProof/>
              </w:rPr>
              <w:t>About non-specific Excipient Mixes</w:t>
            </w:r>
            <w:r w:rsidR="00AD00DE">
              <w:rPr>
                <w:noProof/>
                <w:webHidden/>
              </w:rPr>
              <w:tab/>
            </w:r>
            <w:r w:rsidR="00AD00DE">
              <w:rPr>
                <w:noProof/>
                <w:webHidden/>
              </w:rPr>
              <w:fldChar w:fldCharType="begin"/>
            </w:r>
            <w:r w:rsidR="00AD00DE">
              <w:rPr>
                <w:noProof/>
                <w:webHidden/>
              </w:rPr>
              <w:instrText xml:space="preserve"> PAGEREF _Toc61239967 \h </w:instrText>
            </w:r>
            <w:r w:rsidR="00AD00DE">
              <w:rPr>
                <w:noProof/>
                <w:webHidden/>
              </w:rPr>
            </w:r>
            <w:r w:rsidR="00AD00DE">
              <w:rPr>
                <w:noProof/>
                <w:webHidden/>
              </w:rPr>
              <w:fldChar w:fldCharType="separate"/>
            </w:r>
            <w:r w:rsidR="00AD00DE">
              <w:rPr>
                <w:noProof/>
                <w:webHidden/>
              </w:rPr>
              <w:t>11</w:t>
            </w:r>
            <w:r w:rsidR="00AD00DE">
              <w:rPr>
                <w:noProof/>
                <w:webHidden/>
              </w:rPr>
              <w:fldChar w:fldCharType="end"/>
            </w:r>
          </w:hyperlink>
        </w:p>
        <w:p w14:paraId="32C8E440" w14:textId="1C6FA3BD" w:rsidR="00AD00DE" w:rsidRDefault="00D12A84">
          <w:pPr>
            <w:pStyle w:val="TOC2"/>
            <w:rPr>
              <w:rFonts w:asciiTheme="minorHAnsi" w:eastAsiaTheme="minorEastAsia" w:hAnsiTheme="minorHAnsi" w:cstheme="minorBidi"/>
              <w:b w:val="0"/>
              <w:noProof/>
              <w:sz w:val="22"/>
              <w:szCs w:val="22"/>
              <w:lang w:eastAsia="en-AU"/>
            </w:rPr>
          </w:pPr>
          <w:hyperlink w:anchor="_Toc61239968" w:history="1">
            <w:r w:rsidR="00AD00DE" w:rsidRPr="003C0A45">
              <w:rPr>
                <w:rStyle w:val="Hyperlink"/>
                <w:noProof/>
              </w:rPr>
              <w:t>Streamlining administrative steps</w:t>
            </w:r>
            <w:r w:rsidR="00AD00DE">
              <w:rPr>
                <w:noProof/>
                <w:webHidden/>
              </w:rPr>
              <w:tab/>
            </w:r>
            <w:r w:rsidR="00AD00DE">
              <w:rPr>
                <w:noProof/>
                <w:webHidden/>
              </w:rPr>
              <w:fldChar w:fldCharType="begin"/>
            </w:r>
            <w:r w:rsidR="00AD00DE">
              <w:rPr>
                <w:noProof/>
                <w:webHidden/>
              </w:rPr>
              <w:instrText xml:space="preserve"> PAGEREF _Toc61239968 \h </w:instrText>
            </w:r>
            <w:r w:rsidR="00AD00DE">
              <w:rPr>
                <w:noProof/>
                <w:webHidden/>
              </w:rPr>
            </w:r>
            <w:r w:rsidR="00AD00DE">
              <w:rPr>
                <w:noProof/>
                <w:webHidden/>
              </w:rPr>
              <w:fldChar w:fldCharType="separate"/>
            </w:r>
            <w:r w:rsidR="00AD00DE">
              <w:rPr>
                <w:noProof/>
                <w:webHidden/>
              </w:rPr>
              <w:t>11</w:t>
            </w:r>
            <w:r w:rsidR="00AD00DE">
              <w:rPr>
                <w:noProof/>
                <w:webHidden/>
              </w:rPr>
              <w:fldChar w:fldCharType="end"/>
            </w:r>
          </w:hyperlink>
        </w:p>
        <w:p w14:paraId="5FE92EC2" w14:textId="51B7FBA6" w:rsidR="00AD00DE" w:rsidRDefault="00D12A84">
          <w:pPr>
            <w:pStyle w:val="TOC3"/>
            <w:rPr>
              <w:rFonts w:asciiTheme="minorHAnsi" w:eastAsiaTheme="minorEastAsia" w:hAnsiTheme="minorHAnsi" w:cstheme="minorBidi"/>
              <w:b w:val="0"/>
              <w:noProof/>
              <w:szCs w:val="22"/>
              <w:lang w:eastAsia="en-AU"/>
            </w:rPr>
          </w:pPr>
          <w:hyperlink w:anchor="_Toc61239969" w:history="1">
            <w:r w:rsidR="00AD00DE" w:rsidRPr="003C0A45">
              <w:rPr>
                <w:rStyle w:val="Hyperlink"/>
                <w:noProof/>
              </w:rPr>
              <w:t>How does this affect suppliers and sponsors?</w:t>
            </w:r>
            <w:r w:rsidR="00AD00DE">
              <w:rPr>
                <w:noProof/>
                <w:webHidden/>
              </w:rPr>
              <w:tab/>
            </w:r>
            <w:r w:rsidR="00AD00DE">
              <w:rPr>
                <w:noProof/>
                <w:webHidden/>
              </w:rPr>
              <w:fldChar w:fldCharType="begin"/>
            </w:r>
            <w:r w:rsidR="00AD00DE">
              <w:rPr>
                <w:noProof/>
                <w:webHidden/>
              </w:rPr>
              <w:instrText xml:space="preserve"> PAGEREF _Toc61239969 \h </w:instrText>
            </w:r>
            <w:r w:rsidR="00AD00DE">
              <w:rPr>
                <w:noProof/>
                <w:webHidden/>
              </w:rPr>
            </w:r>
            <w:r w:rsidR="00AD00DE">
              <w:rPr>
                <w:noProof/>
                <w:webHidden/>
              </w:rPr>
              <w:fldChar w:fldCharType="separate"/>
            </w:r>
            <w:r w:rsidR="00AD00DE">
              <w:rPr>
                <w:noProof/>
                <w:webHidden/>
              </w:rPr>
              <w:t>12</w:t>
            </w:r>
            <w:r w:rsidR="00AD00DE">
              <w:rPr>
                <w:noProof/>
                <w:webHidden/>
              </w:rPr>
              <w:fldChar w:fldCharType="end"/>
            </w:r>
          </w:hyperlink>
        </w:p>
        <w:p w14:paraId="0FB3BB92" w14:textId="4BB0FE77" w:rsidR="00AD00DE" w:rsidRDefault="00D12A84">
          <w:pPr>
            <w:pStyle w:val="TOC2"/>
            <w:rPr>
              <w:rFonts w:asciiTheme="minorHAnsi" w:eastAsiaTheme="minorEastAsia" w:hAnsiTheme="minorHAnsi" w:cstheme="minorBidi"/>
              <w:b w:val="0"/>
              <w:noProof/>
              <w:sz w:val="22"/>
              <w:szCs w:val="22"/>
              <w:lang w:eastAsia="en-AU"/>
            </w:rPr>
          </w:pPr>
          <w:hyperlink w:anchor="_Toc61239970" w:history="1">
            <w:r w:rsidR="00AD00DE" w:rsidRPr="003C0A45">
              <w:rPr>
                <w:rStyle w:val="Hyperlink"/>
                <w:noProof/>
              </w:rPr>
              <w:t>Questions</w:t>
            </w:r>
            <w:r w:rsidR="00AD00DE">
              <w:rPr>
                <w:noProof/>
                <w:webHidden/>
              </w:rPr>
              <w:tab/>
            </w:r>
            <w:r w:rsidR="00AD00DE">
              <w:rPr>
                <w:noProof/>
                <w:webHidden/>
              </w:rPr>
              <w:fldChar w:fldCharType="begin"/>
            </w:r>
            <w:r w:rsidR="00AD00DE">
              <w:rPr>
                <w:noProof/>
                <w:webHidden/>
              </w:rPr>
              <w:instrText xml:space="preserve"> PAGEREF _Toc61239970 \h </w:instrText>
            </w:r>
            <w:r w:rsidR="00AD00DE">
              <w:rPr>
                <w:noProof/>
                <w:webHidden/>
              </w:rPr>
            </w:r>
            <w:r w:rsidR="00AD00DE">
              <w:rPr>
                <w:noProof/>
                <w:webHidden/>
              </w:rPr>
              <w:fldChar w:fldCharType="separate"/>
            </w:r>
            <w:r w:rsidR="00AD00DE">
              <w:rPr>
                <w:noProof/>
                <w:webHidden/>
              </w:rPr>
              <w:t>12</w:t>
            </w:r>
            <w:r w:rsidR="00AD00DE">
              <w:rPr>
                <w:noProof/>
                <w:webHidden/>
              </w:rPr>
              <w:fldChar w:fldCharType="end"/>
            </w:r>
          </w:hyperlink>
        </w:p>
        <w:p w14:paraId="2E352247" w14:textId="027599C3" w:rsidR="00B92C72" w:rsidRPr="009401F6" w:rsidRDefault="006C626D" w:rsidP="0023397F">
          <w:r w:rsidRPr="009401F6">
            <w:fldChar w:fldCharType="end"/>
          </w:r>
        </w:p>
      </w:sdtContent>
    </w:sdt>
    <w:p w14:paraId="4770D024" w14:textId="77777777" w:rsidR="00F8365F" w:rsidRPr="009401F6" w:rsidRDefault="00F8365F" w:rsidP="008A07FF">
      <w:r w:rsidRPr="009401F6">
        <w:br w:type="page"/>
      </w:r>
    </w:p>
    <w:p w14:paraId="4DEDC075" w14:textId="4B27F721" w:rsidR="001525B4" w:rsidRDefault="00E26E8C" w:rsidP="00FB59CE">
      <w:pPr>
        <w:pStyle w:val="Heading2"/>
      </w:pPr>
      <w:bookmarkStart w:id="1" w:name="_Toc61239948"/>
      <w:bookmarkEnd w:id="0"/>
      <w:r>
        <w:lastRenderedPageBreak/>
        <w:t>Overview</w:t>
      </w:r>
      <w:bookmarkEnd w:id="1"/>
    </w:p>
    <w:p w14:paraId="7D551037" w14:textId="50E96AE6" w:rsidR="009267D3" w:rsidRDefault="00A32891" w:rsidP="00452AA3">
      <w:r>
        <w:t>The Therapeutic Goods Administration (TGA) is</w:t>
      </w:r>
      <w:r w:rsidR="00452AA3">
        <w:t xml:space="preserve"> </w:t>
      </w:r>
      <w:r w:rsidR="009267D3">
        <w:t xml:space="preserve">seeking feedback </w:t>
      </w:r>
      <w:r w:rsidR="00452AA3">
        <w:t xml:space="preserve">on </w:t>
      </w:r>
      <w:r w:rsidR="009267D3">
        <w:t xml:space="preserve">a </w:t>
      </w:r>
      <w:r w:rsidR="00664C03">
        <w:t>p</w:t>
      </w:r>
      <w:r w:rsidR="009267D3">
        <w:t>roposal</w:t>
      </w:r>
      <w:r w:rsidR="00452AA3">
        <w:t xml:space="preserve"> to </w:t>
      </w:r>
      <w:r w:rsidR="009A1604">
        <w:t xml:space="preserve">streamline </w:t>
      </w:r>
      <w:r w:rsidR="009267D3">
        <w:t>how</w:t>
      </w:r>
      <w:r w:rsidR="009A1604">
        <w:t xml:space="preserve"> information </w:t>
      </w:r>
      <w:r w:rsidR="009267D3">
        <w:t xml:space="preserve">about </w:t>
      </w:r>
      <w:r w:rsidR="00D955D4">
        <w:t>certain</w:t>
      </w:r>
      <w:r w:rsidR="00554464">
        <w:t xml:space="preserve"> </w:t>
      </w:r>
      <w:r w:rsidR="009267D3">
        <w:t xml:space="preserve">therapeutic </w:t>
      </w:r>
      <w:r w:rsidR="00D80A1B">
        <w:t>good</w:t>
      </w:r>
      <w:r w:rsidR="009267D3">
        <w:t>s formulation</w:t>
      </w:r>
      <w:r w:rsidR="00D955D4">
        <w:t xml:space="preserve">s </w:t>
      </w:r>
      <w:r w:rsidR="00AB14A2">
        <w:t>is</w:t>
      </w:r>
      <w:r w:rsidR="008E2719">
        <w:t xml:space="preserve"> entered </w:t>
      </w:r>
      <w:r w:rsidR="00664C03">
        <w:t>in</w:t>
      </w:r>
      <w:r w:rsidR="009A1604">
        <w:t xml:space="preserve">to </w:t>
      </w:r>
      <w:r w:rsidR="009267D3">
        <w:t>TGA electronic systems when seeking</w:t>
      </w:r>
      <w:r w:rsidR="009A1604">
        <w:t xml:space="preserve"> market approval</w:t>
      </w:r>
      <w:r w:rsidR="006B6202">
        <w:t xml:space="preserve">. </w:t>
      </w:r>
    </w:p>
    <w:p w14:paraId="6DEF245B" w14:textId="342B971C" w:rsidR="00BE7058" w:rsidRDefault="00452AA3" w:rsidP="00FF560E">
      <w:r>
        <w:t xml:space="preserve">Specifically, </w:t>
      </w:r>
      <w:r w:rsidR="006B6202">
        <w:t xml:space="preserve">we </w:t>
      </w:r>
      <w:r>
        <w:t>propos</w:t>
      </w:r>
      <w:r w:rsidR="00FF560E">
        <w:t>e</w:t>
      </w:r>
      <w:r w:rsidR="006B6202">
        <w:t xml:space="preserve"> to </w:t>
      </w:r>
      <w:r w:rsidR="009267D3">
        <w:t>d</w:t>
      </w:r>
      <w:r w:rsidR="006B6202">
        <w:t xml:space="preserve">iscontinue </w:t>
      </w:r>
      <w:r w:rsidR="009267D3">
        <w:t xml:space="preserve">entering certain types of formulations into a </w:t>
      </w:r>
      <w:r w:rsidR="00FF560E">
        <w:t>subordinate database of ingredient mixtures (known as the Proprietary Ingredient</w:t>
      </w:r>
      <w:r w:rsidR="00595675">
        <w:t>s</w:t>
      </w:r>
      <w:r w:rsidR="00FF560E">
        <w:t xml:space="preserve"> Table) before they are selected into therapeutic goods application</w:t>
      </w:r>
      <w:r w:rsidR="009219F9">
        <w:t>s for inclusion</w:t>
      </w:r>
      <w:r w:rsidR="00FF560E">
        <w:t xml:space="preserve"> </w:t>
      </w:r>
      <w:r w:rsidR="009219F9">
        <w:t>in</w:t>
      </w:r>
      <w:r w:rsidR="00FF560E">
        <w:t xml:space="preserve"> the </w:t>
      </w:r>
      <w:hyperlink r:id="rId13" w:history="1">
        <w:r w:rsidR="00A32891" w:rsidRPr="00A32891">
          <w:rPr>
            <w:rStyle w:val="Hyperlink"/>
          </w:rPr>
          <w:t>Australian Register of Therapeutic Goods</w:t>
        </w:r>
      </w:hyperlink>
      <w:r w:rsidR="00A32891" w:rsidRPr="00A32891">
        <w:rPr>
          <w:vertAlign w:val="superscript"/>
        </w:rPr>
        <w:footnoteReference w:id="1"/>
      </w:r>
      <w:r w:rsidR="00A32891" w:rsidRPr="00A32891">
        <w:t xml:space="preserve"> (ARTG)</w:t>
      </w:r>
      <w:r w:rsidR="00FF560E">
        <w:t xml:space="preserve">. </w:t>
      </w:r>
    </w:p>
    <w:p w14:paraId="0750E750" w14:textId="0E52CBB5" w:rsidR="00D3520C" w:rsidRDefault="00D3520C" w:rsidP="00FF560E">
      <w:r>
        <w:t>Under this proposal there would be no change to how a medicine is evaluated, or to the ingredient information that is displayed on labels or in the public summaries of medicines on the ARTG.</w:t>
      </w:r>
    </w:p>
    <w:p w14:paraId="03807D35" w14:textId="56198757" w:rsidR="005469D0" w:rsidRDefault="005469D0" w:rsidP="005469D0">
      <w:pPr>
        <w:pStyle w:val="Heading3"/>
      </w:pPr>
      <w:bookmarkStart w:id="2" w:name="_Toc61239949"/>
      <w:r>
        <w:t>Scope</w:t>
      </w:r>
      <w:bookmarkEnd w:id="2"/>
    </w:p>
    <w:p w14:paraId="601D877D" w14:textId="5A66D3D0" w:rsidR="00452AA3" w:rsidRDefault="00FF560E" w:rsidP="00FF560E">
      <w:r>
        <w:t xml:space="preserve">The focus on this activity is </w:t>
      </w:r>
      <w:r w:rsidR="00D955D4">
        <w:t xml:space="preserve">limited to </w:t>
      </w:r>
      <w:r>
        <w:t xml:space="preserve">ingredient mixtures that contain an active ingredient </w:t>
      </w:r>
      <w:r w:rsidR="00BE7058">
        <w:t>(known as ‘Active Premixes’ and ‘Active Herbal Extracts’)</w:t>
      </w:r>
      <w:r w:rsidR="008004DB">
        <w:t>,</w:t>
      </w:r>
      <w:r w:rsidR="00BE7058">
        <w:t xml:space="preserve"> </w:t>
      </w:r>
      <w:r>
        <w:t xml:space="preserve">and </w:t>
      </w:r>
      <w:r w:rsidR="008E653C">
        <w:t>non-specific</w:t>
      </w:r>
      <w:r>
        <w:t xml:space="preserve"> </w:t>
      </w:r>
      <w:r w:rsidR="00BE7058">
        <w:t>‘E</w:t>
      </w:r>
      <w:r>
        <w:t xml:space="preserve">xcipient </w:t>
      </w:r>
      <w:r w:rsidR="00BE7058">
        <w:t>M</w:t>
      </w:r>
      <w:r>
        <w:t>i</w:t>
      </w:r>
      <w:r w:rsidR="00BE7058">
        <w:t>xes’</w:t>
      </w:r>
      <w:r w:rsidR="008004DB">
        <w:t>, which do not provide sufficient information on the purpose of the mixture</w:t>
      </w:r>
      <w:r>
        <w:t>.</w:t>
      </w:r>
    </w:p>
    <w:p w14:paraId="37068C93" w14:textId="3CCB9508" w:rsidR="006F16E9" w:rsidRDefault="00452AA3" w:rsidP="00452AA3">
      <w:r>
        <w:t>Through this activity</w:t>
      </w:r>
      <w:r w:rsidR="006F16E9">
        <w:t xml:space="preserve"> </w:t>
      </w:r>
      <w:r>
        <w:t>we seek to</w:t>
      </w:r>
      <w:r w:rsidR="006F16E9">
        <w:t>:</w:t>
      </w:r>
    </w:p>
    <w:p w14:paraId="0A27D1AC" w14:textId="692125E0" w:rsidR="006F16E9" w:rsidRPr="005469D0" w:rsidRDefault="006F16E9" w:rsidP="00E31C2E">
      <w:pPr>
        <w:pStyle w:val="ListBullet"/>
      </w:pPr>
      <w:r w:rsidRPr="006F16E9">
        <w:t>i</w:t>
      </w:r>
      <w:r w:rsidRPr="005469D0">
        <w:t>mprove the integrity of the data held within the</w:t>
      </w:r>
      <w:r w:rsidR="005469D0">
        <w:t xml:space="preserve"> TGA’s Ingredients</w:t>
      </w:r>
      <w:r w:rsidRPr="005469D0">
        <w:t xml:space="preserve"> </w:t>
      </w:r>
      <w:r w:rsidR="005469D0">
        <w:t>R</w:t>
      </w:r>
      <w:r w:rsidRPr="005469D0">
        <w:t>epository</w:t>
      </w:r>
    </w:p>
    <w:p w14:paraId="3782ADA3" w14:textId="2CFE9D7A" w:rsidR="006F16E9" w:rsidRPr="005469D0" w:rsidRDefault="00452AA3" w:rsidP="00E31C2E">
      <w:pPr>
        <w:pStyle w:val="ListBullet"/>
      </w:pPr>
      <w:r w:rsidRPr="005469D0">
        <w:t xml:space="preserve">reduce unnecessary work for </w:t>
      </w:r>
      <w:r w:rsidR="005469D0">
        <w:t xml:space="preserve">active </w:t>
      </w:r>
      <w:r w:rsidR="00376869" w:rsidRPr="005469D0">
        <w:t>ingredient suppliers</w:t>
      </w:r>
      <w:r w:rsidR="00EE157F" w:rsidRPr="005469D0">
        <w:t>,</w:t>
      </w:r>
      <w:r w:rsidR="008004DB" w:rsidRPr="005469D0">
        <w:t xml:space="preserve"> </w:t>
      </w:r>
      <w:r w:rsidR="00EE157F" w:rsidRPr="005469D0">
        <w:t xml:space="preserve">such as </w:t>
      </w:r>
      <w:r w:rsidR="00772174" w:rsidRPr="005469D0">
        <w:t xml:space="preserve">the need to </w:t>
      </w:r>
      <w:r w:rsidR="008004DB" w:rsidRPr="005469D0">
        <w:t xml:space="preserve">submit </w:t>
      </w:r>
      <w:r w:rsidR="00EE157F" w:rsidRPr="005469D0">
        <w:t>details of their mixture to the TGA</w:t>
      </w:r>
      <w:r w:rsidR="002E241A" w:rsidRPr="005469D0">
        <w:t xml:space="preserve">, </w:t>
      </w:r>
      <w:r w:rsidR="00835159">
        <w:t xml:space="preserve">and </w:t>
      </w:r>
    </w:p>
    <w:p w14:paraId="055D7D1D" w14:textId="04541D47" w:rsidR="00595675" w:rsidRPr="005469D0" w:rsidRDefault="00D955D4" w:rsidP="00E31C2E">
      <w:pPr>
        <w:pStyle w:val="ListBullet"/>
      </w:pPr>
      <w:r w:rsidRPr="005469D0">
        <w:t xml:space="preserve">remove </w:t>
      </w:r>
      <w:r w:rsidR="00AD13C3">
        <w:t>redundant</w:t>
      </w:r>
      <w:r w:rsidR="005469D0">
        <w:t xml:space="preserve"> </w:t>
      </w:r>
      <w:r w:rsidRPr="005469D0">
        <w:t>processes that are resource intensive for TGA</w:t>
      </w:r>
      <w:r w:rsidR="005469D0">
        <w:t xml:space="preserve"> and industry</w:t>
      </w:r>
      <w:r w:rsidR="005E24A9" w:rsidRPr="005469D0">
        <w:t>.</w:t>
      </w:r>
    </w:p>
    <w:p w14:paraId="0025A24F" w14:textId="0458CCD1" w:rsidR="00D955D4" w:rsidRDefault="006F16E9" w:rsidP="00452AA3">
      <w:r>
        <w:t>The scope of this consultation paper is purposely limited</w:t>
      </w:r>
      <w:r w:rsidR="008C6252">
        <w:t xml:space="preserve"> </w:t>
      </w:r>
      <w:r w:rsidR="009219F9">
        <w:t xml:space="preserve">to </w:t>
      </w:r>
      <w:r w:rsidR="008C6252">
        <w:t>the above categories</w:t>
      </w:r>
      <w:r>
        <w:t xml:space="preserve">. We recognise </w:t>
      </w:r>
      <w:r w:rsidR="005469D0">
        <w:t xml:space="preserve">that there have been </w:t>
      </w:r>
      <w:r>
        <w:t xml:space="preserve">calls for a </w:t>
      </w:r>
      <w:r w:rsidR="005469D0">
        <w:t>broader</w:t>
      </w:r>
      <w:r w:rsidR="00D955D4">
        <w:t xml:space="preserve"> review </w:t>
      </w:r>
      <w:r>
        <w:t xml:space="preserve">of </w:t>
      </w:r>
      <w:r w:rsidR="00D955D4">
        <w:t xml:space="preserve">the overall policies or processes for all </w:t>
      </w:r>
      <w:r w:rsidR="008C6252">
        <w:t>categories of mixtures in the P</w:t>
      </w:r>
      <w:r w:rsidR="00D955D4">
        <w:t xml:space="preserve">roprietary </w:t>
      </w:r>
      <w:r w:rsidR="008C6252">
        <w:t>I</w:t>
      </w:r>
      <w:r w:rsidR="00D955D4">
        <w:t xml:space="preserve">ngredient </w:t>
      </w:r>
      <w:r w:rsidR="008C6252">
        <w:t>Table</w:t>
      </w:r>
      <w:r w:rsidR="00084A1A">
        <w:t>.</w:t>
      </w:r>
      <w:r w:rsidR="00D955D4">
        <w:t xml:space="preserve"> </w:t>
      </w:r>
      <w:r w:rsidR="00084A1A">
        <w:t xml:space="preserve">However, </w:t>
      </w:r>
      <w:r w:rsidR="00E31C2E">
        <w:t>the</w:t>
      </w:r>
      <w:r w:rsidR="008C6252">
        <w:t xml:space="preserve"> benefits and challenges associated with</w:t>
      </w:r>
      <w:r w:rsidR="00E31C2E">
        <w:t xml:space="preserve"> </w:t>
      </w:r>
      <w:r w:rsidR="008C6252">
        <w:t>entering mixtures into the</w:t>
      </w:r>
      <w:r w:rsidR="00E31C2E">
        <w:t xml:space="preserve"> </w:t>
      </w:r>
      <w:r w:rsidR="008C6252">
        <w:t>Proprietary Ingredient</w:t>
      </w:r>
      <w:r w:rsidR="009219F9">
        <w:t>s</w:t>
      </w:r>
      <w:r w:rsidR="008C6252">
        <w:t xml:space="preserve"> Table are different depending on the mixture’s purpose and formulation</w:t>
      </w:r>
      <w:r w:rsidR="00D955D4">
        <w:t xml:space="preserve">. </w:t>
      </w:r>
    </w:p>
    <w:p w14:paraId="2A66D630" w14:textId="03A22AC7" w:rsidR="00E26E8C" w:rsidRDefault="00E26E8C" w:rsidP="008004DB">
      <w:pPr>
        <w:pStyle w:val="Heading2"/>
      </w:pPr>
      <w:bookmarkStart w:id="3" w:name="_Toc61239950"/>
      <w:r>
        <w:t xml:space="preserve">Why we are </w:t>
      </w:r>
      <w:proofErr w:type="gramStart"/>
      <w:r>
        <w:t>consulting</w:t>
      </w:r>
      <w:bookmarkEnd w:id="3"/>
      <w:proofErr w:type="gramEnd"/>
    </w:p>
    <w:p w14:paraId="5F66A893" w14:textId="77777777" w:rsidR="002E241A" w:rsidRDefault="002E241A" w:rsidP="00F748E6">
      <w:r>
        <w:t>We are seeking your views on:</w:t>
      </w:r>
    </w:p>
    <w:p w14:paraId="7AA7953F" w14:textId="30A4941C" w:rsidR="002E241A" w:rsidRDefault="0018528A" w:rsidP="008004DB">
      <w:pPr>
        <w:pStyle w:val="ListBullet"/>
      </w:pPr>
      <w:r>
        <w:t xml:space="preserve">how </w:t>
      </w:r>
      <w:r w:rsidR="00312EF2">
        <w:t>our</w:t>
      </w:r>
      <w:r w:rsidR="00F748E6">
        <w:t xml:space="preserve"> </w:t>
      </w:r>
      <w:r w:rsidR="00312EF2">
        <w:t xml:space="preserve">proposal to stop processing new </w:t>
      </w:r>
      <w:r w:rsidR="00312EF2" w:rsidRPr="00F748E6">
        <w:t>Act</w:t>
      </w:r>
      <w:r w:rsidR="00312EF2">
        <w:t xml:space="preserve">ive Premixes, </w:t>
      </w:r>
      <w:r w:rsidR="00312EF2" w:rsidRPr="00F748E6">
        <w:t>Active Herbal Extracts and non-specific Excipient Mix</w:t>
      </w:r>
      <w:r w:rsidR="00312EF2">
        <w:t xml:space="preserve">es into the </w:t>
      </w:r>
      <w:r w:rsidR="00312EF2" w:rsidRPr="00F748E6">
        <w:t>Proprietary Ingredient</w:t>
      </w:r>
      <w:r w:rsidR="00595675">
        <w:t>s</w:t>
      </w:r>
      <w:r w:rsidR="00312EF2" w:rsidRPr="00F748E6">
        <w:t xml:space="preserve"> Table</w:t>
      </w:r>
      <w:r w:rsidR="00312EF2">
        <w:t xml:space="preserve"> </w:t>
      </w:r>
      <w:r w:rsidR="00285D43">
        <w:t>would a</w:t>
      </w:r>
      <w:r>
        <w:t>ffect you</w:t>
      </w:r>
    </w:p>
    <w:p w14:paraId="7F4FBC60" w14:textId="5FEBC2E0" w:rsidR="00E26E8C" w:rsidRDefault="00312EF2" w:rsidP="008004DB">
      <w:pPr>
        <w:pStyle w:val="ListBullet"/>
      </w:pPr>
      <w:r>
        <w:t xml:space="preserve">the </w:t>
      </w:r>
      <w:r w:rsidR="002E241A">
        <w:t xml:space="preserve">proposed </w:t>
      </w:r>
      <w:r w:rsidR="00F748E6">
        <w:t xml:space="preserve">approach for </w:t>
      </w:r>
      <w:r w:rsidR="00F748E6" w:rsidRPr="00F748E6">
        <w:t xml:space="preserve">managing </w:t>
      </w:r>
      <w:r w:rsidR="002E241A">
        <w:t>these types of entries</w:t>
      </w:r>
      <w:r w:rsidR="00F748E6">
        <w:t xml:space="preserve"> previously </w:t>
      </w:r>
      <w:proofErr w:type="gramStart"/>
      <w:r>
        <w:t>entered into</w:t>
      </w:r>
      <w:proofErr w:type="gramEnd"/>
      <w:r>
        <w:t xml:space="preserve"> the </w:t>
      </w:r>
      <w:r w:rsidR="002E241A" w:rsidRPr="00F748E6">
        <w:t>Proprietary Ingredient</w:t>
      </w:r>
      <w:r w:rsidR="002E241A">
        <w:t>s</w:t>
      </w:r>
      <w:r w:rsidR="002E241A" w:rsidRPr="00F748E6">
        <w:t xml:space="preserve"> </w:t>
      </w:r>
      <w:r>
        <w:t>Table.</w:t>
      </w:r>
    </w:p>
    <w:p w14:paraId="6C73BE1B" w14:textId="77777777" w:rsidR="00312EF2" w:rsidRDefault="00312EF2" w:rsidP="00312EF2">
      <w:r w:rsidRPr="00312EF2">
        <w:t>We invite you to provide your feedback by completing our online survey (click on the link below)</w:t>
      </w:r>
      <w:r>
        <w:t xml:space="preserve">. </w:t>
      </w:r>
    </w:p>
    <w:p w14:paraId="78478CD2" w14:textId="68E58E8B" w:rsidR="00312EF2" w:rsidRDefault="00312EF2" w:rsidP="00312EF2">
      <w:r>
        <w:t>We will consider any feedback received before a decision is made. We will also publicly announce the outcomes of this consultation</w:t>
      </w:r>
      <w:r w:rsidR="00C42499">
        <w:t xml:space="preserve"> and publish your responses, unless you specifically request that they be kept confidential</w:t>
      </w:r>
      <w:r>
        <w:t xml:space="preserve">. </w:t>
      </w:r>
    </w:p>
    <w:p w14:paraId="147643DA" w14:textId="34D2BF4E" w:rsidR="00312EF2" w:rsidRDefault="00312EF2" w:rsidP="00312EF2">
      <w:r>
        <w:lastRenderedPageBreak/>
        <w:t xml:space="preserve">Once decided, we </w:t>
      </w:r>
      <w:r w:rsidR="00835159">
        <w:t xml:space="preserve">aim </w:t>
      </w:r>
      <w:r>
        <w:t xml:space="preserve">to implement the proposal in </w:t>
      </w:r>
      <w:r w:rsidR="009C3B41">
        <w:t>the first half of</w:t>
      </w:r>
      <w:r>
        <w:t xml:space="preserve"> 2021.</w:t>
      </w:r>
      <w:r w:rsidR="009C3B41">
        <w:t xml:space="preserve"> </w:t>
      </w:r>
      <w:r w:rsidR="00595675">
        <w:t>The TGA’s Proprietary Ingredient processes are purely administrative. N</w:t>
      </w:r>
      <w:r w:rsidR="009C3B41">
        <w:t>o legislative changes would be needed to implement this proposal.</w:t>
      </w:r>
    </w:p>
    <w:p w14:paraId="0CB01CC8" w14:textId="662EA459" w:rsidR="008B7FE8" w:rsidRPr="008004DB" w:rsidRDefault="008B7FE8" w:rsidP="008004DB">
      <w:pPr>
        <w:pBdr>
          <w:top w:val="single" w:sz="4" w:space="1" w:color="auto"/>
          <w:left w:val="single" w:sz="4" w:space="4" w:color="auto"/>
          <w:bottom w:val="single" w:sz="4" w:space="1" w:color="auto"/>
          <w:right w:val="single" w:sz="4" w:space="4" w:color="auto"/>
        </w:pBdr>
        <w:rPr>
          <w:b/>
        </w:rPr>
      </w:pPr>
      <w:r w:rsidRPr="008004DB">
        <w:rPr>
          <w:b/>
        </w:rPr>
        <w:t xml:space="preserve">Have your </w:t>
      </w:r>
      <w:proofErr w:type="gramStart"/>
      <w:r w:rsidRPr="008004DB">
        <w:rPr>
          <w:b/>
        </w:rPr>
        <w:t>say</w:t>
      </w:r>
      <w:proofErr w:type="gramEnd"/>
    </w:p>
    <w:p w14:paraId="0647507E" w14:textId="3AEBD072" w:rsidR="008B7FE8" w:rsidRDefault="008B7FE8" w:rsidP="00C42499">
      <w:pPr>
        <w:pBdr>
          <w:top w:val="single" w:sz="4" w:space="1" w:color="auto"/>
          <w:left w:val="single" w:sz="4" w:space="4" w:color="auto"/>
          <w:bottom w:val="single" w:sz="4" w:space="1" w:color="auto"/>
          <w:right w:val="single" w:sz="4" w:space="4" w:color="auto"/>
        </w:pBdr>
      </w:pPr>
      <w:r>
        <w:t>Invitation to provide feedback – online survey</w:t>
      </w:r>
      <w:r>
        <w:br w:type="page"/>
      </w:r>
    </w:p>
    <w:p w14:paraId="40BEE88C" w14:textId="7780C95B" w:rsidR="008B7FE8" w:rsidRDefault="008B7FE8" w:rsidP="009C3B41">
      <w:pPr>
        <w:pStyle w:val="Heading2"/>
      </w:pPr>
      <w:bookmarkStart w:id="4" w:name="_Toc61239951"/>
      <w:r>
        <w:lastRenderedPageBreak/>
        <w:t>Background</w:t>
      </w:r>
      <w:bookmarkEnd w:id="4"/>
    </w:p>
    <w:p w14:paraId="517DA5C9" w14:textId="731420CE" w:rsidR="00376869" w:rsidRDefault="00A32891" w:rsidP="00376869">
      <w:pPr>
        <w:pStyle w:val="Heading3"/>
      </w:pPr>
      <w:bookmarkStart w:id="5" w:name="_Toc61239952"/>
      <w:r>
        <w:t xml:space="preserve">Formulations of therapeutic goods </w:t>
      </w:r>
      <w:r w:rsidR="009219F9">
        <w:t xml:space="preserve">in </w:t>
      </w:r>
      <w:r>
        <w:t>ARTG</w:t>
      </w:r>
      <w:r w:rsidR="009219F9">
        <w:t xml:space="preserve"> entries</w:t>
      </w:r>
      <w:bookmarkEnd w:id="5"/>
    </w:p>
    <w:p w14:paraId="14B39B14" w14:textId="7865A242" w:rsidR="008E2719" w:rsidRDefault="008E2719" w:rsidP="00376869">
      <w:r>
        <w:t xml:space="preserve">The </w:t>
      </w:r>
      <w:r w:rsidR="00C42499" w:rsidRPr="00C42499">
        <w:t xml:space="preserve">Australian Register of Therapeutic Goods </w:t>
      </w:r>
      <w:r w:rsidR="00C42499">
        <w:t>(</w:t>
      </w:r>
      <w:r>
        <w:t>ARTG</w:t>
      </w:r>
      <w:r w:rsidR="00C42499">
        <w:t>)</w:t>
      </w:r>
      <w:r>
        <w:t xml:space="preserve"> is a </w:t>
      </w:r>
      <w:r w:rsidR="00B27CFA">
        <w:t>database</w:t>
      </w:r>
      <w:r>
        <w:t xml:space="preserve"> within the TGA’s electronic-Business System (TBS). </w:t>
      </w:r>
      <w:r w:rsidR="00376869" w:rsidRPr="00376869">
        <w:t xml:space="preserve">Each therapeutic good (medicine, device and biological) approved for sale or supply in Australia </w:t>
      </w:r>
      <w:r w:rsidR="0012491C">
        <w:t>must be</w:t>
      </w:r>
      <w:r w:rsidR="0012491C" w:rsidRPr="00376869">
        <w:t xml:space="preserve"> </w:t>
      </w:r>
      <w:r w:rsidR="00376869" w:rsidRPr="00376869">
        <w:t xml:space="preserve">entered on the </w:t>
      </w:r>
      <w:r w:rsidR="00376869">
        <w:t>ARTG, unless exempt</w:t>
      </w:r>
      <w:r w:rsidR="00376869" w:rsidRPr="00376869">
        <w:t xml:space="preserve">. </w:t>
      </w:r>
    </w:p>
    <w:p w14:paraId="7EA1D0DE" w14:textId="45EAC4BC" w:rsidR="00B27CFA" w:rsidRDefault="005D6116" w:rsidP="00376869">
      <w:r>
        <w:t>E</w:t>
      </w:r>
      <w:r w:rsidR="00A32891">
        <w:t xml:space="preserve">ach electronic </w:t>
      </w:r>
      <w:r w:rsidR="00376869">
        <w:t xml:space="preserve">ARTG </w:t>
      </w:r>
      <w:r w:rsidR="00A32891">
        <w:t>record</w:t>
      </w:r>
      <w:r w:rsidR="00376869">
        <w:t xml:space="preserve"> </w:t>
      </w:r>
      <w:r w:rsidR="001242CC">
        <w:t>contains</w:t>
      </w:r>
      <w:r w:rsidR="00376869">
        <w:t xml:space="preserve"> </w:t>
      </w:r>
      <w:r w:rsidR="001242CC">
        <w:t>information about the</w:t>
      </w:r>
      <w:r w:rsidR="00A32891">
        <w:t xml:space="preserve"> ingredients within th</w:t>
      </w:r>
      <w:r w:rsidR="00FD355B">
        <w:t>at</w:t>
      </w:r>
      <w:r w:rsidR="00A32891">
        <w:t xml:space="preserve"> </w:t>
      </w:r>
      <w:r w:rsidR="00FD355B">
        <w:t xml:space="preserve">good’s </w:t>
      </w:r>
      <w:r w:rsidR="00B27CFA">
        <w:t>formulation</w:t>
      </w:r>
      <w:r>
        <w:t>. This includes information on the role that each ingredient plays in the formulation (</w:t>
      </w:r>
      <w:proofErr w:type="gramStart"/>
      <w:r>
        <w:t>i.e.</w:t>
      </w:r>
      <w:proofErr w:type="gramEnd"/>
      <w:r>
        <w:t xml:space="preserve"> as a therapeutically active ingredient or as an excipient)</w:t>
      </w:r>
      <w:r w:rsidR="00B27CFA">
        <w:t>:</w:t>
      </w:r>
    </w:p>
    <w:p w14:paraId="3B3614AB" w14:textId="585EFBAA" w:rsidR="00B27CFA" w:rsidRDefault="00B27CFA" w:rsidP="00B27CFA">
      <w:pPr>
        <w:pStyle w:val="ListBullet"/>
      </w:pPr>
      <w:r>
        <w:t>m</w:t>
      </w:r>
      <w:r w:rsidR="00A32891">
        <w:t xml:space="preserve">edicines and biologicals </w:t>
      </w:r>
      <w:r w:rsidR="00FD355B">
        <w:t>can have</w:t>
      </w:r>
      <w:r w:rsidR="00A32891">
        <w:t xml:space="preserve"> </w:t>
      </w:r>
      <w:r w:rsidR="005D6116">
        <w:t xml:space="preserve">both </w:t>
      </w:r>
      <w:r w:rsidR="00A32891">
        <w:t xml:space="preserve">active </w:t>
      </w:r>
      <w:r w:rsidR="00FD355B">
        <w:t xml:space="preserve">ingredients and </w:t>
      </w:r>
      <w:proofErr w:type="gramStart"/>
      <w:r w:rsidR="00A32891">
        <w:t>excipient</w:t>
      </w:r>
      <w:r w:rsidR="00FD355B">
        <w:t>s</w:t>
      </w:r>
      <w:proofErr w:type="gramEnd"/>
    </w:p>
    <w:p w14:paraId="510035C2" w14:textId="756ECC9F" w:rsidR="001242CC" w:rsidRDefault="00A32891" w:rsidP="00B27CFA">
      <w:pPr>
        <w:pStyle w:val="ListBullet"/>
      </w:pPr>
      <w:r>
        <w:t xml:space="preserve">other therapeutic goods </w:t>
      </w:r>
      <w:r w:rsidR="001242CC">
        <w:t xml:space="preserve">(such as disinfectants) </w:t>
      </w:r>
      <w:r w:rsidR="00B27CFA">
        <w:t xml:space="preserve">can </w:t>
      </w:r>
      <w:r>
        <w:t>only contain ingredients</w:t>
      </w:r>
      <w:r w:rsidR="001242CC">
        <w:t xml:space="preserve"> marked as excipients within the electronic system</w:t>
      </w:r>
      <w:r>
        <w:t>.</w:t>
      </w:r>
      <w:r w:rsidR="001242CC">
        <w:t xml:space="preserve"> </w:t>
      </w:r>
    </w:p>
    <w:p w14:paraId="247AC69B" w14:textId="587381ED" w:rsidR="00452AA3" w:rsidRDefault="008E2719" w:rsidP="003166BF">
      <w:pPr>
        <w:pStyle w:val="Heading3"/>
      </w:pPr>
      <w:bookmarkStart w:id="6" w:name="_Toc61239953"/>
      <w:r>
        <w:t>I</w:t>
      </w:r>
      <w:r w:rsidR="00452AA3">
        <w:t xml:space="preserve">ngredients </w:t>
      </w:r>
      <w:r>
        <w:t>Repository</w:t>
      </w:r>
      <w:bookmarkEnd w:id="6"/>
      <w:r w:rsidR="00452AA3">
        <w:t xml:space="preserve"> </w:t>
      </w:r>
    </w:p>
    <w:p w14:paraId="40ADE936" w14:textId="3974474E" w:rsidR="008E2719" w:rsidRDefault="007857F8" w:rsidP="00452AA3">
      <w:r>
        <w:t xml:space="preserve">The TGA </w:t>
      </w:r>
      <w:r w:rsidR="001553BD">
        <w:t xml:space="preserve">maintains a database of ingredients </w:t>
      </w:r>
      <w:r>
        <w:t xml:space="preserve">used to describe the formulations of </w:t>
      </w:r>
      <w:r w:rsidR="001553BD">
        <w:t xml:space="preserve">therapeutic goods </w:t>
      </w:r>
      <w:r>
        <w:t>on the ARTG</w:t>
      </w:r>
      <w:r w:rsidR="008004DB">
        <w:t>, termed the</w:t>
      </w:r>
      <w:r w:rsidR="00CA30E1">
        <w:t xml:space="preserve"> Ingredients Repository</w:t>
      </w:r>
      <w:r w:rsidR="005D6116">
        <w:t>.</w:t>
      </w:r>
      <w:r w:rsidR="008004DB">
        <w:t xml:space="preserve"> </w:t>
      </w:r>
      <w:r w:rsidR="005D6116">
        <w:t xml:space="preserve">This Repository </w:t>
      </w:r>
      <w:r w:rsidR="00FD355B">
        <w:t xml:space="preserve">is </w:t>
      </w:r>
      <w:r w:rsidR="005D6116">
        <w:t xml:space="preserve">composed of </w:t>
      </w:r>
      <w:r w:rsidR="00CA30E1">
        <w:t xml:space="preserve">two </w:t>
      </w:r>
      <w:r w:rsidR="005D6116">
        <w:t>t</w:t>
      </w:r>
      <w:r w:rsidR="00B27CFA">
        <w:t>ables</w:t>
      </w:r>
      <w:r w:rsidR="00FD355B">
        <w:t>:</w:t>
      </w:r>
    </w:p>
    <w:p w14:paraId="08A12202" w14:textId="3CE04D02" w:rsidR="00FD355B" w:rsidRDefault="00FD355B" w:rsidP="00FD355B">
      <w:pPr>
        <w:pStyle w:val="ListBullet"/>
      </w:pPr>
      <w:r>
        <w:t>Ingredient</w:t>
      </w:r>
      <w:r w:rsidR="002E241A">
        <w:t>s</w:t>
      </w:r>
      <w:r>
        <w:t xml:space="preserve"> Table - </w:t>
      </w:r>
      <w:r w:rsidRPr="00FD355B">
        <w:t xml:space="preserve">contains </w:t>
      </w:r>
      <w:r w:rsidR="005D6116">
        <w:t>the</w:t>
      </w:r>
      <w:r w:rsidR="005D6116" w:rsidRPr="00FD355B">
        <w:t xml:space="preserve"> </w:t>
      </w:r>
      <w:r w:rsidRPr="00FD355B">
        <w:t xml:space="preserve">names </w:t>
      </w:r>
      <w:r w:rsidR="005D6116">
        <w:t xml:space="preserve">that have been approved </w:t>
      </w:r>
      <w:r w:rsidRPr="00FD355B">
        <w:t>for ingredients used in the formulations of therapeutic goods on the ARTG</w:t>
      </w:r>
      <w:r>
        <w:t>.</w:t>
      </w:r>
    </w:p>
    <w:p w14:paraId="3BC1D1D9" w14:textId="38BB08E9" w:rsidR="00FD355B" w:rsidRDefault="00FD355B" w:rsidP="00FD355B">
      <w:pPr>
        <w:pStyle w:val="ListBullet"/>
      </w:pPr>
      <w:r>
        <w:t>Proprietary Ingredient</w:t>
      </w:r>
      <w:r w:rsidR="002E241A">
        <w:t>s</w:t>
      </w:r>
      <w:r>
        <w:t xml:space="preserve"> Table - contains information about mixtures of ingredients, known as ‘proprietary </w:t>
      </w:r>
      <w:proofErr w:type="gramStart"/>
      <w:r>
        <w:t>ingredients’</w:t>
      </w:r>
      <w:proofErr w:type="gramEnd"/>
      <w:r>
        <w:t xml:space="preserve"> </w:t>
      </w:r>
      <w:r w:rsidR="00AB2FC8">
        <w:t>or PIs</w:t>
      </w:r>
      <w:r>
        <w:t>.</w:t>
      </w:r>
      <w:r w:rsidR="00AB2FC8">
        <w:t xml:space="preserve"> </w:t>
      </w:r>
      <w:r w:rsidR="00DB579E">
        <w:t>The formulation</w:t>
      </w:r>
      <w:r w:rsidR="005C1359">
        <w:t>s</w:t>
      </w:r>
      <w:r w:rsidR="00DB579E">
        <w:t xml:space="preserve"> </w:t>
      </w:r>
      <w:r w:rsidR="005C1359">
        <w:t>of</w:t>
      </w:r>
      <w:r w:rsidR="00DB579E">
        <w:t xml:space="preserve"> e</w:t>
      </w:r>
      <w:r w:rsidR="00B20110">
        <w:t>ntries in the Proprietary Ingredient</w:t>
      </w:r>
      <w:r w:rsidR="002E241A">
        <w:t>s</w:t>
      </w:r>
      <w:r w:rsidR="00B20110">
        <w:t xml:space="preserve"> Table use ingredient </w:t>
      </w:r>
      <w:r w:rsidR="00B20110" w:rsidRPr="00FD355B">
        <w:t xml:space="preserve">names </w:t>
      </w:r>
      <w:r w:rsidR="00B20110">
        <w:t>sourced from the Ingredient</w:t>
      </w:r>
      <w:r w:rsidR="002E241A">
        <w:t>s</w:t>
      </w:r>
      <w:r w:rsidR="00B20110">
        <w:t xml:space="preserve"> Table.</w:t>
      </w:r>
    </w:p>
    <w:p w14:paraId="35941DD4" w14:textId="11B2676E" w:rsidR="00595675" w:rsidRDefault="00C42499" w:rsidP="00772174">
      <w:r>
        <w:t>Entries in t</w:t>
      </w:r>
      <w:r w:rsidR="00595675">
        <w:t>he Ingredient</w:t>
      </w:r>
      <w:r w:rsidR="002E241A">
        <w:t>s</w:t>
      </w:r>
      <w:r w:rsidR="00595675">
        <w:t xml:space="preserve"> and Proprietary Ingredient</w:t>
      </w:r>
      <w:r w:rsidR="002E241A">
        <w:t>s</w:t>
      </w:r>
      <w:r w:rsidR="00595675">
        <w:t xml:space="preserve"> Tables can be viewed on the </w:t>
      </w:r>
      <w:hyperlink r:id="rId14" w:history="1">
        <w:r w:rsidR="00595675" w:rsidRPr="00595675">
          <w:rPr>
            <w:rStyle w:val="Hyperlink"/>
          </w:rPr>
          <w:t>TBS website</w:t>
        </w:r>
      </w:hyperlink>
      <w:r w:rsidR="00595675">
        <w:t>, under Public TGA Information.</w:t>
      </w:r>
    </w:p>
    <w:p w14:paraId="3E4DAFA5" w14:textId="4D78C26E" w:rsidR="005A37FE" w:rsidRPr="005A37FE" w:rsidRDefault="005A37FE" w:rsidP="003166BF">
      <w:pPr>
        <w:pStyle w:val="Heading4"/>
      </w:pPr>
      <w:bookmarkStart w:id="7" w:name="_Toc61239954"/>
      <w:r w:rsidRPr="005A37FE">
        <w:t xml:space="preserve">Types of formulations in </w:t>
      </w:r>
      <w:r w:rsidR="005C1359">
        <w:t xml:space="preserve">the </w:t>
      </w:r>
      <w:r w:rsidRPr="005A37FE">
        <w:t>Proprietary Ingredient</w:t>
      </w:r>
      <w:r w:rsidR="0018528A">
        <w:t>s</w:t>
      </w:r>
      <w:r w:rsidRPr="005A37FE">
        <w:t xml:space="preserve"> Table</w:t>
      </w:r>
      <w:bookmarkEnd w:id="7"/>
    </w:p>
    <w:p w14:paraId="5A08A7AF" w14:textId="7533693F" w:rsidR="00C716B1" w:rsidRDefault="00C42499" w:rsidP="005A37FE">
      <w:r>
        <w:t>I</w:t>
      </w:r>
      <w:r w:rsidR="005A37FE">
        <w:t>ngredient mix</w:t>
      </w:r>
      <w:r w:rsidR="00E34F3B">
        <w:t>es</w:t>
      </w:r>
      <w:r w:rsidR="005A37FE">
        <w:t xml:space="preserve"> in the Proprietary Ingredient</w:t>
      </w:r>
      <w:r w:rsidR="0018528A">
        <w:t>s</w:t>
      </w:r>
      <w:r w:rsidR="005A37FE">
        <w:t xml:space="preserve"> Table </w:t>
      </w:r>
      <w:r>
        <w:t xml:space="preserve">must </w:t>
      </w:r>
      <w:r w:rsidR="005A37FE">
        <w:t>ha</w:t>
      </w:r>
      <w:r w:rsidR="00E34F3B">
        <w:t>ve</w:t>
      </w:r>
      <w:r w:rsidR="005A37FE">
        <w:t xml:space="preserve"> an identified role or purpose</w:t>
      </w:r>
      <w:r w:rsidR="00DB579E">
        <w:t>, with</w:t>
      </w:r>
      <w:r w:rsidR="005A37FE">
        <w:t xml:space="preserve"> 1</w:t>
      </w:r>
      <w:r>
        <w:t>4</w:t>
      </w:r>
      <w:r w:rsidR="005A37FE">
        <w:t xml:space="preserve"> categories available. </w:t>
      </w:r>
      <w:r w:rsidR="00056791">
        <w:t xml:space="preserve">Most </w:t>
      </w:r>
      <w:r w:rsidR="00C716B1">
        <w:t>categories</w:t>
      </w:r>
      <w:r w:rsidR="005A37FE">
        <w:t xml:space="preserve"> are</w:t>
      </w:r>
      <w:r w:rsidR="00C716B1">
        <w:t xml:space="preserve"> for</w:t>
      </w:r>
      <w:r w:rsidR="005A37FE">
        <w:t xml:space="preserve"> mixes containing only excipient</w:t>
      </w:r>
      <w:r w:rsidR="00C716B1">
        <w:t xml:space="preserve"> ingredients; </w:t>
      </w:r>
      <w:r w:rsidR="00E67F75">
        <w:t>two</w:t>
      </w:r>
      <w:r w:rsidR="00C716B1">
        <w:t xml:space="preserve"> categories</w:t>
      </w:r>
      <w:r w:rsidR="00E67F75">
        <w:t xml:space="preserve"> contain a therapeutically</w:t>
      </w:r>
      <w:r w:rsidR="005A37FE">
        <w:t xml:space="preserve"> active ingredient</w:t>
      </w:r>
      <w:r w:rsidR="00433C8F">
        <w:t>, as outlined below:</w:t>
      </w:r>
    </w:p>
    <w:p w14:paraId="668503BD" w14:textId="77777777" w:rsidR="0005797C" w:rsidRDefault="0005797C" w:rsidP="005A37FE">
      <w:pPr>
        <w:sectPr w:rsidR="0005797C" w:rsidSect="0074066C">
          <w:headerReference w:type="default" r:id="rId15"/>
          <w:footerReference w:type="default" r:id="rId16"/>
          <w:headerReference w:type="first" r:id="rId17"/>
          <w:type w:val="continuous"/>
          <w:pgSz w:w="11906" w:h="16838" w:code="9"/>
          <w:pgMar w:top="1530" w:right="1418" w:bottom="1361" w:left="1418" w:header="998" w:footer="283" w:gutter="0"/>
          <w:cols w:space="708"/>
          <w:titlePg/>
          <w:docGrid w:linePitch="360"/>
        </w:sectPr>
      </w:pPr>
    </w:p>
    <w:p w14:paraId="5405ED2A" w14:textId="16541E1A" w:rsidR="0005797C" w:rsidRPr="00056791" w:rsidRDefault="0005797C" w:rsidP="00056791">
      <w:pPr>
        <w:pStyle w:val="ListBullet"/>
        <w:rPr>
          <w:i/>
        </w:rPr>
      </w:pPr>
      <w:r w:rsidRPr="0005797C">
        <w:t xml:space="preserve">Active pre-mix - </w:t>
      </w:r>
      <w:r w:rsidRPr="00056791">
        <w:rPr>
          <w:i/>
        </w:rPr>
        <w:t xml:space="preserve">contains an active </w:t>
      </w:r>
      <w:proofErr w:type="gramStart"/>
      <w:r w:rsidRPr="00056791">
        <w:rPr>
          <w:i/>
        </w:rPr>
        <w:t>ingredient</w:t>
      </w:r>
      <w:proofErr w:type="gramEnd"/>
    </w:p>
    <w:p w14:paraId="02683C27" w14:textId="77777777" w:rsidR="0005797C" w:rsidRPr="00056791" w:rsidRDefault="0005797C" w:rsidP="00056791">
      <w:pPr>
        <w:pStyle w:val="ListBullet"/>
        <w:rPr>
          <w:i/>
        </w:rPr>
      </w:pPr>
      <w:r w:rsidRPr="0005797C">
        <w:t xml:space="preserve">Active herbal extract - </w:t>
      </w:r>
      <w:r w:rsidRPr="00056791">
        <w:rPr>
          <w:i/>
        </w:rPr>
        <w:t xml:space="preserve">contains an active </w:t>
      </w:r>
      <w:proofErr w:type="gramStart"/>
      <w:r w:rsidRPr="00056791">
        <w:rPr>
          <w:i/>
        </w:rPr>
        <w:t>ingredient</w:t>
      </w:r>
      <w:proofErr w:type="gramEnd"/>
    </w:p>
    <w:p w14:paraId="73D85A1D" w14:textId="77777777" w:rsidR="0005797C" w:rsidRPr="0005797C" w:rsidRDefault="0005797C" w:rsidP="00056791">
      <w:pPr>
        <w:pStyle w:val="ListBullet"/>
      </w:pPr>
      <w:r w:rsidRPr="0005797C">
        <w:t>Adhesive</w:t>
      </w:r>
    </w:p>
    <w:p w14:paraId="4E060259" w14:textId="77777777" w:rsidR="0005797C" w:rsidRPr="0005797C" w:rsidRDefault="0005797C" w:rsidP="00056791">
      <w:pPr>
        <w:pStyle w:val="ListBullet"/>
      </w:pPr>
      <w:r w:rsidRPr="0005797C">
        <w:t>Capsule shell formulation</w:t>
      </w:r>
    </w:p>
    <w:p w14:paraId="5794EBD2" w14:textId="77777777" w:rsidR="0005797C" w:rsidRPr="0005797C" w:rsidRDefault="0005797C" w:rsidP="00056791">
      <w:pPr>
        <w:pStyle w:val="ListBullet"/>
      </w:pPr>
      <w:r w:rsidRPr="0005797C">
        <w:t>Coating material</w:t>
      </w:r>
    </w:p>
    <w:p w14:paraId="0727A8D1" w14:textId="77777777" w:rsidR="0005797C" w:rsidRPr="0005797C" w:rsidRDefault="0005797C" w:rsidP="00056791">
      <w:pPr>
        <w:pStyle w:val="ListBullet"/>
      </w:pPr>
      <w:r w:rsidRPr="0005797C">
        <w:t>Colour</w:t>
      </w:r>
    </w:p>
    <w:p w14:paraId="1783FF05" w14:textId="77777777" w:rsidR="0005797C" w:rsidRPr="0005797C" w:rsidRDefault="0005797C" w:rsidP="00056791">
      <w:pPr>
        <w:pStyle w:val="ListBullet"/>
      </w:pPr>
      <w:r w:rsidRPr="0005797C">
        <w:t>Cream (Ointment) base</w:t>
      </w:r>
    </w:p>
    <w:p w14:paraId="3DDB12EC" w14:textId="4922560A" w:rsidR="0005797C" w:rsidRPr="0005797C" w:rsidRDefault="0005797C" w:rsidP="00056791">
      <w:pPr>
        <w:pStyle w:val="ListBullet"/>
      </w:pPr>
      <w:r w:rsidRPr="0005797C">
        <w:t xml:space="preserve">Excipient mix </w:t>
      </w:r>
      <w:r w:rsidRPr="00056791">
        <w:rPr>
          <w:i/>
        </w:rPr>
        <w:t xml:space="preserve">– </w:t>
      </w:r>
      <w:r w:rsidR="00056791" w:rsidRPr="00056791">
        <w:rPr>
          <w:i/>
        </w:rPr>
        <w:t>non-specific</w:t>
      </w:r>
      <w:r w:rsidRPr="00056791">
        <w:rPr>
          <w:i/>
        </w:rPr>
        <w:t xml:space="preserve"> categor</w:t>
      </w:r>
      <w:r w:rsidRPr="0005797C">
        <w:t>y</w:t>
      </w:r>
    </w:p>
    <w:p w14:paraId="1871B2BE" w14:textId="77777777" w:rsidR="0005797C" w:rsidRPr="0005797C" w:rsidRDefault="0005797C" w:rsidP="00056791">
      <w:pPr>
        <w:pStyle w:val="ListBullet"/>
      </w:pPr>
      <w:r w:rsidRPr="0005797C">
        <w:t>Flavour</w:t>
      </w:r>
    </w:p>
    <w:p w14:paraId="5CE2CFAE" w14:textId="77777777" w:rsidR="0005797C" w:rsidRPr="0005797C" w:rsidRDefault="0005797C" w:rsidP="00056791">
      <w:pPr>
        <w:pStyle w:val="ListBullet"/>
      </w:pPr>
      <w:r w:rsidRPr="0005797C">
        <w:t>Fragrance</w:t>
      </w:r>
    </w:p>
    <w:p w14:paraId="044629F2" w14:textId="77777777" w:rsidR="0005797C" w:rsidRPr="0005797C" w:rsidRDefault="0005797C" w:rsidP="00056791">
      <w:pPr>
        <w:pStyle w:val="ListBullet"/>
      </w:pPr>
      <w:r w:rsidRPr="0005797C">
        <w:t>Ink</w:t>
      </w:r>
    </w:p>
    <w:p w14:paraId="12C3D354" w14:textId="77777777" w:rsidR="0005797C" w:rsidRPr="0005797C" w:rsidRDefault="0005797C" w:rsidP="00056791">
      <w:pPr>
        <w:pStyle w:val="ListBullet"/>
      </w:pPr>
      <w:r w:rsidRPr="0005797C">
        <w:t>Oral base</w:t>
      </w:r>
    </w:p>
    <w:p w14:paraId="7D8EE9A5" w14:textId="77777777" w:rsidR="0005797C" w:rsidRPr="0005797C" w:rsidRDefault="0005797C" w:rsidP="00056791">
      <w:pPr>
        <w:pStyle w:val="ListBullet"/>
      </w:pPr>
      <w:r w:rsidRPr="0005797C">
        <w:t>Preservative mix</w:t>
      </w:r>
    </w:p>
    <w:p w14:paraId="159A90D8" w14:textId="71D947DB" w:rsidR="0005797C" w:rsidRDefault="0005797C" w:rsidP="00056791">
      <w:pPr>
        <w:pStyle w:val="ListBullet"/>
      </w:pPr>
      <w:r w:rsidRPr="0005797C">
        <w:t>Sweetener</w:t>
      </w:r>
    </w:p>
    <w:p w14:paraId="37A67F2A" w14:textId="77777777" w:rsidR="00056791" w:rsidRDefault="00056791" w:rsidP="00E34F3B">
      <w:pPr>
        <w:pStyle w:val="ListBullet"/>
        <w:numPr>
          <w:ilvl w:val="0"/>
          <w:numId w:val="0"/>
        </w:numPr>
      </w:pPr>
    </w:p>
    <w:p w14:paraId="192672DE" w14:textId="77777777" w:rsidR="0005797C" w:rsidRDefault="0005797C" w:rsidP="005A37FE">
      <w:pPr>
        <w:sectPr w:rsidR="0005797C" w:rsidSect="00E34F3B">
          <w:type w:val="continuous"/>
          <w:pgSz w:w="11906" w:h="16838" w:code="9"/>
          <w:pgMar w:top="1530" w:right="1418" w:bottom="1361" w:left="1418" w:header="998" w:footer="283" w:gutter="0"/>
          <w:cols w:num="2" w:sep="1" w:space="709"/>
          <w:titlePg/>
          <w:docGrid w:linePitch="360"/>
        </w:sectPr>
      </w:pPr>
    </w:p>
    <w:p w14:paraId="08C5FEB9" w14:textId="668E6094" w:rsidR="00DE74A8" w:rsidRPr="00DE74A8" w:rsidRDefault="00DE74A8" w:rsidP="003166BF">
      <w:pPr>
        <w:pStyle w:val="Heading4"/>
      </w:pPr>
      <w:bookmarkStart w:id="8" w:name="_Toc61239955"/>
      <w:r w:rsidRPr="00DE74A8">
        <w:lastRenderedPageBreak/>
        <w:t xml:space="preserve">Creating entries in </w:t>
      </w:r>
      <w:r>
        <w:t xml:space="preserve">the </w:t>
      </w:r>
      <w:r w:rsidRPr="00DE74A8">
        <w:t>Proprietary Ingredient</w:t>
      </w:r>
      <w:r w:rsidR="0018528A">
        <w:t>s</w:t>
      </w:r>
      <w:r w:rsidRPr="00DE74A8">
        <w:t xml:space="preserve"> Table</w:t>
      </w:r>
      <w:bookmarkEnd w:id="8"/>
    </w:p>
    <w:p w14:paraId="7905595B" w14:textId="7F5A773A" w:rsidR="00A25E7C" w:rsidRDefault="00DE74A8" w:rsidP="00DE74A8">
      <w:r>
        <w:t>Ingredient suppliers wishing to enter their mixture into the Proprietary Ingredient</w:t>
      </w:r>
      <w:r w:rsidR="0018528A">
        <w:t>s</w:t>
      </w:r>
      <w:r>
        <w:t xml:space="preserve"> Table submit a form to the TGA with information about the constituent ingredients in their product, the </w:t>
      </w:r>
      <w:r w:rsidR="0012491C">
        <w:t xml:space="preserve">mixture’s </w:t>
      </w:r>
      <w:proofErr w:type="gramStart"/>
      <w:r>
        <w:t>purpose</w:t>
      </w:r>
      <w:proofErr w:type="gramEnd"/>
      <w:r>
        <w:t xml:space="preserve"> and which types of therapeutic goods the product is intended to be used in. Once entered in the Table, a </w:t>
      </w:r>
      <w:r w:rsidR="0012491C">
        <w:t xml:space="preserve">unique </w:t>
      </w:r>
      <w:r>
        <w:t xml:space="preserve">‘PI’ identification number is </w:t>
      </w:r>
      <w:proofErr w:type="gramStart"/>
      <w:r>
        <w:t>auto-generated</w:t>
      </w:r>
      <w:proofErr w:type="gramEnd"/>
      <w:r>
        <w:t>.</w:t>
      </w:r>
      <w:r w:rsidR="00A25E7C" w:rsidRPr="00A25E7C">
        <w:t xml:space="preserve"> </w:t>
      </w:r>
    </w:p>
    <w:p w14:paraId="79B32F99" w14:textId="4C807648" w:rsidR="001D7EF4" w:rsidRDefault="00A25E7C" w:rsidP="00DE74A8">
      <w:r>
        <w:t>Additional administrative steps are required where a</w:t>
      </w:r>
      <w:r w:rsidR="005C1359">
        <w:t>n</w:t>
      </w:r>
      <w:r>
        <w:t xml:space="preserve"> ingredient</w:t>
      </w:r>
      <w:r w:rsidR="005C1359">
        <w:t xml:space="preserve"> mixture</w:t>
      </w:r>
      <w:r>
        <w:t xml:space="preserve"> is intended for use in a listed medicine. For each</w:t>
      </w:r>
      <w:r w:rsidR="00DB579E">
        <w:t xml:space="preserve"> such</w:t>
      </w:r>
      <w:r>
        <w:t xml:space="preserve"> mixture </w:t>
      </w:r>
      <w:proofErr w:type="gramStart"/>
      <w:r>
        <w:t>entered into</w:t>
      </w:r>
      <w:proofErr w:type="gramEnd"/>
      <w:r>
        <w:t xml:space="preserve"> the Proprietary Ingredient</w:t>
      </w:r>
      <w:r w:rsidR="0018528A">
        <w:t>s</w:t>
      </w:r>
      <w:r>
        <w:t xml:space="preserve"> Table, validation rules</w:t>
      </w:r>
      <w:r w:rsidR="00FB0341">
        <w:t xml:space="preserve"> </w:t>
      </w:r>
      <w:r>
        <w:t xml:space="preserve">need to be </w:t>
      </w:r>
      <w:r w:rsidR="007458F7">
        <w:t xml:space="preserve">manually encoded </w:t>
      </w:r>
      <w:r>
        <w:t>to allow applications containing that mix to validate</w:t>
      </w:r>
      <w:r w:rsidR="00FB0341" w:rsidRPr="00FB0341">
        <w:t xml:space="preserve"> </w:t>
      </w:r>
      <w:r w:rsidR="00FB0341">
        <w:t>in the listed medicines system</w:t>
      </w:r>
      <w:r>
        <w:t xml:space="preserve">. </w:t>
      </w:r>
      <w:r w:rsidR="007458F7">
        <w:t>These rules need to be created in addition to existing validation rules for individual ingredients.</w:t>
      </w:r>
    </w:p>
    <w:p w14:paraId="0BC538E7" w14:textId="22EC31DE" w:rsidR="005A37FE" w:rsidRDefault="0012491C" w:rsidP="00DE74A8">
      <w:r>
        <w:t xml:space="preserve">The process for entering new mixtures in the </w:t>
      </w:r>
      <w:r w:rsidR="001D7EF4">
        <w:t>Proprietary Ingredient</w:t>
      </w:r>
      <w:r w:rsidR="0018528A">
        <w:t>s</w:t>
      </w:r>
      <w:r w:rsidR="001D7EF4">
        <w:t xml:space="preserve"> </w:t>
      </w:r>
      <w:r>
        <w:t>Table and creation of validation rules typically</w:t>
      </w:r>
      <w:r w:rsidR="001D7EF4">
        <w:t xml:space="preserve"> </w:t>
      </w:r>
      <w:r>
        <w:t>takes</w:t>
      </w:r>
      <w:r w:rsidR="006128D7">
        <w:t xml:space="preserve"> up to</w:t>
      </w:r>
      <w:r w:rsidR="001D7EF4">
        <w:t xml:space="preserve"> 20-30 working days.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8F08A7" w:rsidRPr="00FF18BF" w14:paraId="19876088" w14:textId="77777777" w:rsidTr="00953A47">
        <w:trPr>
          <w:cantSplit/>
          <w:trHeight w:val="1206"/>
        </w:trPr>
        <w:tc>
          <w:tcPr>
            <w:tcW w:w="1276" w:type="dxa"/>
            <w:vAlign w:val="center"/>
          </w:tcPr>
          <w:p w14:paraId="5F57ED73" w14:textId="77777777" w:rsidR="008F08A7" w:rsidRPr="00136A54" w:rsidRDefault="008F08A7" w:rsidP="00953A47">
            <w:pPr>
              <w:rPr>
                <w:noProof/>
                <w:lang w:eastAsia="en-AU"/>
              </w:rPr>
            </w:pPr>
            <w:r w:rsidRPr="00136A54">
              <w:rPr>
                <w:noProof/>
                <w:lang w:eastAsia="en-AU"/>
              </w:rPr>
              <w:drawing>
                <wp:inline distT="0" distB="0" distL="0" distR="0" wp14:anchorId="798EFFBE" wp14:editId="1D75883D">
                  <wp:extent cx="487681" cy="487681"/>
                  <wp:effectExtent l="19050" t="0" r="7619" b="0"/>
                  <wp:docPr id="4"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4B3D44DF" w14:textId="5B12E385" w:rsidR="008F08A7" w:rsidRPr="001858BA" w:rsidRDefault="00E34F3B" w:rsidP="00953A47">
            <w:pPr>
              <w:rPr>
                <w:b/>
              </w:rPr>
            </w:pPr>
            <w:r>
              <w:rPr>
                <w:b/>
              </w:rPr>
              <w:t>Points of clarification</w:t>
            </w:r>
          </w:p>
          <w:p w14:paraId="0887EEAA" w14:textId="0F4490D7" w:rsidR="008F08A7" w:rsidRDefault="008F08A7" w:rsidP="00953A47">
            <w:pPr>
              <w:pStyle w:val="ListBullet"/>
            </w:pPr>
            <w:r>
              <w:t>Entering a</w:t>
            </w:r>
            <w:r w:rsidRPr="00DE74A8">
              <w:t xml:space="preserve"> formulation </w:t>
            </w:r>
            <w:r>
              <w:t>into</w:t>
            </w:r>
            <w:r w:rsidRPr="00DE74A8">
              <w:t xml:space="preserve"> the </w:t>
            </w:r>
            <w:r>
              <w:t>Proprietary I</w:t>
            </w:r>
            <w:r w:rsidRPr="00DE74A8">
              <w:t>ngredient</w:t>
            </w:r>
            <w:r w:rsidR="0018528A">
              <w:t>s</w:t>
            </w:r>
            <w:r w:rsidRPr="00DE74A8">
              <w:t xml:space="preserve"> </w:t>
            </w:r>
            <w:r>
              <w:t>Table</w:t>
            </w:r>
            <w:r w:rsidRPr="00DE74A8">
              <w:t xml:space="preserve"> and allocation of a PI number is a</w:t>
            </w:r>
            <w:r w:rsidR="00433C8F">
              <w:t>n</w:t>
            </w:r>
            <w:r w:rsidRPr="00DE74A8">
              <w:t xml:space="preserve"> administrative process with </w:t>
            </w:r>
            <w:r w:rsidRPr="00A25E7C">
              <w:rPr>
                <w:b/>
              </w:rPr>
              <w:t>no legislative basis</w:t>
            </w:r>
            <w:r>
              <w:t>.</w:t>
            </w:r>
          </w:p>
          <w:p w14:paraId="61DBA674" w14:textId="3B895C3D" w:rsidR="008F08A7" w:rsidRDefault="00AA2BC4" w:rsidP="00953A47">
            <w:pPr>
              <w:pStyle w:val="ListBullet"/>
            </w:pPr>
            <w:r>
              <w:t>Issue of a</w:t>
            </w:r>
            <w:r w:rsidR="008F08A7">
              <w:t xml:space="preserve"> PI number</w:t>
            </w:r>
            <w:r w:rsidR="008F08A7" w:rsidRPr="0062591D">
              <w:t xml:space="preserve"> </w:t>
            </w:r>
            <w:r w:rsidR="008F08A7">
              <w:t xml:space="preserve">does </w:t>
            </w:r>
            <w:r w:rsidR="008F08A7" w:rsidRPr="0062591D">
              <w:rPr>
                <w:b/>
              </w:rPr>
              <w:t>not</w:t>
            </w:r>
            <w:r w:rsidR="008F08A7">
              <w:t xml:space="preserve"> mean that the mixture is</w:t>
            </w:r>
            <w:r w:rsidR="008F08A7" w:rsidRPr="0062591D">
              <w:t xml:space="preserve"> </w:t>
            </w:r>
            <w:r w:rsidR="008F08A7">
              <w:t>approved by the TGA for use in therapeutic goods</w:t>
            </w:r>
            <w:r w:rsidR="0018528A">
              <w:t xml:space="preserve"> - we do </w:t>
            </w:r>
            <w:r w:rsidR="0018528A" w:rsidRPr="00E34F3B">
              <w:rPr>
                <w:b/>
              </w:rPr>
              <w:t>not</w:t>
            </w:r>
            <w:r w:rsidR="0018528A">
              <w:t xml:space="preserve"> check whether the formulation meets specific regulatory requirements for use in therapeutic goods</w:t>
            </w:r>
            <w:r w:rsidR="00473C70">
              <w:t xml:space="preserve"> when it is entered into the Proprietary I</w:t>
            </w:r>
            <w:r w:rsidR="00473C70" w:rsidRPr="00DE74A8">
              <w:t>ngredient</w:t>
            </w:r>
            <w:r w:rsidR="00473C70">
              <w:t>s</w:t>
            </w:r>
            <w:r w:rsidR="00473C70" w:rsidRPr="00DE74A8">
              <w:t xml:space="preserve"> </w:t>
            </w:r>
            <w:r w:rsidR="00473C70">
              <w:t>Table</w:t>
            </w:r>
            <w:r w:rsidR="008F08A7">
              <w:t xml:space="preserve">. </w:t>
            </w:r>
          </w:p>
          <w:p w14:paraId="428DA0E8" w14:textId="1E504FD2" w:rsidR="008F08A7" w:rsidRPr="00B96E6A" w:rsidRDefault="008F08A7" w:rsidP="00953A47">
            <w:pPr>
              <w:pStyle w:val="ListBullet"/>
            </w:pPr>
            <w:r w:rsidRPr="00B96E6A">
              <w:t>The ingredient mixture is </w:t>
            </w:r>
            <w:r w:rsidRPr="0062591D">
              <w:rPr>
                <w:b/>
                <w:bCs/>
              </w:rPr>
              <w:t>not</w:t>
            </w:r>
            <w:r w:rsidRPr="00B96E6A">
              <w:t xml:space="preserve"> evaluated </w:t>
            </w:r>
            <w:r w:rsidR="0018528A">
              <w:t xml:space="preserve">for safety, </w:t>
            </w:r>
            <w:proofErr w:type="gramStart"/>
            <w:r w:rsidR="0018528A">
              <w:t>quality</w:t>
            </w:r>
            <w:proofErr w:type="gramEnd"/>
            <w:r w:rsidR="0018528A">
              <w:t xml:space="preserve"> or efficacy </w:t>
            </w:r>
            <w:r w:rsidRPr="00B96E6A">
              <w:t>before it is entered into the Proprietary Ingredient</w:t>
            </w:r>
            <w:r w:rsidR="0018528A">
              <w:t>s</w:t>
            </w:r>
            <w:r w:rsidRPr="00B96E6A">
              <w:t xml:space="preserve"> Table.</w:t>
            </w:r>
          </w:p>
          <w:p w14:paraId="4E62CC48" w14:textId="5A63B522" w:rsidR="008F08A7" w:rsidRDefault="008F08A7" w:rsidP="00953A47">
            <w:pPr>
              <w:pStyle w:val="ListBullet"/>
            </w:pPr>
            <w:r w:rsidRPr="00B96E6A">
              <w:t>Including an ingredient mixture in the Proprietary Ingredient</w:t>
            </w:r>
            <w:r w:rsidR="0018528A">
              <w:t>s</w:t>
            </w:r>
            <w:r w:rsidRPr="00B96E6A">
              <w:t xml:space="preserve"> Table does </w:t>
            </w:r>
            <w:r w:rsidRPr="00780C6C">
              <w:rPr>
                <w:b/>
                <w:bCs/>
              </w:rPr>
              <w:t>not</w:t>
            </w:r>
            <w:r w:rsidRPr="00B96E6A">
              <w:t> provide any data exclusivity or intellectual property protections.</w:t>
            </w:r>
          </w:p>
          <w:p w14:paraId="7C3ADEC9" w14:textId="0F20E8B9" w:rsidR="003E5365" w:rsidRPr="0018528A" w:rsidRDefault="0018528A" w:rsidP="0018528A">
            <w:pPr>
              <w:pStyle w:val="ListBullet"/>
              <w:rPr>
                <w:rStyle w:val="CommentReference"/>
                <w:b/>
                <w:sz w:val="22"/>
                <w:szCs w:val="20"/>
              </w:rPr>
            </w:pPr>
            <w:r>
              <w:t xml:space="preserve">You do </w:t>
            </w:r>
            <w:r w:rsidRPr="00E34F3B">
              <w:rPr>
                <w:b/>
              </w:rPr>
              <w:t>not</w:t>
            </w:r>
            <w:r>
              <w:t xml:space="preserve"> need a</w:t>
            </w:r>
            <w:r w:rsidR="003E5365">
              <w:t xml:space="preserve"> PI number </w:t>
            </w:r>
            <w:r>
              <w:t xml:space="preserve">to </w:t>
            </w:r>
            <w:r w:rsidR="003E5365">
              <w:t xml:space="preserve">be able to </w:t>
            </w:r>
            <w:r>
              <w:t>sell your ingredient for use in the formulation of a therapeutic good</w:t>
            </w:r>
            <w:r w:rsidR="00473C70">
              <w:t xml:space="preserve"> or to</w:t>
            </w:r>
            <w:r>
              <w:t xml:space="preserve"> </w:t>
            </w:r>
            <w:r w:rsidR="003E5365" w:rsidRPr="00BF47DA">
              <w:t>claim</w:t>
            </w:r>
            <w:r w:rsidR="003E5365">
              <w:t xml:space="preserve"> that </w:t>
            </w:r>
            <w:r w:rsidR="00473C70">
              <w:t>your</w:t>
            </w:r>
            <w:r w:rsidR="003E5365">
              <w:t xml:space="preserve"> mix of ingredients is unique or </w:t>
            </w:r>
            <w:r w:rsidR="00757A1F">
              <w:t>has a specific mode of action</w:t>
            </w:r>
            <w:r w:rsidR="00613F1C">
              <w:t>.</w:t>
            </w:r>
          </w:p>
          <w:p w14:paraId="25D5E38D" w14:textId="4A997F1E" w:rsidR="008F08A7" w:rsidRPr="00136A54" w:rsidRDefault="00A10101" w:rsidP="00975F66">
            <w:pPr>
              <w:pStyle w:val="ListBullet"/>
              <w:rPr>
                <w:b/>
              </w:rPr>
            </w:pPr>
            <w:r>
              <w:t>The manufacture of</w:t>
            </w:r>
            <w:r w:rsidR="00394494">
              <w:t xml:space="preserve"> m</w:t>
            </w:r>
            <w:r w:rsidR="008F08A7">
              <w:t>ixtures in the Proprietary I</w:t>
            </w:r>
            <w:r w:rsidR="008F08A7" w:rsidRPr="00B96E6A">
              <w:t>ngredient</w:t>
            </w:r>
            <w:r w:rsidR="0018528A">
              <w:t>s</w:t>
            </w:r>
            <w:r w:rsidR="008F08A7" w:rsidRPr="00B96E6A">
              <w:t xml:space="preserve"> </w:t>
            </w:r>
            <w:r w:rsidR="008F08A7">
              <w:t>Ta</w:t>
            </w:r>
            <w:r w:rsidR="006128D7">
              <w:t>b</w:t>
            </w:r>
            <w:r w:rsidR="008F08A7">
              <w:t xml:space="preserve">le </w:t>
            </w:r>
            <w:r w:rsidR="008F08A7" w:rsidRPr="00B96E6A">
              <w:t xml:space="preserve">that contain an active ingredient </w:t>
            </w:r>
            <w:r w:rsidRPr="00A10101">
              <w:t xml:space="preserve">may be considered a step in the manufacture of the finished product </w:t>
            </w:r>
            <w:r>
              <w:t>and a TGA</w:t>
            </w:r>
            <w:r w:rsidR="008F08A7" w:rsidRPr="00B96E6A">
              <w:t xml:space="preserve"> Good Manufacturing Practice (GMP) </w:t>
            </w:r>
            <w:r w:rsidRPr="00A10101">
              <w:t>licence or approval of the manufacturer may be required</w:t>
            </w:r>
            <w:r w:rsidR="00957CCC">
              <w:t>, unless exempt</w:t>
            </w:r>
            <w:r w:rsidR="008F08A7">
              <w:t>.</w:t>
            </w:r>
          </w:p>
        </w:tc>
      </w:tr>
    </w:tbl>
    <w:p w14:paraId="214774F6" w14:textId="585C2C49" w:rsidR="00B27CFA" w:rsidRDefault="00B27CFA" w:rsidP="003166BF">
      <w:pPr>
        <w:pStyle w:val="Heading3"/>
      </w:pPr>
      <w:bookmarkStart w:id="9" w:name="_Toc61239956"/>
      <w:r>
        <w:t>How data from the Ingredients Repository is used in ARTG entries</w:t>
      </w:r>
      <w:bookmarkEnd w:id="9"/>
    </w:p>
    <w:p w14:paraId="7E16FFDB" w14:textId="289249C0" w:rsidR="00E145EE" w:rsidRDefault="00AB2FC8" w:rsidP="00452AA3">
      <w:r>
        <w:t xml:space="preserve">Applicants can </w:t>
      </w:r>
      <w:r w:rsidR="00D66402">
        <w:t>select</w:t>
      </w:r>
      <w:r w:rsidR="001C0DAC">
        <w:t xml:space="preserve"> </w:t>
      </w:r>
      <w:r w:rsidR="009A13B2">
        <w:t xml:space="preserve">individual </w:t>
      </w:r>
      <w:r w:rsidR="001C0DAC">
        <w:t xml:space="preserve">ingredients from </w:t>
      </w:r>
      <w:r w:rsidR="00A25E7C">
        <w:t>the Ingredient</w:t>
      </w:r>
      <w:r w:rsidR="00473C70">
        <w:t>s</w:t>
      </w:r>
      <w:r w:rsidR="00A25E7C">
        <w:t xml:space="preserve"> </w:t>
      </w:r>
      <w:r w:rsidR="009A13B2">
        <w:t xml:space="preserve">Table </w:t>
      </w:r>
      <w:r w:rsidR="00A25E7C">
        <w:t xml:space="preserve">or </w:t>
      </w:r>
      <w:r w:rsidR="009A13B2">
        <w:t xml:space="preserve">mixtures from the </w:t>
      </w:r>
      <w:r w:rsidR="00A25E7C">
        <w:t>Proprietary Ingredient</w:t>
      </w:r>
      <w:r w:rsidR="00473C70">
        <w:t>s</w:t>
      </w:r>
      <w:r w:rsidR="00A25E7C">
        <w:t xml:space="preserve"> </w:t>
      </w:r>
      <w:r w:rsidR="001C0DAC">
        <w:t>Table</w:t>
      </w:r>
      <w:r w:rsidR="006128D7">
        <w:t>s</w:t>
      </w:r>
      <w:r w:rsidR="001C0DAC">
        <w:t xml:space="preserve"> to describe </w:t>
      </w:r>
      <w:r>
        <w:t xml:space="preserve">the formulation of their </w:t>
      </w:r>
      <w:r w:rsidRPr="00AB2FC8">
        <w:t xml:space="preserve">therapeutic good </w:t>
      </w:r>
      <w:r w:rsidR="001C0DAC">
        <w:t>in the</w:t>
      </w:r>
      <w:r w:rsidR="00086D80">
        <w:t>ir</w:t>
      </w:r>
      <w:r w:rsidR="001C0DAC">
        <w:t xml:space="preserve"> TBS application.</w:t>
      </w:r>
      <w:r w:rsidR="00E145EE">
        <w:t xml:space="preserve"> Regardless of which Table is used, the sponsor of the therapeutic good retains </w:t>
      </w:r>
      <w:r w:rsidR="00E145EE" w:rsidRPr="00850E9F">
        <w:t>legal responsib</w:t>
      </w:r>
      <w:r w:rsidR="00E145EE">
        <w:t>ility for the information in their ARTG entry</w:t>
      </w:r>
      <w:r w:rsidR="00A25E7C">
        <w:t xml:space="preserve"> and that the product meets relevant safety, </w:t>
      </w:r>
      <w:proofErr w:type="gramStart"/>
      <w:r w:rsidR="00A25E7C">
        <w:t>quality</w:t>
      </w:r>
      <w:proofErr w:type="gramEnd"/>
      <w:r w:rsidR="00A25E7C">
        <w:t xml:space="preserve"> and efficacy standards</w:t>
      </w:r>
      <w:r w:rsidR="00E145EE">
        <w:t xml:space="preserve">. </w:t>
      </w:r>
    </w:p>
    <w:p w14:paraId="30BD1CF3" w14:textId="6A37805D" w:rsidR="00F62016" w:rsidRDefault="00B96E6A" w:rsidP="00B96E6A">
      <w:r>
        <w:t xml:space="preserve">Once a </w:t>
      </w:r>
      <w:r w:rsidR="00750A93">
        <w:t>medicine or biological</w:t>
      </w:r>
      <w:r>
        <w:t xml:space="preserve"> is approve</w:t>
      </w:r>
      <w:r w:rsidR="00D66402">
        <w:t xml:space="preserve">d, relevant ingredient data from the Ingredients Repository </w:t>
      </w:r>
      <w:r>
        <w:t xml:space="preserve">is visible in </w:t>
      </w:r>
      <w:r w:rsidR="00B27CFA">
        <w:t>the good’s public</w:t>
      </w:r>
      <w:r>
        <w:t xml:space="preserve"> ARTG </w:t>
      </w:r>
      <w:r w:rsidR="00B27CFA">
        <w:t>summary.</w:t>
      </w:r>
      <w:r>
        <w:t xml:space="preserve"> </w:t>
      </w:r>
      <w:r w:rsidR="00B27CFA">
        <w:t>F</w:t>
      </w:r>
      <w:r>
        <w:t>or example,</w:t>
      </w:r>
      <w:r w:rsidRPr="00376869">
        <w:t xml:space="preserve"> </w:t>
      </w:r>
      <w:r w:rsidR="00B27CFA">
        <w:t xml:space="preserve">each ARTG entry </w:t>
      </w:r>
      <w:r w:rsidR="00B27CFA">
        <w:lastRenderedPageBreak/>
        <w:t xml:space="preserve">automatically displays </w:t>
      </w:r>
      <w:r w:rsidRPr="00376869">
        <w:t xml:space="preserve">the </w:t>
      </w:r>
      <w:r w:rsidR="00D66402">
        <w:t xml:space="preserve">approved </w:t>
      </w:r>
      <w:r w:rsidRPr="00376869">
        <w:t xml:space="preserve">name and quantity of </w:t>
      </w:r>
      <w:r>
        <w:t>the</w:t>
      </w:r>
      <w:r w:rsidRPr="00376869">
        <w:t xml:space="preserve"> active ingredient</w:t>
      </w:r>
      <w:r>
        <w:t>(</w:t>
      </w:r>
      <w:r w:rsidRPr="00376869">
        <w:t>s</w:t>
      </w:r>
      <w:r>
        <w:t>)</w:t>
      </w:r>
      <w:r w:rsidR="00F62016">
        <w:t xml:space="preserve">, regardless of whether the </w:t>
      </w:r>
      <w:r w:rsidR="005B09C9">
        <w:t>constituent ingredients were</w:t>
      </w:r>
      <w:r w:rsidR="00F62016">
        <w:t xml:space="preserve"> selected </w:t>
      </w:r>
      <w:r w:rsidR="00D66402">
        <w:t xml:space="preserve">individually </w:t>
      </w:r>
      <w:r w:rsidR="00F62016">
        <w:t>from the Ingredient</w:t>
      </w:r>
      <w:r w:rsidR="009A13B2">
        <w:t>s</w:t>
      </w:r>
      <w:r w:rsidR="00F62016">
        <w:t xml:space="preserve"> Table or </w:t>
      </w:r>
      <w:r w:rsidR="00D66402">
        <w:t xml:space="preserve">as a mixture from </w:t>
      </w:r>
      <w:r w:rsidR="00F62016">
        <w:t>the Proprietary Ingredient</w:t>
      </w:r>
      <w:r w:rsidR="005A0015">
        <w:t>s</w:t>
      </w:r>
      <w:r w:rsidR="00F62016">
        <w:t xml:space="preserve"> Table. </w:t>
      </w:r>
    </w:p>
    <w:p w14:paraId="66F41884" w14:textId="67A0EDEE" w:rsidR="0087758C" w:rsidRDefault="00F62016" w:rsidP="00B96E6A">
      <w:r>
        <w:t xml:space="preserve">For </w:t>
      </w:r>
      <w:hyperlink r:id="rId19" w:history="1">
        <w:r w:rsidRPr="00F62016">
          <w:rPr>
            <w:rStyle w:val="Hyperlink"/>
          </w:rPr>
          <w:t>most types</w:t>
        </w:r>
      </w:hyperlink>
      <w:r>
        <w:rPr>
          <w:rStyle w:val="FootnoteReference"/>
        </w:rPr>
        <w:footnoteReference w:id="2"/>
      </w:r>
      <w:r>
        <w:t xml:space="preserve"> of excipient proprietary ingredient mixtures, the</w:t>
      </w:r>
      <w:r w:rsidR="00B96E6A">
        <w:t xml:space="preserve"> names of </w:t>
      </w:r>
      <w:r w:rsidR="0098418C">
        <w:t xml:space="preserve">the constituent </w:t>
      </w:r>
      <w:r w:rsidR="00B96E6A">
        <w:t>ingredients</w:t>
      </w:r>
      <w:r w:rsidR="00B27CFA">
        <w:t xml:space="preserve"> in </w:t>
      </w:r>
      <w:r w:rsidR="00DE74A8">
        <w:t>a</w:t>
      </w:r>
      <w:r w:rsidR="00B27CFA">
        <w:t xml:space="preserve"> </w:t>
      </w:r>
      <w:r w:rsidR="004F1E1A">
        <w:t>good</w:t>
      </w:r>
      <w:r w:rsidR="001227F5">
        <w:t>’</w:t>
      </w:r>
      <w:r w:rsidR="004F1E1A">
        <w:t>s (biological and medicine)</w:t>
      </w:r>
      <w:r>
        <w:t xml:space="preserve"> </w:t>
      </w:r>
      <w:r w:rsidR="00B27CFA">
        <w:t>formulation</w:t>
      </w:r>
      <w:r>
        <w:t xml:space="preserve"> are </w:t>
      </w:r>
      <w:r w:rsidR="00DE74A8">
        <w:t xml:space="preserve">also </w:t>
      </w:r>
      <w:r>
        <w:t>visible</w:t>
      </w:r>
      <w:r w:rsidR="00135FF1">
        <w:t xml:space="preserve"> in the public ARTG summary. </w:t>
      </w:r>
    </w:p>
    <w:p w14:paraId="52DAC5F4" w14:textId="3E3AAB46" w:rsidR="005A37FE" w:rsidRDefault="005A37FE" w:rsidP="00613F1C">
      <w:pPr>
        <w:pStyle w:val="Heading4"/>
      </w:pPr>
      <w:bookmarkStart w:id="10" w:name="_Toc61239957"/>
      <w:r>
        <w:t>Changes to ingredient mixtures</w:t>
      </w:r>
      <w:bookmarkEnd w:id="10"/>
    </w:p>
    <w:p w14:paraId="5B856E39" w14:textId="5C54E0C0" w:rsidR="00B96E6A" w:rsidRDefault="00B07BFD" w:rsidP="00B96E6A">
      <w:r>
        <w:t>To maintain the integrity of data within</w:t>
      </w:r>
      <w:r w:rsidR="00C62C2B">
        <w:t xml:space="preserve"> the</w:t>
      </w:r>
      <w:r>
        <w:t xml:space="preserve"> ARTG, we do not </w:t>
      </w:r>
      <w:r w:rsidR="00C62C2B">
        <w:t>allow changes to be made to</w:t>
      </w:r>
      <w:r>
        <w:t xml:space="preserve"> </w:t>
      </w:r>
      <w:r w:rsidR="001227F5">
        <w:t xml:space="preserve">entries in the </w:t>
      </w:r>
      <w:r w:rsidR="00C62C2B">
        <w:t>Proprietary Ingredient</w:t>
      </w:r>
      <w:r w:rsidR="005A0015">
        <w:t>s</w:t>
      </w:r>
      <w:r w:rsidR="00C62C2B">
        <w:t xml:space="preserve"> Table </w:t>
      </w:r>
      <w:r>
        <w:t xml:space="preserve">once </w:t>
      </w:r>
      <w:r w:rsidR="00C62C2B">
        <w:t>they have</w:t>
      </w:r>
      <w:r>
        <w:t xml:space="preserve"> been </w:t>
      </w:r>
      <w:r w:rsidR="00C62C2B">
        <w:t>created</w:t>
      </w:r>
      <w:r>
        <w:t xml:space="preserve">. </w:t>
      </w:r>
      <w:r w:rsidR="0087758C">
        <w:t xml:space="preserve">If an ingredient supplier changes the name or formulation of a mixture, </w:t>
      </w:r>
      <w:r w:rsidR="0087758C" w:rsidRPr="00780C6C">
        <w:t>the existing entry</w:t>
      </w:r>
      <w:r w:rsidR="0087758C">
        <w:t xml:space="preserve"> </w:t>
      </w:r>
      <w:r w:rsidR="00C62C2B">
        <w:t>in the Table</w:t>
      </w:r>
      <w:r w:rsidR="00AE6A31">
        <w:t xml:space="preserve"> </w:t>
      </w:r>
      <w:r w:rsidR="00C62C2B">
        <w:t>can</w:t>
      </w:r>
      <w:r w:rsidR="0087758C">
        <w:t xml:space="preserve">not </w:t>
      </w:r>
      <w:r w:rsidR="00C62C2B">
        <w:t xml:space="preserve">be </w:t>
      </w:r>
      <w:r w:rsidR="0087758C">
        <w:t xml:space="preserve">updated. </w:t>
      </w:r>
      <w:r w:rsidR="00AE6A31">
        <w:t xml:space="preserve">Instead, </w:t>
      </w:r>
      <w:r w:rsidR="00C62C2B">
        <w:t xml:space="preserve">the supplier can request to create </w:t>
      </w:r>
      <w:r w:rsidR="00AE6A31">
        <w:t xml:space="preserve">a new </w:t>
      </w:r>
      <w:r w:rsidR="00C62C2B">
        <w:t>P</w:t>
      </w:r>
      <w:r w:rsidR="00AE6A31">
        <w:t>roprietary Ingredient</w:t>
      </w:r>
      <w:r w:rsidR="005A0015">
        <w:t>s</w:t>
      </w:r>
      <w:r w:rsidR="00AE6A31">
        <w:t xml:space="preserve"> </w:t>
      </w:r>
      <w:r w:rsidR="00C62C2B">
        <w:t xml:space="preserve">Table </w:t>
      </w:r>
      <w:r w:rsidR="00AE6A31">
        <w:t>entry with the updated formulation</w:t>
      </w:r>
      <w:r w:rsidR="00C62C2B">
        <w:t>, which would trigger</w:t>
      </w:r>
      <w:r w:rsidR="00AE6A31">
        <w:t xml:space="preserve"> a new </w:t>
      </w:r>
      <w:r w:rsidR="00C62C2B">
        <w:t>PI</w:t>
      </w:r>
      <w:r w:rsidR="00AE6A31">
        <w:t xml:space="preserve"> number. </w:t>
      </w:r>
      <w:r w:rsidR="0087758C">
        <w:t xml:space="preserve">Sponsors of </w:t>
      </w:r>
      <w:r w:rsidR="00C62C2B">
        <w:t xml:space="preserve">affected therapeutic </w:t>
      </w:r>
      <w:r w:rsidR="0087758C">
        <w:t xml:space="preserve">goods that use </w:t>
      </w:r>
      <w:r w:rsidR="00C62C2B">
        <w:t>that</w:t>
      </w:r>
      <w:r w:rsidR="0087758C">
        <w:t xml:space="preserve"> </w:t>
      </w:r>
      <w:r w:rsidR="00C62C2B">
        <w:t>mixture</w:t>
      </w:r>
      <w:r w:rsidR="0087758C">
        <w:t xml:space="preserve"> in their goods are required to make consequential changes to their ARTG records.</w:t>
      </w:r>
    </w:p>
    <w:p w14:paraId="66908331" w14:textId="559677CE" w:rsidR="001227F5" w:rsidRDefault="0073412F" w:rsidP="0071004C">
      <w:pPr>
        <w:pStyle w:val="Heading4"/>
      </w:pPr>
      <w:bookmarkStart w:id="11" w:name="_Toc61239958"/>
      <w:r>
        <w:t>Discontinued ingredient mixtures</w:t>
      </w:r>
      <w:bookmarkEnd w:id="11"/>
      <w:r>
        <w:t xml:space="preserve"> </w:t>
      </w:r>
    </w:p>
    <w:p w14:paraId="31B8A0AC" w14:textId="087F0A15" w:rsidR="00211C66" w:rsidRDefault="00211C66" w:rsidP="00B96E6A">
      <w:r>
        <w:t xml:space="preserve">If a mixture has been discontinued by </w:t>
      </w:r>
      <w:r w:rsidR="00C62C2B">
        <w:t xml:space="preserve">its </w:t>
      </w:r>
      <w:r>
        <w:t>supplier, the relevant Proprietary Ingredient</w:t>
      </w:r>
      <w:r w:rsidR="005A0015">
        <w:t>s</w:t>
      </w:r>
      <w:r>
        <w:t xml:space="preserve"> </w:t>
      </w:r>
      <w:r w:rsidR="001227F5">
        <w:t xml:space="preserve">Table </w:t>
      </w:r>
      <w:r>
        <w:t xml:space="preserve">entry </w:t>
      </w:r>
      <w:r w:rsidR="001227F5">
        <w:t>cannot</w:t>
      </w:r>
      <w:r>
        <w:t xml:space="preserve"> be inactivated in the Table </w:t>
      </w:r>
      <w:r w:rsidR="00A10101">
        <w:t>if there are any</w:t>
      </w:r>
      <w:r>
        <w:t xml:space="preserve"> active ARTG entries linking to that PI number. </w:t>
      </w:r>
      <w:r w:rsidR="001227F5">
        <w:t>This can be problematic as t</w:t>
      </w:r>
      <w:r w:rsidR="008E653C">
        <w:t xml:space="preserve">here are numerous ARTG entries </w:t>
      </w:r>
      <w:r w:rsidR="001227F5">
        <w:t xml:space="preserve">active in the system where the therapeutic good is not </w:t>
      </w:r>
      <w:r w:rsidR="008E653C">
        <w:t xml:space="preserve">being supplied. </w:t>
      </w:r>
    </w:p>
    <w:p w14:paraId="335440E9" w14:textId="0CB27EDB" w:rsidR="00CB7BEB" w:rsidRDefault="00CB7BEB" w:rsidP="00CB7BEB">
      <w:r>
        <w:t xml:space="preserve">It is </w:t>
      </w:r>
      <w:r w:rsidR="00DB1E9A">
        <w:t xml:space="preserve">also </w:t>
      </w:r>
      <w:r>
        <w:t>common for ingredient suppliers to not inform the TGA where a mixture is no longer being supplied</w:t>
      </w:r>
      <w:r w:rsidR="00DB1E9A">
        <w:t xml:space="preserve">, and </w:t>
      </w:r>
      <w:r>
        <w:t>for ingredient suppliers to be allocated a PI number for a formulation that is never used in goo</w:t>
      </w:r>
      <w:r w:rsidR="00E34F3B">
        <w:t>ds</w:t>
      </w:r>
      <w:r>
        <w:t xml:space="preserve"> on the ARTG. This may be because on evaluation the mixture may not </w:t>
      </w:r>
      <w:r w:rsidR="0073412F">
        <w:t xml:space="preserve">have </w:t>
      </w:r>
      <w:r>
        <w:t xml:space="preserve">met relevant standards for a particular therapeutic good or the sponsor chose to enter the constituent ingredients individually into their ARTG application. </w:t>
      </w:r>
      <w:r w:rsidR="00E34F3B">
        <w:t xml:space="preserve">Together, these issues impact on the </w:t>
      </w:r>
      <w:r w:rsidR="0073412F">
        <w:t xml:space="preserve">currency </w:t>
      </w:r>
      <w:r w:rsidR="00E34F3B">
        <w:t xml:space="preserve">of the data held within the </w:t>
      </w:r>
      <w:r w:rsidR="001227F5">
        <w:t>Ingredients R</w:t>
      </w:r>
      <w:r w:rsidR="00E34F3B">
        <w:t>epository.</w:t>
      </w:r>
    </w:p>
    <w:p w14:paraId="4CB1E6AF" w14:textId="717136DC" w:rsidR="008F08A7" w:rsidRDefault="00391909" w:rsidP="00E34F3B">
      <w:pPr>
        <w:pStyle w:val="Heading3"/>
      </w:pPr>
      <w:bookmarkStart w:id="12" w:name="_Toc61239959"/>
      <w:r>
        <w:t xml:space="preserve">Opportunity to streamline administrative </w:t>
      </w:r>
      <w:proofErr w:type="gramStart"/>
      <w:r>
        <w:t>steps</w:t>
      </w:r>
      <w:bookmarkEnd w:id="12"/>
      <w:proofErr w:type="gramEnd"/>
      <w:r w:rsidR="009C3B41">
        <w:t xml:space="preserve"> </w:t>
      </w:r>
    </w:p>
    <w:p w14:paraId="11B95CF5" w14:textId="2D6B0EF7" w:rsidR="00156EB6" w:rsidRDefault="00391909" w:rsidP="008F08A7">
      <w:r>
        <w:t xml:space="preserve">The Australian Government recently </w:t>
      </w:r>
      <w:hyperlink r:id="rId20" w:history="1">
        <w:r w:rsidRPr="00177719">
          <w:rPr>
            <w:rStyle w:val="Hyperlink"/>
          </w:rPr>
          <w:t>announced</w:t>
        </w:r>
      </w:hyperlink>
      <w:r>
        <w:rPr>
          <w:rStyle w:val="FootnoteReference"/>
        </w:rPr>
        <w:footnoteReference w:id="3"/>
      </w:r>
      <w:r>
        <w:t xml:space="preserve"> a digital transformation of TGA’s electronic systems to improve therapeutic goods regulation processes. To</w:t>
      </w:r>
      <w:r w:rsidR="00DB1E9A">
        <w:t xml:space="preserve"> ens</w:t>
      </w:r>
      <w:r>
        <w:t>ure that future TGA electronic systems are efficient and fit for purpose, it is timely that existing administrative processes are clarified and streamlined where possible.</w:t>
      </w:r>
    </w:p>
    <w:p w14:paraId="71F8E5CF" w14:textId="41BB8828" w:rsidR="00DB1E9A" w:rsidRDefault="00F93CFF" w:rsidP="008F08A7">
      <w:r>
        <w:t>A</w:t>
      </w:r>
      <w:r w:rsidR="00AD13C3">
        <w:t xml:space="preserve">dministrative processes associated with </w:t>
      </w:r>
      <w:r w:rsidR="005664A5">
        <w:t>t</w:t>
      </w:r>
      <w:r w:rsidR="00DB1E9A">
        <w:t xml:space="preserve">hree categories </w:t>
      </w:r>
      <w:r w:rsidR="00AD13C3">
        <w:t>of P</w:t>
      </w:r>
      <w:r w:rsidR="00DB1E9A">
        <w:t xml:space="preserve">roprietary </w:t>
      </w:r>
      <w:r w:rsidR="00AD13C3">
        <w:t>I</w:t>
      </w:r>
      <w:r w:rsidR="00DB1E9A">
        <w:t>ngredient</w:t>
      </w:r>
      <w:r w:rsidR="00AD13C3">
        <w:t xml:space="preserve">s </w:t>
      </w:r>
      <w:r w:rsidR="00DB1E9A">
        <w:t xml:space="preserve">mixtures </w:t>
      </w:r>
      <w:r w:rsidR="00AD13C3">
        <w:t xml:space="preserve">were identified as </w:t>
      </w:r>
      <w:r w:rsidR="005664A5">
        <w:t xml:space="preserve">redundant and resource intensive or did </w:t>
      </w:r>
      <w:r w:rsidR="00DB1E9A">
        <w:t xml:space="preserve">not fit within the broader purpose of the </w:t>
      </w:r>
      <w:r w:rsidR="005664A5">
        <w:t>TGA’s proprietary ingredient system</w:t>
      </w:r>
      <w:r w:rsidR="00DB1E9A">
        <w:t>. The following changes are proposed:</w:t>
      </w:r>
    </w:p>
    <w:p w14:paraId="50F50FB1" w14:textId="22511EBA" w:rsidR="001F57C5" w:rsidRPr="005664A5" w:rsidRDefault="00DB1E9A" w:rsidP="0071004C">
      <w:pPr>
        <w:pStyle w:val="Numberbullet0"/>
      </w:pPr>
      <w:r w:rsidRPr="005664A5">
        <w:t>Discontinue processing of active ingredient mix</w:t>
      </w:r>
      <w:r w:rsidR="005664A5">
        <w:t>tur</w:t>
      </w:r>
      <w:r w:rsidRPr="005664A5">
        <w:t>es</w:t>
      </w:r>
      <w:r w:rsidR="001F57C5" w:rsidRPr="005664A5">
        <w:t xml:space="preserve"> (Active Premixes and Active Herbal Extracts)</w:t>
      </w:r>
      <w:r w:rsidR="005664A5" w:rsidRPr="005664A5">
        <w:t xml:space="preserve"> </w:t>
      </w:r>
      <w:r w:rsidR="005664A5">
        <w:t>into the Proprietary Ingredients Table.</w:t>
      </w:r>
    </w:p>
    <w:p w14:paraId="46884C11" w14:textId="17047EDE" w:rsidR="00177719" w:rsidRDefault="001F57C5" w:rsidP="008F08A7">
      <w:pPr>
        <w:pStyle w:val="Numberbullet0"/>
      </w:pPr>
      <w:r w:rsidRPr="005664A5">
        <w:t xml:space="preserve">Discontinue processing of non-specific Excipient Mixes </w:t>
      </w:r>
      <w:r w:rsidR="005664A5">
        <w:t>into the Proprietary Ingredients Table.</w:t>
      </w:r>
    </w:p>
    <w:p w14:paraId="4370B298" w14:textId="5910310B" w:rsidR="00B20110" w:rsidRPr="00DA154B" w:rsidRDefault="00391909" w:rsidP="00E34F3B">
      <w:pPr>
        <w:pStyle w:val="Heading2"/>
      </w:pPr>
      <w:bookmarkStart w:id="13" w:name="_Toc61239960"/>
      <w:r>
        <w:lastRenderedPageBreak/>
        <w:t>Proposal</w:t>
      </w:r>
      <w:r w:rsidR="00A10101">
        <w:t xml:space="preserve"> 1</w:t>
      </w:r>
      <w:r>
        <w:t xml:space="preserve">: Discontinue processing </w:t>
      </w:r>
      <w:r w:rsidR="0034730E">
        <w:t xml:space="preserve">of </w:t>
      </w:r>
      <w:r>
        <w:t>active i</w:t>
      </w:r>
      <w:r w:rsidR="00B20110" w:rsidRPr="00DA154B">
        <w:t xml:space="preserve">ngredient mixtures </w:t>
      </w:r>
      <w:r>
        <w:t>into the Proprietary Ingredient</w:t>
      </w:r>
      <w:r w:rsidR="00003879">
        <w:t>s</w:t>
      </w:r>
      <w:r>
        <w:t xml:space="preserve"> Table</w:t>
      </w:r>
      <w:bookmarkEnd w:id="13"/>
    </w:p>
    <w:p w14:paraId="3CE9CD5A" w14:textId="33E5FEC1" w:rsidR="00391909" w:rsidRDefault="00750A93" w:rsidP="00E34F3B">
      <w:pPr>
        <w:pStyle w:val="Heading3"/>
      </w:pPr>
      <w:bookmarkStart w:id="14" w:name="_Toc61239961"/>
      <w:r>
        <w:t>About</w:t>
      </w:r>
      <w:r w:rsidR="00DE4226">
        <w:t xml:space="preserve"> active ingredient mixtures</w:t>
      </w:r>
      <w:bookmarkEnd w:id="14"/>
    </w:p>
    <w:p w14:paraId="55803853" w14:textId="53A8C8EB" w:rsidR="00B20110" w:rsidRDefault="00B20110" w:rsidP="00B20110">
      <w:r>
        <w:t>The Proprietary Ingredient</w:t>
      </w:r>
      <w:r w:rsidR="00003879">
        <w:t>s</w:t>
      </w:r>
      <w:r>
        <w:t xml:space="preserve"> Table displays </w:t>
      </w:r>
      <w:r w:rsidR="005664A5">
        <w:t xml:space="preserve">793 </w:t>
      </w:r>
      <w:r>
        <w:t>entries that contain a</w:t>
      </w:r>
      <w:r w:rsidR="00E67F75">
        <w:t xml:space="preserve"> therapeutically</w:t>
      </w:r>
      <w:r>
        <w:t xml:space="preserve"> active ingredient:</w:t>
      </w:r>
    </w:p>
    <w:p w14:paraId="32FDB074" w14:textId="1D2FCF89" w:rsidR="00B20110" w:rsidRDefault="005664A5" w:rsidP="00B20110">
      <w:pPr>
        <w:pStyle w:val="ListBullet"/>
      </w:pPr>
      <w:r>
        <w:t xml:space="preserve">523 </w:t>
      </w:r>
      <w:r w:rsidR="00B20110">
        <w:t>entries are categorised as an Active Premix. These mixtures typically consist of one active ingredient and bet</w:t>
      </w:r>
      <w:r w:rsidR="00F22196">
        <w:t>ween 1-3 common excipients. C</w:t>
      </w:r>
      <w:r w:rsidR="00B20110">
        <w:t xml:space="preserve">ommon active ingredients in these mixtures are vitamin ingredients, such as </w:t>
      </w:r>
      <w:r w:rsidR="00F22196" w:rsidRPr="00CB1C8C">
        <w:t>cyanocobalamin</w:t>
      </w:r>
      <w:r w:rsidR="00694BEB">
        <w:t xml:space="preserve"> </w:t>
      </w:r>
      <w:r w:rsidR="00B20110">
        <w:t xml:space="preserve">or </w:t>
      </w:r>
      <w:proofErr w:type="spellStart"/>
      <w:r w:rsidR="00B20110" w:rsidRPr="00CB1C8C">
        <w:t>colecalciferol</w:t>
      </w:r>
      <w:proofErr w:type="spellEnd"/>
      <w:r w:rsidR="00B20110">
        <w:t xml:space="preserve">, and paracetamol premixes. </w:t>
      </w:r>
    </w:p>
    <w:p w14:paraId="496725FC" w14:textId="3038F2B7" w:rsidR="00B20110" w:rsidRDefault="005664A5" w:rsidP="00B20110">
      <w:pPr>
        <w:pStyle w:val="ListBullet"/>
      </w:pPr>
      <w:r>
        <w:t>270</w:t>
      </w:r>
      <w:r w:rsidRPr="0087758C">
        <w:t xml:space="preserve"> </w:t>
      </w:r>
      <w:r w:rsidR="00B20110" w:rsidRPr="0087758C">
        <w:t>entries</w:t>
      </w:r>
      <w:r w:rsidR="00B20110">
        <w:t xml:space="preserve"> are categorised as an Active Herbal Extract. These </w:t>
      </w:r>
      <w:r w:rsidR="00F22196">
        <w:t xml:space="preserve">herbal </w:t>
      </w:r>
      <w:r w:rsidR="00B20110">
        <w:t>mixtures typically consist of one active</w:t>
      </w:r>
      <w:r w:rsidR="00F22196">
        <w:t xml:space="preserve"> </w:t>
      </w:r>
      <w:r w:rsidR="00B20110">
        <w:t xml:space="preserve">ingredient, or </w:t>
      </w:r>
      <w:r w:rsidR="00F22196">
        <w:t>an</w:t>
      </w:r>
      <w:r w:rsidR="00B20110">
        <w:t xml:space="preserve"> active</w:t>
      </w:r>
      <w:r w:rsidR="00F22196">
        <w:t xml:space="preserve"> </w:t>
      </w:r>
      <w:r w:rsidR="00613F1C">
        <w:t>ingredient and one or two</w:t>
      </w:r>
      <w:r w:rsidR="00B20110">
        <w:t xml:space="preserve"> common excipient</w:t>
      </w:r>
      <w:r w:rsidR="00613F1C">
        <w:t>s</w:t>
      </w:r>
      <w:r w:rsidR="00B20110">
        <w:t xml:space="preserve">, such as maltodextrin or silicon dioxide. </w:t>
      </w:r>
    </w:p>
    <w:p w14:paraId="3179E746" w14:textId="77777777" w:rsidR="0073412F" w:rsidRDefault="0073412F" w:rsidP="0073412F">
      <w:r w:rsidRPr="005664A5">
        <w:t xml:space="preserve">For these categories, the main ‘proprietary’ information relates to the manufacturing process, which is </w:t>
      </w:r>
      <w:r>
        <w:t xml:space="preserve">either </w:t>
      </w:r>
      <w:r w:rsidRPr="005664A5">
        <w:t xml:space="preserve">not required to be entered in the ARTG </w:t>
      </w:r>
      <w:r>
        <w:t>(</w:t>
      </w:r>
      <w:r w:rsidRPr="005664A5">
        <w:t xml:space="preserve">and not held in the </w:t>
      </w:r>
      <w:r>
        <w:t>Proprietary Ingredients Table), or to which the sponsor of the therapeutic goods is already required to have access</w:t>
      </w:r>
      <w:r>
        <w:rPr>
          <w:rStyle w:val="FootnoteReference"/>
        </w:rPr>
        <w:footnoteReference w:id="4"/>
      </w:r>
      <w:r>
        <w:t xml:space="preserve">. </w:t>
      </w:r>
    </w:p>
    <w:p w14:paraId="68F1463A" w14:textId="3C844D3A" w:rsidR="00DE4226" w:rsidRDefault="00DE4226" w:rsidP="00B20110">
      <w:r>
        <w:t xml:space="preserve">Use of PI numbers for </w:t>
      </w:r>
      <w:r w:rsidRPr="003E7C1C">
        <w:t xml:space="preserve">mixtures </w:t>
      </w:r>
      <w:r>
        <w:t xml:space="preserve">containing </w:t>
      </w:r>
      <w:r w:rsidRPr="003E7C1C">
        <w:t>an active ingredient</w:t>
      </w:r>
      <w:r>
        <w:t xml:space="preserve"> is particularly </w:t>
      </w:r>
      <w:r w:rsidR="007B6993">
        <w:t>confusing</w:t>
      </w:r>
      <w:r>
        <w:t xml:space="preserve"> for suppliers and sponsors in relation t</w:t>
      </w:r>
      <w:r w:rsidRPr="003E7C1C">
        <w:t xml:space="preserve">o manufacturing and GMP requirements. </w:t>
      </w:r>
      <w:r>
        <w:t xml:space="preserve">There is considerable confusion </w:t>
      </w:r>
      <w:r w:rsidRPr="003E7C1C">
        <w:t xml:space="preserve">whether the manufacture </w:t>
      </w:r>
      <w:r>
        <w:t xml:space="preserve">of such </w:t>
      </w:r>
      <w:r w:rsidRPr="003E7C1C">
        <w:t>mixture</w:t>
      </w:r>
      <w:r>
        <w:t>s</w:t>
      </w:r>
      <w:r w:rsidRPr="003E7C1C">
        <w:t xml:space="preserve"> constitutes the manufacture of a</w:t>
      </w:r>
      <w:r>
        <w:t>n intermediate therapeutic good, which would require</w:t>
      </w:r>
      <w:r w:rsidRPr="003E7C1C">
        <w:t xml:space="preserve"> the relevant manufacturing site </w:t>
      </w:r>
      <w:r>
        <w:t>to</w:t>
      </w:r>
      <w:r w:rsidRPr="003E7C1C">
        <w:t xml:space="preserve"> have TGA approval. It also creates confusion regarding the responsibilities of finished </w:t>
      </w:r>
      <w:proofErr w:type="spellStart"/>
      <w:r w:rsidRPr="003E7C1C">
        <w:t>good</w:t>
      </w:r>
      <w:proofErr w:type="spellEnd"/>
      <w:r w:rsidRPr="003E7C1C">
        <w:t xml:space="preserve"> manufacturers in relation to accepting such ingredient mixtures as raw materials when they may not have access to all relevant quality control data.</w:t>
      </w:r>
    </w:p>
    <w:p w14:paraId="4A69C3BC" w14:textId="089330D8" w:rsidR="00A25E7C" w:rsidRDefault="004E1695" w:rsidP="004F1E1A">
      <w:pPr>
        <w:pStyle w:val="Heading3"/>
      </w:pPr>
      <w:bookmarkStart w:id="15" w:name="_Toc61239962"/>
      <w:r>
        <w:t>Streamlining</w:t>
      </w:r>
      <w:r w:rsidR="00D721AC">
        <w:t xml:space="preserve"> administrative steps</w:t>
      </w:r>
      <w:bookmarkEnd w:id="15"/>
      <w:r w:rsidR="00A25E7C">
        <w:t xml:space="preserve"> </w:t>
      </w:r>
    </w:p>
    <w:p w14:paraId="3B2509BB" w14:textId="38662F17" w:rsidR="00EC045D" w:rsidRDefault="00DE4226" w:rsidP="0087758C">
      <w:r>
        <w:t>W</w:t>
      </w:r>
      <w:r w:rsidR="0087758C">
        <w:t xml:space="preserve">e propose to cease </w:t>
      </w:r>
      <w:r w:rsidR="0073412F">
        <w:t xml:space="preserve">the </w:t>
      </w:r>
      <w:r w:rsidR="00EC045D">
        <w:t xml:space="preserve">processing </w:t>
      </w:r>
      <w:r w:rsidR="0073412F">
        <w:t xml:space="preserve">of </w:t>
      </w:r>
      <w:r w:rsidR="00EC045D">
        <w:t>new Ac</w:t>
      </w:r>
      <w:r w:rsidR="0087758C">
        <w:t xml:space="preserve">tive </w:t>
      </w:r>
      <w:r w:rsidR="00EC045D">
        <w:t>Premix</w:t>
      </w:r>
      <w:r w:rsidR="00D17694">
        <w:t xml:space="preserve"> and</w:t>
      </w:r>
      <w:r w:rsidR="00EC045D">
        <w:t xml:space="preserve"> Active Herbal E</w:t>
      </w:r>
      <w:r w:rsidR="0087758C">
        <w:t xml:space="preserve">xtract </w:t>
      </w:r>
      <w:r w:rsidR="00EC045D">
        <w:t>entries</w:t>
      </w:r>
      <w:r w:rsidR="0087758C">
        <w:t xml:space="preserve"> into the Proprietary Ingredient</w:t>
      </w:r>
      <w:r w:rsidR="002A7067">
        <w:t>s</w:t>
      </w:r>
      <w:r w:rsidR="0087758C">
        <w:t xml:space="preserve"> Table.</w:t>
      </w:r>
      <w:r w:rsidR="00EC045D" w:rsidRPr="00EC045D">
        <w:t xml:space="preserve"> </w:t>
      </w:r>
      <w:r w:rsidR="00BF0DF9">
        <w:t>The main driver for t</w:t>
      </w:r>
      <w:r w:rsidR="00B2575D">
        <w:t xml:space="preserve">his activity </w:t>
      </w:r>
      <w:r w:rsidR="00BF0DF9">
        <w:t xml:space="preserve">is to </w:t>
      </w:r>
      <w:r w:rsidR="00B2575D">
        <w:t>limit the Proprietary Ingredient notification process to mixtures that only contain excipient ingredients.</w:t>
      </w:r>
      <w:r w:rsidR="00BE7B93">
        <w:t xml:space="preserve"> </w:t>
      </w:r>
      <w:r w:rsidR="00B11CFC">
        <w:t>No changes to existing legislation or IT systems would be required</w:t>
      </w:r>
      <w:r w:rsidR="0073412F">
        <w:t xml:space="preserve"> to implement this proposal</w:t>
      </w:r>
      <w:r w:rsidR="00B11CFC">
        <w:t>.</w:t>
      </w:r>
    </w:p>
    <w:p w14:paraId="22FA9A8C" w14:textId="64EADFD1" w:rsidR="00BF0DF9" w:rsidRPr="0071004C" w:rsidRDefault="007B6993" w:rsidP="007B6993">
      <w:pPr>
        <w:rPr>
          <w:rFonts w:asciiTheme="minorHAnsi" w:hAnsiTheme="minorHAnsi"/>
        </w:rPr>
      </w:pPr>
      <w:r>
        <w:t>For existing Active Premix and Active Herbal Extract entries,</w:t>
      </w:r>
      <w:r w:rsidRPr="0071004C">
        <w:rPr>
          <w:rFonts w:asciiTheme="minorHAnsi" w:hAnsiTheme="minorHAnsi"/>
        </w:rPr>
        <w:t xml:space="preserve"> we propose</w:t>
      </w:r>
      <w:r w:rsidR="00BF0DF9" w:rsidRPr="0071004C">
        <w:rPr>
          <w:rFonts w:asciiTheme="minorHAnsi" w:hAnsiTheme="minorHAnsi"/>
        </w:rPr>
        <w:t>:</w:t>
      </w:r>
    </w:p>
    <w:p w14:paraId="35F95D09" w14:textId="1F66D008" w:rsidR="00BF0DF9" w:rsidRPr="0071004C" w:rsidRDefault="00E21A24" w:rsidP="005C1359">
      <w:pPr>
        <w:pStyle w:val="ListBullet"/>
      </w:pPr>
      <w:r>
        <w:t xml:space="preserve">to </w:t>
      </w:r>
      <w:r w:rsidR="007B6993" w:rsidRPr="0071004C">
        <w:t xml:space="preserve">inactivate </w:t>
      </w:r>
      <w:r w:rsidR="00BF0DF9" w:rsidRPr="0071004C">
        <w:t>any</w:t>
      </w:r>
      <w:r w:rsidR="007B6993" w:rsidRPr="0071004C">
        <w:t xml:space="preserve"> PI numbers </w:t>
      </w:r>
      <w:r w:rsidR="0071004C">
        <w:t xml:space="preserve">in these categories </w:t>
      </w:r>
      <w:r w:rsidR="007B6993" w:rsidRPr="0071004C">
        <w:t xml:space="preserve">not linked to current ARTG </w:t>
      </w:r>
      <w:proofErr w:type="gramStart"/>
      <w:r w:rsidR="007B6993" w:rsidRPr="0071004C">
        <w:t>entries</w:t>
      </w:r>
      <w:proofErr w:type="gramEnd"/>
      <w:r w:rsidR="0071004C">
        <w:t xml:space="preserve"> </w:t>
      </w:r>
    </w:p>
    <w:p w14:paraId="4543A0C9" w14:textId="639AEE63" w:rsidR="0071004C" w:rsidRDefault="0071004C" w:rsidP="0071004C">
      <w:pPr>
        <w:pStyle w:val="ListBullet"/>
      </w:pPr>
      <w:r>
        <w:t>where an affected PI is used in an active ARTG entry</w:t>
      </w:r>
      <w:r w:rsidR="00E21A24">
        <w:t xml:space="preserve"> (to be considered case-by-case)</w:t>
      </w:r>
      <w:r>
        <w:t>:</w:t>
      </w:r>
    </w:p>
    <w:p w14:paraId="31483886" w14:textId="35DFDDF4" w:rsidR="00BF0DF9" w:rsidRPr="0071004C" w:rsidRDefault="00896578" w:rsidP="0071004C">
      <w:pPr>
        <w:pStyle w:val="ListBullet2"/>
      </w:pPr>
      <w:r>
        <w:t xml:space="preserve">to </w:t>
      </w:r>
      <w:r w:rsidR="00DF19BD" w:rsidRPr="00DF19BD">
        <w:t>a</w:t>
      </w:r>
      <w:r w:rsidR="00BF0DF9" w:rsidRPr="0071004C">
        <w:t>llow continued use</w:t>
      </w:r>
      <w:r w:rsidR="0071004C">
        <w:t xml:space="preserve"> with no further action or</w:t>
      </w:r>
      <w:r w:rsidR="00AB42DA" w:rsidRPr="0071004C">
        <w:t xml:space="preserve"> </w:t>
      </w:r>
    </w:p>
    <w:p w14:paraId="2C094521" w14:textId="10661FCC" w:rsidR="00D3520C" w:rsidRDefault="00896578" w:rsidP="00D3520C">
      <w:pPr>
        <w:pStyle w:val="ListBullet2"/>
      </w:pPr>
      <w:r>
        <w:t xml:space="preserve">to </w:t>
      </w:r>
      <w:r w:rsidR="00BF0DF9">
        <w:t xml:space="preserve">allow </w:t>
      </w:r>
      <w:r w:rsidR="00A35911">
        <w:t>sponsors to update the</w:t>
      </w:r>
      <w:r w:rsidR="000355CD">
        <w:t>ir</w:t>
      </w:r>
      <w:r w:rsidR="00A35911">
        <w:t xml:space="preserve"> </w:t>
      </w:r>
      <w:r w:rsidR="000355CD">
        <w:t xml:space="preserve">medicine </w:t>
      </w:r>
      <w:r w:rsidR="00A35911">
        <w:t xml:space="preserve">formulations </w:t>
      </w:r>
      <w:r w:rsidR="000355CD">
        <w:t xml:space="preserve">to replace </w:t>
      </w:r>
      <w:r w:rsidR="00A35911">
        <w:t xml:space="preserve">the PI number </w:t>
      </w:r>
      <w:r w:rsidR="000355CD">
        <w:t>with</w:t>
      </w:r>
      <w:r w:rsidR="00E21A24">
        <w:t xml:space="preserve"> </w:t>
      </w:r>
      <w:r>
        <w:t xml:space="preserve">the </w:t>
      </w:r>
      <w:r w:rsidR="00A35911">
        <w:t>individual constituent ingredients</w:t>
      </w:r>
      <w:r w:rsidR="000355CD" w:rsidRPr="000355CD">
        <w:t xml:space="preserve"> </w:t>
      </w:r>
      <w:r w:rsidR="000355CD">
        <w:t>within their ARTG entries</w:t>
      </w:r>
      <w:r w:rsidR="00E21A24">
        <w:t xml:space="preserve">. </w:t>
      </w:r>
      <w:r w:rsidR="000355CD">
        <w:t>The</w:t>
      </w:r>
      <w:r w:rsidR="00E21A24">
        <w:t xml:space="preserve"> TGA may consider </w:t>
      </w:r>
      <w:r w:rsidR="00E21A24">
        <w:lastRenderedPageBreak/>
        <w:t>whether a transition period would be needed for the sponsor to update their ARTG entries.</w:t>
      </w:r>
    </w:p>
    <w:p w14:paraId="1F035988" w14:textId="08CDED4B" w:rsidR="00DE4226" w:rsidRDefault="00D17694" w:rsidP="004F1E1A">
      <w:pPr>
        <w:pStyle w:val="Heading4"/>
      </w:pPr>
      <w:bookmarkStart w:id="16" w:name="_Toc61239963"/>
      <w:r>
        <w:t>How does this affect suppliers and sponsors?</w:t>
      </w:r>
      <w:bookmarkEnd w:id="16"/>
    </w:p>
    <w:p w14:paraId="60C3ADCC" w14:textId="2841A064" w:rsidR="00D17694" w:rsidRDefault="00D17694" w:rsidP="00EC045D">
      <w:r>
        <w:t>I</w:t>
      </w:r>
      <w:r w:rsidR="00EC045D">
        <w:t>ngredient suppliers</w:t>
      </w:r>
      <w:r>
        <w:t>:</w:t>
      </w:r>
    </w:p>
    <w:p w14:paraId="67EAFC28" w14:textId="35212004" w:rsidR="00D17694" w:rsidRDefault="00EC045D" w:rsidP="004F1E1A">
      <w:pPr>
        <w:pStyle w:val="ListBullet"/>
      </w:pPr>
      <w:r>
        <w:t xml:space="preserve">will continue to be able to sell these types of </w:t>
      </w:r>
      <w:r w:rsidR="00E21A24">
        <w:t>formulations</w:t>
      </w:r>
      <w:r>
        <w:t xml:space="preserve"> to prospective sponsors for use in therapeutic goods</w:t>
      </w:r>
      <w:r w:rsidR="00896578">
        <w:t>.</w:t>
      </w:r>
      <w:r>
        <w:t xml:space="preserve"> </w:t>
      </w:r>
    </w:p>
    <w:p w14:paraId="7E3F12CD" w14:textId="75BE941F" w:rsidR="00D17694" w:rsidRDefault="00D17694" w:rsidP="004F1E1A">
      <w:pPr>
        <w:pStyle w:val="ListBullet"/>
      </w:pPr>
      <w:r>
        <w:t xml:space="preserve">will not </w:t>
      </w:r>
      <w:r w:rsidR="00E21A24">
        <w:t>need</w:t>
      </w:r>
      <w:r w:rsidR="00DF19BD">
        <w:t xml:space="preserve"> to </w:t>
      </w:r>
      <w:r>
        <w:t xml:space="preserve">submit a notification form to </w:t>
      </w:r>
      <w:r w:rsidR="00DF75CE">
        <w:t>the TGA to enter the formulation into the Proprietary Ingredients Table. Instead</w:t>
      </w:r>
      <w:r w:rsidR="00086D80">
        <w:t>,</w:t>
      </w:r>
      <w:r w:rsidR="00DF75CE">
        <w:t xml:space="preserve"> they will </w:t>
      </w:r>
      <w:r w:rsidR="00DF19BD">
        <w:t xml:space="preserve">need to </w:t>
      </w:r>
      <w:r w:rsidR="00DF75CE">
        <w:t xml:space="preserve">provide the </w:t>
      </w:r>
      <w:r w:rsidR="00E21A24">
        <w:t>relevant</w:t>
      </w:r>
      <w:r w:rsidR="00DF19BD">
        <w:t xml:space="preserve"> </w:t>
      </w:r>
      <w:r w:rsidR="00DF75CE">
        <w:t xml:space="preserve">details of the constituent ingredients to the prospective sponsor for them to </w:t>
      </w:r>
      <w:proofErr w:type="gramStart"/>
      <w:r w:rsidR="00DF75CE">
        <w:t>enter into</w:t>
      </w:r>
      <w:proofErr w:type="gramEnd"/>
      <w:r w:rsidR="00DF75CE">
        <w:t xml:space="preserve"> their </w:t>
      </w:r>
      <w:r w:rsidR="00DF19BD">
        <w:t xml:space="preserve">ARTG </w:t>
      </w:r>
      <w:r w:rsidR="00DF75CE">
        <w:t>application.</w:t>
      </w:r>
    </w:p>
    <w:p w14:paraId="07F5BBC1" w14:textId="4E2A254C" w:rsidR="00DF75CE" w:rsidRDefault="00DF75CE" w:rsidP="004F1E1A">
      <w:pPr>
        <w:pStyle w:val="ListBullet"/>
      </w:pPr>
      <w:r>
        <w:t>in some circumstances</w:t>
      </w:r>
      <w:r w:rsidR="00DF19BD">
        <w:t>,</w:t>
      </w:r>
      <w:r>
        <w:t xml:space="preserve"> will no longer need to contact TGA to establish or maintain a TBS client ID or maintain the details associate</w:t>
      </w:r>
      <w:r w:rsidR="007624AD">
        <w:t>d</w:t>
      </w:r>
      <w:r>
        <w:t xml:space="preserve"> with their ingredient mixture within TGA electronic databases</w:t>
      </w:r>
      <w:r w:rsidR="007624AD">
        <w:t xml:space="preserve"> (including where supply arrangements for the mixture have been on</w:t>
      </w:r>
      <w:r w:rsidR="00896578">
        <w:t>-</w:t>
      </w:r>
      <w:r w:rsidR="007624AD">
        <w:t>sold to other ingredient suppliers or where a business has undergone a name change)</w:t>
      </w:r>
      <w:r>
        <w:t>.</w:t>
      </w:r>
    </w:p>
    <w:p w14:paraId="12ACEB38" w14:textId="04673368" w:rsidR="00DF75CE" w:rsidRDefault="00DF75CE">
      <w:r>
        <w:t>Sponsors:</w:t>
      </w:r>
    </w:p>
    <w:p w14:paraId="2AADA078" w14:textId="2AEA8904" w:rsidR="007624AD" w:rsidRDefault="00893526" w:rsidP="004F1E1A">
      <w:pPr>
        <w:pStyle w:val="ListBullet"/>
      </w:pPr>
      <w:r>
        <w:t>w</w:t>
      </w:r>
      <w:r w:rsidR="007624AD">
        <w:t xml:space="preserve">ill not need to wait for a PI to be </w:t>
      </w:r>
      <w:r w:rsidR="000355CD">
        <w:t xml:space="preserve">entered </w:t>
      </w:r>
      <w:r w:rsidR="007624AD">
        <w:t>into the Proprietary Ingredients Table before submitting their therapeutic goods application.</w:t>
      </w:r>
    </w:p>
    <w:p w14:paraId="527EED0C" w14:textId="38032C54" w:rsidR="00DF75CE" w:rsidRDefault="007624AD" w:rsidP="004F1E1A">
      <w:pPr>
        <w:pStyle w:val="ListBullet"/>
      </w:pPr>
      <w:r>
        <w:t>will</w:t>
      </w:r>
      <w:r w:rsidR="0087758C">
        <w:t xml:space="preserve"> </w:t>
      </w:r>
      <w:r w:rsidR="00DF19BD">
        <w:t xml:space="preserve">need to </w:t>
      </w:r>
      <w:r w:rsidR="00E21A24">
        <w:t>obtain relevant</w:t>
      </w:r>
      <w:r w:rsidR="00DF19BD">
        <w:t xml:space="preserve"> </w:t>
      </w:r>
      <w:r w:rsidR="00E21A24">
        <w:t xml:space="preserve">formulation </w:t>
      </w:r>
      <w:r w:rsidR="00DF19BD">
        <w:t>detai</w:t>
      </w:r>
      <w:r w:rsidR="00E21A24">
        <w:t>l</w:t>
      </w:r>
      <w:r w:rsidR="00DF19BD">
        <w:t xml:space="preserve">s and </w:t>
      </w:r>
      <w:r w:rsidR="0087758C">
        <w:t>enter the</w:t>
      </w:r>
      <w:r w:rsidR="00E21A24">
        <w:t>se</w:t>
      </w:r>
      <w:r w:rsidR="0087758C">
        <w:t xml:space="preserve"> into their ARTG application</w:t>
      </w:r>
      <w:r>
        <w:t xml:space="preserve"> instead of selecting a PI mixture</w:t>
      </w:r>
      <w:r w:rsidR="009115D8">
        <w:t>.</w:t>
      </w:r>
      <w:r w:rsidR="00B11CFC">
        <w:t xml:space="preserve"> For listed medicines applications, quantities of some excipients are not required </w:t>
      </w:r>
      <w:r w:rsidR="00750A93">
        <w:t xml:space="preserve">to be entered into the electronic system </w:t>
      </w:r>
      <w:r w:rsidR="00B11CFC">
        <w:t>for the medicine to meet listing requirements.</w:t>
      </w:r>
    </w:p>
    <w:p w14:paraId="2349DD73" w14:textId="0407E82A" w:rsidR="00DF75CE" w:rsidRDefault="00DF75CE" w:rsidP="004F1E1A">
      <w:pPr>
        <w:pStyle w:val="Heading4"/>
      </w:pPr>
      <w:bookmarkStart w:id="17" w:name="_Toc61239964"/>
      <w:r>
        <w:t>What is not changing</w:t>
      </w:r>
      <w:r w:rsidR="007B6993">
        <w:t>?</w:t>
      </w:r>
      <w:bookmarkEnd w:id="17"/>
    </w:p>
    <w:p w14:paraId="3E625439" w14:textId="176AB526" w:rsidR="007B6993" w:rsidRPr="007B6993" w:rsidRDefault="007B6993">
      <w:r>
        <w:t>There is no change to:</w:t>
      </w:r>
    </w:p>
    <w:p w14:paraId="676974F7" w14:textId="099E548F" w:rsidR="007B6993" w:rsidRDefault="00893526" w:rsidP="004F1E1A">
      <w:pPr>
        <w:pStyle w:val="ListBullet"/>
      </w:pPr>
      <w:r>
        <w:t>t</w:t>
      </w:r>
      <w:r w:rsidR="009115D8">
        <w:t xml:space="preserve">he </w:t>
      </w:r>
      <w:r w:rsidR="007B6993">
        <w:t>amount or type</w:t>
      </w:r>
      <w:r w:rsidR="009115D8">
        <w:t xml:space="preserve"> of information </w:t>
      </w:r>
      <w:r w:rsidR="0037724E">
        <w:t>made public</w:t>
      </w:r>
      <w:r w:rsidR="009115D8">
        <w:t xml:space="preserve"> about ingredients</w:t>
      </w:r>
      <w:r w:rsidR="007B6993">
        <w:t xml:space="preserve"> in a therapeutic good </w:t>
      </w:r>
      <w:r w:rsidR="007624AD">
        <w:t xml:space="preserve">in the </w:t>
      </w:r>
      <w:proofErr w:type="gramStart"/>
      <w:r w:rsidR="007624AD">
        <w:t>medicine’s</w:t>
      </w:r>
      <w:proofErr w:type="gramEnd"/>
      <w:r w:rsidR="007624AD">
        <w:t xml:space="preserve"> or biological’s public ARTG summary, i.e. </w:t>
      </w:r>
      <w:r w:rsidR="007B6993">
        <w:t xml:space="preserve">the names, amounts and equivalent information (where relevant) for </w:t>
      </w:r>
      <w:r w:rsidR="007624AD">
        <w:t>active ingredients and the</w:t>
      </w:r>
      <w:r w:rsidR="00E21A24">
        <w:t xml:space="preserve"> names of excipient ingredients</w:t>
      </w:r>
      <w:r w:rsidR="00896578">
        <w:t>.</w:t>
      </w:r>
    </w:p>
    <w:p w14:paraId="5141DA1E" w14:textId="5BF031B0" w:rsidR="007624AD" w:rsidRDefault="00893526" w:rsidP="004F1E1A">
      <w:pPr>
        <w:pStyle w:val="ListBullet"/>
      </w:pPr>
      <w:r>
        <w:t>t</w:t>
      </w:r>
      <w:r w:rsidR="007B6993">
        <w:t>he need for correspondence between suppliers and sponsors about whether an ingredient mi</w:t>
      </w:r>
      <w:r w:rsidR="007624AD">
        <w:t>xture meets relevant requirements for use in a therapeutic good</w:t>
      </w:r>
      <w:r w:rsidR="00896578">
        <w:t>.</w:t>
      </w:r>
    </w:p>
    <w:p w14:paraId="179E7C9B" w14:textId="3A1584C0" w:rsidR="00EC045D" w:rsidRDefault="00893526" w:rsidP="004F1E1A">
      <w:pPr>
        <w:pStyle w:val="ListBullet"/>
      </w:pPr>
      <w:r>
        <w:t>t</w:t>
      </w:r>
      <w:r w:rsidR="007624AD">
        <w:t>he need for correspondence between suppliers and affected sponsors where</w:t>
      </w:r>
      <w:r w:rsidR="007B6993">
        <w:t xml:space="preserve"> there </w:t>
      </w:r>
      <w:r w:rsidR="007624AD">
        <w:t>has</w:t>
      </w:r>
      <w:r w:rsidR="007B6993">
        <w:t xml:space="preserve"> been changes to a mixture</w:t>
      </w:r>
      <w:r w:rsidR="00E21A24">
        <w:t>’s formulation or other details</w:t>
      </w:r>
      <w:r w:rsidR="00896578">
        <w:t>.</w:t>
      </w:r>
    </w:p>
    <w:p w14:paraId="06438EA2" w14:textId="268DD1EB" w:rsidR="00750A93" w:rsidRDefault="00EC045D" w:rsidP="004F1E1A">
      <w:pPr>
        <w:pStyle w:val="ListBullet"/>
      </w:pPr>
      <w:r>
        <w:t xml:space="preserve">GMP requirements </w:t>
      </w:r>
      <w:r w:rsidR="00750A93">
        <w:t>for the manufacture of therapeutic goods</w:t>
      </w:r>
      <w:r w:rsidR="00896578">
        <w:t>.</w:t>
      </w:r>
    </w:p>
    <w:p w14:paraId="64B1AD48" w14:textId="6748A9EE" w:rsidR="00EC045D" w:rsidRDefault="00EC045D" w:rsidP="00750A93">
      <w:pPr>
        <w:pStyle w:val="ListBullet"/>
      </w:pPr>
      <w:r>
        <w:t xml:space="preserve">the ability for sponsors to make claims about the </w:t>
      </w:r>
      <w:r w:rsidR="00D70726">
        <w:t>formulations of</w:t>
      </w:r>
      <w:r>
        <w:t xml:space="preserve"> </w:t>
      </w:r>
      <w:r w:rsidR="00750A93">
        <w:t>their</w:t>
      </w:r>
      <w:r w:rsidR="00B11CFC">
        <w:t xml:space="preserve"> therapeutic good</w:t>
      </w:r>
      <w:r w:rsidR="005073EB">
        <w:t>.</w:t>
      </w:r>
    </w:p>
    <w:p w14:paraId="40B7AF2F" w14:textId="5F51B994" w:rsidR="00A35911" w:rsidRPr="00A35911" w:rsidRDefault="00893526" w:rsidP="00A35911">
      <w:pPr>
        <w:pStyle w:val="Heading3"/>
      </w:pPr>
      <w:bookmarkStart w:id="18" w:name="_Toc61239965"/>
      <w:r>
        <w:t>Questions</w:t>
      </w:r>
      <w:bookmarkEnd w:id="18"/>
    </w:p>
    <w:tbl>
      <w:tblPr>
        <w:tblpPr w:leftFromText="180" w:rightFromText="180" w:vertAnchor="text" w:horzAnchor="margin" w:tblpY="98"/>
        <w:tblW w:w="8417" w:type="dxa"/>
        <w:tblLayout w:type="fixed"/>
        <w:tblCellMar>
          <w:left w:w="0" w:type="dxa"/>
          <w:right w:w="0" w:type="dxa"/>
        </w:tblCellMar>
        <w:tblLook w:val="04A0" w:firstRow="1" w:lastRow="0" w:firstColumn="1" w:lastColumn="0" w:noHBand="0" w:noVBand="1"/>
      </w:tblPr>
      <w:tblGrid>
        <w:gridCol w:w="1188"/>
        <w:gridCol w:w="7229"/>
      </w:tblGrid>
      <w:tr w:rsidR="00893526" w:rsidRPr="007A52A5" w14:paraId="7D56AB3B" w14:textId="77777777" w:rsidTr="00893526">
        <w:trPr>
          <w:trHeight w:val="924"/>
        </w:trPr>
        <w:tc>
          <w:tcPr>
            <w:tcW w:w="1188" w:type="dxa"/>
            <w:vAlign w:val="center"/>
          </w:tcPr>
          <w:p w14:paraId="20796F92" w14:textId="77777777" w:rsidR="00893526" w:rsidRPr="007A52A5" w:rsidRDefault="00893526" w:rsidP="00893526">
            <w:pPr>
              <w:spacing w:before="0"/>
              <w:rPr>
                <w:sz w:val="24"/>
                <w:szCs w:val="24"/>
              </w:rPr>
            </w:pPr>
            <w:r w:rsidRPr="007A52A5">
              <w:rPr>
                <w:noProof/>
                <w:sz w:val="24"/>
                <w:szCs w:val="24"/>
                <w:lang w:eastAsia="en-AU"/>
              </w:rPr>
              <w:drawing>
                <wp:inline distT="0" distB="0" distL="0" distR="0" wp14:anchorId="00F3FA63" wp14:editId="2AD9567F">
                  <wp:extent cx="489600" cy="489600"/>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ceyg\AppData\Local\Microsoft\Windows\Temporary Internet Files\Content.IE5\1L6LQT4S\1390060157[1].png"/>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489600" cy="489600"/>
                          </a:xfrm>
                          <a:prstGeom prst="rect">
                            <a:avLst/>
                          </a:prstGeom>
                          <a:noFill/>
                          <a:ln>
                            <a:noFill/>
                          </a:ln>
                        </pic:spPr>
                      </pic:pic>
                    </a:graphicData>
                  </a:graphic>
                </wp:inline>
              </w:drawing>
            </w:r>
          </w:p>
        </w:tc>
        <w:tc>
          <w:tcPr>
            <w:tcW w:w="7229" w:type="dxa"/>
            <w:shd w:val="clear" w:color="auto" w:fill="EAEAEA"/>
            <w:tcMar>
              <w:top w:w="170" w:type="dxa"/>
              <w:left w:w="170" w:type="dxa"/>
              <w:bottom w:w="170" w:type="dxa"/>
              <w:right w:w="170" w:type="dxa"/>
            </w:tcMar>
          </w:tcPr>
          <w:p w14:paraId="273197CE" w14:textId="713F2E34" w:rsidR="00893526" w:rsidRDefault="00893526" w:rsidP="00893526">
            <w:pPr>
              <w:pStyle w:val="ListBullet"/>
            </w:pPr>
            <w:r>
              <w:t>Do you support the above proposal?</w:t>
            </w:r>
            <w:r w:rsidR="00750A93">
              <w:t xml:space="preserve"> Why/why not?</w:t>
            </w:r>
          </w:p>
          <w:p w14:paraId="34998FB4" w14:textId="77777777" w:rsidR="00893526" w:rsidRDefault="00893526" w:rsidP="00893526">
            <w:pPr>
              <w:pStyle w:val="ListBullet"/>
            </w:pPr>
            <w:r>
              <w:t>Do you have any other suggestions for:</w:t>
            </w:r>
          </w:p>
          <w:p w14:paraId="022ACC61" w14:textId="0E7ACB62" w:rsidR="00893526" w:rsidRDefault="00893526" w:rsidP="00893526">
            <w:pPr>
              <w:pStyle w:val="ListBullet2"/>
            </w:pPr>
            <w:r>
              <w:lastRenderedPageBreak/>
              <w:t xml:space="preserve">managing existing </w:t>
            </w:r>
            <w:r w:rsidR="006D0A5E">
              <w:t xml:space="preserve">Active Premix and Active Herbal Extract </w:t>
            </w:r>
            <w:r>
              <w:t>entries in the Proprietary Ingredient</w:t>
            </w:r>
            <w:r w:rsidR="00750A93">
              <w:t>s</w:t>
            </w:r>
            <w:r>
              <w:t xml:space="preserve"> Table</w:t>
            </w:r>
            <w:r w:rsidR="000355CD">
              <w:t>?</w:t>
            </w:r>
          </w:p>
          <w:p w14:paraId="02EBB85F" w14:textId="66CE6A26" w:rsidR="00893526" w:rsidRDefault="00A35911" w:rsidP="00893526">
            <w:pPr>
              <w:pStyle w:val="ListBullet2"/>
            </w:pPr>
            <w:r>
              <w:t xml:space="preserve">managing </w:t>
            </w:r>
            <w:r w:rsidR="00893526">
              <w:t>ARTG entries that use the affected PI numbers in their formulations?</w:t>
            </w:r>
          </w:p>
          <w:p w14:paraId="3EEF4C80" w14:textId="510D0D1A" w:rsidR="00750A93" w:rsidRPr="007A52A5" w:rsidRDefault="00750A93" w:rsidP="00AB42DA">
            <w:pPr>
              <w:pStyle w:val="ListBullet"/>
            </w:pPr>
            <w:r>
              <w:t xml:space="preserve">[Sponsors] Are there any educational or guidance materials you may need to assist you in entering your product’s formulation details into TGA systems? </w:t>
            </w:r>
          </w:p>
        </w:tc>
      </w:tr>
    </w:tbl>
    <w:p w14:paraId="30FAA255" w14:textId="77777777" w:rsidR="00893526" w:rsidRDefault="00893526" w:rsidP="00893526"/>
    <w:p w14:paraId="31C927AB" w14:textId="77777777" w:rsidR="00893526" w:rsidRDefault="00893526" w:rsidP="00964A7A"/>
    <w:p w14:paraId="65131F3F" w14:textId="321810DD" w:rsidR="00DE4226" w:rsidRDefault="00DE4226" w:rsidP="004F1E1A">
      <w:pPr>
        <w:pStyle w:val="Heading2"/>
      </w:pPr>
      <w:bookmarkStart w:id="19" w:name="_Toc61239966"/>
      <w:r>
        <w:t>Proposal</w:t>
      </w:r>
      <w:r w:rsidR="000355CD">
        <w:t xml:space="preserve"> 2</w:t>
      </w:r>
      <w:r>
        <w:t>: Discontinue processing</w:t>
      </w:r>
      <w:r w:rsidRPr="005934AF">
        <w:t xml:space="preserve"> </w:t>
      </w:r>
      <w:r w:rsidR="0034730E">
        <w:t xml:space="preserve">of </w:t>
      </w:r>
      <w:r>
        <w:t>n</w:t>
      </w:r>
      <w:r w:rsidRPr="005934AF">
        <w:t xml:space="preserve">on-specific </w:t>
      </w:r>
      <w:r>
        <w:t>E</w:t>
      </w:r>
      <w:r w:rsidRPr="005934AF">
        <w:t xml:space="preserve">xcipient </w:t>
      </w:r>
      <w:r>
        <w:t>M</w:t>
      </w:r>
      <w:r w:rsidRPr="005934AF">
        <w:t>ixes</w:t>
      </w:r>
      <w:r>
        <w:t xml:space="preserve"> into the Proprietary Ingredient</w:t>
      </w:r>
      <w:r w:rsidR="0034730E">
        <w:t>s</w:t>
      </w:r>
      <w:r>
        <w:t xml:space="preserve"> Table</w:t>
      </w:r>
      <w:bookmarkEnd w:id="19"/>
    </w:p>
    <w:p w14:paraId="64463317" w14:textId="138F52EF" w:rsidR="0034730E" w:rsidRPr="0034730E" w:rsidRDefault="0034730E" w:rsidP="00CD4203">
      <w:pPr>
        <w:pStyle w:val="Heading3"/>
      </w:pPr>
      <w:bookmarkStart w:id="20" w:name="_Toc61239967"/>
      <w:r>
        <w:t>About non-specific Excipient Mixes</w:t>
      </w:r>
      <w:bookmarkEnd w:id="20"/>
      <w:r>
        <w:t xml:space="preserve"> </w:t>
      </w:r>
    </w:p>
    <w:p w14:paraId="4DDCDE93" w14:textId="16C92823" w:rsidR="00113725" w:rsidRDefault="00DE4226" w:rsidP="003106F9">
      <w:r>
        <w:t xml:space="preserve">The Proprietary Ingredient Table displays </w:t>
      </w:r>
      <w:r w:rsidR="007D0898">
        <w:t>580</w:t>
      </w:r>
      <w:r>
        <w:t xml:space="preserve"> entries within the non-specific ‘Excipient Mix’ category</w:t>
      </w:r>
      <w:r w:rsidR="002A7067">
        <w:t>, with high variability in the types of ingredients contained within the</w:t>
      </w:r>
      <w:r w:rsidR="00896578">
        <w:t>se</w:t>
      </w:r>
      <w:r w:rsidR="002A7067">
        <w:t xml:space="preserve"> mixtures.</w:t>
      </w:r>
      <w:r w:rsidR="00C70134" w:rsidRPr="00C70134">
        <w:t xml:space="preserve"> </w:t>
      </w:r>
      <w:r w:rsidR="000355CD">
        <w:t>Unlike other categories in the Table, this category does not provide sufficient information on the purpose of the mixture.</w:t>
      </w:r>
    </w:p>
    <w:p w14:paraId="6DFD12A7" w14:textId="1E3E0F47" w:rsidR="003106F9" w:rsidRDefault="003106F9" w:rsidP="003106F9">
      <w:r>
        <w:t>Whereas some of the mixtures have trade names that include wording that indicates the purpose (</w:t>
      </w:r>
      <w:proofErr w:type="gramStart"/>
      <w:r>
        <w:t>e.g.</w:t>
      </w:r>
      <w:proofErr w:type="gramEnd"/>
      <w:r>
        <w:t xml:space="preserve"> moisturising base) other mixtures appear to be combinations of purposes (e.g. a capsule shell mixture that includes a flavour mixture). Some historical </w:t>
      </w:r>
      <w:proofErr w:type="gramStart"/>
      <w:r>
        <w:t>Excipient</w:t>
      </w:r>
      <w:proofErr w:type="gramEnd"/>
      <w:r>
        <w:t xml:space="preserve"> Mix entries consist of a sole ingredient (instead of a mixture) with information about that constituent ingredient available publicly through the supplier’s website. </w:t>
      </w:r>
    </w:p>
    <w:p w14:paraId="1E15A40B" w14:textId="7CABF4AD" w:rsidR="002A7067" w:rsidRDefault="002A7067" w:rsidP="004F1E1A">
      <w:pPr>
        <w:pStyle w:val="Heading3"/>
      </w:pPr>
      <w:bookmarkStart w:id="21" w:name="_Toc61239968"/>
      <w:r>
        <w:t>Streamlining administrative steps</w:t>
      </w:r>
      <w:bookmarkEnd w:id="21"/>
      <w:r>
        <w:t xml:space="preserve"> </w:t>
      </w:r>
    </w:p>
    <w:p w14:paraId="555E85DE" w14:textId="48A5AC20" w:rsidR="00A36EE0" w:rsidRDefault="007124ED" w:rsidP="002A7067">
      <w:r>
        <w:t xml:space="preserve">We propose to cease </w:t>
      </w:r>
      <w:r w:rsidR="00896578">
        <w:t xml:space="preserve">the </w:t>
      </w:r>
      <w:r>
        <w:t xml:space="preserve">processing </w:t>
      </w:r>
      <w:r w:rsidR="00896578">
        <w:t xml:space="preserve">of </w:t>
      </w:r>
      <w:r>
        <w:t xml:space="preserve">new non-specific Excipient Mixes into the Proprietary Ingredients Table. </w:t>
      </w:r>
    </w:p>
    <w:p w14:paraId="5CE28403" w14:textId="66B88F3E" w:rsidR="00A36EE0" w:rsidRDefault="000355CD" w:rsidP="002A7067">
      <w:r>
        <w:t xml:space="preserve">Use of non-specific Excipient Mixes to capture a combination of purposes can result in the mixture not validating in specific medicine application systems. </w:t>
      </w:r>
      <w:r w:rsidR="00A36EE0">
        <w:t>Certain TGA medicine application systems rely on validation rules with limits on ingredients when used in a mixture with a specific purpose (</w:t>
      </w:r>
      <w:proofErr w:type="gramStart"/>
      <w:r w:rsidR="00A36EE0">
        <w:t>i.e.</w:t>
      </w:r>
      <w:proofErr w:type="gramEnd"/>
      <w:r w:rsidR="00A36EE0">
        <w:t xml:space="preserve"> flavours, fragrances and printing inks). Where these types of ingredients are combined with others in a non-specific Excipient Mix, the electronic system is not able to accurately </w:t>
      </w:r>
      <w:r>
        <w:t xml:space="preserve">apply the </w:t>
      </w:r>
      <w:r w:rsidR="00A36EE0">
        <w:t>validat</w:t>
      </w:r>
      <w:r>
        <w:t>ion rules to</w:t>
      </w:r>
      <w:r w:rsidR="00A36EE0">
        <w:t xml:space="preserve"> the medicine application. </w:t>
      </w:r>
    </w:p>
    <w:p w14:paraId="76F2B3FD" w14:textId="3E728BB4" w:rsidR="00C70134" w:rsidRDefault="00C70134" w:rsidP="002A7067">
      <w:r>
        <w:t xml:space="preserve">It would be more appropriate to include any such mixes within the existing </w:t>
      </w:r>
      <w:r w:rsidR="007124ED">
        <w:t>remaining Proprietary Ingredient</w:t>
      </w:r>
      <w:r w:rsidR="00896578">
        <w:t>s</w:t>
      </w:r>
      <w:r w:rsidR="007124ED">
        <w:t xml:space="preserve"> Table </w:t>
      </w:r>
      <w:r>
        <w:t xml:space="preserve">categories, with a specific purpose assigned to them. </w:t>
      </w:r>
    </w:p>
    <w:p w14:paraId="00790C39" w14:textId="1EEC0E5A" w:rsidR="00113725" w:rsidRPr="0071004C" w:rsidRDefault="00113725" w:rsidP="00113725">
      <w:pPr>
        <w:rPr>
          <w:rFonts w:asciiTheme="minorHAnsi" w:hAnsiTheme="minorHAnsi"/>
        </w:rPr>
      </w:pPr>
      <w:r>
        <w:t>For existing Excipient Mix entries in the Proprietary Ingredients Table,</w:t>
      </w:r>
      <w:r w:rsidRPr="0071004C">
        <w:rPr>
          <w:rFonts w:asciiTheme="minorHAnsi" w:hAnsiTheme="minorHAnsi"/>
        </w:rPr>
        <w:t xml:space="preserve"> we propose:</w:t>
      </w:r>
    </w:p>
    <w:p w14:paraId="3ED6941D" w14:textId="3306FECA" w:rsidR="00113725" w:rsidRPr="0071004C" w:rsidRDefault="00113725" w:rsidP="00113725">
      <w:pPr>
        <w:pStyle w:val="ListBullet"/>
      </w:pPr>
      <w:r>
        <w:t xml:space="preserve">to </w:t>
      </w:r>
      <w:r w:rsidRPr="0071004C">
        <w:t xml:space="preserve">inactivate any PI numbers </w:t>
      </w:r>
      <w:r>
        <w:t xml:space="preserve">in these categories </w:t>
      </w:r>
      <w:r w:rsidRPr="0071004C">
        <w:t xml:space="preserve">not linked to current ARTG </w:t>
      </w:r>
      <w:proofErr w:type="gramStart"/>
      <w:r w:rsidRPr="0071004C">
        <w:t>entries</w:t>
      </w:r>
      <w:proofErr w:type="gramEnd"/>
      <w:r>
        <w:t xml:space="preserve"> </w:t>
      </w:r>
    </w:p>
    <w:p w14:paraId="48FCF939" w14:textId="146CD886" w:rsidR="00113725" w:rsidRDefault="00113725" w:rsidP="00113725">
      <w:pPr>
        <w:pStyle w:val="ListBullet"/>
      </w:pPr>
      <w:r>
        <w:t>where an affected PI is used in an a</w:t>
      </w:r>
      <w:r w:rsidR="00896578">
        <w:t>ctive ARTG entry (</w:t>
      </w:r>
      <w:r>
        <w:t>to be considered case-by-case):</w:t>
      </w:r>
    </w:p>
    <w:p w14:paraId="7E6B2F53" w14:textId="4B05DC26" w:rsidR="00AB42DA" w:rsidRDefault="00113725" w:rsidP="00113725">
      <w:pPr>
        <w:pStyle w:val="ListBullet2"/>
      </w:pPr>
      <w:r>
        <w:t>reclassify</w:t>
      </w:r>
      <w:r w:rsidR="00CC1DC1">
        <w:t xml:space="preserve"> existing mixtures</w:t>
      </w:r>
      <w:r w:rsidR="006D0A5E">
        <w:t xml:space="preserve"> into other categories</w:t>
      </w:r>
      <w:r w:rsidR="00AB42DA">
        <w:t xml:space="preserve">. </w:t>
      </w:r>
      <w:r w:rsidR="006D0A5E">
        <w:t xml:space="preserve">For example, numerous entries in this category include ‘moisturising base’ in the title, implying that the </w:t>
      </w:r>
      <w:r w:rsidR="00AB42DA">
        <w:t>‘</w:t>
      </w:r>
      <w:r w:rsidR="006D0A5E">
        <w:t>Cream (ointment) base</w:t>
      </w:r>
      <w:r w:rsidR="00AB42DA">
        <w:t>’</w:t>
      </w:r>
      <w:r w:rsidR="006D0A5E">
        <w:t xml:space="preserve"> category would be more appropriate for the mixture. </w:t>
      </w:r>
      <w:r w:rsidR="00AB42DA">
        <w:t xml:space="preserve">TGA </w:t>
      </w:r>
      <w:r w:rsidR="00803DC2">
        <w:t>c</w:t>
      </w:r>
      <w:r w:rsidR="00CC1DC1">
        <w:t>ould</w:t>
      </w:r>
      <w:r w:rsidR="00AB42DA">
        <w:t xml:space="preserve"> write to the </w:t>
      </w:r>
      <w:r w:rsidR="00AB42DA">
        <w:lastRenderedPageBreak/>
        <w:t xml:space="preserve">affected suppliers requesting that they </w:t>
      </w:r>
      <w:r w:rsidR="00CC1DC1">
        <w:t>select a more appropriate category, noting that this may affect the mixture’s validation in certain TGA application systems.</w:t>
      </w:r>
    </w:p>
    <w:p w14:paraId="12CF0936" w14:textId="56ADA5F8" w:rsidR="00CC1DC1" w:rsidRDefault="00113725" w:rsidP="00113725">
      <w:pPr>
        <w:pStyle w:val="ListBullet2"/>
      </w:pPr>
      <w:r>
        <w:t>allow sponsors to update the formulations of their ARTG entries from the PI number to instead select individual constituent ingredients. In this situation, TGA may consider whether a transition period would be needed for the sponsor to update their ARTG entries.</w:t>
      </w:r>
    </w:p>
    <w:p w14:paraId="31ED327D" w14:textId="77777777" w:rsidR="00CD4203" w:rsidRDefault="00CD4203" w:rsidP="004F1E1A">
      <w:pPr>
        <w:pStyle w:val="Heading4"/>
      </w:pPr>
      <w:bookmarkStart w:id="22" w:name="_Toc61239969"/>
      <w:r>
        <w:t>How does this affect suppliers and sponsors?</w:t>
      </w:r>
      <w:bookmarkEnd w:id="22"/>
    </w:p>
    <w:p w14:paraId="2F71E2CE" w14:textId="66948F5A" w:rsidR="00CD4203" w:rsidRDefault="00CD4203" w:rsidP="002A7067">
      <w:r>
        <w:t>Ingredie</w:t>
      </w:r>
      <w:r w:rsidR="00896578">
        <w:t>nt suppliers wishing to enter a mixture of excipient ingredients</w:t>
      </w:r>
      <w:r>
        <w:t xml:space="preserve"> into the Proprietary Ingredients Table would need to select one of the remaining excipient categories for their formulation. Where they supply a product that includes ingredients with more than one purpose (</w:t>
      </w:r>
      <w:proofErr w:type="gramStart"/>
      <w:r>
        <w:t>e.g.</w:t>
      </w:r>
      <w:proofErr w:type="gramEnd"/>
      <w:r>
        <w:t xml:space="preserve"> a flavoured capsule shell) they could either:</w:t>
      </w:r>
    </w:p>
    <w:p w14:paraId="1E88C967" w14:textId="556DD874" w:rsidR="00CD4203" w:rsidRDefault="00CD4203" w:rsidP="004F1E1A">
      <w:pPr>
        <w:pStyle w:val="ListBullet"/>
      </w:pPr>
      <w:r>
        <w:t xml:space="preserve">submit </w:t>
      </w:r>
      <w:r w:rsidR="00896578">
        <w:t>multiple</w:t>
      </w:r>
      <w:r w:rsidR="003F0B18">
        <w:t xml:space="preserve"> </w:t>
      </w:r>
      <w:r>
        <w:t xml:space="preserve">Proprietary Ingredient notification forms to create </w:t>
      </w:r>
      <w:r w:rsidR="003F0B18">
        <w:t>separate</w:t>
      </w:r>
      <w:r>
        <w:t xml:space="preserve"> PI entries in the Table (</w:t>
      </w:r>
      <w:proofErr w:type="gramStart"/>
      <w:r w:rsidR="003F0B18">
        <w:t>e.g.</w:t>
      </w:r>
      <w:proofErr w:type="gramEnd"/>
      <w:r w:rsidR="003F0B18">
        <w:t xml:space="preserve"> </w:t>
      </w:r>
      <w:r>
        <w:t xml:space="preserve">one for the capsule shell component and one for the flavour component). The sponsor would then select </w:t>
      </w:r>
      <w:r w:rsidR="003F0B18">
        <w:t xml:space="preserve">each </w:t>
      </w:r>
      <w:r>
        <w:t>PI number into their therapeutic goods application; or</w:t>
      </w:r>
    </w:p>
    <w:p w14:paraId="15FBC6DE" w14:textId="57F8CB9A" w:rsidR="00CD4203" w:rsidRDefault="00CD4203" w:rsidP="004F1E1A">
      <w:pPr>
        <w:pStyle w:val="ListBullet"/>
      </w:pPr>
      <w:r>
        <w:t>provide details of the constituent ingredients of the mixture to the sponsor (</w:t>
      </w:r>
      <w:proofErr w:type="gramStart"/>
      <w:r w:rsidR="003F0B18">
        <w:t>e.g.</w:t>
      </w:r>
      <w:proofErr w:type="gramEnd"/>
      <w:r w:rsidR="003F0B18">
        <w:t xml:space="preserve"> </w:t>
      </w:r>
      <w:r>
        <w:t>either the capsule shell component, the flavour component or both) to allow them to individually enter these ingredients into their therapeutic goods application.</w:t>
      </w:r>
    </w:p>
    <w:p w14:paraId="12F4C08E" w14:textId="02F18DAD" w:rsidR="00835159" w:rsidRDefault="002A7067" w:rsidP="002A7067">
      <w:r>
        <w:t xml:space="preserve">This activity is expected to </w:t>
      </w:r>
      <w:r w:rsidR="00CD4203">
        <w:t>clarify</w:t>
      </w:r>
      <w:r>
        <w:t xml:space="preserve"> </w:t>
      </w:r>
      <w:r w:rsidR="00CD4203">
        <w:t>the purpose of ingredients used</w:t>
      </w:r>
      <w:r>
        <w:t xml:space="preserve"> </w:t>
      </w:r>
      <w:r w:rsidR="000326E4">
        <w:t xml:space="preserve">by </w:t>
      </w:r>
      <w:r>
        <w:t>therapeutic goods sponsors and remove any perceived need for active ingredient suppliers to notify TGA of their formulation before a sponsor wishes to submit their medicine application. This will also improve the quality of information within the ARTG and other TBS databases, providing greater confidence for sponsors and improved efficiency of TGA pre- and post-market activities.</w:t>
      </w:r>
    </w:p>
    <w:p w14:paraId="41179B6D" w14:textId="42F50AB5" w:rsidR="00964A7A" w:rsidRDefault="002A7067" w:rsidP="00AB42DA">
      <w:pPr>
        <w:pStyle w:val="Heading3"/>
      </w:pPr>
      <w:bookmarkStart w:id="23" w:name="_Toc61239970"/>
      <w:r>
        <w:t>Questions</w:t>
      </w:r>
      <w:bookmarkEnd w:id="23"/>
    </w:p>
    <w:tbl>
      <w:tblPr>
        <w:tblpPr w:leftFromText="180" w:rightFromText="180" w:vertAnchor="text" w:horzAnchor="margin" w:tblpY="98"/>
        <w:tblW w:w="8417" w:type="dxa"/>
        <w:tblLayout w:type="fixed"/>
        <w:tblCellMar>
          <w:left w:w="0" w:type="dxa"/>
          <w:right w:w="0" w:type="dxa"/>
        </w:tblCellMar>
        <w:tblLook w:val="04A0" w:firstRow="1" w:lastRow="0" w:firstColumn="1" w:lastColumn="0" w:noHBand="0" w:noVBand="1"/>
      </w:tblPr>
      <w:tblGrid>
        <w:gridCol w:w="1188"/>
        <w:gridCol w:w="7229"/>
      </w:tblGrid>
      <w:tr w:rsidR="00494475" w:rsidRPr="007A52A5" w14:paraId="25FDBB0D" w14:textId="77777777" w:rsidTr="00D66402">
        <w:trPr>
          <w:trHeight w:val="924"/>
        </w:trPr>
        <w:tc>
          <w:tcPr>
            <w:tcW w:w="1188" w:type="dxa"/>
            <w:vAlign w:val="center"/>
          </w:tcPr>
          <w:p w14:paraId="60C51307" w14:textId="77777777" w:rsidR="00494475" w:rsidRPr="007A52A5" w:rsidRDefault="00494475" w:rsidP="00D66402">
            <w:pPr>
              <w:spacing w:before="0"/>
              <w:rPr>
                <w:sz w:val="24"/>
                <w:szCs w:val="24"/>
              </w:rPr>
            </w:pPr>
            <w:r w:rsidRPr="007A52A5">
              <w:rPr>
                <w:noProof/>
                <w:sz w:val="24"/>
                <w:szCs w:val="24"/>
                <w:lang w:eastAsia="en-AU"/>
              </w:rPr>
              <w:drawing>
                <wp:inline distT="0" distB="0" distL="0" distR="0" wp14:anchorId="3BC736E8" wp14:editId="64923C45">
                  <wp:extent cx="489600" cy="489600"/>
                  <wp:effectExtent l="0" t="0" r="5715"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ceyg\AppData\Local\Microsoft\Windows\Temporary Internet Files\Content.IE5\1L6LQT4S\1390060157[1].png"/>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489600" cy="489600"/>
                          </a:xfrm>
                          <a:prstGeom prst="rect">
                            <a:avLst/>
                          </a:prstGeom>
                          <a:noFill/>
                          <a:ln>
                            <a:noFill/>
                          </a:ln>
                        </pic:spPr>
                      </pic:pic>
                    </a:graphicData>
                  </a:graphic>
                </wp:inline>
              </w:drawing>
            </w:r>
          </w:p>
        </w:tc>
        <w:tc>
          <w:tcPr>
            <w:tcW w:w="7229" w:type="dxa"/>
            <w:shd w:val="clear" w:color="auto" w:fill="EAEAEA"/>
            <w:tcMar>
              <w:top w:w="170" w:type="dxa"/>
              <w:left w:w="170" w:type="dxa"/>
              <w:bottom w:w="170" w:type="dxa"/>
              <w:right w:w="170" w:type="dxa"/>
            </w:tcMar>
          </w:tcPr>
          <w:p w14:paraId="122FAFA7" w14:textId="75301D17" w:rsidR="006D0A5E" w:rsidRDefault="006D0A5E" w:rsidP="006D0A5E">
            <w:pPr>
              <w:pStyle w:val="ListBullet"/>
            </w:pPr>
            <w:r>
              <w:t xml:space="preserve">Do you support the above proposal? Why/why not? </w:t>
            </w:r>
          </w:p>
          <w:p w14:paraId="2E1CAE81" w14:textId="77777777" w:rsidR="00AB42DA" w:rsidRDefault="00AB42DA" w:rsidP="00AB42DA">
            <w:pPr>
              <w:pStyle w:val="ListBullet"/>
            </w:pPr>
            <w:r>
              <w:t>Do you have any other suggestions for:</w:t>
            </w:r>
          </w:p>
          <w:p w14:paraId="1D5F618F" w14:textId="64B42B7D" w:rsidR="00AB42DA" w:rsidRDefault="00AB42DA" w:rsidP="00AB42DA">
            <w:pPr>
              <w:pStyle w:val="ListBullet2"/>
            </w:pPr>
            <w:r>
              <w:t>managing existing Excipient Mix entries in the Proprietary Ingredients Table</w:t>
            </w:r>
            <w:r w:rsidR="00803DC2">
              <w:t>?</w:t>
            </w:r>
            <w:r>
              <w:t xml:space="preserve"> </w:t>
            </w:r>
          </w:p>
          <w:p w14:paraId="0377CCF0" w14:textId="44A169CF" w:rsidR="00A25E7C" w:rsidRPr="007A52A5" w:rsidRDefault="000A32C1" w:rsidP="00190778">
            <w:pPr>
              <w:pStyle w:val="ListBullet2"/>
              <w:ind w:left="850" w:hanging="425"/>
            </w:pPr>
            <w:r>
              <w:t xml:space="preserve">managing </w:t>
            </w:r>
            <w:r w:rsidR="00AB42DA">
              <w:t>ARTG entries that use the affected PI numbers in their formulations?</w:t>
            </w:r>
          </w:p>
        </w:tc>
      </w:tr>
    </w:tbl>
    <w:p w14:paraId="5FC84146" w14:textId="4943AC11" w:rsidR="00BE7B93" w:rsidRDefault="00BE7B93" w:rsidP="00452AA3"/>
    <w:p w14:paraId="072F9CCF" w14:textId="77777777" w:rsidR="00BA6FF1" w:rsidRPr="009401F6" w:rsidRDefault="00BA6FF1" w:rsidP="00FE1941">
      <w:pPr>
        <w:pStyle w:val="NonTOCheading2"/>
      </w:pPr>
      <w:r w:rsidRPr="009401F6">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BA6FF1" w:rsidRPr="009401F6" w14:paraId="68CD1276" w14:textId="77777777" w:rsidTr="00D66402">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76" w:type="dxa"/>
          </w:tcPr>
          <w:p w14:paraId="489F5E15" w14:textId="77777777" w:rsidR="00BA6FF1" w:rsidRPr="009401F6" w:rsidRDefault="00BA6FF1" w:rsidP="00D66402">
            <w:bookmarkStart w:id="24" w:name="ColumnTitle_4"/>
            <w:r w:rsidRPr="009401F6">
              <w:t>Version</w:t>
            </w:r>
          </w:p>
        </w:tc>
        <w:tc>
          <w:tcPr>
            <w:tcW w:w="3242" w:type="dxa"/>
          </w:tcPr>
          <w:p w14:paraId="24E91DE7" w14:textId="77777777" w:rsidR="00BA6FF1" w:rsidRPr="009401F6" w:rsidRDefault="00BA6FF1" w:rsidP="00D66402">
            <w:pPr>
              <w:cnfStyle w:val="100000000000" w:firstRow="1" w:lastRow="0" w:firstColumn="0" w:lastColumn="0" w:oddVBand="0" w:evenVBand="0" w:oddHBand="0" w:evenHBand="0" w:firstRowFirstColumn="0" w:firstRowLastColumn="0" w:lastRowFirstColumn="0" w:lastRowLastColumn="0"/>
            </w:pPr>
            <w:r w:rsidRPr="009401F6">
              <w:t>Description of change</w:t>
            </w:r>
          </w:p>
        </w:tc>
        <w:tc>
          <w:tcPr>
            <w:tcW w:w="2712" w:type="dxa"/>
          </w:tcPr>
          <w:p w14:paraId="1E2CEB54" w14:textId="77777777" w:rsidR="00BA6FF1" w:rsidRPr="009401F6" w:rsidRDefault="00BA6FF1" w:rsidP="00D66402">
            <w:pPr>
              <w:cnfStyle w:val="100000000000" w:firstRow="1" w:lastRow="0" w:firstColumn="0" w:lastColumn="0" w:oddVBand="0" w:evenVBand="0" w:oddHBand="0" w:evenHBand="0" w:firstRowFirstColumn="0" w:firstRowLastColumn="0" w:lastRowFirstColumn="0" w:lastRowLastColumn="0"/>
            </w:pPr>
            <w:r w:rsidRPr="009401F6">
              <w:t>Author</w:t>
            </w:r>
          </w:p>
        </w:tc>
        <w:tc>
          <w:tcPr>
            <w:tcW w:w="1808" w:type="dxa"/>
          </w:tcPr>
          <w:p w14:paraId="3C4CC923" w14:textId="77777777" w:rsidR="00BA6FF1" w:rsidRPr="009401F6" w:rsidRDefault="00BA6FF1" w:rsidP="00D66402">
            <w:pPr>
              <w:cnfStyle w:val="100000000000" w:firstRow="1" w:lastRow="0" w:firstColumn="0" w:lastColumn="0" w:oddVBand="0" w:evenVBand="0" w:oddHBand="0" w:evenHBand="0" w:firstRowFirstColumn="0" w:firstRowLastColumn="0" w:lastRowFirstColumn="0" w:lastRowLastColumn="0"/>
            </w:pPr>
            <w:r w:rsidRPr="009401F6">
              <w:t>Effective date</w:t>
            </w:r>
          </w:p>
        </w:tc>
      </w:tr>
      <w:bookmarkEnd w:id="24"/>
      <w:tr w:rsidR="00BA6FF1" w:rsidRPr="009401F6" w14:paraId="4E59EB50" w14:textId="77777777" w:rsidTr="00D66402">
        <w:trPr>
          <w:cantSplit w:val="0"/>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1E4A3566" w14:textId="77777777" w:rsidR="00BA6FF1" w:rsidRPr="009401F6" w:rsidRDefault="00BA6FF1" w:rsidP="00D66402">
            <w:r w:rsidRPr="009401F6">
              <w:t>V1.0</w:t>
            </w:r>
          </w:p>
        </w:tc>
        <w:tc>
          <w:tcPr>
            <w:tcW w:w="3242" w:type="dxa"/>
          </w:tcPr>
          <w:p w14:paraId="1FEF5F8D" w14:textId="77777777" w:rsidR="00BA6FF1" w:rsidRPr="009401F6" w:rsidRDefault="00BA6FF1" w:rsidP="00D66402">
            <w:pPr>
              <w:cnfStyle w:val="000000000000" w:firstRow="0" w:lastRow="0" w:firstColumn="0" w:lastColumn="0" w:oddVBand="0" w:evenVBand="0" w:oddHBand="0" w:evenHBand="0" w:firstRowFirstColumn="0" w:firstRowLastColumn="0" w:lastRowFirstColumn="0" w:lastRowLastColumn="0"/>
            </w:pPr>
            <w:r w:rsidRPr="009401F6">
              <w:t>Original publication</w:t>
            </w:r>
          </w:p>
        </w:tc>
        <w:tc>
          <w:tcPr>
            <w:tcW w:w="2712" w:type="dxa"/>
          </w:tcPr>
          <w:p w14:paraId="3D31615D" w14:textId="77777777" w:rsidR="00BA6FF1" w:rsidRPr="009401F6" w:rsidRDefault="00452AA3" w:rsidP="00D66402">
            <w:pPr>
              <w:cnfStyle w:val="000000000000" w:firstRow="0" w:lastRow="0" w:firstColumn="0" w:lastColumn="0" w:oddVBand="0" w:evenVBand="0" w:oddHBand="0" w:evenHBand="0" w:firstRowFirstColumn="0" w:firstRowLastColumn="0" w:lastRowFirstColumn="0" w:lastRowLastColumn="0"/>
            </w:pPr>
            <w:r>
              <w:t>SOMS/SEB</w:t>
            </w:r>
          </w:p>
        </w:tc>
        <w:tc>
          <w:tcPr>
            <w:tcW w:w="1808" w:type="dxa"/>
          </w:tcPr>
          <w:p w14:paraId="2A710F05" w14:textId="5462286F" w:rsidR="00BA6FF1" w:rsidRPr="009401F6" w:rsidRDefault="00AD00DE" w:rsidP="00D66402">
            <w:pPr>
              <w:cnfStyle w:val="000000000000" w:firstRow="0" w:lastRow="0" w:firstColumn="0" w:lastColumn="0" w:oddVBand="0" w:evenVBand="0" w:oddHBand="0" w:evenHBand="0" w:firstRowFirstColumn="0" w:firstRowLastColumn="0" w:lastRowFirstColumn="0" w:lastRowLastColumn="0"/>
            </w:pPr>
            <w:r>
              <w:t>January</w:t>
            </w:r>
            <w:r w:rsidR="004E7AFB">
              <w:t xml:space="preserve"> </w:t>
            </w:r>
            <w:r>
              <w:t>2021</w:t>
            </w:r>
          </w:p>
        </w:tc>
      </w:tr>
    </w:tbl>
    <w:p w14:paraId="6AA53440" w14:textId="2AF6FB33" w:rsidR="00BA6FF1" w:rsidRDefault="00BA6FF1" w:rsidP="00F8404D"/>
    <w:p w14:paraId="5ED2736F" w14:textId="77777777" w:rsidR="003E3D34" w:rsidRPr="009401F6" w:rsidRDefault="003E3D34" w:rsidP="00F8404D">
      <w:pPr>
        <w:sectPr w:rsidR="003E3D34" w:rsidRPr="009401F6" w:rsidSect="0074066C">
          <w:type w:val="continuous"/>
          <w:pgSz w:w="11906" w:h="16838" w:code="9"/>
          <w:pgMar w:top="1530" w:right="1418" w:bottom="1361" w:left="1418" w:header="998" w:footer="283" w:gutter="0"/>
          <w:cols w:space="708"/>
          <w:titlePg/>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8404D" w:rsidRPr="009401F6" w14:paraId="7659DCA6" w14:textId="77777777" w:rsidTr="00D66402">
        <w:trPr>
          <w:trHeight w:hRule="exact" w:val="565"/>
          <w:jc w:val="center"/>
        </w:trPr>
        <w:tc>
          <w:tcPr>
            <w:tcW w:w="9145" w:type="dxa"/>
          </w:tcPr>
          <w:p w14:paraId="4AA350A6" w14:textId="77777777" w:rsidR="00F8404D" w:rsidRPr="009401F6" w:rsidRDefault="00F8404D" w:rsidP="00D66402">
            <w:pPr>
              <w:pStyle w:val="TGASignoff"/>
            </w:pPr>
            <w:r w:rsidRPr="009401F6">
              <w:t>Therapeutic Goods Administration</w:t>
            </w:r>
          </w:p>
        </w:tc>
      </w:tr>
      <w:tr w:rsidR="00F8404D" w:rsidRPr="009401F6" w14:paraId="02904FE3" w14:textId="77777777" w:rsidTr="00D66402">
        <w:trPr>
          <w:trHeight w:val="963"/>
          <w:jc w:val="center"/>
        </w:trPr>
        <w:tc>
          <w:tcPr>
            <w:tcW w:w="9145" w:type="dxa"/>
            <w:tcMar>
              <w:top w:w="28" w:type="dxa"/>
            </w:tcMar>
          </w:tcPr>
          <w:p w14:paraId="7072BF2B" w14:textId="77777777" w:rsidR="00F8404D" w:rsidRPr="009401F6" w:rsidRDefault="00F8404D" w:rsidP="00D66402">
            <w:pPr>
              <w:pStyle w:val="Address"/>
              <w:jc w:val="center"/>
            </w:pPr>
            <w:r w:rsidRPr="009401F6">
              <w:t>PO Box 100 Woden ACT 2606 Australia</w:t>
            </w:r>
          </w:p>
          <w:p w14:paraId="7D1CBFFD" w14:textId="77777777" w:rsidR="00F8404D" w:rsidRPr="009401F6" w:rsidRDefault="00F8404D" w:rsidP="00D66402">
            <w:pPr>
              <w:pStyle w:val="Address"/>
              <w:jc w:val="center"/>
            </w:pPr>
            <w:r w:rsidRPr="009401F6">
              <w:t xml:space="preserve">Email: </w:t>
            </w:r>
            <w:hyperlink r:id="rId22" w:history="1">
              <w:r w:rsidRPr="009401F6">
                <w:rPr>
                  <w:rStyle w:val="Hyperlink"/>
                </w:rPr>
                <w:t>info@tga.gov.au</w:t>
              </w:r>
            </w:hyperlink>
            <w:r w:rsidRPr="009401F6">
              <w:t xml:space="preserve">  Phone: 1800 020 </w:t>
            </w:r>
            <w:proofErr w:type="gramStart"/>
            <w:r w:rsidRPr="009401F6">
              <w:t>653  Fax</w:t>
            </w:r>
            <w:proofErr w:type="gramEnd"/>
            <w:r w:rsidRPr="009401F6">
              <w:t>: 02 62</w:t>
            </w:r>
            <w:r w:rsidR="003204DD">
              <w:t>0</w:t>
            </w:r>
            <w:r w:rsidRPr="009401F6">
              <w:t xml:space="preserve">3 </w:t>
            </w:r>
            <w:r w:rsidR="003204DD">
              <w:t>1</w:t>
            </w:r>
            <w:r w:rsidRPr="009401F6">
              <w:t>605</w:t>
            </w:r>
          </w:p>
          <w:p w14:paraId="52FE585A" w14:textId="77777777" w:rsidR="00F8404D" w:rsidRPr="009401F6" w:rsidRDefault="00D12A84" w:rsidP="00D66402">
            <w:pPr>
              <w:pStyle w:val="Address"/>
              <w:spacing w:line="260" w:lineRule="atLeast"/>
              <w:jc w:val="center"/>
              <w:rPr>
                <w:rStyle w:val="Hyperlink"/>
                <w:b/>
              </w:rPr>
            </w:pPr>
            <w:hyperlink r:id="rId23" w:history="1">
              <w:r w:rsidR="009401F6" w:rsidRPr="009401F6">
                <w:rPr>
                  <w:rStyle w:val="Hyperlink"/>
                  <w:b/>
                </w:rPr>
                <w:t>https://www.tga.gov.au</w:t>
              </w:r>
            </w:hyperlink>
          </w:p>
        </w:tc>
      </w:tr>
      <w:tr w:rsidR="00F8404D" w:rsidRPr="009401F6" w14:paraId="6947CD79" w14:textId="77777777" w:rsidTr="00D66402">
        <w:trPr>
          <w:trHeight w:val="251"/>
          <w:jc w:val="center"/>
        </w:trPr>
        <w:tc>
          <w:tcPr>
            <w:tcW w:w="9145" w:type="dxa"/>
            <w:tcMar>
              <w:top w:w="28" w:type="dxa"/>
            </w:tcMar>
          </w:tcPr>
          <w:p w14:paraId="75556D1C" w14:textId="39D5CE84" w:rsidR="00F8404D" w:rsidRPr="009401F6" w:rsidRDefault="00F8404D" w:rsidP="00D66402">
            <w:pPr>
              <w:pStyle w:val="Address"/>
              <w:jc w:val="center"/>
            </w:pPr>
            <w:r w:rsidRPr="009401F6">
              <w:t>Reference/Publication #</w:t>
            </w:r>
            <w:r w:rsidR="00AD00DE">
              <w:t xml:space="preserve"> </w:t>
            </w:r>
            <w:r w:rsidR="00AD00DE" w:rsidRPr="00AD00DE">
              <w:t>D19-6319981</w:t>
            </w:r>
          </w:p>
        </w:tc>
      </w:tr>
    </w:tbl>
    <w:p w14:paraId="02A286EF" w14:textId="77777777" w:rsidR="0084580B" w:rsidRPr="009401F6" w:rsidRDefault="0084580B" w:rsidP="00F8404D">
      <w:pPr>
        <w:pStyle w:val="Footer"/>
      </w:pPr>
    </w:p>
    <w:sectPr w:rsidR="0084580B" w:rsidRPr="009401F6" w:rsidSect="00F8404D">
      <w:headerReference w:type="first" r:id="rId24"/>
      <w:footerReference w:type="first" r:id="rId25"/>
      <w:type w:val="continuous"/>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B2C3B" w14:textId="77777777" w:rsidR="005C1359" w:rsidRDefault="005C1359" w:rsidP="00C40A36">
      <w:pPr>
        <w:spacing w:after="0"/>
      </w:pPr>
      <w:r>
        <w:separator/>
      </w:r>
    </w:p>
    <w:p w14:paraId="1ECC8BEF" w14:textId="77777777" w:rsidR="005C1359" w:rsidRDefault="005C1359"/>
  </w:endnote>
  <w:endnote w:type="continuationSeparator" w:id="0">
    <w:p w14:paraId="15494C7F" w14:textId="77777777" w:rsidR="005C1359" w:rsidRDefault="005C1359" w:rsidP="00C40A36">
      <w:pPr>
        <w:spacing w:after="0"/>
      </w:pPr>
      <w:r>
        <w:continuationSeparator/>
      </w:r>
    </w:p>
    <w:p w14:paraId="38085C09" w14:textId="77777777" w:rsidR="005C1359" w:rsidRDefault="005C13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44C3C" w14:textId="77777777" w:rsidR="005C1359" w:rsidRDefault="005C1359"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5C1359" w:rsidRPr="00257138" w14:paraId="064EB577" w14:textId="77777777" w:rsidTr="00A3654F">
      <w:trPr>
        <w:trHeight w:val="423"/>
      </w:trPr>
      <w:tc>
        <w:tcPr>
          <w:tcW w:w="4360" w:type="dxa"/>
          <w:tcBorders>
            <w:top w:val="single" w:sz="4" w:space="0" w:color="auto"/>
          </w:tcBorders>
        </w:tcPr>
        <w:p w14:paraId="305D7463" w14:textId="77777777" w:rsidR="005C1359" w:rsidRDefault="005C1359" w:rsidP="008D4740">
          <w:pPr>
            <w:pStyle w:val="Footer"/>
          </w:pPr>
        </w:p>
        <w:p w14:paraId="0C46C499" w14:textId="77777777" w:rsidR="005C1359" w:rsidRPr="00257138" w:rsidRDefault="005C1359"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EndPr/>
          <w:sdtContent>
            <w:p w14:paraId="11F0D1C4" w14:textId="77777777" w:rsidR="005C1359" w:rsidRDefault="005C1359" w:rsidP="008D4740">
              <w:pPr>
                <w:pStyle w:val="Footer"/>
                <w:jc w:val="right"/>
              </w:pPr>
            </w:p>
            <w:p w14:paraId="5EABF7CF" w14:textId="59FC19C8" w:rsidR="005C1359" w:rsidRPr="00257138" w:rsidRDefault="005C1359" w:rsidP="008D474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14</w:t>
                </w:r>
              </w:fldSimple>
            </w:p>
          </w:sdtContent>
        </w:sdt>
      </w:tc>
    </w:tr>
    <w:tr w:rsidR="005C1359" w:rsidRPr="00257138" w14:paraId="0366B803" w14:textId="77777777" w:rsidTr="00A3654F">
      <w:trPr>
        <w:trHeight w:val="263"/>
      </w:trPr>
      <w:tc>
        <w:tcPr>
          <w:tcW w:w="4360" w:type="dxa"/>
        </w:tcPr>
        <w:p w14:paraId="149453F9" w14:textId="77777777" w:rsidR="005C1359" w:rsidRPr="00257138" w:rsidRDefault="005C1359" w:rsidP="008D4740">
          <w:pPr>
            <w:pStyle w:val="Footer"/>
          </w:pPr>
          <w:r w:rsidRPr="00257138">
            <w:t xml:space="preserve">V1.0 </w:t>
          </w:r>
          <w:r>
            <w:t>Month</w:t>
          </w:r>
          <w:r w:rsidRPr="00257138">
            <w:t xml:space="preserve"> 201</w:t>
          </w:r>
          <w:r>
            <w:t>2</w:t>
          </w:r>
        </w:p>
      </w:tc>
      <w:tc>
        <w:tcPr>
          <w:tcW w:w="4360" w:type="dxa"/>
        </w:tcPr>
        <w:p w14:paraId="196644B6" w14:textId="77777777" w:rsidR="005C1359" w:rsidRPr="00257138" w:rsidRDefault="005C1359" w:rsidP="008D4740">
          <w:pPr>
            <w:pStyle w:val="Footer"/>
            <w:jc w:val="right"/>
          </w:pPr>
        </w:p>
      </w:tc>
    </w:tr>
  </w:tbl>
  <w:p w14:paraId="16ADFFEB" w14:textId="77777777" w:rsidR="005C1359" w:rsidRPr="00826007" w:rsidRDefault="005C1359" w:rsidP="00A3654F">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EF6EB" w14:textId="77777777" w:rsidR="005C1359" w:rsidRDefault="005C1359" w:rsidP="00FF7B50">
    <w:pPr>
      <w:pStyle w:val="Footer"/>
      <w:ind w:left="-1757" w:right="-22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241"/>
    </w:tblGrid>
    <w:tr w:rsidR="005C1359" w:rsidRPr="00257138" w14:paraId="61797584" w14:textId="77777777" w:rsidTr="00EE1482">
      <w:trPr>
        <w:trHeight w:val="423"/>
      </w:trPr>
      <w:tc>
        <w:tcPr>
          <w:tcW w:w="7479" w:type="dxa"/>
        </w:tcPr>
        <w:p w14:paraId="1F028905" w14:textId="7319CA1D" w:rsidR="005C1359" w:rsidRPr="00257138" w:rsidRDefault="005C1359" w:rsidP="00AD00DE">
          <w:pPr>
            <w:pStyle w:val="Footer"/>
            <w:spacing w:before="120" w:after="120"/>
          </w:pPr>
          <w:r>
            <w:t>Consultation: Removing redundant processes for entering certain formulation information into a therapeutic goods application</w:t>
          </w:r>
          <w:r>
            <w:br/>
          </w:r>
          <w:r w:rsidRPr="00257138">
            <w:t xml:space="preserve">V1.0 </w:t>
          </w:r>
          <w:r w:rsidR="00AD00DE">
            <w:t>January 2021</w:t>
          </w:r>
        </w:p>
      </w:tc>
      <w:tc>
        <w:tcPr>
          <w:tcW w:w="1241" w:type="dxa"/>
        </w:tcPr>
        <w:sdt>
          <w:sdtPr>
            <w:id w:val="3702141"/>
            <w:docPartObj>
              <w:docPartGallery w:val="Page Numbers (Top of Page)"/>
              <w:docPartUnique/>
            </w:docPartObj>
          </w:sdtPr>
          <w:sdtEndPr/>
          <w:sdtContent>
            <w:p w14:paraId="3F4F54EA" w14:textId="7C782254" w:rsidR="005C1359" w:rsidRPr="00257138" w:rsidRDefault="005C1359" w:rsidP="00EE1482">
              <w:pPr>
                <w:pStyle w:val="Footer"/>
                <w:spacing w:before="120" w:after="120"/>
                <w:jc w:val="right"/>
              </w:pPr>
              <w:r w:rsidRPr="00257138">
                <w:t xml:space="preserve">Page </w:t>
              </w:r>
              <w:r>
                <w:fldChar w:fldCharType="begin"/>
              </w:r>
              <w:r>
                <w:instrText xml:space="preserve"> PAGE </w:instrText>
              </w:r>
              <w:r>
                <w:fldChar w:fldCharType="separate"/>
              </w:r>
              <w:r w:rsidR="00724CC0">
                <w:rPr>
                  <w:noProof/>
                </w:rPr>
                <w:t>13</w:t>
              </w:r>
              <w:r>
                <w:rPr>
                  <w:noProof/>
                </w:rPr>
                <w:fldChar w:fldCharType="end"/>
              </w:r>
              <w:r w:rsidRPr="00257138">
                <w:t xml:space="preserve"> of </w:t>
              </w:r>
              <w:fldSimple w:instr=" NUMPAGES  ">
                <w:r w:rsidR="00724CC0">
                  <w:rPr>
                    <w:noProof/>
                  </w:rPr>
                  <w:t>13</w:t>
                </w:r>
              </w:fldSimple>
            </w:p>
          </w:sdtContent>
        </w:sdt>
      </w:tc>
    </w:tr>
  </w:tbl>
  <w:p w14:paraId="0B9E20FF" w14:textId="77777777" w:rsidR="005C1359" w:rsidRPr="00826007" w:rsidRDefault="005C1359" w:rsidP="00F4663D">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3E0CB" w14:textId="77777777" w:rsidR="005C1359" w:rsidRPr="00F8404D" w:rsidRDefault="005C1359" w:rsidP="00F84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6EA71" w14:textId="77777777" w:rsidR="005C1359" w:rsidRDefault="005C1359" w:rsidP="00FE1941">
      <w:pPr>
        <w:spacing w:after="0"/>
      </w:pPr>
      <w:r>
        <w:separator/>
      </w:r>
    </w:p>
  </w:footnote>
  <w:footnote w:type="continuationSeparator" w:id="0">
    <w:p w14:paraId="48E6F1A4" w14:textId="77777777" w:rsidR="005C1359" w:rsidRDefault="005C1359" w:rsidP="00C40A36">
      <w:pPr>
        <w:spacing w:after="0"/>
      </w:pPr>
      <w:r>
        <w:continuationSeparator/>
      </w:r>
    </w:p>
    <w:p w14:paraId="5ED0F612" w14:textId="77777777" w:rsidR="005C1359" w:rsidRDefault="005C1359"/>
  </w:footnote>
  <w:footnote w:id="1">
    <w:p w14:paraId="7FBCB5A1" w14:textId="77777777" w:rsidR="005C1359" w:rsidRDefault="005C1359" w:rsidP="00A32891">
      <w:pPr>
        <w:pStyle w:val="FootnoteText"/>
      </w:pPr>
      <w:r>
        <w:rPr>
          <w:rStyle w:val="FootnoteReference"/>
        </w:rPr>
        <w:footnoteRef/>
      </w:r>
      <w:r>
        <w:t xml:space="preserve"> </w:t>
      </w:r>
      <w:hyperlink r:id="rId1" w:history="1">
        <w:r w:rsidRPr="00B1692E">
          <w:rPr>
            <w:rStyle w:val="Hyperlink"/>
          </w:rPr>
          <w:t>https://www.tga.gov.au/artg</w:t>
        </w:r>
      </w:hyperlink>
    </w:p>
  </w:footnote>
  <w:footnote w:id="2">
    <w:p w14:paraId="00488B45" w14:textId="0F43493A" w:rsidR="005C1359" w:rsidRDefault="005C1359">
      <w:pPr>
        <w:pStyle w:val="FootnoteText"/>
      </w:pPr>
      <w:r>
        <w:rPr>
          <w:rStyle w:val="FootnoteReference"/>
        </w:rPr>
        <w:footnoteRef/>
      </w:r>
      <w:r>
        <w:t xml:space="preserve"> </w:t>
      </w:r>
      <w:hyperlink r:id="rId2" w:history="1">
        <w:r w:rsidRPr="007F36CB">
          <w:rPr>
            <w:rStyle w:val="Hyperlink"/>
          </w:rPr>
          <w:t>https://www.tga.gov.au/proprietary-ingredient-formulations-and-how-they-are-used</w:t>
        </w:r>
      </w:hyperlink>
      <w:r>
        <w:t xml:space="preserve"> </w:t>
      </w:r>
    </w:p>
  </w:footnote>
  <w:footnote w:id="3">
    <w:p w14:paraId="4DA2DEAF" w14:textId="77777777" w:rsidR="005C1359" w:rsidRDefault="005C1359" w:rsidP="00391909">
      <w:pPr>
        <w:pStyle w:val="FootnoteText"/>
      </w:pPr>
      <w:r>
        <w:rPr>
          <w:rStyle w:val="FootnoteReference"/>
        </w:rPr>
        <w:footnoteRef/>
      </w:r>
      <w:r>
        <w:t xml:space="preserve"> </w:t>
      </w:r>
      <w:hyperlink r:id="rId3" w:history="1">
        <w:r w:rsidRPr="00143BDC">
          <w:rPr>
            <w:rStyle w:val="Hyperlink"/>
          </w:rPr>
          <w:t>https://www.health.gov.au/ministers/the-hon-greg-hunt-mp/media/digital-transformation-to-deliver-more-timely-medicines-for-australians-and-improve-patient-safety</w:t>
        </w:r>
      </w:hyperlink>
      <w:r>
        <w:t xml:space="preserve"> </w:t>
      </w:r>
    </w:p>
  </w:footnote>
  <w:footnote w:id="4">
    <w:p w14:paraId="2CAA3C20" w14:textId="433B65E2" w:rsidR="0073412F" w:rsidRDefault="0073412F" w:rsidP="0073412F">
      <w:pPr>
        <w:pStyle w:val="FootnoteText"/>
      </w:pPr>
      <w:r>
        <w:rPr>
          <w:rStyle w:val="FootnoteReference"/>
        </w:rPr>
        <w:footnoteRef/>
      </w:r>
      <w:r>
        <w:t xml:space="preserve"> For </w:t>
      </w:r>
      <w:hyperlink r:id="rId4" w:history="1">
        <w:r w:rsidRPr="00F93CFF">
          <w:rPr>
            <w:rStyle w:val="Hyperlink"/>
          </w:rPr>
          <w:t>complementary medicines using herbal extracts</w:t>
        </w:r>
      </w:hyperlink>
      <w:r>
        <w:t xml:space="preserve">, the </w:t>
      </w:r>
      <w:r w:rsidRPr="00F93CFF">
        <w:t xml:space="preserve">type, concentration and quantity of extraction solvent, will affect the spectrum of components obtained from a given amount of herbal material. Currently, sponsors are required to nominate both type and concentration of solvent in </w:t>
      </w:r>
      <w:r>
        <w:t xml:space="preserve">their </w:t>
      </w:r>
      <w:r w:rsidRPr="00F93CFF">
        <w:t>product applications, but not the quantity of solvent used.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5A3A5" w14:textId="77777777" w:rsidR="005C1359" w:rsidRPr="00920FF4" w:rsidRDefault="005C1359" w:rsidP="00920FF4">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4EBC1" w14:textId="77777777" w:rsidR="005C1359" w:rsidRPr="00E32326" w:rsidRDefault="005C1359" w:rsidP="00F202AB">
    <w:r w:rsidRPr="00F3255D">
      <w:rPr>
        <w:noProof/>
        <w:lang w:eastAsia="en-AU"/>
      </w:rPr>
      <w:drawing>
        <wp:anchor distT="0" distB="0" distL="114300" distR="114300" simplePos="0" relativeHeight="251657728" behindDoc="0" locked="0" layoutInCell="1" allowOverlap="1" wp14:anchorId="1CA42BDC" wp14:editId="61335C3B">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5C1359" w:rsidRPr="00FF7B50" w14:paraId="4FBC9EB8" w14:textId="77777777" w:rsidTr="00D66402">
      <w:trPr>
        <w:trHeight w:hRule="exact" w:val="8845"/>
      </w:trPr>
      <w:tc>
        <w:tcPr>
          <w:tcW w:w="11964" w:type="dxa"/>
        </w:tcPr>
        <w:p w14:paraId="0F552016" w14:textId="77777777" w:rsidR="005C1359" w:rsidRPr="00FF7B50" w:rsidRDefault="00D12A84" w:rsidP="00AE0320">
          <w:pPr>
            <w:pStyle w:val="Header"/>
            <w:ind w:left="-57"/>
            <w:jc w:val="left"/>
            <w:rPr>
              <w:noProof/>
              <w:lang w:eastAsia="en-AU"/>
            </w:rPr>
          </w:pPr>
          <w:sdt>
            <w:sdtPr>
              <w:rPr>
                <w:noProof/>
                <w:lang w:eastAsia="en-AU"/>
              </w:rPr>
              <w:id w:val="3702145"/>
              <w:picture/>
            </w:sdtPr>
            <w:sdtEndPr/>
            <w:sdtContent>
              <w:r w:rsidR="005C1359" w:rsidRPr="00FF7B50">
                <w:rPr>
                  <w:noProof/>
                  <w:lang w:eastAsia="en-AU"/>
                </w:rPr>
                <w:drawing>
                  <wp:inline distT="0" distB="0" distL="0" distR="0" wp14:anchorId="0A661DF3" wp14:editId="1BD72914">
                    <wp:extent cx="7610475" cy="5060156"/>
                    <wp:effectExtent l="0" t="0" r="0" b="762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10475" cy="5060156"/>
                            </a:xfrm>
                            <a:prstGeom prst="rect">
                              <a:avLst/>
                            </a:prstGeom>
                            <a:noFill/>
                            <a:ln w="9525">
                              <a:noFill/>
                              <a:miter lim="800000"/>
                              <a:headEnd/>
                              <a:tailEnd/>
                            </a:ln>
                          </pic:spPr>
                        </pic:pic>
                      </a:graphicData>
                    </a:graphic>
                  </wp:inline>
                </w:drawing>
              </w:r>
            </w:sdtContent>
          </w:sdt>
        </w:p>
      </w:tc>
    </w:tr>
  </w:tbl>
  <w:p w14:paraId="1221D190" w14:textId="77777777" w:rsidR="005C1359" w:rsidRPr="00E32326" w:rsidRDefault="005C1359" w:rsidP="00F202AB">
    <w:r>
      <w:rPr>
        <w:noProof/>
        <w:lang w:eastAsia="en-AU"/>
      </w:rPr>
      <w:drawing>
        <wp:anchor distT="0" distB="0" distL="114300" distR="114300" simplePos="0" relativeHeight="251656704" behindDoc="0" locked="0" layoutInCell="0" allowOverlap="1" wp14:anchorId="7951EFD9" wp14:editId="576B4FCB">
          <wp:simplePos x="0" y="0"/>
          <wp:positionH relativeFrom="column">
            <wp:posOffset>-900430</wp:posOffset>
          </wp:positionH>
          <wp:positionV relativeFrom="page">
            <wp:posOffset>4171950</wp:posOffset>
          </wp:positionV>
          <wp:extent cx="7600950" cy="2457450"/>
          <wp:effectExtent l="1905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91A09" w14:textId="4B2155A5" w:rsidR="005C1359" w:rsidRPr="00920FF4" w:rsidRDefault="005C1359" w:rsidP="00920FF4">
    <w:pPr>
      <w:pStyle w:val="Header"/>
    </w:pPr>
    <w:r>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CFE2" w14:textId="015C7F38" w:rsidR="005C1359" w:rsidRPr="00920FF4" w:rsidRDefault="005C1359" w:rsidP="001D480A">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3292" w14:textId="77777777" w:rsidR="005C1359" w:rsidRPr="009401F6" w:rsidRDefault="005C1359" w:rsidP="0047772E"/>
  <w:p w14:paraId="27B2F943" w14:textId="77777777" w:rsidR="005C1359" w:rsidRPr="002B0C2E" w:rsidRDefault="005C1359" w:rsidP="002B0C2E">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 w15:restartNumberingAfterBreak="0">
    <w:nsid w:val="168F13E9"/>
    <w:multiLevelType w:val="multilevel"/>
    <w:tmpl w:val="CB32B508"/>
    <w:styleLink w:val="ListBullets"/>
    <w:lvl w:ilvl="0">
      <w:start w:val="4"/>
      <w:numFmt w:val="bullet"/>
      <w:pStyle w:val="ListBullet"/>
      <w:lvlText w:val="•"/>
      <w:lvlJc w:val="left"/>
      <w:pPr>
        <w:ind w:left="360" w:hanging="360"/>
      </w:pPr>
      <w:rPr>
        <w:rFonts w:ascii="Arial" w:eastAsia="Cambria"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 w15:restartNumberingAfterBreak="0">
    <w:nsid w:val="1AF67B12"/>
    <w:multiLevelType w:val="hybridMultilevel"/>
    <w:tmpl w:val="0E16DE26"/>
    <w:lvl w:ilvl="0" w:tplc="F5929434">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62021A4"/>
    <w:multiLevelType w:val="hybridMultilevel"/>
    <w:tmpl w:val="9632A0DE"/>
    <w:lvl w:ilvl="0" w:tplc="B878500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 w15:restartNumberingAfterBreak="0">
    <w:nsid w:val="72BD7B19"/>
    <w:multiLevelType w:val="hybridMultilevel"/>
    <w:tmpl w:val="8C68DD7A"/>
    <w:lvl w:ilvl="0" w:tplc="81B47C08">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44244263">
    <w:abstractNumId w:val="1"/>
  </w:num>
  <w:num w:numId="2" w16cid:durableId="365060711">
    <w:abstractNumId w:val="0"/>
  </w:num>
  <w:num w:numId="3" w16cid:durableId="175730305">
    <w:abstractNumId w:val="1"/>
    <w:lvlOverride w:ilvl="0">
      <w:lvl w:ilvl="0">
        <w:start w:val="4"/>
        <w:numFmt w:val="bullet"/>
        <w:pStyle w:val="ListBullet"/>
        <w:lvlText w:val="•"/>
        <w:lvlJc w:val="left"/>
        <w:pPr>
          <w:ind w:left="360" w:hanging="360"/>
        </w:pPr>
        <w:rPr>
          <w:rFonts w:ascii="Arial" w:eastAsia="Cambria" w:hAnsi="Arial" w:hint="default"/>
        </w:rPr>
      </w:lvl>
    </w:lvlOverride>
  </w:num>
  <w:num w:numId="4" w16cid:durableId="12925978">
    <w:abstractNumId w:val="0"/>
  </w:num>
  <w:num w:numId="5" w16cid:durableId="1843659890">
    <w:abstractNumId w:val="3"/>
  </w:num>
  <w:num w:numId="6" w16cid:durableId="1655405747">
    <w:abstractNumId w:val="4"/>
  </w:num>
  <w:num w:numId="7" w16cid:durableId="92360670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AA3"/>
    <w:rsid w:val="00002031"/>
    <w:rsid w:val="00003879"/>
    <w:rsid w:val="00004734"/>
    <w:rsid w:val="00006B22"/>
    <w:rsid w:val="0001276A"/>
    <w:rsid w:val="00013A9C"/>
    <w:rsid w:val="00024290"/>
    <w:rsid w:val="000246AE"/>
    <w:rsid w:val="00025C67"/>
    <w:rsid w:val="000326E4"/>
    <w:rsid w:val="0003306D"/>
    <w:rsid w:val="000355CD"/>
    <w:rsid w:val="00055129"/>
    <w:rsid w:val="000554B4"/>
    <w:rsid w:val="0005559E"/>
    <w:rsid w:val="00056791"/>
    <w:rsid w:val="0005797C"/>
    <w:rsid w:val="00061E51"/>
    <w:rsid w:val="00063028"/>
    <w:rsid w:val="00077775"/>
    <w:rsid w:val="00084A1A"/>
    <w:rsid w:val="00086D80"/>
    <w:rsid w:val="00090471"/>
    <w:rsid w:val="000958DF"/>
    <w:rsid w:val="000A0965"/>
    <w:rsid w:val="000A32C1"/>
    <w:rsid w:val="000B0A5D"/>
    <w:rsid w:val="000B3532"/>
    <w:rsid w:val="000B3A75"/>
    <w:rsid w:val="000B7084"/>
    <w:rsid w:val="000C1C08"/>
    <w:rsid w:val="000C5A31"/>
    <w:rsid w:val="000D391B"/>
    <w:rsid w:val="000D3D6D"/>
    <w:rsid w:val="000D4FC7"/>
    <w:rsid w:val="000E4437"/>
    <w:rsid w:val="000F4869"/>
    <w:rsid w:val="000F5B42"/>
    <w:rsid w:val="000F6E6F"/>
    <w:rsid w:val="001003F2"/>
    <w:rsid w:val="0010601F"/>
    <w:rsid w:val="00107378"/>
    <w:rsid w:val="00110EA5"/>
    <w:rsid w:val="001119DF"/>
    <w:rsid w:val="00113725"/>
    <w:rsid w:val="00115240"/>
    <w:rsid w:val="001227F5"/>
    <w:rsid w:val="001242CC"/>
    <w:rsid w:val="0012491C"/>
    <w:rsid w:val="00125091"/>
    <w:rsid w:val="00125318"/>
    <w:rsid w:val="0012594F"/>
    <w:rsid w:val="001305A2"/>
    <w:rsid w:val="00132294"/>
    <w:rsid w:val="00132746"/>
    <w:rsid w:val="00133238"/>
    <w:rsid w:val="00135FF1"/>
    <w:rsid w:val="00140FE3"/>
    <w:rsid w:val="0014197B"/>
    <w:rsid w:val="001447CD"/>
    <w:rsid w:val="001516B1"/>
    <w:rsid w:val="001525B4"/>
    <w:rsid w:val="001553BD"/>
    <w:rsid w:val="00156316"/>
    <w:rsid w:val="00156EB6"/>
    <w:rsid w:val="00160006"/>
    <w:rsid w:val="00165389"/>
    <w:rsid w:val="00166614"/>
    <w:rsid w:val="00170CED"/>
    <w:rsid w:val="0017693F"/>
    <w:rsid w:val="00177719"/>
    <w:rsid w:val="0018110E"/>
    <w:rsid w:val="00181684"/>
    <w:rsid w:val="001843C6"/>
    <w:rsid w:val="00184DF8"/>
    <w:rsid w:val="001850E0"/>
    <w:rsid w:val="0018528A"/>
    <w:rsid w:val="0018693C"/>
    <w:rsid w:val="00190778"/>
    <w:rsid w:val="001907F2"/>
    <w:rsid w:val="0019255A"/>
    <w:rsid w:val="001A525F"/>
    <w:rsid w:val="001A69AB"/>
    <w:rsid w:val="001B09F9"/>
    <w:rsid w:val="001B6448"/>
    <w:rsid w:val="001C0DAC"/>
    <w:rsid w:val="001D480A"/>
    <w:rsid w:val="001D7EF4"/>
    <w:rsid w:val="001E07CF"/>
    <w:rsid w:val="001E1037"/>
    <w:rsid w:val="001E59F1"/>
    <w:rsid w:val="001F49EB"/>
    <w:rsid w:val="001F57C5"/>
    <w:rsid w:val="001F6CBA"/>
    <w:rsid w:val="001F78B9"/>
    <w:rsid w:val="00201D4E"/>
    <w:rsid w:val="00204F19"/>
    <w:rsid w:val="00207515"/>
    <w:rsid w:val="00211C66"/>
    <w:rsid w:val="00211C7B"/>
    <w:rsid w:val="00220B8A"/>
    <w:rsid w:val="002232C2"/>
    <w:rsid w:val="002257F3"/>
    <w:rsid w:val="00226A1D"/>
    <w:rsid w:val="002302EC"/>
    <w:rsid w:val="002303B0"/>
    <w:rsid w:val="002314E8"/>
    <w:rsid w:val="00233456"/>
    <w:rsid w:val="0023397F"/>
    <w:rsid w:val="002339A5"/>
    <w:rsid w:val="002452E7"/>
    <w:rsid w:val="00245F98"/>
    <w:rsid w:val="00246194"/>
    <w:rsid w:val="00250B57"/>
    <w:rsid w:val="002538AE"/>
    <w:rsid w:val="002541E7"/>
    <w:rsid w:val="00257009"/>
    <w:rsid w:val="00257138"/>
    <w:rsid w:val="00257848"/>
    <w:rsid w:val="0027084A"/>
    <w:rsid w:val="00271109"/>
    <w:rsid w:val="00277EF5"/>
    <w:rsid w:val="00285D43"/>
    <w:rsid w:val="00286434"/>
    <w:rsid w:val="00286C59"/>
    <w:rsid w:val="002937E6"/>
    <w:rsid w:val="002942D1"/>
    <w:rsid w:val="002A0556"/>
    <w:rsid w:val="002A7067"/>
    <w:rsid w:val="002B0C2E"/>
    <w:rsid w:val="002B1638"/>
    <w:rsid w:val="002B706C"/>
    <w:rsid w:val="002C1D7D"/>
    <w:rsid w:val="002C2511"/>
    <w:rsid w:val="002C3E61"/>
    <w:rsid w:val="002D0F97"/>
    <w:rsid w:val="002D1EDF"/>
    <w:rsid w:val="002E241A"/>
    <w:rsid w:val="002E4C9A"/>
    <w:rsid w:val="002F11F8"/>
    <w:rsid w:val="002F25DC"/>
    <w:rsid w:val="002F3F56"/>
    <w:rsid w:val="002F44B5"/>
    <w:rsid w:val="003106F9"/>
    <w:rsid w:val="00311AC0"/>
    <w:rsid w:val="00312EF2"/>
    <w:rsid w:val="003166BF"/>
    <w:rsid w:val="003204DD"/>
    <w:rsid w:val="00331DBB"/>
    <w:rsid w:val="00332680"/>
    <w:rsid w:val="0034730E"/>
    <w:rsid w:val="003521E8"/>
    <w:rsid w:val="00352C95"/>
    <w:rsid w:val="00365DDD"/>
    <w:rsid w:val="003664BF"/>
    <w:rsid w:val="00370DF5"/>
    <w:rsid w:val="003728F3"/>
    <w:rsid w:val="00372DC7"/>
    <w:rsid w:val="00375392"/>
    <w:rsid w:val="00376310"/>
    <w:rsid w:val="00376869"/>
    <w:rsid w:val="0037724E"/>
    <w:rsid w:val="00390900"/>
    <w:rsid w:val="00391909"/>
    <w:rsid w:val="00394494"/>
    <w:rsid w:val="00395F22"/>
    <w:rsid w:val="003A13F0"/>
    <w:rsid w:val="003A35BD"/>
    <w:rsid w:val="003A567A"/>
    <w:rsid w:val="003B00C5"/>
    <w:rsid w:val="003B443E"/>
    <w:rsid w:val="003B7E39"/>
    <w:rsid w:val="003C30DC"/>
    <w:rsid w:val="003C58DC"/>
    <w:rsid w:val="003C7461"/>
    <w:rsid w:val="003D0CD9"/>
    <w:rsid w:val="003E05BB"/>
    <w:rsid w:val="003E3208"/>
    <w:rsid w:val="003E3D34"/>
    <w:rsid w:val="003E5365"/>
    <w:rsid w:val="003E694A"/>
    <w:rsid w:val="003E7EAA"/>
    <w:rsid w:val="003F0B04"/>
    <w:rsid w:val="003F0B18"/>
    <w:rsid w:val="003F6F7D"/>
    <w:rsid w:val="0040134E"/>
    <w:rsid w:val="00401F81"/>
    <w:rsid w:val="0040509E"/>
    <w:rsid w:val="00410839"/>
    <w:rsid w:val="0041373A"/>
    <w:rsid w:val="0041452B"/>
    <w:rsid w:val="004169A8"/>
    <w:rsid w:val="00433C8F"/>
    <w:rsid w:val="004354BA"/>
    <w:rsid w:val="00440A2D"/>
    <w:rsid w:val="004414E4"/>
    <w:rsid w:val="00452AA3"/>
    <w:rsid w:val="00455A6F"/>
    <w:rsid w:val="004564A7"/>
    <w:rsid w:val="00456E29"/>
    <w:rsid w:val="00457F14"/>
    <w:rsid w:val="004617BF"/>
    <w:rsid w:val="004634F1"/>
    <w:rsid w:val="00465E90"/>
    <w:rsid w:val="00473C70"/>
    <w:rsid w:val="00475B9B"/>
    <w:rsid w:val="0047772E"/>
    <w:rsid w:val="00477BB1"/>
    <w:rsid w:val="004923FF"/>
    <w:rsid w:val="00494475"/>
    <w:rsid w:val="00494C90"/>
    <w:rsid w:val="00494E60"/>
    <w:rsid w:val="00496BAC"/>
    <w:rsid w:val="004B4CB5"/>
    <w:rsid w:val="004B5A6B"/>
    <w:rsid w:val="004B7B76"/>
    <w:rsid w:val="004C0070"/>
    <w:rsid w:val="004C2E29"/>
    <w:rsid w:val="004D129E"/>
    <w:rsid w:val="004D3B35"/>
    <w:rsid w:val="004D51A6"/>
    <w:rsid w:val="004E1695"/>
    <w:rsid w:val="004E7AFB"/>
    <w:rsid w:val="004F0F38"/>
    <w:rsid w:val="004F1A46"/>
    <w:rsid w:val="004F1E1A"/>
    <w:rsid w:val="004F4D12"/>
    <w:rsid w:val="004F7694"/>
    <w:rsid w:val="00501921"/>
    <w:rsid w:val="005073EB"/>
    <w:rsid w:val="00511904"/>
    <w:rsid w:val="00522A0C"/>
    <w:rsid w:val="005234E9"/>
    <w:rsid w:val="00530354"/>
    <w:rsid w:val="00531B11"/>
    <w:rsid w:val="00535A5E"/>
    <w:rsid w:val="005434C6"/>
    <w:rsid w:val="00543B39"/>
    <w:rsid w:val="0054583D"/>
    <w:rsid w:val="005469D0"/>
    <w:rsid w:val="005477E7"/>
    <w:rsid w:val="00547B22"/>
    <w:rsid w:val="00550096"/>
    <w:rsid w:val="00554464"/>
    <w:rsid w:val="0055532D"/>
    <w:rsid w:val="00557FF9"/>
    <w:rsid w:val="0056565F"/>
    <w:rsid w:val="005664A5"/>
    <w:rsid w:val="00576378"/>
    <w:rsid w:val="00577279"/>
    <w:rsid w:val="00577E38"/>
    <w:rsid w:val="00585322"/>
    <w:rsid w:val="005934AF"/>
    <w:rsid w:val="00593AD1"/>
    <w:rsid w:val="00594D03"/>
    <w:rsid w:val="00595675"/>
    <w:rsid w:val="00597877"/>
    <w:rsid w:val="005A0015"/>
    <w:rsid w:val="005A1131"/>
    <w:rsid w:val="005A37FE"/>
    <w:rsid w:val="005A417A"/>
    <w:rsid w:val="005A61CE"/>
    <w:rsid w:val="005B09C9"/>
    <w:rsid w:val="005C1291"/>
    <w:rsid w:val="005C1359"/>
    <w:rsid w:val="005C2F16"/>
    <w:rsid w:val="005C5570"/>
    <w:rsid w:val="005C79A4"/>
    <w:rsid w:val="005D4EA1"/>
    <w:rsid w:val="005D5442"/>
    <w:rsid w:val="005D6116"/>
    <w:rsid w:val="005E24A9"/>
    <w:rsid w:val="005E2C52"/>
    <w:rsid w:val="005E6592"/>
    <w:rsid w:val="005F5C53"/>
    <w:rsid w:val="00611B57"/>
    <w:rsid w:val="006128D7"/>
    <w:rsid w:val="00613A29"/>
    <w:rsid w:val="00613F1C"/>
    <w:rsid w:val="00617EAC"/>
    <w:rsid w:val="006239CD"/>
    <w:rsid w:val="0062591D"/>
    <w:rsid w:val="00637CD6"/>
    <w:rsid w:val="00640190"/>
    <w:rsid w:val="006405A9"/>
    <w:rsid w:val="00640FC3"/>
    <w:rsid w:val="00642020"/>
    <w:rsid w:val="00651C87"/>
    <w:rsid w:val="0065337B"/>
    <w:rsid w:val="00653FBF"/>
    <w:rsid w:val="0065419D"/>
    <w:rsid w:val="006604D8"/>
    <w:rsid w:val="00664A5B"/>
    <w:rsid w:val="00664C03"/>
    <w:rsid w:val="00665F8C"/>
    <w:rsid w:val="00667942"/>
    <w:rsid w:val="00667B4F"/>
    <w:rsid w:val="00680C08"/>
    <w:rsid w:val="0068741A"/>
    <w:rsid w:val="00691723"/>
    <w:rsid w:val="006931B1"/>
    <w:rsid w:val="00693CDB"/>
    <w:rsid w:val="00694BEB"/>
    <w:rsid w:val="006A15C0"/>
    <w:rsid w:val="006A56F5"/>
    <w:rsid w:val="006B188D"/>
    <w:rsid w:val="006B6202"/>
    <w:rsid w:val="006C1F3B"/>
    <w:rsid w:val="006C3E2A"/>
    <w:rsid w:val="006C626D"/>
    <w:rsid w:val="006C642F"/>
    <w:rsid w:val="006C6EDB"/>
    <w:rsid w:val="006D039E"/>
    <w:rsid w:val="006D03E5"/>
    <w:rsid w:val="006D0A5E"/>
    <w:rsid w:val="006D0C3B"/>
    <w:rsid w:val="006D5D3E"/>
    <w:rsid w:val="006E08B3"/>
    <w:rsid w:val="006E5AB4"/>
    <w:rsid w:val="006F16E9"/>
    <w:rsid w:val="006F572E"/>
    <w:rsid w:val="007046D6"/>
    <w:rsid w:val="00705DB0"/>
    <w:rsid w:val="00706AFE"/>
    <w:rsid w:val="0071004C"/>
    <w:rsid w:val="007124ED"/>
    <w:rsid w:val="00724CC0"/>
    <w:rsid w:val="00725A8B"/>
    <w:rsid w:val="0073412F"/>
    <w:rsid w:val="0074066C"/>
    <w:rsid w:val="00741DAC"/>
    <w:rsid w:val="00742004"/>
    <w:rsid w:val="0074253D"/>
    <w:rsid w:val="0074429B"/>
    <w:rsid w:val="007458F7"/>
    <w:rsid w:val="007477F8"/>
    <w:rsid w:val="00750A93"/>
    <w:rsid w:val="00757A1F"/>
    <w:rsid w:val="007615BC"/>
    <w:rsid w:val="007624AD"/>
    <w:rsid w:val="00762F05"/>
    <w:rsid w:val="00763336"/>
    <w:rsid w:val="00764EB9"/>
    <w:rsid w:val="007652FF"/>
    <w:rsid w:val="00766F39"/>
    <w:rsid w:val="00771329"/>
    <w:rsid w:val="00772174"/>
    <w:rsid w:val="00773EF7"/>
    <w:rsid w:val="00774E1D"/>
    <w:rsid w:val="0077675A"/>
    <w:rsid w:val="00780355"/>
    <w:rsid w:val="00780C6C"/>
    <w:rsid w:val="0078543F"/>
    <w:rsid w:val="00785721"/>
    <w:rsid w:val="007857F8"/>
    <w:rsid w:val="00793A59"/>
    <w:rsid w:val="007A2162"/>
    <w:rsid w:val="007A773E"/>
    <w:rsid w:val="007B302B"/>
    <w:rsid w:val="007B43ED"/>
    <w:rsid w:val="007B4BF9"/>
    <w:rsid w:val="007B6993"/>
    <w:rsid w:val="007C0F3D"/>
    <w:rsid w:val="007C1AF7"/>
    <w:rsid w:val="007C7A6D"/>
    <w:rsid w:val="007C7B5B"/>
    <w:rsid w:val="007D0898"/>
    <w:rsid w:val="007E7BF8"/>
    <w:rsid w:val="007F2FF0"/>
    <w:rsid w:val="008004DB"/>
    <w:rsid w:val="00803DC2"/>
    <w:rsid w:val="00805818"/>
    <w:rsid w:val="00810598"/>
    <w:rsid w:val="00811166"/>
    <w:rsid w:val="00814492"/>
    <w:rsid w:val="0082038D"/>
    <w:rsid w:val="00821776"/>
    <w:rsid w:val="00826007"/>
    <w:rsid w:val="008321F5"/>
    <w:rsid w:val="00832369"/>
    <w:rsid w:val="00834660"/>
    <w:rsid w:val="00834C8E"/>
    <w:rsid w:val="00835159"/>
    <w:rsid w:val="00836BC2"/>
    <w:rsid w:val="0084580B"/>
    <w:rsid w:val="00845BCA"/>
    <w:rsid w:val="00850E9F"/>
    <w:rsid w:val="00853C8F"/>
    <w:rsid w:val="0085641B"/>
    <w:rsid w:val="00857136"/>
    <w:rsid w:val="00870B12"/>
    <w:rsid w:val="008752CE"/>
    <w:rsid w:val="0087758C"/>
    <w:rsid w:val="008821AA"/>
    <w:rsid w:val="008855B8"/>
    <w:rsid w:val="008932F3"/>
    <w:rsid w:val="00893526"/>
    <w:rsid w:val="00896018"/>
    <w:rsid w:val="00896578"/>
    <w:rsid w:val="008A07FF"/>
    <w:rsid w:val="008A2B9D"/>
    <w:rsid w:val="008A5E0B"/>
    <w:rsid w:val="008A5E18"/>
    <w:rsid w:val="008A6D59"/>
    <w:rsid w:val="008B2D31"/>
    <w:rsid w:val="008B4B03"/>
    <w:rsid w:val="008B596F"/>
    <w:rsid w:val="008B7FE8"/>
    <w:rsid w:val="008C159F"/>
    <w:rsid w:val="008C1623"/>
    <w:rsid w:val="008C51A9"/>
    <w:rsid w:val="008C56D9"/>
    <w:rsid w:val="008C6252"/>
    <w:rsid w:val="008D2B09"/>
    <w:rsid w:val="008D4740"/>
    <w:rsid w:val="008E2719"/>
    <w:rsid w:val="008E653C"/>
    <w:rsid w:val="008E7B83"/>
    <w:rsid w:val="008F04D8"/>
    <w:rsid w:val="008F08A7"/>
    <w:rsid w:val="008F1CCC"/>
    <w:rsid w:val="008F2967"/>
    <w:rsid w:val="008F407A"/>
    <w:rsid w:val="0090354E"/>
    <w:rsid w:val="00905B61"/>
    <w:rsid w:val="00907ACE"/>
    <w:rsid w:val="009115D8"/>
    <w:rsid w:val="00920330"/>
    <w:rsid w:val="00920FF4"/>
    <w:rsid w:val="009219D7"/>
    <w:rsid w:val="009219F9"/>
    <w:rsid w:val="00922D53"/>
    <w:rsid w:val="00923B70"/>
    <w:rsid w:val="00925DC5"/>
    <w:rsid w:val="0092600B"/>
    <w:rsid w:val="009267D3"/>
    <w:rsid w:val="00930237"/>
    <w:rsid w:val="00934397"/>
    <w:rsid w:val="009401F6"/>
    <w:rsid w:val="00940F44"/>
    <w:rsid w:val="00941988"/>
    <w:rsid w:val="00952562"/>
    <w:rsid w:val="00953A47"/>
    <w:rsid w:val="00957CCC"/>
    <w:rsid w:val="009610A6"/>
    <w:rsid w:val="00963C08"/>
    <w:rsid w:val="00964A7A"/>
    <w:rsid w:val="00975F66"/>
    <w:rsid w:val="0098418C"/>
    <w:rsid w:val="009967F5"/>
    <w:rsid w:val="00997420"/>
    <w:rsid w:val="009A09AA"/>
    <w:rsid w:val="009A13B2"/>
    <w:rsid w:val="009A1604"/>
    <w:rsid w:val="009A474D"/>
    <w:rsid w:val="009A4CED"/>
    <w:rsid w:val="009B15F1"/>
    <w:rsid w:val="009B1D12"/>
    <w:rsid w:val="009B416B"/>
    <w:rsid w:val="009B6973"/>
    <w:rsid w:val="009B7D65"/>
    <w:rsid w:val="009C3B41"/>
    <w:rsid w:val="009C4BD5"/>
    <w:rsid w:val="009D2E04"/>
    <w:rsid w:val="009D7B77"/>
    <w:rsid w:val="009E0BB0"/>
    <w:rsid w:val="009E3FBB"/>
    <w:rsid w:val="009E71F4"/>
    <w:rsid w:val="009E77E7"/>
    <w:rsid w:val="009F018D"/>
    <w:rsid w:val="009F7D61"/>
    <w:rsid w:val="00A052B5"/>
    <w:rsid w:val="00A10101"/>
    <w:rsid w:val="00A1235B"/>
    <w:rsid w:val="00A14DF7"/>
    <w:rsid w:val="00A23F3C"/>
    <w:rsid w:val="00A25E7C"/>
    <w:rsid w:val="00A3246D"/>
    <w:rsid w:val="00A32891"/>
    <w:rsid w:val="00A35911"/>
    <w:rsid w:val="00A3654F"/>
    <w:rsid w:val="00A36EE0"/>
    <w:rsid w:val="00A36FA7"/>
    <w:rsid w:val="00A47321"/>
    <w:rsid w:val="00A475B7"/>
    <w:rsid w:val="00A47AF7"/>
    <w:rsid w:val="00A47C3E"/>
    <w:rsid w:val="00A50226"/>
    <w:rsid w:val="00A539AC"/>
    <w:rsid w:val="00A56488"/>
    <w:rsid w:val="00A60BAD"/>
    <w:rsid w:val="00A63805"/>
    <w:rsid w:val="00A64387"/>
    <w:rsid w:val="00A736F3"/>
    <w:rsid w:val="00A73A8D"/>
    <w:rsid w:val="00A84503"/>
    <w:rsid w:val="00A85B04"/>
    <w:rsid w:val="00A87334"/>
    <w:rsid w:val="00A930E9"/>
    <w:rsid w:val="00AA2BC4"/>
    <w:rsid w:val="00AB14A2"/>
    <w:rsid w:val="00AB2FC8"/>
    <w:rsid w:val="00AB42DA"/>
    <w:rsid w:val="00AB5A63"/>
    <w:rsid w:val="00AB6F47"/>
    <w:rsid w:val="00AC168A"/>
    <w:rsid w:val="00AC1FC6"/>
    <w:rsid w:val="00AC2833"/>
    <w:rsid w:val="00AC2B40"/>
    <w:rsid w:val="00AC2BB2"/>
    <w:rsid w:val="00AC2C3C"/>
    <w:rsid w:val="00AC3BD9"/>
    <w:rsid w:val="00AC62E7"/>
    <w:rsid w:val="00AC7EB0"/>
    <w:rsid w:val="00AD00DE"/>
    <w:rsid w:val="00AD13C3"/>
    <w:rsid w:val="00AE0320"/>
    <w:rsid w:val="00AE65EB"/>
    <w:rsid w:val="00AE6A31"/>
    <w:rsid w:val="00AF1D94"/>
    <w:rsid w:val="00AF60C5"/>
    <w:rsid w:val="00B009C6"/>
    <w:rsid w:val="00B01548"/>
    <w:rsid w:val="00B07BFD"/>
    <w:rsid w:val="00B11CFC"/>
    <w:rsid w:val="00B20110"/>
    <w:rsid w:val="00B21D29"/>
    <w:rsid w:val="00B21FC5"/>
    <w:rsid w:val="00B21FEE"/>
    <w:rsid w:val="00B22021"/>
    <w:rsid w:val="00B25034"/>
    <w:rsid w:val="00B2575D"/>
    <w:rsid w:val="00B27CFA"/>
    <w:rsid w:val="00B33863"/>
    <w:rsid w:val="00B37D17"/>
    <w:rsid w:val="00B40C62"/>
    <w:rsid w:val="00B4175E"/>
    <w:rsid w:val="00B510E1"/>
    <w:rsid w:val="00B54C25"/>
    <w:rsid w:val="00B600DA"/>
    <w:rsid w:val="00B64F68"/>
    <w:rsid w:val="00B76B91"/>
    <w:rsid w:val="00B92C72"/>
    <w:rsid w:val="00B96E6A"/>
    <w:rsid w:val="00BA6FF1"/>
    <w:rsid w:val="00BB0909"/>
    <w:rsid w:val="00BB6529"/>
    <w:rsid w:val="00BC1CAB"/>
    <w:rsid w:val="00BC622A"/>
    <w:rsid w:val="00BD6F8A"/>
    <w:rsid w:val="00BE0A78"/>
    <w:rsid w:val="00BE7058"/>
    <w:rsid w:val="00BE79F0"/>
    <w:rsid w:val="00BE7B93"/>
    <w:rsid w:val="00BF046D"/>
    <w:rsid w:val="00BF0DF9"/>
    <w:rsid w:val="00BF5D04"/>
    <w:rsid w:val="00C13563"/>
    <w:rsid w:val="00C17D21"/>
    <w:rsid w:val="00C30144"/>
    <w:rsid w:val="00C339C6"/>
    <w:rsid w:val="00C404A6"/>
    <w:rsid w:val="00C40A36"/>
    <w:rsid w:val="00C42499"/>
    <w:rsid w:val="00C44419"/>
    <w:rsid w:val="00C45E7B"/>
    <w:rsid w:val="00C471B1"/>
    <w:rsid w:val="00C5010E"/>
    <w:rsid w:val="00C52BEE"/>
    <w:rsid w:val="00C5710F"/>
    <w:rsid w:val="00C62C2B"/>
    <w:rsid w:val="00C6316B"/>
    <w:rsid w:val="00C634A9"/>
    <w:rsid w:val="00C70134"/>
    <w:rsid w:val="00C71002"/>
    <w:rsid w:val="00C716B1"/>
    <w:rsid w:val="00C73D6C"/>
    <w:rsid w:val="00C772FF"/>
    <w:rsid w:val="00C77BC8"/>
    <w:rsid w:val="00C801AF"/>
    <w:rsid w:val="00C80256"/>
    <w:rsid w:val="00C87F45"/>
    <w:rsid w:val="00C92D06"/>
    <w:rsid w:val="00CA17C3"/>
    <w:rsid w:val="00CA30E1"/>
    <w:rsid w:val="00CA77CC"/>
    <w:rsid w:val="00CB6BC0"/>
    <w:rsid w:val="00CB7BEB"/>
    <w:rsid w:val="00CC0C53"/>
    <w:rsid w:val="00CC1B7C"/>
    <w:rsid w:val="00CC1DC1"/>
    <w:rsid w:val="00CC266A"/>
    <w:rsid w:val="00CC727F"/>
    <w:rsid w:val="00CD2699"/>
    <w:rsid w:val="00CD4203"/>
    <w:rsid w:val="00CD7871"/>
    <w:rsid w:val="00CE5BB0"/>
    <w:rsid w:val="00CF05EF"/>
    <w:rsid w:val="00CF15C3"/>
    <w:rsid w:val="00CF2B6F"/>
    <w:rsid w:val="00CF3409"/>
    <w:rsid w:val="00CF5D37"/>
    <w:rsid w:val="00D017ED"/>
    <w:rsid w:val="00D12A84"/>
    <w:rsid w:val="00D153B1"/>
    <w:rsid w:val="00D17694"/>
    <w:rsid w:val="00D224FE"/>
    <w:rsid w:val="00D229BA"/>
    <w:rsid w:val="00D26B84"/>
    <w:rsid w:val="00D322E2"/>
    <w:rsid w:val="00D3520C"/>
    <w:rsid w:val="00D5616E"/>
    <w:rsid w:val="00D634FE"/>
    <w:rsid w:val="00D6493E"/>
    <w:rsid w:val="00D66402"/>
    <w:rsid w:val="00D70726"/>
    <w:rsid w:val="00D721AC"/>
    <w:rsid w:val="00D7575A"/>
    <w:rsid w:val="00D80A1B"/>
    <w:rsid w:val="00D85AC0"/>
    <w:rsid w:val="00D955D4"/>
    <w:rsid w:val="00DA1124"/>
    <w:rsid w:val="00DA154B"/>
    <w:rsid w:val="00DA1DEF"/>
    <w:rsid w:val="00DA3043"/>
    <w:rsid w:val="00DA7CD0"/>
    <w:rsid w:val="00DB1E9A"/>
    <w:rsid w:val="00DB579E"/>
    <w:rsid w:val="00DD4C9F"/>
    <w:rsid w:val="00DD75A3"/>
    <w:rsid w:val="00DD7A91"/>
    <w:rsid w:val="00DE02AE"/>
    <w:rsid w:val="00DE4226"/>
    <w:rsid w:val="00DE528B"/>
    <w:rsid w:val="00DE6A0C"/>
    <w:rsid w:val="00DE6C04"/>
    <w:rsid w:val="00DE74A8"/>
    <w:rsid w:val="00DE75AC"/>
    <w:rsid w:val="00DF19BD"/>
    <w:rsid w:val="00DF1D7F"/>
    <w:rsid w:val="00DF1FFC"/>
    <w:rsid w:val="00DF75CE"/>
    <w:rsid w:val="00E02FB4"/>
    <w:rsid w:val="00E1340C"/>
    <w:rsid w:val="00E145EE"/>
    <w:rsid w:val="00E20571"/>
    <w:rsid w:val="00E21651"/>
    <w:rsid w:val="00E21A24"/>
    <w:rsid w:val="00E235F7"/>
    <w:rsid w:val="00E239D4"/>
    <w:rsid w:val="00E26E8C"/>
    <w:rsid w:val="00E31C2E"/>
    <w:rsid w:val="00E32326"/>
    <w:rsid w:val="00E34F3B"/>
    <w:rsid w:val="00E40B22"/>
    <w:rsid w:val="00E4588F"/>
    <w:rsid w:val="00E46DA3"/>
    <w:rsid w:val="00E51164"/>
    <w:rsid w:val="00E63AFD"/>
    <w:rsid w:val="00E67F75"/>
    <w:rsid w:val="00E8120B"/>
    <w:rsid w:val="00EA16DE"/>
    <w:rsid w:val="00EA406B"/>
    <w:rsid w:val="00EA453A"/>
    <w:rsid w:val="00EB0798"/>
    <w:rsid w:val="00EB182C"/>
    <w:rsid w:val="00EB19F8"/>
    <w:rsid w:val="00EB40AD"/>
    <w:rsid w:val="00EB586E"/>
    <w:rsid w:val="00EB5FC8"/>
    <w:rsid w:val="00EC045D"/>
    <w:rsid w:val="00EC1271"/>
    <w:rsid w:val="00ED0C8B"/>
    <w:rsid w:val="00ED5A41"/>
    <w:rsid w:val="00EE1482"/>
    <w:rsid w:val="00EE157F"/>
    <w:rsid w:val="00EE255A"/>
    <w:rsid w:val="00EF0EAB"/>
    <w:rsid w:val="00EF47F3"/>
    <w:rsid w:val="00EF578B"/>
    <w:rsid w:val="00F033EC"/>
    <w:rsid w:val="00F04F68"/>
    <w:rsid w:val="00F0627D"/>
    <w:rsid w:val="00F11A17"/>
    <w:rsid w:val="00F12670"/>
    <w:rsid w:val="00F14B27"/>
    <w:rsid w:val="00F15A98"/>
    <w:rsid w:val="00F1797F"/>
    <w:rsid w:val="00F202AB"/>
    <w:rsid w:val="00F22196"/>
    <w:rsid w:val="00F3148D"/>
    <w:rsid w:val="00F3255D"/>
    <w:rsid w:val="00F35298"/>
    <w:rsid w:val="00F3529E"/>
    <w:rsid w:val="00F36C32"/>
    <w:rsid w:val="00F40F73"/>
    <w:rsid w:val="00F4305F"/>
    <w:rsid w:val="00F44B0D"/>
    <w:rsid w:val="00F4663D"/>
    <w:rsid w:val="00F467A6"/>
    <w:rsid w:val="00F47E37"/>
    <w:rsid w:val="00F62016"/>
    <w:rsid w:val="00F623FD"/>
    <w:rsid w:val="00F63C0D"/>
    <w:rsid w:val="00F640B6"/>
    <w:rsid w:val="00F67B16"/>
    <w:rsid w:val="00F739D1"/>
    <w:rsid w:val="00F748E6"/>
    <w:rsid w:val="00F749ED"/>
    <w:rsid w:val="00F80E40"/>
    <w:rsid w:val="00F8365F"/>
    <w:rsid w:val="00F8404D"/>
    <w:rsid w:val="00F87B87"/>
    <w:rsid w:val="00F93CFF"/>
    <w:rsid w:val="00FA4D6D"/>
    <w:rsid w:val="00FA5B82"/>
    <w:rsid w:val="00FA639E"/>
    <w:rsid w:val="00FB0341"/>
    <w:rsid w:val="00FB59CE"/>
    <w:rsid w:val="00FC03C8"/>
    <w:rsid w:val="00FC25E4"/>
    <w:rsid w:val="00FC260C"/>
    <w:rsid w:val="00FC4EF7"/>
    <w:rsid w:val="00FD355B"/>
    <w:rsid w:val="00FD7CF0"/>
    <w:rsid w:val="00FE1941"/>
    <w:rsid w:val="00FE1DEE"/>
    <w:rsid w:val="00FF2126"/>
    <w:rsid w:val="00FF560E"/>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1A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3F0"/>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8932F3"/>
    <w:pPr>
      <w:numPr>
        <w:numId w:val="3"/>
      </w:numPr>
    </w:pPr>
  </w:style>
  <w:style w:type="paragraph" w:styleId="ListBullet2">
    <w:name w:val="List Bullet 2"/>
    <w:basedOn w:val="Normal"/>
    <w:uiPriority w:val="2"/>
    <w:qFormat/>
    <w:rsid w:val="004B5A6B"/>
    <w:pPr>
      <w:numPr>
        <w:ilvl w:val="1"/>
        <w:numId w:val="3"/>
      </w:numPr>
    </w:pPr>
  </w:style>
  <w:style w:type="paragraph" w:styleId="ListBullet3">
    <w:name w:val="List Bullet 3"/>
    <w:basedOn w:val="Normal"/>
    <w:uiPriority w:val="1"/>
    <w:qFormat/>
    <w:rsid w:val="002B706C"/>
    <w:pPr>
      <w:numPr>
        <w:numId w:val="5"/>
      </w:numPr>
      <w:ind w:left="1276" w:hanging="425"/>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4"/>
      </w:numPr>
    </w:pPr>
  </w:style>
  <w:style w:type="paragraph" w:customStyle="1" w:styleId="Numberbullet2">
    <w:name w:val="Number bullet 2"/>
    <w:basedOn w:val="ListBullet2"/>
    <w:uiPriority w:val="2"/>
    <w:qFormat/>
    <w:rsid w:val="00EE1482"/>
    <w:pPr>
      <w:numPr>
        <w:numId w:val="4"/>
      </w:numPr>
    </w:pPr>
  </w:style>
  <w:style w:type="paragraph" w:customStyle="1" w:styleId="Numberbullet3">
    <w:name w:val="Number bullet 3"/>
    <w:basedOn w:val="Normal"/>
    <w:uiPriority w:val="2"/>
    <w:qFormat/>
    <w:rsid w:val="004B4CB5"/>
    <w:pPr>
      <w:numPr>
        <w:numId w:val="6"/>
      </w:numPr>
      <w:ind w:left="1361" w:hanging="397"/>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EE1482"/>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3A13F0"/>
    <w:pPr>
      <w:keepNext/>
      <w:keepLines/>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3A13F0"/>
    <w:pPr>
      <w:keepNext/>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unhideWhenUsed/>
    <w:rsid w:val="000B0A5D"/>
    <w:pPr>
      <w:spacing w:line="240" w:lineRule="auto"/>
    </w:pPr>
    <w:rPr>
      <w:sz w:val="20"/>
    </w:rPr>
  </w:style>
  <w:style w:type="character" w:customStyle="1" w:styleId="CommentTextChar">
    <w:name w:val="Comment Text Char"/>
    <w:basedOn w:val="DefaultParagraphFont"/>
    <w:link w:val="CommentText"/>
    <w:uiPriority w:val="99"/>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ListParagraph">
    <w:name w:val="List Paragraph"/>
    <w:basedOn w:val="Normal"/>
    <w:uiPriority w:val="34"/>
    <w:qFormat/>
    <w:rsid w:val="00452AA3"/>
    <w:pPr>
      <w:spacing w:before="0" w:after="0" w:line="240" w:lineRule="auto"/>
      <w:ind w:left="720"/>
    </w:pPr>
    <w:rPr>
      <w:rFonts w:ascii="Calibri" w:eastAsiaTheme="minorHAnsi" w:hAnsi="Calibri" w:cs="Calibri"/>
      <w:szCs w:val="22"/>
    </w:rPr>
  </w:style>
  <w:style w:type="paragraph" w:styleId="Revision">
    <w:name w:val="Revision"/>
    <w:hidden/>
    <w:uiPriority w:val="99"/>
    <w:semiHidden/>
    <w:rsid w:val="00E67F75"/>
    <w:rPr>
      <w:sz w:val="22"/>
      <w:lang w:eastAsia="en-US"/>
    </w:rPr>
  </w:style>
  <w:style w:type="paragraph" w:customStyle="1" w:styleId="Default">
    <w:name w:val="Default"/>
    <w:rsid w:val="00A10101"/>
    <w:pPr>
      <w:autoSpaceDE w:val="0"/>
      <w:autoSpaceDN w:val="0"/>
      <w:adjustRightInd w:val="0"/>
    </w:pPr>
    <w:rPr>
      <w:rFonts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77298">
      <w:bodyDiv w:val="1"/>
      <w:marLeft w:val="0"/>
      <w:marRight w:val="0"/>
      <w:marTop w:val="0"/>
      <w:marBottom w:val="0"/>
      <w:divBdr>
        <w:top w:val="none" w:sz="0" w:space="0" w:color="auto"/>
        <w:left w:val="none" w:sz="0" w:space="0" w:color="auto"/>
        <w:bottom w:val="none" w:sz="0" w:space="0" w:color="auto"/>
        <w:right w:val="none" w:sz="0" w:space="0" w:color="auto"/>
      </w:divBdr>
    </w:div>
    <w:div w:id="288975016">
      <w:bodyDiv w:val="1"/>
      <w:marLeft w:val="0"/>
      <w:marRight w:val="0"/>
      <w:marTop w:val="0"/>
      <w:marBottom w:val="0"/>
      <w:divBdr>
        <w:top w:val="none" w:sz="0" w:space="0" w:color="auto"/>
        <w:left w:val="none" w:sz="0" w:space="0" w:color="auto"/>
        <w:bottom w:val="none" w:sz="0" w:space="0" w:color="auto"/>
        <w:right w:val="none" w:sz="0" w:space="0" w:color="auto"/>
      </w:divBdr>
    </w:div>
    <w:div w:id="371418298">
      <w:bodyDiv w:val="1"/>
      <w:marLeft w:val="0"/>
      <w:marRight w:val="0"/>
      <w:marTop w:val="0"/>
      <w:marBottom w:val="0"/>
      <w:divBdr>
        <w:top w:val="none" w:sz="0" w:space="0" w:color="auto"/>
        <w:left w:val="none" w:sz="0" w:space="0" w:color="auto"/>
        <w:bottom w:val="none" w:sz="0" w:space="0" w:color="auto"/>
        <w:right w:val="none" w:sz="0" w:space="0" w:color="auto"/>
      </w:divBdr>
    </w:div>
    <w:div w:id="745422598">
      <w:bodyDiv w:val="1"/>
      <w:marLeft w:val="0"/>
      <w:marRight w:val="0"/>
      <w:marTop w:val="0"/>
      <w:marBottom w:val="0"/>
      <w:divBdr>
        <w:top w:val="none" w:sz="0" w:space="0" w:color="auto"/>
        <w:left w:val="none" w:sz="0" w:space="0" w:color="auto"/>
        <w:bottom w:val="none" w:sz="0" w:space="0" w:color="auto"/>
        <w:right w:val="none" w:sz="0" w:space="0" w:color="auto"/>
      </w:divBdr>
    </w:div>
    <w:div w:id="764574759">
      <w:bodyDiv w:val="1"/>
      <w:marLeft w:val="0"/>
      <w:marRight w:val="0"/>
      <w:marTop w:val="0"/>
      <w:marBottom w:val="0"/>
      <w:divBdr>
        <w:top w:val="none" w:sz="0" w:space="0" w:color="auto"/>
        <w:left w:val="none" w:sz="0" w:space="0" w:color="auto"/>
        <w:bottom w:val="none" w:sz="0" w:space="0" w:color="auto"/>
        <w:right w:val="none" w:sz="0" w:space="0" w:color="auto"/>
      </w:divBdr>
    </w:div>
    <w:div w:id="1199732421">
      <w:bodyDiv w:val="1"/>
      <w:marLeft w:val="0"/>
      <w:marRight w:val="0"/>
      <w:marTop w:val="0"/>
      <w:marBottom w:val="0"/>
      <w:divBdr>
        <w:top w:val="none" w:sz="0" w:space="0" w:color="auto"/>
        <w:left w:val="none" w:sz="0" w:space="0" w:color="auto"/>
        <w:bottom w:val="none" w:sz="0" w:space="0" w:color="auto"/>
        <w:right w:val="none" w:sz="0" w:space="0" w:color="auto"/>
      </w:divBdr>
    </w:div>
    <w:div w:id="1485316950">
      <w:bodyDiv w:val="1"/>
      <w:marLeft w:val="0"/>
      <w:marRight w:val="0"/>
      <w:marTop w:val="0"/>
      <w:marBottom w:val="0"/>
      <w:divBdr>
        <w:top w:val="none" w:sz="0" w:space="0" w:color="auto"/>
        <w:left w:val="none" w:sz="0" w:space="0" w:color="auto"/>
        <w:bottom w:val="none" w:sz="0" w:space="0" w:color="auto"/>
        <w:right w:val="none" w:sz="0" w:space="0" w:color="auto"/>
      </w:divBdr>
    </w:div>
    <w:div w:id="1552305034">
      <w:bodyDiv w:val="1"/>
      <w:marLeft w:val="0"/>
      <w:marRight w:val="0"/>
      <w:marTop w:val="0"/>
      <w:marBottom w:val="0"/>
      <w:divBdr>
        <w:top w:val="none" w:sz="0" w:space="0" w:color="auto"/>
        <w:left w:val="none" w:sz="0" w:space="0" w:color="auto"/>
        <w:bottom w:val="none" w:sz="0" w:space="0" w:color="auto"/>
        <w:right w:val="none" w:sz="0" w:space="0" w:color="auto"/>
      </w:divBdr>
    </w:div>
    <w:div w:id="1570071670">
      <w:bodyDiv w:val="1"/>
      <w:marLeft w:val="0"/>
      <w:marRight w:val="0"/>
      <w:marTop w:val="0"/>
      <w:marBottom w:val="0"/>
      <w:divBdr>
        <w:top w:val="none" w:sz="0" w:space="0" w:color="auto"/>
        <w:left w:val="none" w:sz="0" w:space="0" w:color="auto"/>
        <w:bottom w:val="none" w:sz="0" w:space="0" w:color="auto"/>
        <w:right w:val="none" w:sz="0" w:space="0" w:color="auto"/>
      </w:divBdr>
    </w:div>
    <w:div w:id="210700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artg"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eader" Target="header4.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health.gov.au/ministers/the-hon-greg-hunt-mp/media/digital-transformation-to-deliver-more-timely-medicines-for-australians-and-improve-patient-safe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tga.gov.au" TargetMode="External"/><Relationship Id="rId10" Type="http://schemas.openxmlformats.org/officeDocument/2006/relationships/header" Target="header2.xml"/><Relationship Id="rId19" Type="http://schemas.openxmlformats.org/officeDocument/2006/relationships/hyperlink" Target="https://www.tga.gov.au/proprietary-ingredient-formulations-and-how-they-are-use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bs.tga.gov.au/" TargetMode="External"/><Relationship Id="rId22" Type="http://schemas.openxmlformats.org/officeDocument/2006/relationships/hyperlink" Target="mailto:info@tga.gov.au"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health.gov.au/ministers/the-hon-greg-hunt-mp/media/digital-transformation-to-deliver-more-timely-medicines-for-australians-and-improve-patient-safety" TargetMode="External"/><Relationship Id="rId2" Type="http://schemas.openxmlformats.org/officeDocument/2006/relationships/hyperlink" Target="https://www.tga.gov.au/proprietary-ingredient-formulations-and-how-they-are-used" TargetMode="External"/><Relationship Id="rId1" Type="http://schemas.openxmlformats.org/officeDocument/2006/relationships/hyperlink" Target="https://www.tga.gov.au/artg" TargetMode="External"/><Relationship Id="rId4" Type="http://schemas.openxmlformats.org/officeDocument/2006/relationships/hyperlink" Target="https://www.tga.gov.au/publication/guidance-equivalence-herbal-extracts-complementary-medicine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jpg"/><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FDD8D-0F51-46C0-B9D1-2BEA2CC81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3651</Words>
  <Characters>20485</Characters>
  <Application>Microsoft Office Word</Application>
  <DocSecurity>0</DocSecurity>
  <Lines>372</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2023-08-28T02:21:00Z</dcterms:created>
  <dcterms:modified xsi:type="dcterms:W3CDTF">2023-08-28T02:22:00Z</dcterms:modified>
</cp:coreProperties>
</file>