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3F5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49B299" wp14:editId="2C5579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CABF" w14:textId="77777777" w:rsidR="00715914" w:rsidRPr="00E500D4" w:rsidRDefault="00715914" w:rsidP="00715914">
      <w:pPr>
        <w:rPr>
          <w:sz w:val="19"/>
        </w:rPr>
      </w:pPr>
    </w:p>
    <w:p w14:paraId="64E6D3CE" w14:textId="77777777" w:rsidR="00554826" w:rsidRPr="00E500D4" w:rsidRDefault="00BB13D6" w:rsidP="00554826">
      <w:pPr>
        <w:pStyle w:val="ShortT"/>
      </w:pPr>
      <w:r w:rsidRPr="005A4858">
        <w:t>Therapeutic Goods</w:t>
      </w:r>
      <w:r w:rsidR="00554826" w:rsidRPr="005A4858">
        <w:t xml:space="preserve"> (</w:t>
      </w:r>
      <w:r w:rsidRPr="005A4858">
        <w:t xml:space="preserve">Standard for </w:t>
      </w:r>
      <w:r w:rsidR="005D368F">
        <w:t>Vaporiser Nicotine</w:t>
      </w:r>
      <w:r w:rsidR="005A4858" w:rsidRPr="00104E57">
        <w:t>) (</w:t>
      </w:r>
      <w:r w:rsidR="005A4858" w:rsidRPr="005A4858">
        <w:t>TGO 110)</w:t>
      </w:r>
      <w:r w:rsidR="005A4858">
        <w:t xml:space="preserve"> Order 2021</w:t>
      </w:r>
    </w:p>
    <w:p w14:paraId="06587E8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</w:t>
      </w:r>
      <w:r w:rsidRPr="00414FB2">
        <w:rPr>
          <w:szCs w:val="22"/>
        </w:rPr>
        <w:t xml:space="preserve">, </w:t>
      </w:r>
      <w:r w:rsidR="00554563" w:rsidRPr="00414FB2">
        <w:rPr>
          <w:szCs w:val="22"/>
        </w:rPr>
        <w:t>[</w:t>
      </w:r>
      <w:r w:rsidR="00554563" w:rsidRPr="00AF2A7C">
        <w:rPr>
          <w:szCs w:val="22"/>
        </w:rPr>
        <w:t>name]</w:t>
      </w:r>
      <w:r w:rsidRPr="000E2BB2">
        <w:rPr>
          <w:szCs w:val="22"/>
        </w:rPr>
        <w:t xml:space="preserve">, </w:t>
      </w:r>
      <w:r w:rsidR="005A4858" w:rsidRPr="000E2BB2">
        <w:rPr>
          <w:szCs w:val="22"/>
        </w:rPr>
        <w:t>as</w:t>
      </w:r>
      <w:r w:rsidR="005A4858">
        <w:rPr>
          <w:szCs w:val="22"/>
        </w:rPr>
        <w:t xml:space="preserve">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A4858">
        <w:rPr>
          <w:szCs w:val="22"/>
        </w:rPr>
        <w:t>Order</w:t>
      </w:r>
      <w:r w:rsidRPr="00DA182D">
        <w:rPr>
          <w:szCs w:val="22"/>
        </w:rPr>
        <w:t>.</w:t>
      </w:r>
    </w:p>
    <w:p w14:paraId="0BFB8C3E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AF2A7C">
        <w:rPr>
          <w:szCs w:val="22"/>
        </w:rPr>
        <w:t>Dated</w:t>
      </w:r>
      <w:r w:rsidR="005A4858" w:rsidRPr="00AF2A7C">
        <w:rPr>
          <w:szCs w:val="22"/>
        </w:rPr>
        <w:t xml:space="preserve"> </w:t>
      </w:r>
      <w:r w:rsidR="005A4858" w:rsidRPr="00F75184">
        <w:rPr>
          <w:szCs w:val="22"/>
        </w:rPr>
        <w:t>[day] [month]</w:t>
      </w:r>
      <w:r w:rsidR="00B414CA">
        <w:rPr>
          <w:szCs w:val="22"/>
        </w:rPr>
        <w:t xml:space="preserve"> </w:t>
      </w:r>
      <w:r w:rsidR="00414FB2" w:rsidRPr="000E2BB2">
        <w:rPr>
          <w:szCs w:val="22"/>
        </w:rPr>
        <w:t>[year</w:t>
      </w:r>
      <w:r w:rsidR="00B414CA">
        <w:rPr>
          <w:szCs w:val="22"/>
        </w:rPr>
        <w:t>]</w:t>
      </w:r>
    </w:p>
    <w:p w14:paraId="4C3FCFA9" w14:textId="77777777" w:rsidR="00554826" w:rsidRPr="005A4858" w:rsidRDefault="0055456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F2A7C">
        <w:rPr>
          <w:szCs w:val="22"/>
        </w:rPr>
        <w:t>[</w:t>
      </w:r>
      <w:r w:rsidR="00414FB2" w:rsidRPr="00F75184">
        <w:rPr>
          <w:szCs w:val="22"/>
        </w:rPr>
        <w:t>N</w:t>
      </w:r>
      <w:r w:rsidRPr="00AF2A7C">
        <w:rPr>
          <w:szCs w:val="22"/>
        </w:rPr>
        <w:t>ame</w:t>
      </w:r>
      <w:r w:rsidR="00414FB2" w:rsidRPr="00F75184">
        <w:rPr>
          <w:szCs w:val="22"/>
        </w:rPr>
        <w:t xml:space="preserve"> of delegate</w:t>
      </w:r>
      <w:r w:rsidRPr="00AF2A7C">
        <w:rPr>
          <w:szCs w:val="22"/>
        </w:rPr>
        <w:t>]</w:t>
      </w:r>
      <w:r w:rsidR="0081267B">
        <w:rPr>
          <w:szCs w:val="22"/>
        </w:rPr>
        <w:t xml:space="preserve"> </w:t>
      </w:r>
      <w:r w:rsidR="0081267B" w:rsidRPr="00911BA0">
        <w:rPr>
          <w:b/>
          <w:szCs w:val="22"/>
          <w:highlight w:val="lightGray"/>
        </w:rPr>
        <w:t>DRAFT ONLY—NOT FOR</w:t>
      </w:r>
      <w:r w:rsidR="0081267B">
        <w:rPr>
          <w:b/>
          <w:szCs w:val="22"/>
          <w:highlight w:val="lightGray"/>
        </w:rPr>
        <w:t xml:space="preserve"> SIGNATURE</w:t>
      </w:r>
    </w:p>
    <w:p w14:paraId="470E5585" w14:textId="77777777" w:rsidR="00554826" w:rsidRPr="008E0027" w:rsidRDefault="005A4858" w:rsidP="00554826">
      <w:pPr>
        <w:pStyle w:val="SignCoverPageEnd"/>
        <w:ind w:right="91"/>
        <w:rPr>
          <w:sz w:val="22"/>
        </w:rPr>
      </w:pPr>
      <w:r w:rsidRPr="005A4858">
        <w:rPr>
          <w:sz w:val="22"/>
        </w:rPr>
        <w:t>Department of Health</w:t>
      </w:r>
    </w:p>
    <w:p w14:paraId="0BF3A1F7" w14:textId="77777777" w:rsidR="00554826" w:rsidRDefault="00554826" w:rsidP="00554826"/>
    <w:p w14:paraId="1C99419F" w14:textId="77777777" w:rsidR="00554826" w:rsidRPr="00ED79B6" w:rsidRDefault="00554826" w:rsidP="00554826"/>
    <w:p w14:paraId="3E772FC7" w14:textId="77777777" w:rsidR="00F6696E" w:rsidRDefault="00F6696E" w:rsidP="00F6696E"/>
    <w:p w14:paraId="7D70B5EA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7FFBCE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FFD817" w14:textId="77777777" w:rsidR="00B414CA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B414CA">
        <w:rPr>
          <w:noProof/>
        </w:rPr>
        <w:t>Part 1</w:t>
      </w:r>
      <w:r w:rsidR="00B414CA" w:rsidRPr="003327DE">
        <w:rPr>
          <w:rStyle w:val="CharPartNo"/>
          <w:noProof/>
        </w:rPr>
        <w:sym w:font="Symbol" w:char="F0BE"/>
      </w:r>
      <w:r w:rsidR="00B414CA">
        <w:rPr>
          <w:noProof/>
        </w:rPr>
        <w:t>Preliminary</w:t>
      </w:r>
      <w:r w:rsidR="00B414CA">
        <w:rPr>
          <w:noProof/>
        </w:rPr>
        <w:tab/>
      </w:r>
      <w:r w:rsidR="00B414CA">
        <w:rPr>
          <w:noProof/>
        </w:rPr>
        <w:fldChar w:fldCharType="begin"/>
      </w:r>
      <w:r w:rsidR="00B414CA">
        <w:rPr>
          <w:noProof/>
        </w:rPr>
        <w:instrText xml:space="preserve"> PAGEREF _Toc63782756 \h </w:instrText>
      </w:r>
      <w:r w:rsidR="00B414CA">
        <w:rPr>
          <w:noProof/>
        </w:rPr>
      </w:r>
      <w:r w:rsidR="00B414CA">
        <w:rPr>
          <w:noProof/>
        </w:rPr>
        <w:fldChar w:fldCharType="separate"/>
      </w:r>
      <w:r w:rsidR="00B414CA">
        <w:rPr>
          <w:noProof/>
        </w:rPr>
        <w:t>1</w:t>
      </w:r>
      <w:r w:rsidR="00B414CA">
        <w:rPr>
          <w:noProof/>
        </w:rPr>
        <w:fldChar w:fldCharType="end"/>
      </w:r>
    </w:p>
    <w:p w14:paraId="6A11DE31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85F6F6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0600A32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73D6F0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098690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Standard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7BFFD4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21246BA" w14:textId="77777777" w:rsidR="00B414CA" w:rsidRDefault="00B414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</w:t>
      </w:r>
      <w:r w:rsidRPr="00E5022B">
        <w:rPr>
          <w:rStyle w:val="CharPartNo"/>
          <w:noProof/>
        </w:rPr>
        <w:sym w:font="Symbol" w:char="F0BE"/>
      </w:r>
      <w:r>
        <w:rPr>
          <w:noProof/>
        </w:rPr>
        <w:t>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3017D3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Ingredients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0ED3B7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Labels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DCFA0E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Child-resistant packaging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971DE7A" w14:textId="77777777" w:rsidR="00B414CA" w:rsidRDefault="00B4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Alternative conformity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070BDAB" w14:textId="77777777" w:rsidR="00B414CA" w:rsidRDefault="00B414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1—Prohibited Ingredients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_Toc63782768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02930AC" w14:textId="77777777" w:rsidR="00F6696E" w:rsidRDefault="00B418CB" w:rsidP="00F6696E">
      <w:pPr>
        <w:outlineLvl w:val="0"/>
      </w:pPr>
      <w:r>
        <w:fldChar w:fldCharType="end"/>
      </w:r>
    </w:p>
    <w:p w14:paraId="073D1160" w14:textId="77777777" w:rsidR="00F6696E" w:rsidRPr="00A802BC" w:rsidRDefault="00F6696E" w:rsidP="00F6696E">
      <w:pPr>
        <w:outlineLvl w:val="0"/>
        <w:rPr>
          <w:sz w:val="20"/>
        </w:rPr>
      </w:pPr>
    </w:p>
    <w:p w14:paraId="4CD05003" w14:textId="77777777" w:rsidR="00F6696E" w:rsidRDefault="00F6696E" w:rsidP="00F6696E">
      <w:pPr>
        <w:sectPr w:rsidR="00F6696E" w:rsidSect="00EC05D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E9A6F82" w14:textId="77777777" w:rsidR="005D466B" w:rsidRPr="003327DE" w:rsidRDefault="005D466B" w:rsidP="005D466B">
      <w:pPr>
        <w:pStyle w:val="ActHead2"/>
        <w:rPr>
          <w:rStyle w:val="CharPartNo"/>
        </w:rPr>
      </w:pPr>
      <w:bookmarkStart w:id="0" w:name="_Toc47109898"/>
      <w:bookmarkStart w:id="1" w:name="_Toc63782756"/>
      <w:r w:rsidRPr="003327DE">
        <w:rPr>
          <w:rStyle w:val="CharPartNo"/>
        </w:rPr>
        <w:lastRenderedPageBreak/>
        <w:t>Part 1</w:t>
      </w:r>
      <w:r w:rsidRPr="003327DE">
        <w:rPr>
          <w:rStyle w:val="CharPartNo"/>
        </w:rPr>
        <w:sym w:font="Symbol" w:char="F0BE"/>
      </w:r>
      <w:r w:rsidRPr="003327DE">
        <w:rPr>
          <w:rStyle w:val="CharPartNo"/>
        </w:rPr>
        <w:t>Preliminary</w:t>
      </w:r>
      <w:bookmarkEnd w:id="0"/>
      <w:bookmarkEnd w:id="1"/>
    </w:p>
    <w:p w14:paraId="35B4C810" w14:textId="77777777" w:rsidR="00554826" w:rsidRPr="00554826" w:rsidRDefault="00554826" w:rsidP="00554826">
      <w:pPr>
        <w:pStyle w:val="ActHead5"/>
      </w:pPr>
      <w:bookmarkStart w:id="2" w:name="_Toc63782757"/>
      <w:proofErr w:type="gramStart"/>
      <w:r w:rsidRPr="00554826">
        <w:t>1  Name</w:t>
      </w:r>
      <w:bookmarkEnd w:id="2"/>
      <w:proofErr w:type="gramEnd"/>
    </w:p>
    <w:p w14:paraId="736BCEC6" w14:textId="77777777" w:rsidR="00554826" w:rsidRDefault="00554826" w:rsidP="00554826">
      <w:pPr>
        <w:pStyle w:val="subsection"/>
      </w:pPr>
      <w:r w:rsidRPr="009C2562">
        <w:tab/>
      </w:r>
      <w:r w:rsidR="00184BCB">
        <w:t>(1)</w:t>
      </w:r>
      <w:r w:rsidRPr="009C2562">
        <w:tab/>
        <w:t xml:space="preserve">This </w:t>
      </w:r>
      <w:r>
        <w:t>instrumen</w:t>
      </w:r>
      <w:r w:rsidRPr="00184BCB">
        <w:t xml:space="preserve">t is the </w:t>
      </w:r>
      <w:bookmarkStart w:id="3" w:name="BKCheck15B_3"/>
      <w:bookmarkEnd w:id="3"/>
      <w:r w:rsidR="00184BCB" w:rsidRPr="00184BCB">
        <w:rPr>
          <w:i/>
        </w:rPr>
        <w:t xml:space="preserve">Therapeutic Goods (Standard for </w:t>
      </w:r>
      <w:r w:rsidR="008D3807">
        <w:rPr>
          <w:i/>
        </w:rPr>
        <w:t>Vaporiser Nicotine</w:t>
      </w:r>
      <w:r w:rsidR="00184BCB" w:rsidRPr="00184BCB">
        <w:rPr>
          <w:i/>
        </w:rPr>
        <w:t>) (TGO 110) Order 2021</w:t>
      </w:r>
      <w:r w:rsidRPr="00184BCB">
        <w:t>.</w:t>
      </w:r>
    </w:p>
    <w:p w14:paraId="09E86E48" w14:textId="77777777" w:rsidR="00184BCB" w:rsidRDefault="00184BCB" w:rsidP="00554826">
      <w:pPr>
        <w:pStyle w:val="subsection"/>
      </w:pPr>
      <w:r>
        <w:tab/>
        <w:t>(2)</w:t>
      </w:r>
      <w:r>
        <w:tab/>
        <w:t>This instrument may also be cited as TGO 110.</w:t>
      </w:r>
    </w:p>
    <w:p w14:paraId="34DB6672" w14:textId="77777777" w:rsidR="00554826" w:rsidRPr="00554826" w:rsidRDefault="00554826" w:rsidP="00554826">
      <w:pPr>
        <w:pStyle w:val="ActHead5"/>
      </w:pPr>
      <w:bookmarkStart w:id="4" w:name="_Toc63782758"/>
      <w:proofErr w:type="gramStart"/>
      <w:r w:rsidRPr="00554826">
        <w:t>2  Commencement</w:t>
      </w:r>
      <w:bookmarkEnd w:id="4"/>
      <w:proofErr w:type="gramEnd"/>
    </w:p>
    <w:p w14:paraId="5FF5F648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9F6244F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79AFD302" w14:textId="77777777" w:rsidTr="00EC05D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DBEA13" w14:textId="77777777" w:rsidR="003767E2" w:rsidRPr="003422B4" w:rsidRDefault="003767E2" w:rsidP="00EC05DE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58A5EAFB" w14:textId="77777777" w:rsidTr="00EC05D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3EFA85" w14:textId="77777777" w:rsidR="003767E2" w:rsidRPr="003422B4" w:rsidRDefault="003767E2" w:rsidP="00EC05D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1DB7D4" w14:textId="77777777" w:rsidR="003767E2" w:rsidRPr="003422B4" w:rsidRDefault="003767E2" w:rsidP="00EC05D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220EFD" w14:textId="77777777" w:rsidR="003767E2" w:rsidRPr="003422B4" w:rsidRDefault="003767E2" w:rsidP="00EC05DE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4A252385" w14:textId="77777777" w:rsidTr="00EC05D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348EC0" w14:textId="77777777" w:rsidR="003767E2" w:rsidRPr="003422B4" w:rsidRDefault="003767E2" w:rsidP="00EC05D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554759" w14:textId="77777777" w:rsidR="003767E2" w:rsidRPr="003422B4" w:rsidRDefault="003767E2" w:rsidP="00EC05D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9EF4E2" w14:textId="77777777" w:rsidR="003767E2" w:rsidRPr="003422B4" w:rsidRDefault="003767E2" w:rsidP="00EC05DE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86E21DF" w14:textId="77777777" w:rsidTr="00EC05D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D07F9C" w14:textId="77777777" w:rsidR="003767E2" w:rsidRPr="003A6229" w:rsidRDefault="003767E2" w:rsidP="00184BCB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184BC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BC3DE5" w14:textId="77777777" w:rsidR="003767E2" w:rsidRPr="00184BCB" w:rsidRDefault="00184BCB" w:rsidP="00184BCB">
            <w:pPr>
              <w:pStyle w:val="Tabletext"/>
            </w:pPr>
            <w:r w:rsidRPr="00184BCB">
              <w:t>1 October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9F32D6" w14:textId="77777777" w:rsidR="003767E2" w:rsidRPr="00184BCB" w:rsidRDefault="00184BCB" w:rsidP="00184BCB">
            <w:pPr>
              <w:pStyle w:val="Tabletext"/>
            </w:pPr>
            <w:r w:rsidRPr="00184BCB">
              <w:t>1 October 2021</w:t>
            </w:r>
          </w:p>
        </w:tc>
      </w:tr>
    </w:tbl>
    <w:p w14:paraId="24163198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27955EF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3E270C5" w14:textId="77777777" w:rsidR="00554826" w:rsidRPr="00554826" w:rsidRDefault="00554826" w:rsidP="00554826">
      <w:pPr>
        <w:pStyle w:val="ActHead5"/>
      </w:pPr>
      <w:bookmarkStart w:id="5" w:name="_Toc63782759"/>
      <w:proofErr w:type="gramStart"/>
      <w:r w:rsidRPr="00554826">
        <w:t>3  Authority</w:t>
      </w:r>
      <w:bookmarkEnd w:id="5"/>
      <w:proofErr w:type="gramEnd"/>
    </w:p>
    <w:p w14:paraId="210CD8DD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81267B">
        <w:t xml:space="preserve"> section</w:t>
      </w:r>
      <w:r w:rsidR="00184BCB">
        <w:t xml:space="preserve"> 10 of the </w:t>
      </w:r>
      <w:r w:rsidR="00690F17">
        <w:rPr>
          <w:i/>
        </w:rPr>
        <w:t>Therapeutic Goods Act </w:t>
      </w:r>
      <w:r w:rsidR="00184BCB" w:rsidRPr="00184BCB">
        <w:rPr>
          <w:i/>
        </w:rPr>
        <w:t>1989</w:t>
      </w:r>
      <w:r w:rsidR="00184BCB">
        <w:t>.</w:t>
      </w:r>
    </w:p>
    <w:p w14:paraId="04E84F9A" w14:textId="77777777" w:rsidR="00554826" w:rsidRPr="00554826" w:rsidRDefault="00554826" w:rsidP="00554826">
      <w:pPr>
        <w:pStyle w:val="ActHead5"/>
      </w:pPr>
      <w:bookmarkStart w:id="6" w:name="_Toc63782760"/>
      <w:proofErr w:type="gramStart"/>
      <w:r w:rsidRPr="00554826">
        <w:t>4  Definitions</w:t>
      </w:r>
      <w:bookmarkEnd w:id="6"/>
      <w:proofErr w:type="gramEnd"/>
    </w:p>
    <w:p w14:paraId="5F426973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 w:rsidR="00184BCB">
        <w:t xml:space="preserve">subsection 3(1) of the Act, </w:t>
      </w:r>
      <w:r w:rsidRPr="009C2562">
        <w:t>including the following:</w:t>
      </w:r>
    </w:p>
    <w:p w14:paraId="11D44034" w14:textId="77777777" w:rsidR="00690F17" w:rsidRDefault="00554826" w:rsidP="004E4F93">
      <w:pPr>
        <w:pStyle w:val="notepara"/>
      </w:pPr>
      <w:r w:rsidRPr="009C2562">
        <w:t>(a)</w:t>
      </w:r>
      <w:r w:rsidRPr="009C2562">
        <w:tab/>
      </w:r>
      <w:r w:rsidR="00690F17">
        <w:t xml:space="preserve">export only </w:t>
      </w:r>
      <w:proofErr w:type="gramStart"/>
      <w:r w:rsidR="00690F17">
        <w:t>medicine;</w:t>
      </w:r>
      <w:proofErr w:type="gramEnd"/>
    </w:p>
    <w:p w14:paraId="16AFB767" w14:textId="77777777" w:rsidR="00021045" w:rsidRDefault="004E4F93" w:rsidP="00554826">
      <w:pPr>
        <w:pStyle w:val="notepara"/>
      </w:pPr>
      <w:r>
        <w:t>(b</w:t>
      </w:r>
      <w:r w:rsidR="00021045">
        <w:t>)</w:t>
      </w:r>
      <w:r w:rsidR="00021045">
        <w:tab/>
      </w:r>
      <w:proofErr w:type="gramStart"/>
      <w:r w:rsidR="00021045">
        <w:t>label;</w:t>
      </w:r>
      <w:proofErr w:type="gramEnd"/>
    </w:p>
    <w:p w14:paraId="6E1B99D8" w14:textId="77777777" w:rsidR="00411C86" w:rsidRDefault="004E4F93" w:rsidP="00554826">
      <w:pPr>
        <w:pStyle w:val="notepara"/>
      </w:pPr>
      <w:r>
        <w:t>(c</w:t>
      </w:r>
      <w:r w:rsidR="00690F17">
        <w:t>)</w:t>
      </w:r>
      <w:r w:rsidR="00690F17">
        <w:tab/>
      </w:r>
      <w:proofErr w:type="gramStart"/>
      <w:r w:rsidR="00411C86">
        <w:t>manufacture;</w:t>
      </w:r>
      <w:proofErr w:type="gramEnd"/>
    </w:p>
    <w:p w14:paraId="33E9F2D9" w14:textId="77777777" w:rsidR="00554826" w:rsidRDefault="004E4F93" w:rsidP="00554826">
      <w:pPr>
        <w:pStyle w:val="notepara"/>
      </w:pPr>
      <w:r>
        <w:t>(d</w:t>
      </w:r>
      <w:r w:rsidR="00411C86">
        <w:t>)</w:t>
      </w:r>
      <w:r w:rsidR="00411C86">
        <w:tab/>
      </w:r>
      <w:proofErr w:type="gramStart"/>
      <w:r w:rsidR="00F71C4C">
        <w:t>medicine</w:t>
      </w:r>
      <w:r w:rsidR="00554826" w:rsidRPr="009C2562">
        <w:t>;</w:t>
      </w:r>
      <w:proofErr w:type="gramEnd"/>
    </w:p>
    <w:p w14:paraId="31164094" w14:textId="77777777" w:rsidR="001E69F2" w:rsidRPr="009C2562" w:rsidRDefault="00021045" w:rsidP="00554826">
      <w:pPr>
        <w:pStyle w:val="notepara"/>
      </w:pPr>
      <w:r>
        <w:t>(</w:t>
      </w:r>
      <w:r w:rsidR="004E4F93">
        <w:t>e</w:t>
      </w:r>
      <w:r w:rsidR="001E69F2">
        <w:t>)</w:t>
      </w:r>
      <w:r w:rsidR="001E69F2">
        <w:tab/>
      </w:r>
      <w:proofErr w:type="gramStart"/>
      <w:r w:rsidR="001E69F2">
        <w:t>Register;</w:t>
      </w:r>
      <w:proofErr w:type="gramEnd"/>
    </w:p>
    <w:p w14:paraId="3DB84E20" w14:textId="77777777" w:rsidR="00554826" w:rsidRPr="009C2562" w:rsidRDefault="00021045" w:rsidP="00554826">
      <w:pPr>
        <w:pStyle w:val="notepara"/>
      </w:pPr>
      <w:r>
        <w:t>(</w:t>
      </w:r>
      <w:r w:rsidR="004E4F93">
        <w:t>f</w:t>
      </w:r>
      <w:r w:rsidR="00554826" w:rsidRPr="009C2562">
        <w:t>)</w:t>
      </w:r>
      <w:r w:rsidR="00554826" w:rsidRPr="009C2562">
        <w:tab/>
      </w:r>
      <w:r w:rsidR="00F71C4C">
        <w:t>registered goods</w:t>
      </w:r>
      <w:r w:rsidR="00554826">
        <w:t>.</w:t>
      </w:r>
    </w:p>
    <w:p w14:paraId="6299EBB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45F53110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</w:t>
      </w:r>
      <w:r w:rsidRPr="00184BCB">
        <w:t xml:space="preserve">means the </w:t>
      </w:r>
      <w:r w:rsidR="00184BCB" w:rsidRPr="00184BCB">
        <w:rPr>
          <w:i/>
        </w:rPr>
        <w:t>Therapeutic Goods Act 1989</w:t>
      </w:r>
      <w:r w:rsidRPr="00184BCB">
        <w:t>.</w:t>
      </w:r>
    </w:p>
    <w:p w14:paraId="6A67FB44" w14:textId="77777777" w:rsidR="00FC125E" w:rsidRPr="00FC125E" w:rsidRDefault="00FC125E" w:rsidP="00C379CD">
      <w:pPr>
        <w:pStyle w:val="Definition"/>
      </w:pPr>
      <w:r>
        <w:rPr>
          <w:b/>
          <w:i/>
        </w:rPr>
        <w:t>active ingredient</w:t>
      </w:r>
      <w:r>
        <w:t xml:space="preserve"> has the same meaning as in the Regulations.</w:t>
      </w:r>
    </w:p>
    <w:p w14:paraId="321F5258" w14:textId="77777777" w:rsidR="00D26B11" w:rsidRPr="00D26B11" w:rsidRDefault="00D26B11" w:rsidP="00C379CD">
      <w:pPr>
        <w:pStyle w:val="Definition"/>
      </w:pPr>
      <w:r>
        <w:rPr>
          <w:b/>
          <w:i/>
        </w:rPr>
        <w:t>finished product</w:t>
      </w:r>
      <w:r>
        <w:t xml:space="preserve"> means a product</w:t>
      </w:r>
      <w:r w:rsidR="006C4EEA">
        <w:t xml:space="preserve"> in relation to which all steps of manufacture have been carried out</w:t>
      </w:r>
      <w:r w:rsidR="00C1172C">
        <w:t>, prior to supply to an</w:t>
      </w:r>
      <w:r w:rsidR="004E4F93">
        <w:t xml:space="preserve"> ultimate consumer.</w:t>
      </w:r>
    </w:p>
    <w:p w14:paraId="76A6D05C" w14:textId="77777777" w:rsidR="00C1172C" w:rsidRDefault="00D26B11" w:rsidP="00BD5B31">
      <w:pPr>
        <w:pStyle w:val="notetext"/>
      </w:pPr>
      <w:r w:rsidRPr="00BD5B31">
        <w:lastRenderedPageBreak/>
        <w:t>Note</w:t>
      </w:r>
      <w:r w:rsidR="00C1172C">
        <w:t xml:space="preserve"> 1</w:t>
      </w:r>
      <w:r w:rsidRPr="00BD5B31">
        <w:t>:</w:t>
      </w:r>
      <w:r w:rsidR="00C1172C">
        <w:tab/>
        <w:t xml:space="preserve">A step of manufacture does not include </w:t>
      </w:r>
      <w:r w:rsidR="005F3E2B">
        <w:t>any process undertaken by an ultimate consumer in accordance with directions for use in relation to a product.</w:t>
      </w:r>
    </w:p>
    <w:p w14:paraId="789443D1" w14:textId="77777777" w:rsidR="00D26B11" w:rsidRPr="00BD5B31" w:rsidRDefault="00C1172C" w:rsidP="00BD5B31">
      <w:pPr>
        <w:pStyle w:val="notetext"/>
      </w:pPr>
      <w:r>
        <w:t>Note 2:</w:t>
      </w:r>
      <w:r>
        <w:tab/>
      </w:r>
      <w:r w:rsidR="006C4EEA">
        <w:t xml:space="preserve">A finished product does not include a </w:t>
      </w:r>
      <w:r w:rsidR="00D26B11">
        <w:t>v</w:t>
      </w:r>
      <w:r w:rsidR="00D26B11" w:rsidRPr="00BD5B31">
        <w:t xml:space="preserve">aporiser nicotine product imported in bulk for </w:t>
      </w:r>
      <w:r w:rsidR="00D26B11">
        <w:t xml:space="preserve">compounding </w:t>
      </w:r>
      <w:r w:rsidR="00D26B11" w:rsidRPr="00BD5B31">
        <w:t>by a pharmacist</w:t>
      </w:r>
      <w:r w:rsidR="005F3E2B">
        <w:t>,</w:t>
      </w:r>
      <w:r w:rsidR="00D26B11" w:rsidRPr="00BD5B31">
        <w:t xml:space="preserve"> </w:t>
      </w:r>
      <w:r>
        <w:t xml:space="preserve">prior to </w:t>
      </w:r>
      <w:r w:rsidR="00D26B11" w:rsidRPr="00BD5B31">
        <w:t>being supplied to a</w:t>
      </w:r>
      <w:r w:rsidR="008E7E05">
        <w:t>n ultimate consumer</w:t>
      </w:r>
      <w:r w:rsidR="00D26B11" w:rsidRPr="00BD5B31">
        <w:t>.</w:t>
      </w:r>
    </w:p>
    <w:p w14:paraId="6AFAA66E" w14:textId="77777777" w:rsidR="00D009BE" w:rsidRPr="00D009BE" w:rsidRDefault="00D009BE" w:rsidP="00C379CD">
      <w:pPr>
        <w:pStyle w:val="Definition"/>
      </w:pPr>
      <w:r>
        <w:rPr>
          <w:b/>
          <w:i/>
        </w:rPr>
        <w:t>flavour</w:t>
      </w:r>
      <w:r w:rsidR="00023EB6">
        <w:t xml:space="preserve"> </w:t>
      </w:r>
      <w:r>
        <w:t xml:space="preserve">means </w:t>
      </w:r>
      <w:r w:rsidR="00050C47">
        <w:t>an ingredient</w:t>
      </w:r>
      <w:r w:rsidR="00023EB6">
        <w:t>,</w:t>
      </w:r>
      <w:r w:rsidR="00050C47">
        <w:t xml:space="preserve"> or mixture of ingredients</w:t>
      </w:r>
      <w:r w:rsidR="00023EB6">
        <w:t>,</w:t>
      </w:r>
      <w:r w:rsidR="00050C47">
        <w:t xml:space="preserve"> </w:t>
      </w:r>
      <w:r w:rsidR="009351DA">
        <w:t xml:space="preserve">formulated for </w:t>
      </w:r>
      <w:r w:rsidRPr="00D009BE">
        <w:t>the purpose of providing flavour</w:t>
      </w:r>
      <w:r w:rsidR="00E36087">
        <w:t xml:space="preserve"> to </w:t>
      </w:r>
      <w:r w:rsidR="00023EB6">
        <w:t>a</w:t>
      </w:r>
      <w:r w:rsidR="00E36087">
        <w:t xml:space="preserve"> vaporiser nicotine</w:t>
      </w:r>
      <w:r w:rsidR="007E7CC5">
        <w:t xml:space="preserve"> product</w:t>
      </w:r>
      <w:r w:rsidR="00050C47">
        <w:t>.</w:t>
      </w:r>
    </w:p>
    <w:p w14:paraId="2CCFAD64" w14:textId="77777777" w:rsidR="00967320" w:rsidRPr="00BD5B31" w:rsidRDefault="00967320" w:rsidP="00C379CD">
      <w:pPr>
        <w:pStyle w:val="Definition"/>
      </w:pPr>
      <w:r>
        <w:rPr>
          <w:b/>
          <w:i/>
        </w:rPr>
        <w:t>nicotine</w:t>
      </w:r>
      <w:r>
        <w:t xml:space="preserve"> means nicotine in salt or base form.</w:t>
      </w:r>
    </w:p>
    <w:p w14:paraId="363BB0AB" w14:textId="77777777" w:rsidR="00D009BE" w:rsidRDefault="00D009BE" w:rsidP="00C379CD">
      <w:pPr>
        <w:pStyle w:val="Definition"/>
      </w:pPr>
      <w:r>
        <w:rPr>
          <w:b/>
          <w:i/>
        </w:rPr>
        <w:t>other ingredient</w:t>
      </w:r>
      <w:r w:rsidR="00023EB6">
        <w:t xml:space="preserve"> </w:t>
      </w:r>
      <w:r>
        <w:t xml:space="preserve">means an ingredient </w:t>
      </w:r>
      <w:r w:rsidR="009351DA">
        <w:t xml:space="preserve">contained </w:t>
      </w:r>
      <w:r>
        <w:t xml:space="preserve">in </w:t>
      </w:r>
      <w:r w:rsidR="00023EB6">
        <w:t xml:space="preserve">a </w:t>
      </w:r>
      <w:r>
        <w:t xml:space="preserve">vaporiser nicotine </w:t>
      </w:r>
      <w:r w:rsidR="007E7CC5">
        <w:t xml:space="preserve">product </w:t>
      </w:r>
      <w:r>
        <w:t>other than:</w:t>
      </w:r>
    </w:p>
    <w:p w14:paraId="2AF553B5" w14:textId="77777777" w:rsidR="00D009BE" w:rsidRDefault="00D009BE" w:rsidP="00D009BE">
      <w:pPr>
        <w:pStyle w:val="paragraph"/>
      </w:pPr>
      <w:r>
        <w:tab/>
        <w:t>(a)</w:t>
      </w:r>
      <w:r>
        <w:tab/>
      </w:r>
      <w:r w:rsidR="00BD5B31">
        <w:t>nicotine</w:t>
      </w:r>
      <w:r>
        <w:t>; or</w:t>
      </w:r>
    </w:p>
    <w:p w14:paraId="20991A73" w14:textId="77777777" w:rsidR="00D009BE" w:rsidRPr="00D009BE" w:rsidRDefault="00D009BE" w:rsidP="00D009BE">
      <w:pPr>
        <w:pStyle w:val="paragraph"/>
      </w:pPr>
      <w:r>
        <w:tab/>
        <w:t>(b)</w:t>
      </w:r>
      <w:r>
        <w:tab/>
        <w:t>a flavour.</w:t>
      </w:r>
    </w:p>
    <w:p w14:paraId="2C98837F" w14:textId="77777777" w:rsidR="009F6BDB" w:rsidRDefault="009E3AD6" w:rsidP="00C379CD">
      <w:pPr>
        <w:pStyle w:val="Definition"/>
      </w:pPr>
      <w:r>
        <w:rPr>
          <w:b/>
          <w:i/>
        </w:rPr>
        <w:t>Regulations</w:t>
      </w:r>
      <w:r>
        <w:t xml:space="preserve"> means the </w:t>
      </w:r>
      <w:r w:rsidRPr="009E3AD6">
        <w:rPr>
          <w:i/>
        </w:rPr>
        <w:t>Therapeutic Goods Regulations 1990</w:t>
      </w:r>
      <w:r>
        <w:t>.</w:t>
      </w:r>
    </w:p>
    <w:p w14:paraId="71F9712E" w14:textId="77777777" w:rsidR="000C0A3F" w:rsidRDefault="000C0A3F" w:rsidP="00C379CD">
      <w:pPr>
        <w:pStyle w:val="Definition"/>
      </w:pPr>
      <w:r>
        <w:rPr>
          <w:b/>
          <w:i/>
        </w:rPr>
        <w:t>TGO 95</w:t>
      </w:r>
      <w:r>
        <w:t xml:space="preserve"> means the </w:t>
      </w:r>
      <w:r w:rsidRPr="000C0A3F">
        <w:rPr>
          <w:i/>
        </w:rPr>
        <w:t>Therapeutic Goods Order No. 95</w:t>
      </w:r>
      <w:r w:rsidRPr="000C0A3F">
        <w:t xml:space="preserve"> - </w:t>
      </w:r>
      <w:r w:rsidRPr="000C0A3F">
        <w:rPr>
          <w:i/>
        </w:rPr>
        <w:t>Child-resistant packaging requirements for medicines 2017</w:t>
      </w:r>
      <w:r w:rsidRPr="000C0A3F">
        <w:t xml:space="preserve"> (TGO 95)</w:t>
      </w:r>
      <w:r>
        <w:t>.</w:t>
      </w:r>
    </w:p>
    <w:p w14:paraId="0977EDF2" w14:textId="77777777" w:rsidR="000C0A3F" w:rsidRDefault="000C0A3F" w:rsidP="000C0A3F">
      <w:pPr>
        <w:pStyle w:val="notetext"/>
      </w:pPr>
      <w:r w:rsidRPr="0081267B">
        <w:t>Note:</w:t>
      </w:r>
      <w:r w:rsidRPr="0081267B">
        <w:tab/>
      </w:r>
      <w:r>
        <w:t xml:space="preserve">TGO 95 is a legislative instrument published on the Federal Register of Legislation at </w:t>
      </w:r>
      <w:r w:rsidR="00472C54" w:rsidRPr="00DC1D0A">
        <w:t>www.legislation.gov.au</w:t>
      </w:r>
      <w:r w:rsidR="009F6895">
        <w:t>.</w:t>
      </w:r>
    </w:p>
    <w:p w14:paraId="58F016AF" w14:textId="77777777" w:rsidR="005F3E2B" w:rsidRDefault="00472C54" w:rsidP="00BD5B31">
      <w:pPr>
        <w:pStyle w:val="Definition"/>
      </w:pPr>
      <w:r w:rsidRPr="00472C54">
        <w:rPr>
          <w:b/>
          <w:i/>
        </w:rPr>
        <w:t>vaporiser nicotine</w:t>
      </w:r>
      <w:r>
        <w:rPr>
          <w:b/>
          <w:i/>
        </w:rPr>
        <w:t xml:space="preserve"> products</w:t>
      </w:r>
      <w:r>
        <w:t xml:space="preserve"> </w:t>
      </w:r>
      <w:proofErr w:type="gramStart"/>
      <w:r>
        <w:t>means</w:t>
      </w:r>
      <w:proofErr w:type="gramEnd"/>
      <w:r>
        <w:t xml:space="preserve"> medicine</w:t>
      </w:r>
      <w:r w:rsidR="00521531">
        <w:t>s</w:t>
      </w:r>
      <w:r w:rsidR="005F3E2B">
        <w:t xml:space="preserve"> that contain nicotine and </w:t>
      </w:r>
      <w:r w:rsidR="006B10FE">
        <w:t xml:space="preserve">that </w:t>
      </w:r>
      <w:r w:rsidR="005F3E2B">
        <w:t>are:</w:t>
      </w:r>
    </w:p>
    <w:p w14:paraId="0DA31324" w14:textId="77777777" w:rsidR="005F3E2B" w:rsidRDefault="005F3E2B" w:rsidP="00340F7D">
      <w:pPr>
        <w:pStyle w:val="paragraph"/>
      </w:pPr>
      <w:r>
        <w:tab/>
        <w:t>(a)</w:t>
      </w:r>
      <w:r>
        <w:tab/>
        <w:t>finished products; and</w:t>
      </w:r>
    </w:p>
    <w:p w14:paraId="4421FE35" w14:textId="77777777" w:rsidR="00472C54" w:rsidRDefault="005F3E2B" w:rsidP="00340F7D">
      <w:pPr>
        <w:pStyle w:val="paragraph"/>
      </w:pPr>
      <w:r>
        <w:tab/>
        <w:t>(</w:t>
      </w:r>
      <w:r w:rsidR="006B10FE">
        <w:t>b</w:t>
      </w:r>
      <w:r>
        <w:t>)</w:t>
      </w:r>
      <w:r>
        <w:tab/>
        <w:t>intended to be vaporised and administered by inhalation using a vaping device.</w:t>
      </w:r>
    </w:p>
    <w:p w14:paraId="6721FE95" w14:textId="77777777" w:rsidR="00AD77A2" w:rsidRDefault="00AD77A2" w:rsidP="00AD77A2">
      <w:pPr>
        <w:pStyle w:val="notetext"/>
      </w:pPr>
      <w:r w:rsidRPr="0081267B">
        <w:t>Note</w:t>
      </w:r>
      <w:r>
        <w:t xml:space="preserve"> 1</w:t>
      </w:r>
      <w:r w:rsidRPr="0081267B">
        <w:t>:</w:t>
      </w:r>
      <w:r w:rsidRPr="0081267B">
        <w:tab/>
        <w:t xml:space="preserve">Vaporiser nicotine </w:t>
      </w:r>
      <w:r>
        <w:t xml:space="preserve">products </w:t>
      </w:r>
      <w:r w:rsidRPr="0081267B">
        <w:t>may also be described as nicotine vape liquid</w:t>
      </w:r>
      <w:r w:rsidR="00D0225D">
        <w:t>s</w:t>
      </w:r>
      <w:r w:rsidR="002E490A">
        <w:t>, nicotine e</w:t>
      </w:r>
      <w:r w:rsidR="002E490A">
        <w:noBreakHyphen/>
      </w:r>
      <w:r w:rsidRPr="0081267B">
        <w:t>liquid</w:t>
      </w:r>
      <w:r w:rsidR="00D0225D">
        <w:t>s</w:t>
      </w:r>
      <w:r w:rsidRPr="0081267B">
        <w:t xml:space="preserve"> or simply e-liquid</w:t>
      </w:r>
      <w:r w:rsidR="00D0225D">
        <w:t>s</w:t>
      </w:r>
      <w:r w:rsidRPr="0081267B">
        <w:t>.</w:t>
      </w:r>
    </w:p>
    <w:p w14:paraId="1E309756" w14:textId="77777777" w:rsidR="00AD77A2" w:rsidRDefault="00AD77A2" w:rsidP="00AD77A2">
      <w:pPr>
        <w:pStyle w:val="notetext"/>
      </w:pPr>
      <w:r>
        <w:t>Note 2:</w:t>
      </w:r>
      <w:r>
        <w:tab/>
        <w:t xml:space="preserve">Examples of vaping devices include e-cigarettes, e-cigars, e-hookah </w:t>
      </w:r>
      <w:r w:rsidR="002E490A">
        <w:t>pens, e-pens, e</w:t>
      </w:r>
      <w:r w:rsidR="002E490A">
        <w:noBreakHyphen/>
      </w:r>
      <w:r>
        <w:t>pipes and vape pens.</w:t>
      </w:r>
    </w:p>
    <w:p w14:paraId="492A85B9" w14:textId="77777777" w:rsidR="00554826" w:rsidRPr="00554826" w:rsidRDefault="00554826" w:rsidP="00554826">
      <w:pPr>
        <w:pStyle w:val="ActHead5"/>
      </w:pPr>
      <w:bookmarkStart w:id="7" w:name="_Toc454781205"/>
      <w:bookmarkStart w:id="8" w:name="_Toc63782761"/>
      <w:proofErr w:type="gramStart"/>
      <w:r w:rsidRPr="00554826">
        <w:t xml:space="preserve">5  </w:t>
      </w:r>
      <w:bookmarkEnd w:id="7"/>
      <w:r w:rsidR="00140872">
        <w:t>Standard</w:t>
      </w:r>
      <w:bookmarkEnd w:id="8"/>
      <w:proofErr w:type="gramEnd"/>
    </w:p>
    <w:p w14:paraId="7F58EEFB" w14:textId="77777777"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140872">
        <w:t>The matters specified in this instrument constitute a standard for</w:t>
      </w:r>
      <w:r w:rsidR="00F71C4C">
        <w:t xml:space="preserve"> vaporiser nicotine</w:t>
      </w:r>
      <w:r w:rsidR="00AD77A2">
        <w:t xml:space="preserve"> products</w:t>
      </w:r>
      <w:r w:rsidR="00F71C4C">
        <w:t>.</w:t>
      </w:r>
    </w:p>
    <w:p w14:paraId="11D51F27" w14:textId="77777777" w:rsidR="00554826" w:rsidRPr="004D2CD4" w:rsidRDefault="00554826" w:rsidP="00554826">
      <w:pPr>
        <w:pStyle w:val="ActHead5"/>
      </w:pPr>
      <w:bookmarkStart w:id="9" w:name="_Toc63782762"/>
      <w:proofErr w:type="gramStart"/>
      <w:r w:rsidRPr="004D2CD4">
        <w:t xml:space="preserve">6  </w:t>
      </w:r>
      <w:r w:rsidR="004D2CD4" w:rsidRPr="004D2CD4">
        <w:t>Application</w:t>
      </w:r>
      <w:bookmarkEnd w:id="9"/>
      <w:proofErr w:type="gramEnd"/>
    </w:p>
    <w:p w14:paraId="3818DA55" w14:textId="77777777" w:rsidR="002034DC" w:rsidRDefault="002034DC" w:rsidP="002034DC">
      <w:pPr>
        <w:pStyle w:val="subsection"/>
      </w:pPr>
      <w:r>
        <w:tab/>
      </w:r>
      <w:r w:rsidR="00A864D2">
        <w:tab/>
      </w:r>
      <w:r w:rsidR="008B6705">
        <w:t>T</w:t>
      </w:r>
      <w:r>
        <w:t>his instrument applies to vapor</w:t>
      </w:r>
      <w:r w:rsidR="008B6705">
        <w:t>iser nicotine</w:t>
      </w:r>
      <w:r w:rsidR="00AD77A2">
        <w:t xml:space="preserve"> products</w:t>
      </w:r>
      <w:r w:rsidR="008B6705">
        <w:t xml:space="preserve"> other than </w:t>
      </w:r>
      <w:r w:rsidR="00AD77A2">
        <w:t>those products</w:t>
      </w:r>
      <w:r w:rsidR="008B6705">
        <w:t xml:space="preserve"> that </w:t>
      </w:r>
      <w:r w:rsidR="00AD77A2">
        <w:t>are</w:t>
      </w:r>
      <w:r w:rsidR="008B6705">
        <w:t>:</w:t>
      </w:r>
    </w:p>
    <w:p w14:paraId="2C7CCD71" w14:textId="77777777" w:rsidR="008B6705" w:rsidRDefault="00B77768" w:rsidP="00B77768">
      <w:pPr>
        <w:pStyle w:val="paragraph"/>
      </w:pPr>
      <w:r>
        <w:tab/>
        <w:t>(a)</w:t>
      </w:r>
      <w:r>
        <w:tab/>
      </w:r>
      <w:r w:rsidR="008B6705">
        <w:t>registered good</w:t>
      </w:r>
      <w:r w:rsidR="00AD77A2">
        <w:t>s</w:t>
      </w:r>
      <w:r w:rsidR="008B6705">
        <w:t>; or</w:t>
      </w:r>
    </w:p>
    <w:p w14:paraId="4AE2245E" w14:textId="77777777" w:rsidR="00A864D2" w:rsidRPr="00D26B11" w:rsidRDefault="008B6705" w:rsidP="00B35B2A">
      <w:pPr>
        <w:pStyle w:val="paragraph"/>
      </w:pPr>
      <w:r>
        <w:tab/>
      </w:r>
      <w:r w:rsidRPr="00D26B11">
        <w:t>(b)</w:t>
      </w:r>
      <w:r w:rsidRPr="00D26B11">
        <w:tab/>
      </w:r>
      <w:r w:rsidR="00690F17" w:rsidRPr="00D26B11">
        <w:t>export only medicine</w:t>
      </w:r>
      <w:r w:rsidR="00AD77A2" w:rsidRPr="00D26B11">
        <w:t>s</w:t>
      </w:r>
      <w:r w:rsidR="00690F17" w:rsidRPr="00D26B11">
        <w:t>; or</w:t>
      </w:r>
    </w:p>
    <w:p w14:paraId="609A0C74" w14:textId="77777777" w:rsidR="00690F17" w:rsidRDefault="00565D78" w:rsidP="00340F7D">
      <w:pPr>
        <w:pStyle w:val="paragraph"/>
      </w:pPr>
      <w:r w:rsidRPr="00D26B11">
        <w:tab/>
      </w:r>
      <w:r w:rsidR="006B10FE">
        <w:t>(c)</w:t>
      </w:r>
      <w:r w:rsidR="006B10FE">
        <w:tab/>
      </w:r>
      <w:r w:rsidR="00285FE4">
        <w:t>mentioned in item 1 of Schedule 5 to the Regulations and carried by the importer as a passenger on a ship or aeroplane</w:t>
      </w:r>
      <w:r w:rsidR="00690F17" w:rsidRPr="000C57C2">
        <w:t>; or</w:t>
      </w:r>
    </w:p>
    <w:p w14:paraId="10DCA3F9" w14:textId="77777777" w:rsidR="008B6705" w:rsidRDefault="008B6705" w:rsidP="001E69F2">
      <w:pPr>
        <w:pStyle w:val="notetext"/>
      </w:pPr>
      <w:r>
        <w:t>Note:</w:t>
      </w:r>
      <w:r>
        <w:tab/>
      </w:r>
      <w:r w:rsidR="001E69F2">
        <w:t>Item 1 of Schedule 5</w:t>
      </w:r>
      <w:r w:rsidRPr="008B6705">
        <w:t xml:space="preserve"> to the </w:t>
      </w:r>
      <w:r w:rsidR="00775DD0">
        <w:t xml:space="preserve">Regulations applies </w:t>
      </w:r>
      <w:r w:rsidRPr="008B6705">
        <w:t>to therapeutic goods that are imported for use in the treatment of the importer or the importer's immediate family</w:t>
      </w:r>
      <w:r w:rsidR="00285FE4" w:rsidRPr="00285FE4">
        <w:t xml:space="preserve"> </w:t>
      </w:r>
      <w:r w:rsidR="00285FE4">
        <w:t>in certain circumstances</w:t>
      </w:r>
      <w:r w:rsidRPr="008B6705">
        <w:t>.</w:t>
      </w:r>
    </w:p>
    <w:p w14:paraId="7B8B3529" w14:textId="77777777" w:rsidR="007F0BE3" w:rsidRDefault="00565D78" w:rsidP="00505110">
      <w:pPr>
        <w:pStyle w:val="paragraph"/>
        <w:keepNext/>
      </w:pPr>
      <w:r>
        <w:tab/>
        <w:t>(</w:t>
      </w:r>
      <w:r w:rsidR="006B10FE">
        <w:t>d</w:t>
      </w:r>
      <w:r w:rsidR="007F0BE3">
        <w:t>)</w:t>
      </w:r>
      <w:r w:rsidR="007F0BE3">
        <w:tab/>
        <w:t>mentioned in item 9 of Schedule 5 to the Regulations; or</w:t>
      </w:r>
    </w:p>
    <w:p w14:paraId="26835E75" w14:textId="77777777" w:rsidR="007F0BE3" w:rsidRDefault="007F0BE3" w:rsidP="007F0BE3">
      <w:pPr>
        <w:pStyle w:val="notetext"/>
      </w:pPr>
      <w:r>
        <w:t>Note:</w:t>
      </w:r>
      <w:r>
        <w:tab/>
        <w:t>Item 9</w:t>
      </w:r>
      <w:r w:rsidRPr="008B6705">
        <w:t xml:space="preserve"> of Schedule 5 to the Regulations applies to </w:t>
      </w:r>
      <w:r>
        <w:t xml:space="preserve">medicines that are starting materials used in the manufacture of therapeutic goods, except when </w:t>
      </w:r>
      <w:proofErr w:type="spellStart"/>
      <w:r>
        <w:t>prepackaged</w:t>
      </w:r>
      <w:proofErr w:type="spellEnd"/>
      <w:r>
        <w:t xml:space="preserve"> for supply for other therapeutic purposes or formulated as a dosage form.</w:t>
      </w:r>
    </w:p>
    <w:p w14:paraId="18CB6C06" w14:textId="77777777" w:rsidR="00B35B2A" w:rsidRDefault="00690F17" w:rsidP="008B6705">
      <w:pPr>
        <w:pStyle w:val="paragraph"/>
      </w:pPr>
      <w:r>
        <w:lastRenderedPageBreak/>
        <w:tab/>
      </w:r>
      <w:r w:rsidR="00565D78">
        <w:t>(</w:t>
      </w:r>
      <w:r w:rsidR="006B10FE">
        <w:t>e</w:t>
      </w:r>
      <w:r w:rsidR="00B35B2A">
        <w:t>)</w:t>
      </w:r>
      <w:r w:rsidR="00B35B2A">
        <w:tab/>
        <w:t>mentioned in item</w:t>
      </w:r>
      <w:r w:rsidR="00285FE4">
        <w:t>s</w:t>
      </w:r>
      <w:r w:rsidR="00B35B2A">
        <w:t xml:space="preserve"> 4</w:t>
      </w:r>
      <w:r w:rsidR="003F5691">
        <w:t>, 8, 10, 11, or 12</w:t>
      </w:r>
      <w:r w:rsidR="00B35B2A">
        <w:t xml:space="preserve"> of Schedule 5A to the Regulations, subject to compliance with conditions specified in </w:t>
      </w:r>
      <w:r w:rsidR="003F5691">
        <w:t>those</w:t>
      </w:r>
      <w:r w:rsidR="00B35B2A">
        <w:t xml:space="preserve"> item</w:t>
      </w:r>
      <w:r w:rsidR="003F5691">
        <w:t>s</w:t>
      </w:r>
      <w:r w:rsidR="00DA17B4">
        <w:t>.</w:t>
      </w:r>
    </w:p>
    <w:p w14:paraId="4EFBDA86" w14:textId="77777777" w:rsidR="00397121" w:rsidRDefault="007B3AC6" w:rsidP="00397121">
      <w:pPr>
        <w:pStyle w:val="notetext"/>
      </w:pPr>
      <w:r>
        <w:t>Note:</w:t>
      </w:r>
      <w:r>
        <w:tab/>
      </w:r>
      <w:r w:rsidR="006B10FE">
        <w:t xml:space="preserve">Items 4, 8, 10, 11 and 12 of </w:t>
      </w:r>
      <w:r w:rsidR="003F5691">
        <w:t xml:space="preserve">Schedule 5A to the Regulations apply in relation to therapeutic goods that are imported by </w:t>
      </w:r>
      <w:proofErr w:type="gramStart"/>
      <w:r w:rsidR="003F5691">
        <w:t>particular persons</w:t>
      </w:r>
      <w:proofErr w:type="gramEnd"/>
      <w:r w:rsidR="003F5691">
        <w:t xml:space="preserve"> or are part of the medical supplies of a visiting ship or aircraft.</w:t>
      </w:r>
    </w:p>
    <w:p w14:paraId="2EFB374C" w14:textId="77777777" w:rsidR="005D466B" w:rsidRPr="003222AC" w:rsidRDefault="005D466B" w:rsidP="005D466B">
      <w:pPr>
        <w:pStyle w:val="ActHead2"/>
        <w:rPr>
          <w:rStyle w:val="CharPartNo"/>
        </w:rPr>
      </w:pPr>
      <w:bookmarkStart w:id="10" w:name="_Toc47109905"/>
      <w:bookmarkStart w:id="11" w:name="_Toc63782763"/>
      <w:r w:rsidRPr="00E5022B">
        <w:rPr>
          <w:rStyle w:val="CharPartNo"/>
        </w:rPr>
        <w:t>Part 2</w:t>
      </w:r>
      <w:r w:rsidRPr="00E5022B">
        <w:rPr>
          <w:rStyle w:val="CharPartNo"/>
        </w:rPr>
        <w:sym w:font="Symbol" w:char="F0BE"/>
      </w:r>
      <w:r>
        <w:rPr>
          <w:rStyle w:val="CharPartNo"/>
        </w:rPr>
        <w:t>Requirements</w:t>
      </w:r>
      <w:bookmarkEnd w:id="10"/>
      <w:bookmarkEnd w:id="11"/>
    </w:p>
    <w:p w14:paraId="768538AC" w14:textId="77777777" w:rsidR="00D05379" w:rsidRDefault="00D05379" w:rsidP="00D05379">
      <w:pPr>
        <w:pStyle w:val="ActHead5"/>
      </w:pPr>
      <w:bookmarkStart w:id="12" w:name="_Toc63782764"/>
      <w:proofErr w:type="gramStart"/>
      <w:r>
        <w:t>7</w:t>
      </w:r>
      <w:r w:rsidRPr="004D2CD4">
        <w:t xml:space="preserve">  </w:t>
      </w:r>
      <w:r w:rsidR="00967320">
        <w:t>I</w:t>
      </w:r>
      <w:r>
        <w:t>ngredient</w:t>
      </w:r>
      <w:r w:rsidR="00967320">
        <w:t>s</w:t>
      </w:r>
      <w:bookmarkEnd w:id="12"/>
      <w:proofErr w:type="gramEnd"/>
    </w:p>
    <w:p w14:paraId="6FDC050F" w14:textId="77777777" w:rsidR="00967320" w:rsidRDefault="00967320" w:rsidP="00967320">
      <w:pPr>
        <w:pStyle w:val="SubsectionHead"/>
      </w:pPr>
      <w:r>
        <w:t>Active ingredients</w:t>
      </w:r>
    </w:p>
    <w:p w14:paraId="66BB03E9" w14:textId="77777777" w:rsidR="002D4F27" w:rsidRDefault="00D05379" w:rsidP="00340F7D">
      <w:pPr>
        <w:pStyle w:val="subsection"/>
      </w:pPr>
      <w:r>
        <w:tab/>
        <w:t>(1)</w:t>
      </w:r>
      <w:r>
        <w:tab/>
      </w:r>
      <w:r w:rsidR="001D09C7">
        <w:t>A v</w:t>
      </w:r>
      <w:r>
        <w:t>aporiser nicotine</w:t>
      </w:r>
      <w:r w:rsidR="001D09C7">
        <w:t xml:space="preserve"> product</w:t>
      </w:r>
      <w:r>
        <w:t xml:space="preserve"> must contain nicotine as the only active ingredient.</w:t>
      </w:r>
    </w:p>
    <w:p w14:paraId="2F91FE67" w14:textId="77777777" w:rsidR="00967320" w:rsidRDefault="00967320" w:rsidP="00967320">
      <w:pPr>
        <w:pStyle w:val="SubsectionHead"/>
      </w:pPr>
      <w:r>
        <w:t xml:space="preserve">Prohibited </w:t>
      </w:r>
      <w:proofErr w:type="gramStart"/>
      <w:r>
        <w:t>ingredients</w:t>
      </w:r>
      <w:proofErr w:type="gramEnd"/>
    </w:p>
    <w:p w14:paraId="0ED97975" w14:textId="77777777" w:rsidR="00967320" w:rsidRDefault="00967320" w:rsidP="00D05379">
      <w:pPr>
        <w:pStyle w:val="subsection"/>
      </w:pPr>
      <w:r>
        <w:tab/>
        <w:t>(</w:t>
      </w:r>
      <w:r w:rsidR="008A2268">
        <w:t>2</w:t>
      </w:r>
      <w:r>
        <w:t>)</w:t>
      </w:r>
      <w:r>
        <w:tab/>
        <w:t>A vaporiser nicotine product must not contain</w:t>
      </w:r>
      <w:r w:rsidR="00AF2A7C">
        <w:t xml:space="preserve"> an ingredient that is specified in Schedule 1.</w:t>
      </w:r>
    </w:p>
    <w:p w14:paraId="48152E48" w14:textId="77777777" w:rsidR="00A06D4B" w:rsidRDefault="00D05379" w:rsidP="00644B54">
      <w:pPr>
        <w:pStyle w:val="ActHead5"/>
      </w:pPr>
      <w:bookmarkStart w:id="13" w:name="_Toc63782765"/>
      <w:proofErr w:type="gramStart"/>
      <w:r>
        <w:t>8</w:t>
      </w:r>
      <w:r w:rsidR="00054F86" w:rsidRPr="004D2CD4">
        <w:t xml:space="preserve">  </w:t>
      </w:r>
      <w:r w:rsidR="00BF4847">
        <w:t>Labels</w:t>
      </w:r>
      <w:bookmarkEnd w:id="13"/>
      <w:proofErr w:type="gramEnd"/>
    </w:p>
    <w:p w14:paraId="6F9D6382" w14:textId="77777777" w:rsidR="00A06D4B" w:rsidRDefault="00A06D4B" w:rsidP="00644B54">
      <w:pPr>
        <w:pStyle w:val="subsection"/>
      </w:pPr>
      <w:r>
        <w:tab/>
        <w:t>(1)</w:t>
      </w:r>
      <w:r>
        <w:tab/>
      </w:r>
      <w:r w:rsidR="00967320">
        <w:t>A v</w:t>
      </w:r>
      <w:r>
        <w:t xml:space="preserve">aporiser nicotine </w:t>
      </w:r>
      <w:r w:rsidR="00A94549">
        <w:t>product must be labelled</w:t>
      </w:r>
      <w:r w:rsidR="0022752B">
        <w:t xml:space="preserve"> in accordance with this section</w:t>
      </w:r>
      <w:r w:rsidR="00A94549">
        <w:t>.</w:t>
      </w:r>
    </w:p>
    <w:p w14:paraId="03FF6CE3" w14:textId="77777777" w:rsidR="00A06D4B" w:rsidRDefault="00A06D4B" w:rsidP="00644B54">
      <w:pPr>
        <w:pStyle w:val="SubsectionHead"/>
      </w:pPr>
      <w:r>
        <w:t>Ingredients list</w:t>
      </w:r>
    </w:p>
    <w:p w14:paraId="79010146" w14:textId="77777777" w:rsidR="00050C47" w:rsidRDefault="00BF4847" w:rsidP="00BF4847">
      <w:pPr>
        <w:pStyle w:val="subsection"/>
      </w:pPr>
      <w:r>
        <w:tab/>
        <w:t>(</w:t>
      </w:r>
      <w:r w:rsidR="00A94549">
        <w:t>2</w:t>
      </w:r>
      <w:r>
        <w:t>)</w:t>
      </w:r>
      <w:r>
        <w:tab/>
      </w:r>
      <w:r w:rsidR="00A94549">
        <w:t xml:space="preserve">The label </w:t>
      </w:r>
      <w:r w:rsidR="00D0225D">
        <w:t>of</w:t>
      </w:r>
      <w:r w:rsidR="00A94549">
        <w:t xml:space="preserve"> a</w:t>
      </w:r>
      <w:r w:rsidR="007E7CC5">
        <w:t xml:space="preserve"> v</w:t>
      </w:r>
      <w:r w:rsidR="00050C47">
        <w:t>aporiser nicotine</w:t>
      </w:r>
      <w:r w:rsidR="001D09C7">
        <w:t xml:space="preserve"> product</w:t>
      </w:r>
      <w:r w:rsidR="00050C47">
        <w:t xml:space="preserve"> must</w:t>
      </w:r>
      <w:r w:rsidR="0022752B">
        <w:t xml:space="preserve"> include a list of ingredients contained in the product as follows</w:t>
      </w:r>
      <w:r w:rsidR="00021045">
        <w:t>:</w:t>
      </w:r>
    </w:p>
    <w:p w14:paraId="369ADF34" w14:textId="77777777" w:rsidR="008A2268" w:rsidRDefault="00021045" w:rsidP="00021045">
      <w:pPr>
        <w:pStyle w:val="paragraph"/>
      </w:pPr>
      <w:r>
        <w:tab/>
      </w:r>
      <w:r w:rsidR="008C0D9B">
        <w:t>(a)</w:t>
      </w:r>
      <w:r w:rsidR="008C0D9B">
        <w:tab/>
        <w:t xml:space="preserve">the </w:t>
      </w:r>
      <w:r w:rsidR="008A2268">
        <w:t xml:space="preserve">name of the active </w:t>
      </w:r>
      <w:proofErr w:type="gramStart"/>
      <w:r w:rsidR="008A2268">
        <w:t>ingredient;</w:t>
      </w:r>
      <w:proofErr w:type="gramEnd"/>
    </w:p>
    <w:p w14:paraId="6E71A2A2" w14:textId="77777777" w:rsidR="00021045" w:rsidRDefault="008A2268" w:rsidP="00021045">
      <w:pPr>
        <w:pStyle w:val="paragraph"/>
      </w:pPr>
      <w:r>
        <w:tab/>
        <w:t>(b)</w:t>
      </w:r>
      <w:r>
        <w:tab/>
        <w:t xml:space="preserve">the </w:t>
      </w:r>
      <w:r w:rsidR="008C0D9B">
        <w:t>name of each other ingredient; and</w:t>
      </w:r>
    </w:p>
    <w:p w14:paraId="18790B67" w14:textId="77777777" w:rsidR="00BF4847" w:rsidRDefault="008C0D9B" w:rsidP="009351DA">
      <w:pPr>
        <w:pStyle w:val="paragraph"/>
      </w:pPr>
      <w:r>
        <w:tab/>
        <w:t>(</w:t>
      </w:r>
      <w:r w:rsidR="008A2268">
        <w:t>c</w:t>
      </w:r>
      <w:r>
        <w:t>)</w:t>
      </w:r>
      <w:r>
        <w:tab/>
        <w:t xml:space="preserve">where the vaporiser nicotine </w:t>
      </w:r>
      <w:r w:rsidR="007E7CC5">
        <w:t xml:space="preserve">product </w:t>
      </w:r>
      <w:r>
        <w:t>contain</w:t>
      </w:r>
      <w:r w:rsidR="009351DA">
        <w:t>s a flavour—the word “flavour”.</w:t>
      </w:r>
    </w:p>
    <w:p w14:paraId="76B72D48" w14:textId="77777777" w:rsidR="00A06D4B" w:rsidRDefault="00A06D4B" w:rsidP="00A06D4B">
      <w:pPr>
        <w:pStyle w:val="SubsectionHead"/>
      </w:pPr>
      <w:r>
        <w:t>Nicotine concentration</w:t>
      </w:r>
    </w:p>
    <w:p w14:paraId="6C510C34" w14:textId="77777777" w:rsidR="00A94549" w:rsidRPr="00A94549" w:rsidRDefault="00A94549" w:rsidP="00340F7D">
      <w:pPr>
        <w:pStyle w:val="subsection"/>
      </w:pPr>
      <w:r>
        <w:tab/>
        <w:t>(3)</w:t>
      </w:r>
      <w:r>
        <w:tab/>
        <w:t>The label for a vaporiser nicotine product must</w:t>
      </w:r>
      <w:r w:rsidR="00585457">
        <w:t xml:space="preserve"> </w:t>
      </w:r>
      <w:r w:rsidR="00CF5BAF">
        <w:t>expressly state</w:t>
      </w:r>
      <w:r w:rsidR="008A2268">
        <w:t xml:space="preserve"> </w:t>
      </w:r>
      <w:r>
        <w:t>the concentration</w:t>
      </w:r>
      <w:r w:rsidR="008A2268">
        <w:t xml:space="preserve"> or content</w:t>
      </w:r>
      <w:r>
        <w:t xml:space="preserve"> of nicotine</w:t>
      </w:r>
      <w:r w:rsidR="00065841">
        <w:t xml:space="preserve"> contained in the product</w:t>
      </w:r>
      <w:r w:rsidRPr="00BB5A7B">
        <w:t>.</w:t>
      </w:r>
    </w:p>
    <w:p w14:paraId="7C4E1A34" w14:textId="77777777" w:rsidR="00A06D4B" w:rsidRDefault="00A06D4B" w:rsidP="00A06D4B">
      <w:pPr>
        <w:pStyle w:val="SubsectionHead"/>
      </w:pPr>
      <w:r>
        <w:t>Form of information</w:t>
      </w:r>
    </w:p>
    <w:p w14:paraId="5B502BB5" w14:textId="77777777" w:rsidR="00A06D4B" w:rsidRDefault="00A06D4B" w:rsidP="00644B54">
      <w:pPr>
        <w:pStyle w:val="subsection"/>
      </w:pPr>
      <w:r>
        <w:tab/>
      </w:r>
      <w:r w:rsidR="00A94549">
        <w:t>(4</w:t>
      </w:r>
      <w:r>
        <w:t>)</w:t>
      </w:r>
      <w:r>
        <w:tab/>
      </w:r>
      <w:r w:rsidR="005319F1">
        <w:t xml:space="preserve">All information that is </w:t>
      </w:r>
      <w:r w:rsidR="00A96B00">
        <w:t>displayed</w:t>
      </w:r>
      <w:r w:rsidR="005319F1">
        <w:t xml:space="preserve"> on the label must be:</w:t>
      </w:r>
    </w:p>
    <w:p w14:paraId="2DA9B178" w14:textId="77777777" w:rsidR="005319F1" w:rsidRDefault="005319F1" w:rsidP="00644B54">
      <w:pPr>
        <w:pStyle w:val="paragraph"/>
      </w:pPr>
      <w:r>
        <w:tab/>
        <w:t>(a)</w:t>
      </w:r>
      <w:r>
        <w:tab/>
        <w:t>in English; and</w:t>
      </w:r>
    </w:p>
    <w:p w14:paraId="620A25F4" w14:textId="77777777" w:rsidR="00A96B00" w:rsidRDefault="00A96B00" w:rsidP="00644B54">
      <w:pPr>
        <w:pStyle w:val="paragraph"/>
      </w:pPr>
      <w:r>
        <w:tab/>
        <w:t>(b)</w:t>
      </w:r>
      <w:r>
        <w:tab/>
        <w:t>legible; and</w:t>
      </w:r>
    </w:p>
    <w:p w14:paraId="3A5EE7EB" w14:textId="77777777" w:rsidR="00A96B00" w:rsidRDefault="00A96B00" w:rsidP="00644B54">
      <w:pPr>
        <w:pStyle w:val="paragraph"/>
      </w:pPr>
      <w:r>
        <w:tab/>
        <w:t>(c)</w:t>
      </w:r>
      <w:r>
        <w:tab/>
      </w:r>
      <w:r w:rsidR="00A94549">
        <w:t>visible and not obscured</w:t>
      </w:r>
      <w:r>
        <w:t>; and</w:t>
      </w:r>
    </w:p>
    <w:p w14:paraId="65F3F9E3" w14:textId="77777777" w:rsidR="00A06D4B" w:rsidRPr="00BF4847" w:rsidRDefault="005319F1" w:rsidP="00644B54">
      <w:pPr>
        <w:pStyle w:val="paragraph"/>
      </w:pPr>
      <w:r>
        <w:tab/>
      </w:r>
      <w:r w:rsidR="00A96B00">
        <w:t>(d</w:t>
      </w:r>
      <w:r>
        <w:t>)</w:t>
      </w:r>
      <w:r>
        <w:tab/>
      </w:r>
      <w:r w:rsidR="00A94549">
        <w:t>durable</w:t>
      </w:r>
      <w:r w:rsidR="00A96B00">
        <w:t>.</w:t>
      </w:r>
    </w:p>
    <w:p w14:paraId="5BC6594C" w14:textId="77777777" w:rsidR="00054F86" w:rsidRDefault="00054F86" w:rsidP="008918EF">
      <w:pPr>
        <w:pStyle w:val="ActHead5"/>
      </w:pPr>
      <w:bookmarkStart w:id="14" w:name="_Toc63782766"/>
      <w:proofErr w:type="gramStart"/>
      <w:r>
        <w:t>9</w:t>
      </w:r>
      <w:r w:rsidRPr="004D2CD4">
        <w:t xml:space="preserve">  </w:t>
      </w:r>
      <w:r w:rsidR="00456C8E">
        <w:t>Child</w:t>
      </w:r>
      <w:proofErr w:type="gramEnd"/>
      <w:r w:rsidR="00456C8E">
        <w:t>-</w:t>
      </w:r>
      <w:r w:rsidR="008918EF">
        <w:t xml:space="preserve">resistant </w:t>
      </w:r>
      <w:r w:rsidR="00BE7A9C">
        <w:t>packaging</w:t>
      </w:r>
      <w:bookmarkEnd w:id="14"/>
    </w:p>
    <w:p w14:paraId="635C9EA9" w14:textId="77777777" w:rsidR="00644B54" w:rsidRDefault="00681A9A" w:rsidP="00DC1D0A">
      <w:pPr>
        <w:pStyle w:val="subsection"/>
      </w:pPr>
      <w:r>
        <w:tab/>
      </w:r>
      <w:r w:rsidR="00414FB2">
        <w:t>(1)</w:t>
      </w:r>
      <w:r>
        <w:tab/>
      </w:r>
      <w:r w:rsidR="00F82A34">
        <w:t>A</w:t>
      </w:r>
      <w:r w:rsidR="00DC1D0A">
        <w:t xml:space="preserve"> v</w:t>
      </w:r>
      <w:r>
        <w:t>aporiser nicotine</w:t>
      </w:r>
      <w:r w:rsidR="00DC1D0A">
        <w:t xml:space="preserve"> product</w:t>
      </w:r>
      <w:r>
        <w:t xml:space="preserve"> must </w:t>
      </w:r>
      <w:r w:rsidR="00DC1D0A">
        <w:t>comply with the requirements</w:t>
      </w:r>
      <w:r w:rsidR="00644B54">
        <w:t xml:space="preserve"> specified in the following sections of TGO 95</w:t>
      </w:r>
      <w:r w:rsidR="00583C15">
        <w:t xml:space="preserve"> (</w:t>
      </w:r>
      <w:r w:rsidR="00583C15">
        <w:rPr>
          <w:b/>
          <w:i/>
        </w:rPr>
        <w:t>child-resistant packaging requirements</w:t>
      </w:r>
      <w:r w:rsidR="00583C15" w:rsidRPr="00340F7D">
        <w:t>)</w:t>
      </w:r>
      <w:r w:rsidR="00644B54">
        <w:t>:</w:t>
      </w:r>
    </w:p>
    <w:p w14:paraId="733FA25E" w14:textId="77777777" w:rsidR="00644B54" w:rsidRDefault="00644B54" w:rsidP="00644B54">
      <w:pPr>
        <w:pStyle w:val="paragraph"/>
      </w:pPr>
      <w:r>
        <w:tab/>
        <w:t>(a)</w:t>
      </w:r>
      <w:r>
        <w:tab/>
        <w:t>section 8 (general requirements);</w:t>
      </w:r>
      <w:r w:rsidR="0094256A">
        <w:t xml:space="preserve"> and</w:t>
      </w:r>
    </w:p>
    <w:p w14:paraId="6B44DC58" w14:textId="77777777" w:rsidR="00644B54" w:rsidRDefault="00644B54" w:rsidP="00644B54">
      <w:pPr>
        <w:pStyle w:val="paragraph"/>
      </w:pPr>
      <w:r>
        <w:lastRenderedPageBreak/>
        <w:tab/>
        <w:t>(b)</w:t>
      </w:r>
      <w:r>
        <w:tab/>
        <w:t>section 9</w:t>
      </w:r>
      <w:r w:rsidR="00F82A34">
        <w:t xml:space="preserve"> (</w:t>
      </w:r>
      <w:proofErr w:type="spellStart"/>
      <w:r w:rsidR="00F82A34">
        <w:t>reclosable</w:t>
      </w:r>
      <w:proofErr w:type="spellEnd"/>
      <w:r w:rsidR="00F82A34">
        <w:t xml:space="preserve"> packages)</w:t>
      </w:r>
      <w:r>
        <w:t>, other than subsection 9(6);</w:t>
      </w:r>
      <w:r w:rsidR="0094256A">
        <w:t xml:space="preserve"> and</w:t>
      </w:r>
    </w:p>
    <w:p w14:paraId="4BC600E6" w14:textId="77777777" w:rsidR="00A75FE9" w:rsidRDefault="00644B54" w:rsidP="00644B54">
      <w:pPr>
        <w:pStyle w:val="paragraph"/>
      </w:pPr>
      <w:r>
        <w:tab/>
        <w:t>(c)</w:t>
      </w:r>
      <w:r>
        <w:tab/>
        <w:t>section 10 (non-</w:t>
      </w:r>
      <w:proofErr w:type="spellStart"/>
      <w:r>
        <w:t>reclosable</w:t>
      </w:r>
      <w:proofErr w:type="spellEnd"/>
      <w:r>
        <w:t xml:space="preserve"> packages)</w:t>
      </w:r>
      <w:r w:rsidR="00681A9A">
        <w:t>.</w:t>
      </w:r>
    </w:p>
    <w:p w14:paraId="061D44CF" w14:textId="77777777" w:rsidR="00F82A34" w:rsidRDefault="00F34EA6" w:rsidP="00F34EA6">
      <w:pPr>
        <w:pStyle w:val="subsection"/>
      </w:pPr>
      <w:r>
        <w:tab/>
      </w:r>
      <w:r w:rsidRPr="00A51A89">
        <w:t>(2)</w:t>
      </w:r>
      <w:r w:rsidRPr="00A51A89">
        <w:tab/>
      </w:r>
      <w:r w:rsidR="004D5976">
        <w:t>A</w:t>
      </w:r>
      <w:r w:rsidRPr="00A51A89">
        <w:t xml:space="preserve"> vaporiser nicotine product </w:t>
      </w:r>
      <w:r w:rsidR="004D5976">
        <w:t xml:space="preserve">is </w:t>
      </w:r>
      <w:r w:rsidR="00D55442">
        <w:t xml:space="preserve">taken to comply with the </w:t>
      </w:r>
      <w:r w:rsidR="00583C15">
        <w:t xml:space="preserve">child-resistant packaging requirements </w:t>
      </w:r>
      <w:r w:rsidR="00F82A34">
        <w:t>if one of the following paragraphs appl</w:t>
      </w:r>
      <w:r w:rsidR="006D4E95">
        <w:t>ies</w:t>
      </w:r>
      <w:r w:rsidR="00F82A34">
        <w:t>:</w:t>
      </w:r>
    </w:p>
    <w:p w14:paraId="2BE57717" w14:textId="77777777" w:rsidR="00583C15" w:rsidRDefault="00F82A34" w:rsidP="00340F7D">
      <w:pPr>
        <w:pStyle w:val="paragraph"/>
      </w:pPr>
      <w:r>
        <w:tab/>
        <w:t>(a)</w:t>
      </w:r>
      <w:r>
        <w:tab/>
        <w:t xml:space="preserve">the product </w:t>
      </w:r>
      <w:r w:rsidR="00C20483" w:rsidRPr="00A51A89">
        <w:t>is</w:t>
      </w:r>
      <w:r w:rsidR="00F34EA6" w:rsidRPr="00A51A89">
        <w:t xml:space="preserve"> packaged for supply in Canada </w:t>
      </w:r>
      <w:r w:rsidR="00583C15">
        <w:t xml:space="preserve">and complies </w:t>
      </w:r>
      <w:r w:rsidR="00F34EA6" w:rsidRPr="00A51A89">
        <w:t xml:space="preserve">with the </w:t>
      </w:r>
      <w:r w:rsidR="00F34EA6" w:rsidRPr="00340F7D">
        <w:t xml:space="preserve">requirements </w:t>
      </w:r>
      <w:r w:rsidR="007C1DB6" w:rsidRPr="00340F7D">
        <w:t xml:space="preserve">in relation to </w:t>
      </w:r>
      <w:r w:rsidR="00583C15">
        <w:t xml:space="preserve">child-resistant </w:t>
      </w:r>
      <w:r w:rsidR="007C1DB6" w:rsidRPr="00340F7D">
        <w:t xml:space="preserve">packaging specified </w:t>
      </w:r>
      <w:r w:rsidR="00F34EA6" w:rsidRPr="00340F7D">
        <w:t>in sections 5</w:t>
      </w:r>
      <w:r w:rsidR="00221F3D">
        <w:t>0</w:t>
      </w:r>
      <w:r w:rsidR="00F34EA6" w:rsidRPr="00340F7D">
        <w:t xml:space="preserve"> to 54 of the Vaping Products Labelling and Packaging Regulations </w:t>
      </w:r>
      <w:r w:rsidR="007C1DB6" w:rsidRPr="00340F7D">
        <w:t xml:space="preserve">of </w:t>
      </w:r>
      <w:r w:rsidR="00F34EA6" w:rsidRPr="00340F7D">
        <w:t>Canada</w:t>
      </w:r>
      <w:r w:rsidR="00F34EA6" w:rsidRPr="00A51A89">
        <w:t>,</w:t>
      </w:r>
      <w:r w:rsidR="002E1023">
        <w:t xml:space="preserve"> as in force or existing from time to </w:t>
      </w:r>
      <w:proofErr w:type="gramStart"/>
      <w:r w:rsidR="002E1023">
        <w:t>time</w:t>
      </w:r>
      <w:r w:rsidR="00583C15">
        <w:t>;</w:t>
      </w:r>
      <w:proofErr w:type="gramEnd"/>
    </w:p>
    <w:p w14:paraId="1D16888C" w14:textId="77777777" w:rsidR="00583C15" w:rsidRPr="00583C15" w:rsidRDefault="00583C15" w:rsidP="00340F7D">
      <w:pPr>
        <w:pStyle w:val="paragraph"/>
      </w:pPr>
      <w:r>
        <w:tab/>
        <w:t>(b)</w:t>
      </w:r>
      <w:r>
        <w:tab/>
        <w:t xml:space="preserve">the product </w:t>
      </w:r>
      <w:r w:rsidRPr="00A51A89">
        <w:t xml:space="preserve">is packaged for supply in the European Union </w:t>
      </w:r>
      <w:r>
        <w:t xml:space="preserve">and complies </w:t>
      </w:r>
      <w:r w:rsidRPr="00A51A89">
        <w:t xml:space="preserve">with </w:t>
      </w:r>
      <w:r w:rsidRPr="00340F7D">
        <w:t xml:space="preserve">the requirements in relation to child-resistant packaging specified in Article 20(3)(g) of the </w:t>
      </w:r>
      <w:r w:rsidRPr="00340F7D">
        <w:rPr>
          <w:i/>
        </w:rPr>
        <w:t>Directive 2014/40/EU of the European Parliament and of the Council of 3 April 2014</w:t>
      </w:r>
      <w:r w:rsidRPr="00340F7D">
        <w:t>,</w:t>
      </w:r>
      <w:r w:rsidRPr="00583C15">
        <w:t xml:space="preserve"> as in force or existing from time to </w:t>
      </w:r>
      <w:proofErr w:type="gramStart"/>
      <w:r w:rsidRPr="00583C15">
        <w:t>time;</w:t>
      </w:r>
      <w:proofErr w:type="gramEnd"/>
    </w:p>
    <w:p w14:paraId="04811883" w14:textId="77777777" w:rsidR="002A3469" w:rsidRDefault="00583C15" w:rsidP="00340F7D">
      <w:pPr>
        <w:pStyle w:val="paragraph"/>
      </w:pPr>
      <w:r w:rsidRPr="00583C15">
        <w:tab/>
        <w:t>(c)</w:t>
      </w:r>
      <w:r w:rsidRPr="00583C15">
        <w:tab/>
      </w:r>
      <w:r w:rsidR="008446BB">
        <w:t xml:space="preserve">the </w:t>
      </w:r>
      <w:r w:rsidR="008446BB" w:rsidRPr="00583C15">
        <w:t>produc</w:t>
      </w:r>
      <w:r w:rsidR="00B77877">
        <w:t xml:space="preserve">t is packaged for supply in </w:t>
      </w:r>
      <w:r w:rsidR="008446BB">
        <w:t>New Zealand</w:t>
      </w:r>
      <w:r w:rsidR="008446BB" w:rsidRPr="00583C15">
        <w:t xml:space="preserve"> and complies with </w:t>
      </w:r>
      <w:r w:rsidR="00B77877">
        <w:t>the </w:t>
      </w:r>
      <w:r w:rsidR="008446BB" w:rsidRPr="00C231A9">
        <w:t>requirements in relation to child-resistant</w:t>
      </w:r>
      <w:r w:rsidR="008A2268">
        <w:t xml:space="preserve"> packaging </w:t>
      </w:r>
      <w:r w:rsidR="008A2268" w:rsidRPr="008A2268">
        <w:t xml:space="preserve">specified in regulations made under the </w:t>
      </w:r>
      <w:r w:rsidR="008A2268" w:rsidRPr="008A2268">
        <w:rPr>
          <w:i/>
          <w:iCs/>
        </w:rPr>
        <w:t xml:space="preserve">Smokefree Environments and Regulated Products Act 1990 </w:t>
      </w:r>
      <w:r w:rsidR="008A2268" w:rsidRPr="008A2268">
        <w:t>(NZ)</w:t>
      </w:r>
      <w:r w:rsidR="008446BB" w:rsidRPr="00C231A9">
        <w:t>,</w:t>
      </w:r>
      <w:r w:rsidR="008446BB" w:rsidRPr="00583C15">
        <w:t xml:space="preserve"> as in force or existing from time to </w:t>
      </w:r>
      <w:proofErr w:type="gramStart"/>
      <w:r w:rsidR="008446BB" w:rsidRPr="00583C15">
        <w:t>time</w:t>
      </w:r>
      <w:r w:rsidR="00B77877">
        <w:t>;</w:t>
      </w:r>
      <w:proofErr w:type="gramEnd"/>
    </w:p>
    <w:p w14:paraId="67960F29" w14:textId="77777777" w:rsidR="00583C15" w:rsidRPr="00D55442" w:rsidRDefault="002A3469" w:rsidP="00340F7D">
      <w:pPr>
        <w:pStyle w:val="paragraph"/>
      </w:pPr>
      <w:r>
        <w:tab/>
        <w:t>(d)</w:t>
      </w:r>
      <w:r>
        <w:tab/>
        <w:t xml:space="preserve">the </w:t>
      </w:r>
      <w:r w:rsidR="00583C15" w:rsidRPr="00583C15">
        <w:t xml:space="preserve">product is packaged for supply in the United Kingdom and complies with </w:t>
      </w:r>
      <w:r w:rsidR="00583C15" w:rsidRPr="00340F7D">
        <w:t xml:space="preserve">the requirements in relation to child-resistant packaging specified in paragraph 36(7) of the </w:t>
      </w:r>
      <w:r w:rsidR="00583C15" w:rsidRPr="00340F7D">
        <w:rPr>
          <w:i/>
        </w:rPr>
        <w:t>Tobacco and Related Products Regulations 2016</w:t>
      </w:r>
      <w:r w:rsidR="00583C15" w:rsidRPr="00340F7D">
        <w:t xml:space="preserve"> of the United Kingdom,</w:t>
      </w:r>
      <w:r w:rsidR="00583C15" w:rsidRPr="00583C15">
        <w:t xml:space="preserve"> as in force or existing from time to </w:t>
      </w:r>
      <w:proofErr w:type="gramStart"/>
      <w:r w:rsidR="00583C15" w:rsidRPr="00583C15">
        <w:t>time;</w:t>
      </w:r>
      <w:proofErr w:type="gramEnd"/>
    </w:p>
    <w:p w14:paraId="02D0933B" w14:textId="77777777" w:rsidR="002A3469" w:rsidRDefault="002A3469" w:rsidP="00340F7D">
      <w:pPr>
        <w:pStyle w:val="paragraph"/>
      </w:pPr>
      <w:r>
        <w:tab/>
        <w:t>(e</w:t>
      </w:r>
      <w:r w:rsidR="00583C15" w:rsidRPr="00583C15">
        <w:t>)</w:t>
      </w:r>
      <w:r w:rsidR="00583C15" w:rsidRPr="00583C15">
        <w:tab/>
        <w:t xml:space="preserve">the product is packaged for supply in the United States and complies with </w:t>
      </w:r>
      <w:r w:rsidR="00583C15" w:rsidRPr="00340F7D">
        <w:t xml:space="preserve">the requirements in relation to child-resistant packaging specified in </w:t>
      </w:r>
      <w:r w:rsidR="00583C15" w:rsidRPr="00340F7D">
        <w:rPr>
          <w:rFonts w:cs="Arial"/>
          <w:color w:val="333333"/>
          <w:lang w:val="en"/>
        </w:rPr>
        <w:t xml:space="preserve">16 CFR § 1700.15 </w:t>
      </w:r>
      <w:r w:rsidR="00583C15" w:rsidRPr="00340F7D">
        <w:t>of the Poison prevention packaging standards of the United States</w:t>
      </w:r>
      <w:r w:rsidR="00583C15" w:rsidRPr="00583C15">
        <w:t>, as in force</w:t>
      </w:r>
      <w:r w:rsidR="00583C15" w:rsidRPr="00D55442">
        <w:t xml:space="preserve"> or existing from time to time.</w:t>
      </w:r>
    </w:p>
    <w:p w14:paraId="16ACF12A" w14:textId="77777777" w:rsidR="00B77877" w:rsidRDefault="00B77877" w:rsidP="00340F7D">
      <w:pPr>
        <w:pStyle w:val="notetext"/>
      </w:pPr>
      <w:r>
        <w:t>Note:</w:t>
      </w:r>
      <w:r w:rsidR="002409AE">
        <w:tab/>
        <w:t>To avoid doubt, a paragraph of this subsection only applies where the laws of the relevant jurisdiction specify requirements in relation to child-resistant packaging.</w:t>
      </w:r>
    </w:p>
    <w:p w14:paraId="03AC8A9E" w14:textId="77777777" w:rsidR="002A3469" w:rsidRDefault="002A3469" w:rsidP="002A3469">
      <w:pPr>
        <w:pStyle w:val="ActHead5"/>
      </w:pPr>
      <w:bookmarkStart w:id="15" w:name="_Toc63782767"/>
      <w:proofErr w:type="gramStart"/>
      <w:r>
        <w:t>10</w:t>
      </w:r>
      <w:r w:rsidRPr="004D2CD4">
        <w:t xml:space="preserve">  </w:t>
      </w:r>
      <w:r>
        <w:t>Alternative</w:t>
      </w:r>
      <w:proofErr w:type="gramEnd"/>
      <w:r>
        <w:t xml:space="preserve"> </w:t>
      </w:r>
      <w:r w:rsidR="001A6CC4">
        <w:t>conformity</w:t>
      </w:r>
      <w:bookmarkEnd w:id="15"/>
    </w:p>
    <w:p w14:paraId="0D4E75EA" w14:textId="77777777" w:rsidR="008553B8" w:rsidRDefault="008553B8" w:rsidP="00340F7D">
      <w:pPr>
        <w:pStyle w:val="subsection"/>
      </w:pPr>
      <w:r>
        <w:tab/>
        <w:t>(1)</w:t>
      </w:r>
      <w:r>
        <w:tab/>
      </w:r>
      <w:r w:rsidR="002A3469">
        <w:t>Despite the requirements in sections 7, 8 and 9, a vaporiser nicotine product is taken to conform to this standard</w:t>
      </w:r>
      <w:r>
        <w:t>,</w:t>
      </w:r>
      <w:r w:rsidR="002A3469">
        <w:t xml:space="preserve"> if</w:t>
      </w:r>
      <w:r>
        <w:t xml:space="preserve"> </w:t>
      </w:r>
      <w:r w:rsidR="000A065A">
        <w:t xml:space="preserve">the product </w:t>
      </w:r>
      <w:r w:rsidR="002A3469">
        <w:t>is</w:t>
      </w:r>
      <w:r w:rsidR="001A6CC4">
        <w:t>:</w:t>
      </w:r>
    </w:p>
    <w:p w14:paraId="160E536C" w14:textId="77777777" w:rsidR="000A065A" w:rsidRDefault="008553B8" w:rsidP="00340F7D">
      <w:pPr>
        <w:pStyle w:val="paragraph"/>
      </w:pPr>
      <w:r>
        <w:tab/>
        <w:t>(</w:t>
      </w:r>
      <w:r w:rsidR="000A065A">
        <w:t>a</w:t>
      </w:r>
      <w:r>
        <w:t>)</w:t>
      </w:r>
      <w:r>
        <w:tab/>
      </w:r>
      <w:r w:rsidR="000A065A">
        <w:t xml:space="preserve">a new tobacco product within the meaning of </w:t>
      </w:r>
      <w:r w:rsidR="00376CE6">
        <w:t xml:space="preserve">section </w:t>
      </w:r>
      <w:r w:rsidR="000A065A">
        <w:t>910(a) of the Federal Food, Drug</w:t>
      </w:r>
      <w:r w:rsidR="00E40B71">
        <w:t>,</w:t>
      </w:r>
      <w:r w:rsidR="000A065A">
        <w:t xml:space="preserve"> and Cosmetic Act; and</w:t>
      </w:r>
    </w:p>
    <w:p w14:paraId="3EA31FAA" w14:textId="77777777" w:rsidR="008A2268" w:rsidRDefault="000A065A" w:rsidP="00340F7D">
      <w:pPr>
        <w:pStyle w:val="paragraph"/>
      </w:pPr>
      <w:r>
        <w:tab/>
        <w:t>(b)</w:t>
      </w:r>
      <w:r>
        <w:tab/>
      </w:r>
      <w:r w:rsidR="00376CE6">
        <w:t>the subject of a</w:t>
      </w:r>
      <w:r w:rsidR="005079D8">
        <w:t>n</w:t>
      </w:r>
      <w:r w:rsidR="00376CE6">
        <w:t xml:space="preserve"> </w:t>
      </w:r>
      <w:r w:rsidR="00A0497A">
        <w:t>order</w:t>
      </w:r>
      <w:r w:rsidR="005D1096">
        <w:t xml:space="preserve"> </w:t>
      </w:r>
      <w:r w:rsidR="00376CE6">
        <w:t xml:space="preserve">issued </w:t>
      </w:r>
      <w:r w:rsidR="00A0497A">
        <w:t xml:space="preserve">under </w:t>
      </w:r>
      <w:r>
        <w:t>section 910(c)(1)(A)(</w:t>
      </w:r>
      <w:proofErr w:type="spellStart"/>
      <w:r>
        <w:t>i</w:t>
      </w:r>
      <w:proofErr w:type="spellEnd"/>
      <w:r>
        <w:t xml:space="preserve">) of </w:t>
      </w:r>
      <w:r w:rsidR="00A0497A">
        <w:t>the Federal Food, Drug</w:t>
      </w:r>
      <w:r w:rsidR="00E40B71">
        <w:t>,</w:t>
      </w:r>
      <w:r w:rsidR="00A0497A">
        <w:t xml:space="preserve"> and Cosmetic Act.</w:t>
      </w:r>
    </w:p>
    <w:p w14:paraId="130296E6" w14:textId="77777777" w:rsidR="00E40B71" w:rsidRDefault="00376CE6" w:rsidP="00376CE6">
      <w:pPr>
        <w:pStyle w:val="notetext"/>
      </w:pPr>
      <w:r>
        <w:t>Note</w:t>
      </w:r>
      <w:r w:rsidR="00E40B71">
        <w:t xml:space="preserve"> 1</w:t>
      </w:r>
      <w:r>
        <w:t>:</w:t>
      </w:r>
      <w:r>
        <w:tab/>
        <w:t>A</w:t>
      </w:r>
      <w:r w:rsidR="005079D8">
        <w:t>n</w:t>
      </w:r>
      <w:r>
        <w:t xml:space="preserve"> order issued under section </w:t>
      </w:r>
      <w:r w:rsidRPr="00376CE6">
        <w:t>910(c)(1)(A)(</w:t>
      </w:r>
      <w:proofErr w:type="spellStart"/>
      <w:r w:rsidRPr="00376CE6">
        <w:t>i</w:t>
      </w:r>
      <w:proofErr w:type="spellEnd"/>
      <w:r w:rsidRPr="00376CE6">
        <w:t>) of the Federal Food, Drug</w:t>
      </w:r>
      <w:r w:rsidR="00E40B71">
        <w:t>,</w:t>
      </w:r>
      <w:r w:rsidRPr="00376CE6">
        <w:t xml:space="preserve"> and Cosmetic Act </w:t>
      </w:r>
      <w:r>
        <w:t xml:space="preserve">is commonly referred to as a </w:t>
      </w:r>
      <w:r w:rsidR="006111D5">
        <w:t xml:space="preserve">premarket </w:t>
      </w:r>
      <w:r>
        <w:t>to</w:t>
      </w:r>
      <w:r w:rsidR="00E40B71">
        <w:t>bacco product marketing order.</w:t>
      </w:r>
    </w:p>
    <w:p w14:paraId="6563BCBC" w14:textId="77777777" w:rsidR="00376CE6" w:rsidRDefault="00E40B71" w:rsidP="00376CE6">
      <w:pPr>
        <w:pStyle w:val="notetext"/>
      </w:pPr>
      <w:r>
        <w:t>Note 2:</w:t>
      </w:r>
      <w:r>
        <w:tab/>
        <w:t xml:space="preserve">A </w:t>
      </w:r>
      <w:r w:rsidR="006111D5">
        <w:t xml:space="preserve">premarket </w:t>
      </w:r>
      <w:r>
        <w:t xml:space="preserve">tobacco product marketing order </w:t>
      </w:r>
      <w:r w:rsidR="005079D8">
        <w:t xml:space="preserve">may </w:t>
      </w:r>
      <w:r w:rsidR="006111D5">
        <w:t xml:space="preserve">only </w:t>
      </w:r>
      <w:r w:rsidR="005079D8">
        <w:t xml:space="preserve">be issued </w:t>
      </w:r>
      <w:r w:rsidR="00376CE6">
        <w:t xml:space="preserve">in relation to </w:t>
      </w:r>
      <w:r>
        <w:t xml:space="preserve">a </w:t>
      </w:r>
      <w:r w:rsidR="00340F7D">
        <w:t xml:space="preserve">new </w:t>
      </w:r>
      <w:r w:rsidR="006111D5">
        <w:t xml:space="preserve">tobacco product that is the subject of a </w:t>
      </w:r>
      <w:r w:rsidR="00376CE6">
        <w:t xml:space="preserve">premarket tobacco product application for which a premarket </w:t>
      </w:r>
      <w:r>
        <w:t>review has been conducted</w:t>
      </w:r>
      <w:r w:rsidR="001A6CC4">
        <w:t xml:space="preserve"> by the United States Food and Drug Administration</w:t>
      </w:r>
      <w:r>
        <w:t xml:space="preserve">, determining that the </w:t>
      </w:r>
      <w:r w:rsidR="001A6CC4">
        <w:t xml:space="preserve">marketing of the product </w:t>
      </w:r>
      <w:r>
        <w:t>is appropriate for the protection of public health</w:t>
      </w:r>
      <w:r w:rsidR="00340F7D">
        <w:t xml:space="preserve"> in accordance with section 910(c)(4) of the </w:t>
      </w:r>
      <w:r w:rsidR="005774BD">
        <w:t>Federal Food, Drug, and Cosmetic Act</w:t>
      </w:r>
      <w:r>
        <w:t>.</w:t>
      </w:r>
    </w:p>
    <w:p w14:paraId="3E4C6791" w14:textId="77777777" w:rsidR="00E40B71" w:rsidRDefault="00E40B71" w:rsidP="00376CE6">
      <w:pPr>
        <w:pStyle w:val="notetext"/>
      </w:pPr>
      <w:r>
        <w:t>Note 3:</w:t>
      </w:r>
      <w:r>
        <w:tab/>
        <w:t xml:space="preserve">The </w:t>
      </w:r>
      <w:r w:rsidR="00341724">
        <w:t xml:space="preserve">United States </w:t>
      </w:r>
      <w:r>
        <w:t xml:space="preserve">Food and Drug Administration publishes a list of </w:t>
      </w:r>
      <w:r w:rsidR="006111D5">
        <w:t xml:space="preserve">premarket </w:t>
      </w:r>
      <w:r>
        <w:t xml:space="preserve">tobacco product marketing orders on its website at </w:t>
      </w:r>
      <w:r w:rsidRPr="00340F7D">
        <w:t>www.fda.gov</w:t>
      </w:r>
      <w:r>
        <w:t>.</w:t>
      </w:r>
    </w:p>
    <w:p w14:paraId="142DF567" w14:textId="77777777" w:rsidR="00E45631" w:rsidRDefault="008553B8" w:rsidP="00340F7D">
      <w:pPr>
        <w:pStyle w:val="subsection"/>
      </w:pPr>
      <w:r>
        <w:lastRenderedPageBreak/>
        <w:tab/>
        <w:t>(2)</w:t>
      </w:r>
      <w:r>
        <w:tab/>
        <w:t>For the purposes of this section</w:t>
      </w:r>
      <w:r w:rsidR="000A065A">
        <w:t>,</w:t>
      </w:r>
      <w:r>
        <w:t xml:space="preserve"> a reference to the Federal Food</w:t>
      </w:r>
      <w:r w:rsidR="00E40B71">
        <w:t>,</w:t>
      </w:r>
      <w:r>
        <w:t xml:space="preserve"> Drug</w:t>
      </w:r>
      <w:r w:rsidR="00E40B71">
        <w:t>,</w:t>
      </w:r>
      <w:r>
        <w:t xml:space="preserve"> and Cosmetic Act is a reference to that Act</w:t>
      </w:r>
      <w:r w:rsidR="00E40B71">
        <w:t xml:space="preserve"> of the United States,</w:t>
      </w:r>
      <w:r>
        <w:t xml:space="preserve"> </w:t>
      </w:r>
      <w:r w:rsidRPr="00583C15">
        <w:t>as in force or existing from time to time</w:t>
      </w:r>
      <w:r>
        <w:t>.</w:t>
      </w:r>
      <w:r w:rsidR="00E45631">
        <w:br w:type="page"/>
      </w:r>
    </w:p>
    <w:p w14:paraId="422C2E16" w14:textId="77777777" w:rsidR="00AF2A7C" w:rsidRPr="009F33D2" w:rsidRDefault="00AF2A7C" w:rsidP="00AF2A7C">
      <w:pPr>
        <w:pStyle w:val="ActHead6"/>
      </w:pPr>
      <w:bookmarkStart w:id="16" w:name="_Toc529866969"/>
      <w:bookmarkStart w:id="17" w:name="_Toc63782768"/>
      <w:r w:rsidRPr="009F33D2">
        <w:lastRenderedPageBreak/>
        <w:t>Schedule 1—</w:t>
      </w:r>
      <w:r>
        <w:t>Prohibited Ingredients</w:t>
      </w:r>
      <w:bookmarkEnd w:id="16"/>
      <w:bookmarkEnd w:id="17"/>
    </w:p>
    <w:p w14:paraId="33F0C847" w14:textId="77777777" w:rsidR="00AF2A7C" w:rsidRPr="000E48C6" w:rsidRDefault="00AF2A7C" w:rsidP="00AF2A7C">
      <w:pPr>
        <w:pStyle w:val="notetext"/>
        <w:spacing w:after="300"/>
        <w:ind w:left="0" w:firstLine="0"/>
        <w:rPr>
          <w:snapToGrid w:val="0"/>
          <w:lang w:eastAsia="en-US"/>
        </w:rPr>
      </w:pPr>
      <w:r w:rsidRPr="000E48C6">
        <w:rPr>
          <w:snapToGrid w:val="0"/>
          <w:lang w:eastAsia="en-US"/>
        </w:rPr>
        <w:t>Note: See s</w:t>
      </w:r>
      <w:r>
        <w:rPr>
          <w:snapToGrid w:val="0"/>
          <w:lang w:eastAsia="en-US"/>
        </w:rPr>
        <w:t>ubs</w:t>
      </w:r>
      <w:r w:rsidRPr="000E48C6">
        <w:rPr>
          <w:snapToGrid w:val="0"/>
          <w:lang w:eastAsia="en-US"/>
        </w:rPr>
        <w:t xml:space="preserve">ection </w:t>
      </w:r>
      <w:r>
        <w:rPr>
          <w:snapToGrid w:val="0"/>
          <w:lang w:eastAsia="en-US"/>
        </w:rPr>
        <w:t>7(3)</w:t>
      </w:r>
      <w:r w:rsidRPr="000E48C6">
        <w:rPr>
          <w:snapToGrid w:val="0"/>
          <w:lang w:eastAsia="en-US"/>
        </w:rPr>
        <w:t>.</w:t>
      </w:r>
    </w:p>
    <w:tbl>
      <w:tblPr>
        <w:tblW w:w="496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415"/>
      </w:tblGrid>
      <w:tr w:rsidR="00AF2A7C" w:rsidRPr="002C22CA" w14:paraId="044BAE9E" w14:textId="77777777" w:rsidTr="007C1DB6">
        <w:trPr>
          <w:tblHeader/>
        </w:trPr>
        <w:tc>
          <w:tcPr>
            <w:tcW w:w="111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400DCE" w14:textId="77777777" w:rsidR="00AF2A7C" w:rsidRPr="00B7740E" w:rsidRDefault="00AF2A7C" w:rsidP="0001576A">
            <w:pPr>
              <w:pStyle w:val="TableHeading"/>
              <w:rPr>
                <w:lang w:eastAsia="en-US"/>
              </w:rPr>
            </w:pPr>
            <w:r w:rsidRPr="00B7740E">
              <w:rPr>
                <w:lang w:eastAsia="en-US"/>
              </w:rPr>
              <w:t>Column 1</w:t>
            </w:r>
          </w:p>
          <w:p w14:paraId="2F5E72A6" w14:textId="77777777" w:rsidR="00AF2A7C" w:rsidRPr="00B7740E" w:rsidRDefault="00AF2A7C" w:rsidP="0001576A">
            <w:pPr>
              <w:pStyle w:val="TableHeading"/>
              <w:rPr>
                <w:lang w:eastAsia="en-US"/>
              </w:rPr>
            </w:pPr>
            <w:r w:rsidRPr="00B7740E">
              <w:rPr>
                <w:lang w:eastAsia="en-US"/>
              </w:rPr>
              <w:t xml:space="preserve">Item </w:t>
            </w:r>
          </w:p>
        </w:tc>
        <w:tc>
          <w:tcPr>
            <w:tcW w:w="38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56129D6" w14:textId="77777777" w:rsidR="00AF2A7C" w:rsidRPr="00B7740E" w:rsidRDefault="00AF2A7C" w:rsidP="0001576A">
            <w:pPr>
              <w:pStyle w:val="TableHeading"/>
              <w:rPr>
                <w:lang w:eastAsia="en-US"/>
              </w:rPr>
            </w:pPr>
            <w:r w:rsidRPr="00B7740E">
              <w:rPr>
                <w:lang w:eastAsia="en-US"/>
              </w:rPr>
              <w:t>Column 2</w:t>
            </w:r>
          </w:p>
          <w:p w14:paraId="0B8EE74A" w14:textId="77777777" w:rsidR="00AF2A7C" w:rsidRPr="00B7740E" w:rsidRDefault="00AF2A7C" w:rsidP="0001576A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Ingredient</w:t>
            </w:r>
          </w:p>
        </w:tc>
      </w:tr>
      <w:tr w:rsidR="00AF2A7C" w:rsidRPr="002C22CA" w14:paraId="33577426" w14:textId="77777777" w:rsidTr="007C1DB6">
        <w:tc>
          <w:tcPr>
            <w:tcW w:w="11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6A7BB" w14:textId="77777777" w:rsidR="00AF2A7C" w:rsidRPr="00B7740E" w:rsidRDefault="00AF2A7C" w:rsidP="000E2BB2">
            <w:pPr>
              <w:pStyle w:val="Tabletext"/>
            </w:pPr>
            <w:r w:rsidRPr="00B7740E">
              <w:t>1</w:t>
            </w:r>
          </w:p>
        </w:tc>
        <w:tc>
          <w:tcPr>
            <w:tcW w:w="38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10DA3F2" w14:textId="77777777" w:rsidR="00AF2A7C" w:rsidRPr="007C1DB6" w:rsidRDefault="00AF2A7C" w:rsidP="007C1DB6">
            <w:pPr>
              <w:keepNext/>
              <w:spacing w:before="60"/>
              <w:ind w:left="600" w:hanging="600"/>
              <w:rPr>
                <w:rFonts w:eastAsia="Times New Roman" w:cs="Times New Roman"/>
                <w:sz w:val="20"/>
                <w:lang w:eastAsia="en-AU"/>
              </w:rPr>
            </w:pPr>
            <w:r w:rsidRPr="007C1DB6">
              <w:rPr>
                <w:rFonts w:eastAsia="Times New Roman" w:cs="Times New Roman"/>
                <w:sz w:val="20"/>
                <w:lang w:eastAsia="en-AU"/>
              </w:rPr>
              <w:t>2,3-pentanedione</w:t>
            </w:r>
          </w:p>
        </w:tc>
      </w:tr>
      <w:tr w:rsidR="009A69E5" w:rsidRPr="002C22CA" w14:paraId="3A9FC41C" w14:textId="77777777" w:rsidTr="007C1DB6"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FABBF" w14:textId="77777777" w:rsidR="009A69E5" w:rsidRPr="00B7740E" w:rsidRDefault="009A69E5" w:rsidP="000E2BB2">
            <w:pPr>
              <w:pStyle w:val="Tabletext"/>
            </w:pPr>
            <w:r>
              <w:t>2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CA557" w14:textId="77777777" w:rsidR="009A69E5" w:rsidRPr="009A69E5" w:rsidRDefault="00BF4F48">
            <w:pPr>
              <w:keepNext/>
              <w:spacing w:before="60"/>
              <w:ind w:left="600" w:hanging="600"/>
              <w:rPr>
                <w:rFonts w:eastAsia="Times New Roman" w:cs="Times New Roman"/>
                <w:sz w:val="20"/>
                <w:lang w:eastAsia="en-AU"/>
              </w:rPr>
            </w:pPr>
            <w:r w:rsidRPr="007C1DB6">
              <w:rPr>
                <w:rFonts w:eastAsia="Times New Roman" w:cs="Times New Roman"/>
                <w:sz w:val="20"/>
                <w:lang w:eastAsia="en-AU"/>
              </w:rPr>
              <w:t>diacetyl</w:t>
            </w:r>
          </w:p>
        </w:tc>
      </w:tr>
      <w:tr w:rsidR="00AF2A7C" w:rsidRPr="002C22CA" w14:paraId="7C3F259F" w14:textId="77777777" w:rsidTr="007C1DB6"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34748" w14:textId="77777777" w:rsidR="00AF2A7C" w:rsidRPr="00B7740E" w:rsidRDefault="009A69E5" w:rsidP="000E2BB2">
            <w:pPr>
              <w:pStyle w:val="Tabletext"/>
            </w:pPr>
            <w:r>
              <w:t>3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25838" w14:textId="77777777" w:rsidR="00AF2A7C" w:rsidRPr="007C1DB6" w:rsidRDefault="00BF4F48" w:rsidP="007C1DB6">
            <w:pPr>
              <w:keepNext/>
              <w:spacing w:before="60"/>
              <w:ind w:left="600" w:hanging="600"/>
              <w:rPr>
                <w:rFonts w:eastAsia="Times New Roman" w:cs="Times New Roman"/>
                <w:sz w:val="20"/>
                <w:lang w:eastAsia="en-AU"/>
              </w:rPr>
            </w:pPr>
            <w:r w:rsidRPr="00DC0C59">
              <w:rPr>
                <w:rFonts w:eastAsia="Times New Roman" w:cs="Times New Roman"/>
                <w:bCs/>
                <w:sz w:val="20"/>
                <w:lang w:eastAsia="en-AU"/>
              </w:rPr>
              <w:t>diethylene glycol</w:t>
            </w:r>
            <w:r w:rsidRPr="007C1DB6" w:rsidDel="00BF4F4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</w:tc>
      </w:tr>
      <w:tr w:rsidR="009A69E5" w:rsidRPr="002C22CA" w14:paraId="299CA594" w14:textId="77777777" w:rsidTr="007C1DB6"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33754" w14:textId="77777777" w:rsidR="009A69E5" w:rsidRPr="00B7740E" w:rsidRDefault="009A69E5" w:rsidP="000E2BB2">
            <w:pPr>
              <w:pStyle w:val="Tabletext"/>
            </w:pPr>
            <w:r>
              <w:t>4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E6104" w14:textId="77777777" w:rsidR="009A69E5" w:rsidRPr="009A69E5" w:rsidRDefault="00BF4F48" w:rsidP="007C1DB6">
            <w:pPr>
              <w:keepNext/>
              <w:spacing w:before="60"/>
              <w:ind w:left="600" w:hanging="600"/>
              <w:rPr>
                <w:rFonts w:eastAsia="Times New Roman" w:cs="Times New Roman"/>
                <w:sz w:val="20"/>
                <w:lang w:eastAsia="en-AU"/>
              </w:rPr>
            </w:pPr>
            <w:r w:rsidRPr="00157C77">
              <w:rPr>
                <w:rFonts w:eastAsia="Times New Roman" w:cs="Times New Roman"/>
                <w:bCs/>
                <w:sz w:val="20"/>
                <w:lang w:eastAsia="en-AU"/>
              </w:rPr>
              <w:t>dl-alpha-</w:t>
            </w:r>
            <w:proofErr w:type="spellStart"/>
            <w:r w:rsidRPr="00157C77">
              <w:rPr>
                <w:rFonts w:eastAsia="Times New Roman" w:cs="Times New Roman"/>
                <w:bCs/>
                <w:sz w:val="20"/>
                <w:lang w:eastAsia="en-AU"/>
              </w:rPr>
              <w:t>tocopheryl</w:t>
            </w:r>
            <w:proofErr w:type="spellEnd"/>
            <w:r w:rsidRPr="00157C77">
              <w:rPr>
                <w:rFonts w:eastAsia="Times New Roman" w:cs="Times New Roman"/>
                <w:bCs/>
                <w:sz w:val="20"/>
                <w:lang w:eastAsia="en-AU"/>
              </w:rPr>
              <w:t xml:space="preserve"> acetate</w:t>
            </w:r>
          </w:p>
        </w:tc>
      </w:tr>
      <w:tr w:rsidR="00AF2A7C" w:rsidRPr="002C22CA" w14:paraId="0A277839" w14:textId="77777777" w:rsidTr="007C1DB6"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F169" w14:textId="77777777" w:rsidR="00AF2A7C" w:rsidRPr="00B7740E" w:rsidRDefault="009A69E5" w:rsidP="000E2BB2">
            <w:pPr>
              <w:pStyle w:val="Tabletext"/>
            </w:pPr>
            <w:r>
              <w:t>5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23066" w14:textId="77777777" w:rsidR="00AF2A7C" w:rsidRPr="009A69E5" w:rsidRDefault="009A69E5" w:rsidP="007C1DB6">
            <w:pPr>
              <w:keepNext/>
              <w:spacing w:before="60"/>
              <w:ind w:left="600" w:hanging="600"/>
              <w:rPr>
                <w:rFonts w:eastAsia="Times New Roman" w:cs="Times New Roman"/>
                <w:sz w:val="20"/>
                <w:lang w:eastAsia="en-AU"/>
              </w:rPr>
            </w:pPr>
            <w:r w:rsidRPr="00340F7D">
              <w:rPr>
                <w:rFonts w:eastAsia="Times New Roman" w:cs="Times New Roman"/>
                <w:bCs/>
                <w:sz w:val="20"/>
                <w:lang w:eastAsia="en-AU"/>
              </w:rPr>
              <w:t>e</w:t>
            </w:r>
            <w:r w:rsidR="00221F3D">
              <w:rPr>
                <w:rFonts w:eastAsia="Times New Roman" w:cs="Times New Roman"/>
                <w:bCs/>
                <w:sz w:val="20"/>
                <w:lang w:eastAsia="en-AU"/>
              </w:rPr>
              <w:t>t</w:t>
            </w:r>
            <w:r w:rsidRPr="00340F7D">
              <w:rPr>
                <w:rFonts w:eastAsia="Times New Roman" w:cs="Times New Roman"/>
                <w:bCs/>
                <w:sz w:val="20"/>
                <w:lang w:eastAsia="en-AU"/>
              </w:rPr>
              <w:t>hylene glycol</w:t>
            </w:r>
          </w:p>
        </w:tc>
      </w:tr>
    </w:tbl>
    <w:p w14:paraId="273BDAE8" w14:textId="77777777" w:rsidR="00414FB2" w:rsidRPr="00184BCB" w:rsidRDefault="00414FB2" w:rsidP="00AF2A7C">
      <w:pPr>
        <w:pStyle w:val="paragraph"/>
      </w:pPr>
    </w:p>
    <w:sectPr w:rsidR="00414FB2" w:rsidRPr="00184BCB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CE6B" w14:textId="77777777" w:rsidR="00FE2663" w:rsidRDefault="00FE2663" w:rsidP="00715914">
      <w:pPr>
        <w:spacing w:line="240" w:lineRule="auto"/>
      </w:pPr>
      <w:r>
        <w:separator/>
      </w:r>
    </w:p>
  </w:endnote>
  <w:endnote w:type="continuationSeparator" w:id="0">
    <w:p w14:paraId="7EDE2393" w14:textId="77777777" w:rsidR="00FE2663" w:rsidRDefault="00FE266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337C" w14:textId="77777777" w:rsidR="00D26B11" w:rsidRPr="00E33C1C" w:rsidRDefault="00D26B1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26B11" w14:paraId="185454F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0EFC" w14:textId="77777777" w:rsidR="00D26B11" w:rsidRDefault="00D26B1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A3CBD1" w14:textId="77777777" w:rsidR="00D26B11" w:rsidRPr="004E1307" w:rsidRDefault="00D26B1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5D1C">
            <w:rPr>
              <w:i/>
              <w:noProof/>
              <w:sz w:val="18"/>
            </w:rPr>
            <w:t>Therapeutic Goods (Standard for Vaporiser Nicotine) (TGO 110)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EC479" w14:textId="77777777" w:rsidR="00D26B11" w:rsidRDefault="00D26B1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26B11" w14:paraId="64DBB9A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4C36B5" w14:textId="77777777" w:rsidR="00D26B11" w:rsidRDefault="00D26B11" w:rsidP="00A369E3">
          <w:pPr>
            <w:jc w:val="right"/>
            <w:rPr>
              <w:sz w:val="18"/>
            </w:rPr>
          </w:pPr>
        </w:p>
      </w:tc>
    </w:tr>
  </w:tbl>
  <w:p w14:paraId="5C6F5932" w14:textId="77777777" w:rsidR="00D26B11" w:rsidRPr="00ED79B6" w:rsidRDefault="00D26B1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519C" w14:textId="77777777" w:rsidR="00D26B11" w:rsidRPr="00E33C1C" w:rsidRDefault="00D26B1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D26B11" w14:paraId="66C15D3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10A318" w14:textId="77777777" w:rsidR="00D26B11" w:rsidRDefault="00D26B1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4D85E4" w14:textId="77777777" w:rsidR="00D26B11" w:rsidRDefault="00D26B1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5D1C">
            <w:rPr>
              <w:i/>
              <w:noProof/>
              <w:sz w:val="18"/>
            </w:rPr>
            <w:t>Therapeutic Goods (Standard for Vaporiser Nicotine) (TGO 110)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16622F" w14:textId="77777777" w:rsidR="00D26B11" w:rsidRDefault="00D26B1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26B11" w14:paraId="4943D1C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2122E1" w14:textId="77777777" w:rsidR="00D26B11" w:rsidRDefault="00D26B11" w:rsidP="00A369E3">
          <w:pPr>
            <w:rPr>
              <w:sz w:val="18"/>
            </w:rPr>
          </w:pPr>
        </w:p>
      </w:tc>
    </w:tr>
  </w:tbl>
  <w:p w14:paraId="49D48AED" w14:textId="77777777" w:rsidR="00D26B11" w:rsidRPr="00ED79B6" w:rsidRDefault="00D26B1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D534" w14:textId="77777777" w:rsidR="00D26B11" w:rsidRPr="00E33C1C" w:rsidRDefault="00D26B1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26B11" w14:paraId="455B017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DF201A" w14:textId="77777777" w:rsidR="00D26B11" w:rsidRDefault="00D26B1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DF7B28" w14:textId="77777777" w:rsidR="00D26B11" w:rsidRDefault="00D26B1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849528" w14:textId="77777777" w:rsidR="00D26B11" w:rsidRDefault="00D26B1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F53F537" w14:textId="77777777" w:rsidR="00D26B11" w:rsidRPr="00ED79B6" w:rsidRDefault="00D26B1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E6E5" w14:textId="77777777" w:rsidR="00D26B11" w:rsidRPr="002B0EA5" w:rsidRDefault="00D26B11" w:rsidP="00EC05D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26B11" w14:paraId="0214495A" w14:textId="77777777" w:rsidTr="00EC05DE">
      <w:tc>
        <w:tcPr>
          <w:tcW w:w="365" w:type="pct"/>
        </w:tcPr>
        <w:p w14:paraId="48E1B356" w14:textId="77777777" w:rsidR="00D26B11" w:rsidRDefault="00D26B11" w:rsidP="00EC05D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A9C369" w14:textId="77777777" w:rsidR="00D26B11" w:rsidRDefault="00D26B11" w:rsidP="00EC05D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5D1C">
            <w:rPr>
              <w:i/>
              <w:noProof/>
              <w:sz w:val="18"/>
            </w:rPr>
            <w:t>Therapeutic Goods (Standard for Vaporiser Nicotine) (TGO 110)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CBA4C77" w14:textId="77777777" w:rsidR="00D26B11" w:rsidRDefault="00D26B11" w:rsidP="00EC05DE">
          <w:pPr>
            <w:spacing w:line="0" w:lineRule="atLeast"/>
            <w:jc w:val="right"/>
            <w:rPr>
              <w:sz w:val="18"/>
            </w:rPr>
          </w:pPr>
        </w:p>
      </w:tc>
    </w:tr>
    <w:tr w:rsidR="00D26B11" w14:paraId="674A4486" w14:textId="77777777" w:rsidTr="00EC05DE">
      <w:tc>
        <w:tcPr>
          <w:tcW w:w="5000" w:type="pct"/>
          <w:gridSpan w:val="3"/>
        </w:tcPr>
        <w:p w14:paraId="5F4EA62F" w14:textId="77777777" w:rsidR="00D26B11" w:rsidRDefault="00D26B11" w:rsidP="00EC05DE">
          <w:pPr>
            <w:jc w:val="right"/>
            <w:rPr>
              <w:sz w:val="18"/>
            </w:rPr>
          </w:pPr>
        </w:p>
      </w:tc>
    </w:tr>
  </w:tbl>
  <w:p w14:paraId="2733A54B" w14:textId="77777777" w:rsidR="00D26B11" w:rsidRPr="00ED79B6" w:rsidRDefault="00D26B11" w:rsidP="00EC05D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A642" w14:textId="77777777" w:rsidR="00D26B11" w:rsidRPr="002B0EA5" w:rsidRDefault="00D26B11" w:rsidP="00EC05D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4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6130"/>
      <w:gridCol w:w="959"/>
    </w:tblGrid>
    <w:tr w:rsidR="00D26B11" w14:paraId="2902BCF3" w14:textId="77777777" w:rsidTr="00651A8C">
      <w:tc>
        <w:tcPr>
          <w:tcW w:w="689" w:type="pct"/>
        </w:tcPr>
        <w:p w14:paraId="1ACDE7B4" w14:textId="77777777" w:rsidR="00D26B11" w:rsidRDefault="00D26B11" w:rsidP="00EC05DE">
          <w:pPr>
            <w:spacing w:line="0" w:lineRule="atLeast"/>
            <w:rPr>
              <w:sz w:val="18"/>
            </w:rPr>
          </w:pPr>
        </w:p>
      </w:tc>
      <w:tc>
        <w:tcPr>
          <w:tcW w:w="3728" w:type="pct"/>
        </w:tcPr>
        <w:p w14:paraId="683EA0EE" w14:textId="0657F002" w:rsidR="00D26B11" w:rsidRDefault="00D26B11" w:rsidP="00EC05D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C1F20">
            <w:rPr>
              <w:i/>
              <w:noProof/>
              <w:sz w:val="18"/>
            </w:rPr>
            <w:t>Therapeutic Goods (Standard for Vaporiser Nicotine) (TGO 110)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83" w:type="pct"/>
        </w:tcPr>
        <w:p w14:paraId="45B0C1AC" w14:textId="77777777" w:rsidR="00D26B11" w:rsidRDefault="00D26B11" w:rsidP="00EC05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422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26B11" w14:paraId="474E6897" w14:textId="77777777" w:rsidTr="00651A8C">
      <w:tc>
        <w:tcPr>
          <w:tcW w:w="5000" w:type="pct"/>
          <w:gridSpan w:val="3"/>
        </w:tcPr>
        <w:p w14:paraId="69178B78" w14:textId="77777777" w:rsidR="00D26B11" w:rsidRDefault="00D26B11" w:rsidP="00EC05DE">
          <w:pPr>
            <w:rPr>
              <w:sz w:val="18"/>
            </w:rPr>
          </w:pPr>
        </w:p>
      </w:tc>
    </w:tr>
  </w:tbl>
  <w:p w14:paraId="260F3536" w14:textId="77777777" w:rsidR="00D26B11" w:rsidRPr="00ED79B6" w:rsidRDefault="00D26B11" w:rsidP="00651A8C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FBF1" w14:textId="77777777" w:rsidR="00D26B11" w:rsidRPr="002B0EA5" w:rsidRDefault="00D26B11" w:rsidP="00EC05D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63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7189"/>
      <w:gridCol w:w="1569"/>
      <w:gridCol w:w="6"/>
    </w:tblGrid>
    <w:tr w:rsidR="00D26B11" w14:paraId="6D394CC7" w14:textId="77777777" w:rsidTr="00651A8C">
      <w:tc>
        <w:tcPr>
          <w:tcW w:w="324" w:type="pct"/>
        </w:tcPr>
        <w:p w14:paraId="414E34ED" w14:textId="77777777" w:rsidR="00D26B11" w:rsidRDefault="00D26B11" w:rsidP="00EC05D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422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836" w:type="pct"/>
        </w:tcPr>
        <w:p w14:paraId="705142FC" w14:textId="218661E7" w:rsidR="00D26B11" w:rsidRDefault="00D26B11" w:rsidP="00EC05D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C1F20">
            <w:rPr>
              <w:i/>
              <w:noProof/>
              <w:sz w:val="18"/>
            </w:rPr>
            <w:t>Therapeutic Goods (Standard for Vaporiser Nicotine) (TGO 110)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40" w:type="pct"/>
          <w:gridSpan w:val="2"/>
        </w:tcPr>
        <w:p w14:paraId="7883A40C" w14:textId="77777777" w:rsidR="00D26B11" w:rsidRDefault="00D26B11" w:rsidP="00EC05DE">
          <w:pPr>
            <w:spacing w:line="0" w:lineRule="atLeast"/>
            <w:jc w:val="right"/>
            <w:rPr>
              <w:sz w:val="18"/>
            </w:rPr>
          </w:pPr>
        </w:p>
      </w:tc>
    </w:tr>
    <w:tr w:rsidR="00D26B11" w14:paraId="17015AC0" w14:textId="77777777" w:rsidTr="00651A8C">
      <w:trPr>
        <w:gridAfter w:val="1"/>
        <w:wAfter w:w="3" w:type="pct"/>
      </w:trPr>
      <w:tc>
        <w:tcPr>
          <w:tcW w:w="4997" w:type="pct"/>
          <w:gridSpan w:val="3"/>
        </w:tcPr>
        <w:p w14:paraId="4A436833" w14:textId="77777777" w:rsidR="00D26B11" w:rsidRDefault="00D26B11" w:rsidP="00EC05DE">
          <w:pPr>
            <w:jc w:val="right"/>
            <w:rPr>
              <w:sz w:val="18"/>
            </w:rPr>
          </w:pPr>
        </w:p>
      </w:tc>
    </w:tr>
  </w:tbl>
  <w:p w14:paraId="2A0332A5" w14:textId="77777777" w:rsidR="00D26B11" w:rsidRPr="00ED79B6" w:rsidRDefault="00D26B11" w:rsidP="00651A8C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4297" w14:textId="77777777" w:rsidR="00D26B11" w:rsidRPr="002B0EA5" w:rsidRDefault="00D26B11" w:rsidP="00EC05D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4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6132"/>
      <w:gridCol w:w="955"/>
    </w:tblGrid>
    <w:tr w:rsidR="00D26B11" w14:paraId="1F69B034" w14:textId="77777777" w:rsidTr="00651A8C">
      <w:tc>
        <w:tcPr>
          <w:tcW w:w="690" w:type="pct"/>
        </w:tcPr>
        <w:p w14:paraId="415367CF" w14:textId="77777777" w:rsidR="00D26B11" w:rsidRDefault="00D26B11" w:rsidP="00EC05DE">
          <w:pPr>
            <w:spacing w:line="0" w:lineRule="atLeast"/>
            <w:rPr>
              <w:sz w:val="18"/>
            </w:rPr>
          </w:pPr>
        </w:p>
      </w:tc>
      <w:tc>
        <w:tcPr>
          <w:tcW w:w="3729" w:type="pct"/>
        </w:tcPr>
        <w:p w14:paraId="37C23895" w14:textId="7BF970B5" w:rsidR="00D26B11" w:rsidRDefault="00D26B11" w:rsidP="00EC05D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C1F20">
            <w:rPr>
              <w:i/>
              <w:noProof/>
              <w:sz w:val="18"/>
            </w:rPr>
            <w:t>Therapeutic Goods (Standard for Vaporiser Nicotine) (TGO 110)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81" w:type="pct"/>
        </w:tcPr>
        <w:p w14:paraId="31017170" w14:textId="77777777" w:rsidR="00D26B11" w:rsidRDefault="00D26B11" w:rsidP="00EC05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422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26B11" w14:paraId="7F98C1E2" w14:textId="77777777" w:rsidTr="00651A8C">
      <w:tc>
        <w:tcPr>
          <w:tcW w:w="5000" w:type="pct"/>
          <w:gridSpan w:val="3"/>
        </w:tcPr>
        <w:p w14:paraId="34997E8D" w14:textId="77777777" w:rsidR="00D26B11" w:rsidRDefault="00D26B11" w:rsidP="00EC05DE">
          <w:pPr>
            <w:rPr>
              <w:sz w:val="18"/>
            </w:rPr>
          </w:pPr>
        </w:p>
      </w:tc>
    </w:tr>
  </w:tbl>
  <w:p w14:paraId="2252F310" w14:textId="77777777" w:rsidR="00D26B11" w:rsidRPr="00ED79B6" w:rsidRDefault="00D26B11" w:rsidP="00651A8C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DF4A" w14:textId="77777777" w:rsidR="00FE2663" w:rsidRDefault="00FE2663" w:rsidP="00715914">
      <w:pPr>
        <w:spacing w:line="240" w:lineRule="auto"/>
      </w:pPr>
      <w:r>
        <w:separator/>
      </w:r>
    </w:p>
  </w:footnote>
  <w:footnote w:type="continuationSeparator" w:id="0">
    <w:p w14:paraId="7528399F" w14:textId="77777777" w:rsidR="00FE2663" w:rsidRDefault="00FE266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1821" w14:textId="77777777" w:rsidR="00D26B11" w:rsidRPr="005F1388" w:rsidRDefault="00D26B1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A0D0" w14:textId="77777777" w:rsidR="00D26B11" w:rsidRPr="005F1388" w:rsidRDefault="00D26B1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797907"/>
      <w:docPartObj>
        <w:docPartGallery w:val="Watermarks"/>
        <w:docPartUnique/>
      </w:docPartObj>
    </w:sdtPr>
    <w:sdtEndPr/>
    <w:sdtContent>
      <w:p w14:paraId="00FCAFBE" w14:textId="77777777" w:rsidR="00414FB2" w:rsidRDefault="000C1F20">
        <w:pPr>
          <w:pStyle w:val="Header"/>
        </w:pPr>
        <w:r>
          <w:rPr>
            <w:noProof/>
            <w:lang w:val="en-US" w:eastAsia="en-US"/>
          </w:rPr>
          <w:pict w14:anchorId="22E707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285B" w14:textId="77777777" w:rsidR="00D26B11" w:rsidRPr="00ED79B6" w:rsidRDefault="00D26B11" w:rsidP="00EC05D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CFDA" w14:textId="77777777" w:rsidR="00D26B11" w:rsidRPr="00ED79B6" w:rsidRDefault="00D26B11" w:rsidP="00EC05D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E050" w14:textId="77777777" w:rsidR="00D26B11" w:rsidRPr="00ED79B6" w:rsidRDefault="00D26B1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F19A" w14:textId="77777777" w:rsidR="00D26B11" w:rsidRDefault="00D26B11" w:rsidP="00715914">
    <w:pPr>
      <w:rPr>
        <w:sz w:val="20"/>
      </w:rPr>
    </w:pPr>
  </w:p>
  <w:p w14:paraId="6D8C60B5" w14:textId="77777777" w:rsidR="00D26B11" w:rsidRDefault="00D26B11" w:rsidP="00715914">
    <w:pPr>
      <w:rPr>
        <w:sz w:val="20"/>
      </w:rPr>
    </w:pPr>
  </w:p>
  <w:p w14:paraId="3D66EFB3" w14:textId="77777777" w:rsidR="00D26B11" w:rsidRPr="007A1328" w:rsidRDefault="00D26B11" w:rsidP="00715914">
    <w:pPr>
      <w:rPr>
        <w:sz w:val="20"/>
      </w:rPr>
    </w:pPr>
  </w:p>
  <w:p w14:paraId="310667E4" w14:textId="77777777" w:rsidR="00D26B11" w:rsidRPr="007A1328" w:rsidRDefault="00D26B11" w:rsidP="00715914">
    <w:pPr>
      <w:rPr>
        <w:b/>
        <w:sz w:val="24"/>
      </w:rPr>
    </w:pPr>
  </w:p>
  <w:p w14:paraId="5DCC62B4" w14:textId="77777777" w:rsidR="00D26B11" w:rsidRPr="007A1328" w:rsidRDefault="00D26B11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EA0E" w14:textId="77777777" w:rsidR="00D26B11" w:rsidRPr="007A1328" w:rsidRDefault="00D26B11" w:rsidP="00715914">
    <w:pPr>
      <w:jc w:val="right"/>
      <w:rPr>
        <w:sz w:val="20"/>
      </w:rPr>
    </w:pPr>
  </w:p>
  <w:p w14:paraId="35C7CEDD" w14:textId="77777777" w:rsidR="00D26B11" w:rsidRPr="007A1328" w:rsidRDefault="00D26B11" w:rsidP="00715914">
    <w:pPr>
      <w:jc w:val="right"/>
      <w:rPr>
        <w:sz w:val="20"/>
      </w:rPr>
    </w:pPr>
  </w:p>
  <w:p w14:paraId="4D57BB77" w14:textId="77777777" w:rsidR="00D26B11" w:rsidRPr="007A1328" w:rsidRDefault="00D26B11" w:rsidP="00715914">
    <w:pPr>
      <w:jc w:val="right"/>
      <w:rPr>
        <w:sz w:val="20"/>
      </w:rPr>
    </w:pPr>
  </w:p>
  <w:p w14:paraId="39BFB380" w14:textId="77777777" w:rsidR="00D26B11" w:rsidRPr="007A1328" w:rsidRDefault="00D26B11" w:rsidP="00715914">
    <w:pPr>
      <w:jc w:val="right"/>
      <w:rPr>
        <w:b/>
        <w:sz w:val="24"/>
      </w:rPr>
    </w:pPr>
  </w:p>
  <w:p w14:paraId="0A56053A" w14:textId="77777777" w:rsidR="00D26B11" w:rsidRPr="007A1328" w:rsidRDefault="00D26B11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333C"/>
    <w:multiLevelType w:val="hybridMultilevel"/>
    <w:tmpl w:val="88A0CDAC"/>
    <w:lvl w:ilvl="0" w:tplc="5C5A4654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B6153"/>
    <w:multiLevelType w:val="hybridMultilevel"/>
    <w:tmpl w:val="AC8CE80E"/>
    <w:lvl w:ilvl="0" w:tplc="3280A92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16E41F4"/>
    <w:multiLevelType w:val="hybridMultilevel"/>
    <w:tmpl w:val="85AE04A0"/>
    <w:lvl w:ilvl="0" w:tplc="B46AE638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58C7231E"/>
    <w:multiLevelType w:val="hybridMultilevel"/>
    <w:tmpl w:val="85AE04A0"/>
    <w:lvl w:ilvl="0" w:tplc="B46AE638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5F2C6BC7"/>
    <w:multiLevelType w:val="hybridMultilevel"/>
    <w:tmpl w:val="ECB44D2A"/>
    <w:lvl w:ilvl="0" w:tplc="AC6C5F20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6839264B"/>
    <w:multiLevelType w:val="multilevel"/>
    <w:tmpl w:val="733C2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491962">
    <w:abstractNumId w:val="9"/>
  </w:num>
  <w:num w:numId="2" w16cid:durableId="133909205">
    <w:abstractNumId w:val="7"/>
  </w:num>
  <w:num w:numId="3" w16cid:durableId="12613021">
    <w:abstractNumId w:val="6"/>
  </w:num>
  <w:num w:numId="4" w16cid:durableId="1967077334">
    <w:abstractNumId w:val="5"/>
  </w:num>
  <w:num w:numId="5" w16cid:durableId="399598996">
    <w:abstractNumId w:val="4"/>
  </w:num>
  <w:num w:numId="6" w16cid:durableId="1140613617">
    <w:abstractNumId w:val="8"/>
  </w:num>
  <w:num w:numId="7" w16cid:durableId="829055093">
    <w:abstractNumId w:val="3"/>
  </w:num>
  <w:num w:numId="8" w16cid:durableId="1170095708">
    <w:abstractNumId w:val="2"/>
  </w:num>
  <w:num w:numId="9" w16cid:durableId="912740486">
    <w:abstractNumId w:val="1"/>
  </w:num>
  <w:num w:numId="10" w16cid:durableId="733162043">
    <w:abstractNumId w:val="0"/>
  </w:num>
  <w:num w:numId="11" w16cid:durableId="1005287376">
    <w:abstractNumId w:val="14"/>
  </w:num>
  <w:num w:numId="12" w16cid:durableId="342167414">
    <w:abstractNumId w:val="11"/>
  </w:num>
  <w:num w:numId="13" w16cid:durableId="554507389">
    <w:abstractNumId w:val="12"/>
  </w:num>
  <w:num w:numId="14" w16cid:durableId="1412969947">
    <w:abstractNumId w:val="18"/>
  </w:num>
  <w:num w:numId="15" w16cid:durableId="1675914955">
    <w:abstractNumId w:val="16"/>
  </w:num>
  <w:num w:numId="16" w16cid:durableId="1775710405">
    <w:abstractNumId w:val="15"/>
  </w:num>
  <w:num w:numId="17" w16cid:durableId="596138247">
    <w:abstractNumId w:val="13"/>
  </w:num>
  <w:num w:numId="18" w16cid:durableId="1563708517">
    <w:abstractNumId w:val="10"/>
  </w:num>
  <w:num w:numId="19" w16cid:durableId="499123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D6"/>
    <w:rsid w:val="00004174"/>
    <w:rsid w:val="00004470"/>
    <w:rsid w:val="000136AF"/>
    <w:rsid w:val="000153D9"/>
    <w:rsid w:val="00021045"/>
    <w:rsid w:val="00023EB6"/>
    <w:rsid w:val="000258B1"/>
    <w:rsid w:val="00040A89"/>
    <w:rsid w:val="000437C1"/>
    <w:rsid w:val="0004455A"/>
    <w:rsid w:val="00050C47"/>
    <w:rsid w:val="00051CDF"/>
    <w:rsid w:val="0005365D"/>
    <w:rsid w:val="00054E97"/>
    <w:rsid w:val="00054F86"/>
    <w:rsid w:val="000614BF"/>
    <w:rsid w:val="00065841"/>
    <w:rsid w:val="0006709C"/>
    <w:rsid w:val="00074376"/>
    <w:rsid w:val="00096D9A"/>
    <w:rsid w:val="000978F5"/>
    <w:rsid w:val="000A065A"/>
    <w:rsid w:val="000B120C"/>
    <w:rsid w:val="000B15CD"/>
    <w:rsid w:val="000B35EB"/>
    <w:rsid w:val="000C0A3F"/>
    <w:rsid w:val="000C1F20"/>
    <w:rsid w:val="000C57C2"/>
    <w:rsid w:val="000D05EF"/>
    <w:rsid w:val="000E2261"/>
    <w:rsid w:val="000E2BB2"/>
    <w:rsid w:val="000E2EB8"/>
    <w:rsid w:val="000E78B7"/>
    <w:rsid w:val="000F0248"/>
    <w:rsid w:val="000F21C1"/>
    <w:rsid w:val="000F38F2"/>
    <w:rsid w:val="00104E57"/>
    <w:rsid w:val="0010745C"/>
    <w:rsid w:val="00116531"/>
    <w:rsid w:val="00132CEB"/>
    <w:rsid w:val="001339B0"/>
    <w:rsid w:val="00140872"/>
    <w:rsid w:val="00142B62"/>
    <w:rsid w:val="001441B7"/>
    <w:rsid w:val="001460E8"/>
    <w:rsid w:val="001516CB"/>
    <w:rsid w:val="00152336"/>
    <w:rsid w:val="001528D4"/>
    <w:rsid w:val="00157B8B"/>
    <w:rsid w:val="00166C2F"/>
    <w:rsid w:val="001710C8"/>
    <w:rsid w:val="001809D7"/>
    <w:rsid w:val="00184AFF"/>
    <w:rsid w:val="00184BCB"/>
    <w:rsid w:val="001939E1"/>
    <w:rsid w:val="00194C3E"/>
    <w:rsid w:val="00195382"/>
    <w:rsid w:val="001A6CC4"/>
    <w:rsid w:val="001B2CB6"/>
    <w:rsid w:val="001B538E"/>
    <w:rsid w:val="001C61C5"/>
    <w:rsid w:val="001C69C4"/>
    <w:rsid w:val="001D09C7"/>
    <w:rsid w:val="001D37EF"/>
    <w:rsid w:val="001E3590"/>
    <w:rsid w:val="001E69F2"/>
    <w:rsid w:val="001E7407"/>
    <w:rsid w:val="001F5D5E"/>
    <w:rsid w:val="001F6219"/>
    <w:rsid w:val="001F6CD4"/>
    <w:rsid w:val="002034DC"/>
    <w:rsid w:val="00206C4D"/>
    <w:rsid w:val="00215AF1"/>
    <w:rsid w:val="00221F3D"/>
    <w:rsid w:val="0022752B"/>
    <w:rsid w:val="002321E8"/>
    <w:rsid w:val="00232984"/>
    <w:rsid w:val="0024010F"/>
    <w:rsid w:val="00240749"/>
    <w:rsid w:val="002409AE"/>
    <w:rsid w:val="00242EF9"/>
    <w:rsid w:val="00243018"/>
    <w:rsid w:val="002564A4"/>
    <w:rsid w:val="0026736C"/>
    <w:rsid w:val="00281308"/>
    <w:rsid w:val="00284719"/>
    <w:rsid w:val="00285FE4"/>
    <w:rsid w:val="002903AF"/>
    <w:rsid w:val="00291C0E"/>
    <w:rsid w:val="00293D40"/>
    <w:rsid w:val="00297ECB"/>
    <w:rsid w:val="002A3469"/>
    <w:rsid w:val="002A36CF"/>
    <w:rsid w:val="002A7BCF"/>
    <w:rsid w:val="002C3FD1"/>
    <w:rsid w:val="002C60C3"/>
    <w:rsid w:val="002D043A"/>
    <w:rsid w:val="002D266B"/>
    <w:rsid w:val="002D4F27"/>
    <w:rsid w:val="002D6224"/>
    <w:rsid w:val="002E1023"/>
    <w:rsid w:val="002E2166"/>
    <w:rsid w:val="002E351A"/>
    <w:rsid w:val="002E490A"/>
    <w:rsid w:val="002F41FD"/>
    <w:rsid w:val="00303630"/>
    <w:rsid w:val="00304F8B"/>
    <w:rsid w:val="00335BC6"/>
    <w:rsid w:val="00340F7D"/>
    <w:rsid w:val="003415D3"/>
    <w:rsid w:val="00341724"/>
    <w:rsid w:val="00344338"/>
    <w:rsid w:val="00344701"/>
    <w:rsid w:val="00352B0F"/>
    <w:rsid w:val="00360459"/>
    <w:rsid w:val="003767E2"/>
    <w:rsid w:val="00376CE6"/>
    <w:rsid w:val="0038049F"/>
    <w:rsid w:val="00384D39"/>
    <w:rsid w:val="00397121"/>
    <w:rsid w:val="003A29C4"/>
    <w:rsid w:val="003A669D"/>
    <w:rsid w:val="003A697E"/>
    <w:rsid w:val="003A6F81"/>
    <w:rsid w:val="003C6231"/>
    <w:rsid w:val="003D0BFE"/>
    <w:rsid w:val="003D5700"/>
    <w:rsid w:val="003E0BC9"/>
    <w:rsid w:val="003E341B"/>
    <w:rsid w:val="003E4D00"/>
    <w:rsid w:val="003F2DD6"/>
    <w:rsid w:val="003F5691"/>
    <w:rsid w:val="004116CD"/>
    <w:rsid w:val="0041174C"/>
    <w:rsid w:val="00411C86"/>
    <w:rsid w:val="00414FB2"/>
    <w:rsid w:val="00417EB9"/>
    <w:rsid w:val="00424CA9"/>
    <w:rsid w:val="004276DF"/>
    <w:rsid w:val="00431E9B"/>
    <w:rsid w:val="004379E3"/>
    <w:rsid w:val="0044015E"/>
    <w:rsid w:val="0044291A"/>
    <w:rsid w:val="00456C8E"/>
    <w:rsid w:val="00457AD3"/>
    <w:rsid w:val="00467661"/>
    <w:rsid w:val="004706D8"/>
    <w:rsid w:val="00472C54"/>
    <w:rsid w:val="00472DBE"/>
    <w:rsid w:val="00474A19"/>
    <w:rsid w:val="00477830"/>
    <w:rsid w:val="00487764"/>
    <w:rsid w:val="004937C7"/>
    <w:rsid w:val="00496F97"/>
    <w:rsid w:val="004B6C48"/>
    <w:rsid w:val="004C4E59"/>
    <w:rsid w:val="004C6809"/>
    <w:rsid w:val="004C72BD"/>
    <w:rsid w:val="004D2CD4"/>
    <w:rsid w:val="004D5976"/>
    <w:rsid w:val="004E063A"/>
    <w:rsid w:val="004E1307"/>
    <w:rsid w:val="004E4F93"/>
    <w:rsid w:val="004E5F69"/>
    <w:rsid w:val="004E7BEC"/>
    <w:rsid w:val="00504933"/>
    <w:rsid w:val="00505110"/>
    <w:rsid w:val="00505D3D"/>
    <w:rsid w:val="00506AF6"/>
    <w:rsid w:val="005079D8"/>
    <w:rsid w:val="005110A0"/>
    <w:rsid w:val="00516B8D"/>
    <w:rsid w:val="00521531"/>
    <w:rsid w:val="005303C8"/>
    <w:rsid w:val="005319F1"/>
    <w:rsid w:val="00537FBC"/>
    <w:rsid w:val="00554563"/>
    <w:rsid w:val="00554826"/>
    <w:rsid w:val="00555CB2"/>
    <w:rsid w:val="00562877"/>
    <w:rsid w:val="005636AC"/>
    <w:rsid w:val="00565D78"/>
    <w:rsid w:val="005774BD"/>
    <w:rsid w:val="00580A55"/>
    <w:rsid w:val="00583C15"/>
    <w:rsid w:val="00584811"/>
    <w:rsid w:val="00585457"/>
    <w:rsid w:val="00585784"/>
    <w:rsid w:val="00593AA6"/>
    <w:rsid w:val="00594161"/>
    <w:rsid w:val="00594749"/>
    <w:rsid w:val="005A4858"/>
    <w:rsid w:val="005A5D1C"/>
    <w:rsid w:val="005A65D5"/>
    <w:rsid w:val="005B2578"/>
    <w:rsid w:val="005B4067"/>
    <w:rsid w:val="005C3F41"/>
    <w:rsid w:val="005D1096"/>
    <w:rsid w:val="005D1D92"/>
    <w:rsid w:val="005D2D09"/>
    <w:rsid w:val="005D368F"/>
    <w:rsid w:val="005D466B"/>
    <w:rsid w:val="005F3E2B"/>
    <w:rsid w:val="00600219"/>
    <w:rsid w:val="00604F2A"/>
    <w:rsid w:val="006111D5"/>
    <w:rsid w:val="00620076"/>
    <w:rsid w:val="00624969"/>
    <w:rsid w:val="00627E0A"/>
    <w:rsid w:val="00644B54"/>
    <w:rsid w:val="00651A8C"/>
    <w:rsid w:val="006520ED"/>
    <w:rsid w:val="0065488B"/>
    <w:rsid w:val="00664646"/>
    <w:rsid w:val="00670EA1"/>
    <w:rsid w:val="00677CC2"/>
    <w:rsid w:val="00681A9A"/>
    <w:rsid w:val="0068744B"/>
    <w:rsid w:val="006905DE"/>
    <w:rsid w:val="00690F17"/>
    <w:rsid w:val="0069207B"/>
    <w:rsid w:val="006A154F"/>
    <w:rsid w:val="006A437B"/>
    <w:rsid w:val="006B10FE"/>
    <w:rsid w:val="006B5789"/>
    <w:rsid w:val="006C30C5"/>
    <w:rsid w:val="006C4EEA"/>
    <w:rsid w:val="006C7F8C"/>
    <w:rsid w:val="006D4D67"/>
    <w:rsid w:val="006D4E95"/>
    <w:rsid w:val="006D6D40"/>
    <w:rsid w:val="006E2E1C"/>
    <w:rsid w:val="006E6246"/>
    <w:rsid w:val="006E69C2"/>
    <w:rsid w:val="006E6DCC"/>
    <w:rsid w:val="006F08F3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22FA"/>
    <w:rsid w:val="0074293C"/>
    <w:rsid w:val="007440B7"/>
    <w:rsid w:val="007500C8"/>
    <w:rsid w:val="00754E76"/>
    <w:rsid w:val="00756272"/>
    <w:rsid w:val="00762D38"/>
    <w:rsid w:val="00764226"/>
    <w:rsid w:val="007715C9"/>
    <w:rsid w:val="00771613"/>
    <w:rsid w:val="00774EDD"/>
    <w:rsid w:val="007757EC"/>
    <w:rsid w:val="00775DD0"/>
    <w:rsid w:val="00780708"/>
    <w:rsid w:val="00783E89"/>
    <w:rsid w:val="00787971"/>
    <w:rsid w:val="00793915"/>
    <w:rsid w:val="007B3AC6"/>
    <w:rsid w:val="007C1DB6"/>
    <w:rsid w:val="007C2253"/>
    <w:rsid w:val="007D3687"/>
    <w:rsid w:val="007D7911"/>
    <w:rsid w:val="007E163D"/>
    <w:rsid w:val="007E667A"/>
    <w:rsid w:val="007E7CC5"/>
    <w:rsid w:val="007F0BE3"/>
    <w:rsid w:val="007F28C9"/>
    <w:rsid w:val="007F51B2"/>
    <w:rsid w:val="008040DD"/>
    <w:rsid w:val="008117E9"/>
    <w:rsid w:val="0081267B"/>
    <w:rsid w:val="00824498"/>
    <w:rsid w:val="00825C0F"/>
    <w:rsid w:val="00826BD1"/>
    <w:rsid w:val="00826F4A"/>
    <w:rsid w:val="008347CA"/>
    <w:rsid w:val="008446BB"/>
    <w:rsid w:val="00853EAA"/>
    <w:rsid w:val="00854D0B"/>
    <w:rsid w:val="008553B8"/>
    <w:rsid w:val="00856A31"/>
    <w:rsid w:val="00860B4E"/>
    <w:rsid w:val="00867B37"/>
    <w:rsid w:val="008754D0"/>
    <w:rsid w:val="00875D13"/>
    <w:rsid w:val="008855C9"/>
    <w:rsid w:val="00885A0D"/>
    <w:rsid w:val="00886456"/>
    <w:rsid w:val="008918EF"/>
    <w:rsid w:val="00896176"/>
    <w:rsid w:val="008A2268"/>
    <w:rsid w:val="008A46E1"/>
    <w:rsid w:val="008A4F43"/>
    <w:rsid w:val="008A7209"/>
    <w:rsid w:val="008B2706"/>
    <w:rsid w:val="008B6705"/>
    <w:rsid w:val="008C0D9B"/>
    <w:rsid w:val="008C2EAC"/>
    <w:rsid w:val="008C31B5"/>
    <w:rsid w:val="008D0792"/>
    <w:rsid w:val="008D0EE0"/>
    <w:rsid w:val="008D3807"/>
    <w:rsid w:val="008E0027"/>
    <w:rsid w:val="008E6067"/>
    <w:rsid w:val="008E7E05"/>
    <w:rsid w:val="008F54E7"/>
    <w:rsid w:val="00903422"/>
    <w:rsid w:val="00903EE9"/>
    <w:rsid w:val="00907D9D"/>
    <w:rsid w:val="00913916"/>
    <w:rsid w:val="009254C3"/>
    <w:rsid w:val="00932377"/>
    <w:rsid w:val="009351DA"/>
    <w:rsid w:val="00941236"/>
    <w:rsid w:val="0094256A"/>
    <w:rsid w:val="00943FD5"/>
    <w:rsid w:val="009444F1"/>
    <w:rsid w:val="00945B32"/>
    <w:rsid w:val="00947D5A"/>
    <w:rsid w:val="00950117"/>
    <w:rsid w:val="009532A5"/>
    <w:rsid w:val="009545BD"/>
    <w:rsid w:val="00964CF0"/>
    <w:rsid w:val="00967320"/>
    <w:rsid w:val="00976620"/>
    <w:rsid w:val="00977806"/>
    <w:rsid w:val="00982242"/>
    <w:rsid w:val="0098260E"/>
    <w:rsid w:val="009868E9"/>
    <w:rsid w:val="009900A3"/>
    <w:rsid w:val="009A000B"/>
    <w:rsid w:val="009A2560"/>
    <w:rsid w:val="009A69E5"/>
    <w:rsid w:val="009A7A89"/>
    <w:rsid w:val="009C3413"/>
    <w:rsid w:val="009D6D2A"/>
    <w:rsid w:val="009E3AD6"/>
    <w:rsid w:val="009F5798"/>
    <w:rsid w:val="009F6895"/>
    <w:rsid w:val="009F6BDB"/>
    <w:rsid w:val="00A0441E"/>
    <w:rsid w:val="00A0497A"/>
    <w:rsid w:val="00A06D4B"/>
    <w:rsid w:val="00A11FFC"/>
    <w:rsid w:val="00A12128"/>
    <w:rsid w:val="00A15B17"/>
    <w:rsid w:val="00A22C98"/>
    <w:rsid w:val="00A231E2"/>
    <w:rsid w:val="00A369E3"/>
    <w:rsid w:val="00A51A89"/>
    <w:rsid w:val="00A57600"/>
    <w:rsid w:val="00A64912"/>
    <w:rsid w:val="00A70A74"/>
    <w:rsid w:val="00A75FE9"/>
    <w:rsid w:val="00A768F5"/>
    <w:rsid w:val="00A864D2"/>
    <w:rsid w:val="00A94549"/>
    <w:rsid w:val="00A96B00"/>
    <w:rsid w:val="00AA47EB"/>
    <w:rsid w:val="00AC1A8F"/>
    <w:rsid w:val="00AD53CC"/>
    <w:rsid w:val="00AD5641"/>
    <w:rsid w:val="00AD77A2"/>
    <w:rsid w:val="00AF05A4"/>
    <w:rsid w:val="00AF06CF"/>
    <w:rsid w:val="00AF2A7C"/>
    <w:rsid w:val="00B01B17"/>
    <w:rsid w:val="00B07CDB"/>
    <w:rsid w:val="00B16A31"/>
    <w:rsid w:val="00B17DFD"/>
    <w:rsid w:val="00B25306"/>
    <w:rsid w:val="00B27831"/>
    <w:rsid w:val="00B308FE"/>
    <w:rsid w:val="00B33709"/>
    <w:rsid w:val="00B33B3C"/>
    <w:rsid w:val="00B35B2A"/>
    <w:rsid w:val="00B36392"/>
    <w:rsid w:val="00B414CA"/>
    <w:rsid w:val="00B418CB"/>
    <w:rsid w:val="00B47444"/>
    <w:rsid w:val="00B50ADC"/>
    <w:rsid w:val="00B566B1"/>
    <w:rsid w:val="00B63834"/>
    <w:rsid w:val="00B72BBD"/>
    <w:rsid w:val="00B77768"/>
    <w:rsid w:val="00B77877"/>
    <w:rsid w:val="00B80199"/>
    <w:rsid w:val="00B83204"/>
    <w:rsid w:val="00B856E7"/>
    <w:rsid w:val="00B97C10"/>
    <w:rsid w:val="00BA220B"/>
    <w:rsid w:val="00BA3A57"/>
    <w:rsid w:val="00BA69D3"/>
    <w:rsid w:val="00BB13D6"/>
    <w:rsid w:val="00BB1533"/>
    <w:rsid w:val="00BB4E1A"/>
    <w:rsid w:val="00BB5A7B"/>
    <w:rsid w:val="00BC015E"/>
    <w:rsid w:val="00BC6863"/>
    <w:rsid w:val="00BC76AC"/>
    <w:rsid w:val="00BD0ECB"/>
    <w:rsid w:val="00BD5B31"/>
    <w:rsid w:val="00BE20AD"/>
    <w:rsid w:val="00BE2155"/>
    <w:rsid w:val="00BE69E6"/>
    <w:rsid w:val="00BE719A"/>
    <w:rsid w:val="00BE720A"/>
    <w:rsid w:val="00BE7A9C"/>
    <w:rsid w:val="00BF0D73"/>
    <w:rsid w:val="00BF2465"/>
    <w:rsid w:val="00BF4847"/>
    <w:rsid w:val="00BF4F48"/>
    <w:rsid w:val="00C01FEA"/>
    <w:rsid w:val="00C1172C"/>
    <w:rsid w:val="00C16619"/>
    <w:rsid w:val="00C20483"/>
    <w:rsid w:val="00C25E7F"/>
    <w:rsid w:val="00C2746F"/>
    <w:rsid w:val="00C320EA"/>
    <w:rsid w:val="00C323D6"/>
    <w:rsid w:val="00C324A0"/>
    <w:rsid w:val="00C3788E"/>
    <w:rsid w:val="00C379CD"/>
    <w:rsid w:val="00C41A8B"/>
    <w:rsid w:val="00C42BF8"/>
    <w:rsid w:val="00C50043"/>
    <w:rsid w:val="00C543EA"/>
    <w:rsid w:val="00C7573B"/>
    <w:rsid w:val="00C76B0D"/>
    <w:rsid w:val="00C83125"/>
    <w:rsid w:val="00C97A54"/>
    <w:rsid w:val="00CA5B23"/>
    <w:rsid w:val="00CB0576"/>
    <w:rsid w:val="00CB0969"/>
    <w:rsid w:val="00CB602E"/>
    <w:rsid w:val="00CB7E90"/>
    <w:rsid w:val="00CC5373"/>
    <w:rsid w:val="00CE051D"/>
    <w:rsid w:val="00CE1335"/>
    <w:rsid w:val="00CE493D"/>
    <w:rsid w:val="00CF07FA"/>
    <w:rsid w:val="00CF0BB2"/>
    <w:rsid w:val="00CF19DA"/>
    <w:rsid w:val="00CF3EE8"/>
    <w:rsid w:val="00CF5BAF"/>
    <w:rsid w:val="00D009BE"/>
    <w:rsid w:val="00D0225D"/>
    <w:rsid w:val="00D049C5"/>
    <w:rsid w:val="00D05379"/>
    <w:rsid w:val="00D13441"/>
    <w:rsid w:val="00D150E7"/>
    <w:rsid w:val="00D25671"/>
    <w:rsid w:val="00D26B11"/>
    <w:rsid w:val="00D52DC2"/>
    <w:rsid w:val="00D53274"/>
    <w:rsid w:val="00D53BCC"/>
    <w:rsid w:val="00D54C9E"/>
    <w:rsid w:val="00D55442"/>
    <w:rsid w:val="00D6537E"/>
    <w:rsid w:val="00D70DFB"/>
    <w:rsid w:val="00D721C3"/>
    <w:rsid w:val="00D766DF"/>
    <w:rsid w:val="00D8206C"/>
    <w:rsid w:val="00D91F10"/>
    <w:rsid w:val="00DA17B4"/>
    <w:rsid w:val="00DA186E"/>
    <w:rsid w:val="00DA4116"/>
    <w:rsid w:val="00DA4ED0"/>
    <w:rsid w:val="00DB251C"/>
    <w:rsid w:val="00DB4630"/>
    <w:rsid w:val="00DB4814"/>
    <w:rsid w:val="00DC1D0A"/>
    <w:rsid w:val="00DC4F88"/>
    <w:rsid w:val="00DE107C"/>
    <w:rsid w:val="00DF2388"/>
    <w:rsid w:val="00E05704"/>
    <w:rsid w:val="00E127F2"/>
    <w:rsid w:val="00E338EF"/>
    <w:rsid w:val="00E36087"/>
    <w:rsid w:val="00E40B71"/>
    <w:rsid w:val="00E45631"/>
    <w:rsid w:val="00E544BB"/>
    <w:rsid w:val="00E74DC7"/>
    <w:rsid w:val="00E8075A"/>
    <w:rsid w:val="00E940D8"/>
    <w:rsid w:val="00E94D5E"/>
    <w:rsid w:val="00EA7100"/>
    <w:rsid w:val="00EA7E1E"/>
    <w:rsid w:val="00EA7F9F"/>
    <w:rsid w:val="00EB1274"/>
    <w:rsid w:val="00EC05DE"/>
    <w:rsid w:val="00ED2BB6"/>
    <w:rsid w:val="00ED34E1"/>
    <w:rsid w:val="00ED3B8D"/>
    <w:rsid w:val="00EE5E36"/>
    <w:rsid w:val="00EF2E3A"/>
    <w:rsid w:val="00F02C7C"/>
    <w:rsid w:val="00F072A7"/>
    <w:rsid w:val="00F078DC"/>
    <w:rsid w:val="00F13F83"/>
    <w:rsid w:val="00F32BA8"/>
    <w:rsid w:val="00F32EE0"/>
    <w:rsid w:val="00F349F1"/>
    <w:rsid w:val="00F34EA6"/>
    <w:rsid w:val="00F4144C"/>
    <w:rsid w:val="00F4350D"/>
    <w:rsid w:val="00F479C4"/>
    <w:rsid w:val="00F54C3A"/>
    <w:rsid w:val="00F567F7"/>
    <w:rsid w:val="00F6696E"/>
    <w:rsid w:val="00F71C4C"/>
    <w:rsid w:val="00F73BD6"/>
    <w:rsid w:val="00F75184"/>
    <w:rsid w:val="00F82A34"/>
    <w:rsid w:val="00F83989"/>
    <w:rsid w:val="00F85099"/>
    <w:rsid w:val="00F9379C"/>
    <w:rsid w:val="00F9632C"/>
    <w:rsid w:val="00FA1E52"/>
    <w:rsid w:val="00FB1433"/>
    <w:rsid w:val="00FB2EEF"/>
    <w:rsid w:val="00FB5A08"/>
    <w:rsid w:val="00FC125E"/>
    <w:rsid w:val="00FC6A80"/>
    <w:rsid w:val="00FE2663"/>
    <w:rsid w:val="00FE28F5"/>
    <w:rsid w:val="00FE4688"/>
    <w:rsid w:val="00FE6ED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C6FF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03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4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4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4DC"/>
    <w:rPr>
      <w:b/>
      <w:bCs/>
    </w:rPr>
  </w:style>
  <w:style w:type="paragraph" w:customStyle="1" w:styleId="definition0">
    <w:name w:val="definition"/>
    <w:basedOn w:val="Normal"/>
    <w:rsid w:val="00D009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472C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9712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8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8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93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3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5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4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27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7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37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6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781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0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87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5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0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7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13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9B86-2CF5-4FD7-AD78-BE5A6B13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1464</Words>
  <Characters>8219</Characters>
  <Application>Microsoft Office Word</Application>
  <DocSecurity>0</DocSecurity>
  <Lines>149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2023-08-28T02:24:00Z</dcterms:created>
  <dcterms:modified xsi:type="dcterms:W3CDTF">2023-08-28T02:27:00Z</dcterms:modified>
</cp:coreProperties>
</file>